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Default Extension="png" ContentType="image/png"/>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spacing w:before="5"/>
        <w:rPr>
          <w:rFonts w:ascii="Times New Roman"/>
          <w:sz w:val="10"/>
        </w:rPr>
      </w:pPr>
    </w:p>
    <w:tbl>
      <w:tblPr>
        <w:tblW w:w="0" w:type="auto"/>
        <w:jc w:val="left"/>
        <w:tblInd w:w="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23"/>
        <w:gridCol w:w="4175"/>
        <w:gridCol w:w="2237"/>
      </w:tblGrid>
      <w:tr>
        <w:trPr>
          <w:trHeight w:val="1655" w:hRule="atLeast"/>
        </w:trPr>
        <w:tc>
          <w:tcPr>
            <w:tcW w:w="2223" w:type="dxa"/>
          </w:tcPr>
          <w:p>
            <w:pPr>
              <w:pStyle w:val="TableParagraph"/>
              <w:ind w:left="200"/>
              <w:rPr>
                <w:rFonts w:ascii="Times New Roman"/>
                <w:sz w:val="20"/>
              </w:rPr>
            </w:pPr>
            <w:r>
              <w:rPr>
                <w:rFonts w:ascii="Times New Roman"/>
                <w:sz w:val="20"/>
              </w:rPr>
              <w:drawing>
                <wp:inline distT="0" distB="0" distL="0" distR="0">
                  <wp:extent cx="1000411" cy="1010030"/>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000411" cy="1010030"/>
                          </a:xfrm>
                          <a:prstGeom prst="rect">
                            <a:avLst/>
                          </a:prstGeom>
                        </pic:spPr>
                      </pic:pic>
                    </a:graphicData>
                  </a:graphic>
                </wp:inline>
              </w:drawing>
            </w:r>
            <w:r>
              <w:rPr>
                <w:rFonts w:ascii="Times New Roman"/>
                <w:sz w:val="20"/>
              </w:rPr>
            </w:r>
          </w:p>
        </w:tc>
        <w:tc>
          <w:tcPr>
            <w:tcW w:w="4175" w:type="dxa"/>
          </w:tcPr>
          <w:p>
            <w:pPr>
              <w:pStyle w:val="TableParagraph"/>
              <w:rPr>
                <w:rFonts w:ascii="Times New Roman"/>
                <w:sz w:val="26"/>
              </w:rPr>
            </w:pPr>
          </w:p>
          <w:p>
            <w:pPr>
              <w:pStyle w:val="TableParagraph"/>
              <w:rPr>
                <w:rFonts w:ascii="Times New Roman"/>
                <w:sz w:val="26"/>
              </w:rPr>
            </w:pPr>
          </w:p>
          <w:p>
            <w:pPr>
              <w:pStyle w:val="TableParagraph"/>
              <w:rPr>
                <w:rFonts w:ascii="Times New Roman"/>
                <w:sz w:val="26"/>
              </w:rPr>
            </w:pPr>
          </w:p>
          <w:p>
            <w:pPr>
              <w:pStyle w:val="TableParagraph"/>
              <w:spacing w:line="270" w:lineRule="atLeast" w:before="203"/>
              <w:ind w:left="461" w:right="427" w:firstLine="1406"/>
              <w:rPr>
                <w:b/>
                <w:sz w:val="24"/>
              </w:rPr>
            </w:pPr>
            <w:r>
              <w:rPr>
                <w:b/>
                <w:sz w:val="24"/>
              </w:rPr>
              <w:t>T.C. PAMUKKALE ÜNİVERSİTESİ</w:t>
            </w:r>
          </w:p>
        </w:tc>
        <w:tc>
          <w:tcPr>
            <w:tcW w:w="2237" w:type="dxa"/>
          </w:tcPr>
          <w:p>
            <w:pPr>
              <w:pStyle w:val="TableParagraph"/>
              <w:ind w:left="445"/>
              <w:rPr>
                <w:rFonts w:ascii="Times New Roman"/>
                <w:sz w:val="20"/>
              </w:rPr>
            </w:pPr>
            <w:r>
              <w:rPr>
                <w:rFonts w:ascii="Times New Roman"/>
                <w:sz w:val="20"/>
              </w:rPr>
              <w:drawing>
                <wp:inline distT="0" distB="0" distL="0" distR="0">
                  <wp:extent cx="1010031" cy="1010030"/>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1010031" cy="1010030"/>
                          </a:xfrm>
                          <a:prstGeom prst="rect">
                            <a:avLst/>
                          </a:prstGeom>
                        </pic:spPr>
                      </pic:pic>
                    </a:graphicData>
                  </a:graphic>
                </wp:inline>
              </w:drawing>
            </w:r>
            <w:r>
              <w:rPr>
                <w:rFonts w:ascii="Times New Roman"/>
                <w:sz w:val="20"/>
              </w:rPr>
            </w:r>
          </w:p>
        </w:tc>
      </w:tr>
      <w:tr>
        <w:trPr>
          <w:trHeight w:val="272" w:hRule="atLeast"/>
        </w:trPr>
        <w:tc>
          <w:tcPr>
            <w:tcW w:w="2223" w:type="dxa"/>
          </w:tcPr>
          <w:p>
            <w:pPr>
              <w:pStyle w:val="TableParagraph"/>
              <w:rPr>
                <w:rFonts w:ascii="Times New Roman"/>
                <w:sz w:val="20"/>
              </w:rPr>
            </w:pPr>
          </w:p>
        </w:tc>
        <w:tc>
          <w:tcPr>
            <w:tcW w:w="4175" w:type="dxa"/>
          </w:tcPr>
          <w:p>
            <w:pPr>
              <w:pStyle w:val="TableParagraph"/>
              <w:spacing w:line="252" w:lineRule="exact"/>
              <w:ind w:left="293"/>
              <w:rPr>
                <w:b/>
                <w:sz w:val="24"/>
              </w:rPr>
            </w:pPr>
            <w:r>
              <w:rPr>
                <w:b/>
                <w:sz w:val="24"/>
              </w:rPr>
              <w:t>SAĞLIK BİLİMLERİ ENSTİTÜSÜ</w:t>
            </w:r>
          </w:p>
        </w:tc>
        <w:tc>
          <w:tcPr>
            <w:tcW w:w="2237" w:type="dxa"/>
          </w:tcPr>
          <w:p>
            <w:pPr>
              <w:pStyle w:val="TableParagraph"/>
              <w:rPr>
                <w:rFonts w:ascii="Times New Roman"/>
                <w:sz w:val="20"/>
              </w:rPr>
            </w:pP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4"/>
        </w:rPr>
      </w:pPr>
    </w:p>
    <w:p>
      <w:pPr>
        <w:spacing w:line="242" w:lineRule="auto" w:before="91"/>
        <w:ind w:left="1318" w:right="771" w:firstLine="0"/>
        <w:jc w:val="center"/>
        <w:rPr>
          <w:b/>
          <w:sz w:val="28"/>
        </w:rPr>
      </w:pPr>
      <w:r>
        <w:rPr>
          <w:b/>
          <w:sz w:val="28"/>
        </w:rPr>
        <w:t>FİZİK TEDAVİ VE REHABİLİTASYON ANABİLİM DALI YÜKSEK LİSANS TEZİ</w:t>
      </w:r>
    </w:p>
    <w:p>
      <w:pPr>
        <w:pStyle w:val="BodyText"/>
        <w:rPr>
          <w:b/>
          <w:sz w:val="30"/>
        </w:rPr>
      </w:pPr>
    </w:p>
    <w:p>
      <w:pPr>
        <w:pStyle w:val="BodyText"/>
        <w:rPr>
          <w:b/>
          <w:sz w:val="30"/>
        </w:rPr>
      </w:pPr>
    </w:p>
    <w:p>
      <w:pPr>
        <w:pStyle w:val="BodyText"/>
        <w:rPr>
          <w:b/>
          <w:sz w:val="30"/>
        </w:rPr>
      </w:pPr>
    </w:p>
    <w:p>
      <w:pPr>
        <w:spacing w:before="246"/>
        <w:ind w:left="1642" w:right="1083" w:hanging="9"/>
        <w:jc w:val="center"/>
        <w:rPr>
          <w:b/>
          <w:sz w:val="32"/>
        </w:rPr>
      </w:pPr>
      <w:r>
        <w:rPr>
          <w:b/>
          <w:sz w:val="32"/>
        </w:rPr>
        <w:t>NÖROLOJİK HASTALIKLAR NEDENİ İLE YATARAK TEDAVİ GÖREN HASTALARDA BASI YARASI RİSK ANALİZİ</w:t>
      </w:r>
    </w:p>
    <w:p>
      <w:pPr>
        <w:pStyle w:val="BodyText"/>
        <w:rPr>
          <w:b/>
          <w:sz w:val="36"/>
        </w:rPr>
      </w:pPr>
    </w:p>
    <w:p>
      <w:pPr>
        <w:pStyle w:val="BodyText"/>
        <w:rPr>
          <w:b/>
          <w:sz w:val="36"/>
        </w:rPr>
      </w:pPr>
    </w:p>
    <w:p>
      <w:pPr>
        <w:pStyle w:val="BodyText"/>
        <w:spacing w:before="4"/>
        <w:rPr>
          <w:b/>
          <w:sz w:val="39"/>
        </w:rPr>
      </w:pPr>
    </w:p>
    <w:p>
      <w:pPr>
        <w:spacing w:before="0"/>
        <w:ind w:left="1318" w:right="770" w:firstLine="0"/>
        <w:jc w:val="center"/>
        <w:rPr>
          <w:b/>
          <w:sz w:val="28"/>
        </w:rPr>
      </w:pPr>
      <w:r>
        <w:rPr>
          <w:b/>
          <w:sz w:val="28"/>
        </w:rPr>
        <w:t>TAREK NABHAN</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before="10"/>
        <w:rPr>
          <w:b/>
          <w:sz w:val="41"/>
        </w:rPr>
      </w:pPr>
    </w:p>
    <w:p>
      <w:pPr>
        <w:spacing w:before="0"/>
        <w:ind w:left="4059" w:right="3502" w:firstLine="0"/>
        <w:jc w:val="center"/>
        <w:rPr>
          <w:b/>
          <w:sz w:val="24"/>
        </w:rPr>
      </w:pPr>
      <w:r>
        <w:rPr>
          <w:b/>
          <w:sz w:val="24"/>
        </w:rPr>
        <w:t>Ağustos 2019 DENİZLİ</w:t>
      </w:r>
    </w:p>
    <w:p>
      <w:pPr>
        <w:spacing w:after="0"/>
        <w:jc w:val="center"/>
        <w:rPr>
          <w:sz w:val="24"/>
        </w:rPr>
        <w:sectPr>
          <w:type w:val="continuous"/>
          <w:pgSz w:w="11910" w:h="16840"/>
          <w:pgMar w:top="1580" w:bottom="280" w:left="1680" w:right="1100"/>
        </w:sectPr>
      </w:pPr>
    </w:p>
    <w:p>
      <w:pPr>
        <w:pStyle w:val="BodyText"/>
        <w:rPr>
          <w:b/>
          <w:sz w:val="20"/>
        </w:rPr>
      </w:pPr>
    </w:p>
    <w:p>
      <w:pPr>
        <w:pStyle w:val="BodyText"/>
        <w:spacing w:before="7"/>
        <w:rPr>
          <w:b/>
          <w:sz w:val="15"/>
        </w:rPr>
      </w:pPr>
    </w:p>
    <w:p>
      <w:pPr>
        <w:spacing w:before="93"/>
        <w:ind w:left="3207" w:right="2636" w:firstLine="1373"/>
        <w:jc w:val="left"/>
        <w:rPr>
          <w:b/>
          <w:sz w:val="24"/>
        </w:rPr>
      </w:pPr>
      <w:r>
        <w:rPr>
          <w:b/>
          <w:sz w:val="24"/>
        </w:rPr>
        <w:t>T. C. PAMUKKALE ÜNİVERSİTESİ</w:t>
      </w:r>
    </w:p>
    <w:p>
      <w:pPr>
        <w:spacing w:before="0"/>
        <w:ind w:left="3039" w:right="0" w:firstLine="0"/>
        <w:jc w:val="left"/>
        <w:rPr>
          <w:b/>
          <w:sz w:val="24"/>
        </w:rPr>
      </w:pPr>
      <w:r>
        <w:rPr>
          <w:b/>
          <w:sz w:val="24"/>
        </w:rPr>
        <w:t>SAĞLIK BİLİMLERİ</w:t>
      </w:r>
      <w:r>
        <w:rPr>
          <w:b/>
          <w:spacing w:val="-21"/>
          <w:sz w:val="24"/>
        </w:rPr>
        <w:t> </w:t>
      </w:r>
      <w:r>
        <w:rPr>
          <w:b/>
          <w:sz w:val="24"/>
        </w:rPr>
        <w:t>ENSTİTÜSÜ</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
        <w:rPr>
          <w:b/>
          <w:sz w:val="38"/>
        </w:rPr>
      </w:pPr>
    </w:p>
    <w:p>
      <w:pPr>
        <w:spacing w:line="240" w:lineRule="auto" w:before="0"/>
        <w:ind w:left="1925" w:right="1600" w:hanging="5"/>
        <w:jc w:val="center"/>
        <w:rPr>
          <w:b/>
          <w:sz w:val="28"/>
        </w:rPr>
      </w:pPr>
      <w:r>
        <w:rPr>
          <w:b/>
          <w:sz w:val="28"/>
        </w:rPr>
        <w:t>NÖROLOJİK HASTALIKLAR NEDENİ İLE YATARAK TEDAVİ GÖREN</w:t>
      </w:r>
      <w:r>
        <w:rPr>
          <w:b/>
          <w:spacing w:val="-14"/>
          <w:sz w:val="28"/>
        </w:rPr>
        <w:t> </w:t>
      </w:r>
      <w:r>
        <w:rPr>
          <w:b/>
          <w:sz w:val="28"/>
        </w:rPr>
        <w:t>HASTALARDA BASI YARASI RİSK ANALİZİ</w:t>
      </w:r>
    </w:p>
    <w:p>
      <w:pPr>
        <w:pStyle w:val="BodyText"/>
        <w:rPr>
          <w:b/>
          <w:sz w:val="30"/>
        </w:rPr>
      </w:pPr>
    </w:p>
    <w:p>
      <w:pPr>
        <w:pStyle w:val="BodyText"/>
        <w:rPr>
          <w:b/>
          <w:sz w:val="30"/>
        </w:rPr>
      </w:pPr>
    </w:p>
    <w:p>
      <w:pPr>
        <w:pStyle w:val="BodyText"/>
        <w:rPr>
          <w:b/>
          <w:sz w:val="30"/>
        </w:rPr>
      </w:pPr>
    </w:p>
    <w:p>
      <w:pPr>
        <w:pStyle w:val="BodyText"/>
        <w:rPr>
          <w:b/>
          <w:sz w:val="30"/>
        </w:rPr>
      </w:pPr>
    </w:p>
    <w:p>
      <w:pPr>
        <w:spacing w:before="231"/>
        <w:ind w:left="1841" w:right="1287" w:firstLine="0"/>
        <w:jc w:val="center"/>
        <w:rPr>
          <w:b/>
          <w:sz w:val="24"/>
        </w:rPr>
      </w:pPr>
      <w:r>
        <w:rPr>
          <w:b/>
          <w:sz w:val="24"/>
        </w:rPr>
        <w:t>FİZİK TEDAVİ VE REHABİLİTASYON ANABİLİM DALI YÜKSEK LİSANS TEZİ</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9"/>
        <w:rPr>
          <w:b/>
          <w:sz w:val="29"/>
        </w:rPr>
      </w:pPr>
    </w:p>
    <w:p>
      <w:pPr>
        <w:spacing w:before="0"/>
        <w:ind w:left="1318" w:right="765" w:firstLine="0"/>
        <w:jc w:val="center"/>
        <w:rPr>
          <w:b/>
          <w:sz w:val="28"/>
        </w:rPr>
      </w:pPr>
      <w:r>
        <w:rPr>
          <w:b/>
          <w:sz w:val="28"/>
        </w:rPr>
        <w:t>Tarek NABHAN</w:t>
      </w:r>
    </w:p>
    <w:p>
      <w:pPr>
        <w:pStyle w:val="BodyText"/>
        <w:rPr>
          <w:b/>
          <w:sz w:val="30"/>
        </w:rPr>
      </w:pPr>
    </w:p>
    <w:p>
      <w:pPr>
        <w:pStyle w:val="BodyText"/>
        <w:rPr>
          <w:b/>
          <w:sz w:val="30"/>
        </w:rPr>
      </w:pPr>
    </w:p>
    <w:p>
      <w:pPr>
        <w:pStyle w:val="BodyText"/>
        <w:rPr>
          <w:b/>
          <w:sz w:val="30"/>
        </w:rPr>
      </w:pPr>
    </w:p>
    <w:p>
      <w:pPr>
        <w:pStyle w:val="BodyText"/>
        <w:spacing w:before="2"/>
        <w:rPr>
          <w:b/>
          <w:sz w:val="36"/>
        </w:rPr>
      </w:pPr>
    </w:p>
    <w:p>
      <w:pPr>
        <w:spacing w:before="0"/>
        <w:ind w:left="1318" w:right="764" w:firstLine="0"/>
        <w:jc w:val="center"/>
        <w:rPr>
          <w:b/>
          <w:sz w:val="24"/>
        </w:rPr>
      </w:pPr>
      <w:r>
        <w:rPr>
          <w:b/>
          <w:sz w:val="24"/>
        </w:rPr>
        <w:t>Tez Danışmanı: Doç. Dr. Filiz ALTUĞ</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Heading1"/>
        <w:spacing w:before="154"/>
        <w:ind w:left="1318" w:right="762"/>
        <w:jc w:val="center"/>
      </w:pPr>
      <w:r>
        <w:rPr/>
        <w:t>Denizli, 2019</w:t>
      </w:r>
    </w:p>
    <w:p>
      <w:pPr>
        <w:spacing w:after="0"/>
        <w:jc w:val="center"/>
        <w:sectPr>
          <w:pgSz w:w="11910" w:h="16840"/>
          <w:pgMar w:top="1580" w:bottom="280" w:left="1680" w:right="1100"/>
        </w:sectPr>
      </w:pPr>
    </w:p>
    <w:p>
      <w:pPr>
        <w:pStyle w:val="BodyText"/>
        <w:spacing w:before="4"/>
        <w:rPr>
          <w:rFonts w:ascii="Times New Roman"/>
          <w:sz w:val="17"/>
        </w:rPr>
      </w:pPr>
      <w:r>
        <w:rPr/>
        <w:drawing>
          <wp:anchor distT="0" distB="0" distL="0" distR="0" allowOverlap="1" layoutInCell="1" locked="0" behindDoc="1" simplePos="0" relativeHeight="247753728">
            <wp:simplePos x="0" y="0"/>
            <wp:positionH relativeFrom="page">
              <wp:posOffset>75137</wp:posOffset>
            </wp:positionH>
            <wp:positionV relativeFrom="page">
              <wp:posOffset>0</wp:posOffset>
            </wp:positionV>
            <wp:extent cx="7406220" cy="10693400"/>
            <wp:effectExtent l="0" t="0" r="0" b="0"/>
            <wp:wrapNone/>
            <wp:docPr id="5" name="image3.jpe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7406220" cy="10693400"/>
                    </a:xfrm>
                    <a:prstGeom prst="rect">
                      <a:avLst/>
                    </a:prstGeom>
                  </pic:spPr>
                </pic:pic>
              </a:graphicData>
            </a:graphic>
          </wp:anchor>
        </w:drawing>
      </w:r>
    </w:p>
    <w:p>
      <w:pPr>
        <w:spacing w:after="0"/>
        <w:rPr>
          <w:rFonts w:ascii="Times New Roman"/>
          <w:sz w:val="17"/>
        </w:rPr>
        <w:sectPr>
          <w:pgSz w:w="11900" w:h="16840"/>
          <w:pgMar w:top="1600" w:bottom="280" w:left="1680" w:right="1680"/>
        </w:sectPr>
      </w:pPr>
    </w:p>
    <w:p>
      <w:pPr>
        <w:pStyle w:val="BodyText"/>
        <w:spacing w:before="4"/>
        <w:rPr>
          <w:rFonts w:ascii="Times New Roman"/>
          <w:sz w:val="17"/>
        </w:rPr>
      </w:pPr>
      <w:r>
        <w:rPr/>
        <w:drawing>
          <wp:anchor distT="0" distB="0" distL="0" distR="0" allowOverlap="1" layoutInCell="1" locked="0" behindDoc="1" simplePos="0" relativeHeight="247754752">
            <wp:simplePos x="0" y="0"/>
            <wp:positionH relativeFrom="page">
              <wp:posOffset>333043</wp:posOffset>
            </wp:positionH>
            <wp:positionV relativeFrom="page">
              <wp:posOffset>0</wp:posOffset>
            </wp:positionV>
            <wp:extent cx="6890410" cy="10693400"/>
            <wp:effectExtent l="0" t="0" r="0" b="0"/>
            <wp:wrapNone/>
            <wp:docPr id="7" name="image4.jpeg"/>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6890410" cy="10693400"/>
                    </a:xfrm>
                    <a:prstGeom prst="rect">
                      <a:avLst/>
                    </a:prstGeom>
                  </pic:spPr>
                </pic:pic>
              </a:graphicData>
            </a:graphic>
          </wp:anchor>
        </w:drawing>
      </w:r>
    </w:p>
    <w:p>
      <w:pPr>
        <w:spacing w:after="0"/>
        <w:rPr>
          <w:rFonts w:ascii="Times New Roman"/>
          <w:sz w:val="17"/>
        </w:rPr>
        <w:sectPr>
          <w:pgSz w:w="11900" w:h="16840"/>
          <w:pgMar w:top="1600" w:bottom="280" w:left="1680" w:right="1680"/>
        </w:sectPr>
      </w:pPr>
    </w:p>
    <w:p>
      <w:pPr>
        <w:pStyle w:val="BodyText"/>
        <w:rPr>
          <w:rFonts w:ascii="Times New Roman"/>
          <w:sz w:val="20"/>
        </w:rPr>
      </w:pPr>
    </w:p>
    <w:p>
      <w:pPr>
        <w:pStyle w:val="BodyText"/>
        <w:rPr>
          <w:rFonts w:ascii="Times New Roman"/>
          <w:sz w:val="20"/>
        </w:rPr>
      </w:pPr>
    </w:p>
    <w:p>
      <w:pPr>
        <w:pStyle w:val="BodyText"/>
        <w:spacing w:before="4"/>
        <w:rPr>
          <w:rFonts w:ascii="Times New Roman"/>
          <w:sz w:val="21"/>
        </w:rPr>
      </w:pPr>
    </w:p>
    <w:p>
      <w:pPr>
        <w:pStyle w:val="Heading1"/>
        <w:ind w:left="1550" w:right="974"/>
        <w:jc w:val="center"/>
      </w:pPr>
      <w:bookmarkStart w:name="_bookmark0" w:id="1"/>
      <w:bookmarkEnd w:id="1"/>
      <w:r>
        <w:rPr>
          <w:b w:val="0"/>
        </w:rPr>
      </w:r>
      <w:r>
        <w:rPr/>
        <w:t>ÖZET</w:t>
      </w:r>
    </w:p>
    <w:p>
      <w:pPr>
        <w:pStyle w:val="BodyText"/>
        <w:rPr>
          <w:b/>
          <w:sz w:val="24"/>
        </w:rPr>
      </w:pPr>
    </w:p>
    <w:p>
      <w:pPr>
        <w:pStyle w:val="BodyText"/>
        <w:rPr>
          <w:b/>
          <w:sz w:val="20"/>
        </w:rPr>
      </w:pPr>
    </w:p>
    <w:p>
      <w:pPr>
        <w:spacing w:before="0"/>
        <w:ind w:left="1546" w:right="977" w:firstLine="0"/>
        <w:jc w:val="center"/>
        <w:rPr>
          <w:b/>
          <w:sz w:val="22"/>
        </w:rPr>
      </w:pPr>
      <w:r>
        <w:rPr>
          <w:b/>
          <w:sz w:val="22"/>
        </w:rPr>
        <w:t>NÖROLOJİK HASTALIKLAR NEDENİ İLE YATARAK TEDAVİ GÖREN HASTALARDA BASI YARASI RİSK ANALİZİ</w:t>
      </w:r>
    </w:p>
    <w:p>
      <w:pPr>
        <w:pStyle w:val="BodyText"/>
        <w:spacing w:before="1"/>
        <w:rPr>
          <w:b/>
        </w:rPr>
      </w:pPr>
    </w:p>
    <w:p>
      <w:pPr>
        <w:pStyle w:val="BodyText"/>
        <w:spacing w:before="1"/>
        <w:ind w:left="1550" w:right="977"/>
        <w:jc w:val="center"/>
      </w:pPr>
      <w:r>
        <w:rPr/>
        <w:t>Tarek NABHAN</w:t>
      </w:r>
    </w:p>
    <w:p>
      <w:pPr>
        <w:pStyle w:val="BodyText"/>
        <w:spacing w:before="1"/>
        <w:ind w:left="2821" w:right="2247"/>
        <w:jc w:val="center"/>
      </w:pPr>
      <w:r>
        <w:rPr/>
        <w:t>Yüksek Lisans Tezi, Fizik Tedavi ve Rehabilitasyon AD Tez Yöneticisi: Doç. Dr. Filiz ALTUĞ</w:t>
      </w:r>
    </w:p>
    <w:p>
      <w:pPr>
        <w:pStyle w:val="BodyText"/>
        <w:spacing w:before="11"/>
        <w:rPr>
          <w:sz w:val="21"/>
        </w:rPr>
      </w:pPr>
    </w:p>
    <w:p>
      <w:pPr>
        <w:pStyle w:val="BodyText"/>
        <w:ind w:left="1550" w:right="975"/>
        <w:jc w:val="center"/>
      </w:pPr>
      <w:r>
        <w:rPr/>
        <w:t>Ağustos 2019, 44 sayfa</w:t>
      </w:r>
    </w:p>
    <w:p>
      <w:pPr>
        <w:pStyle w:val="BodyText"/>
      </w:pPr>
    </w:p>
    <w:p>
      <w:pPr>
        <w:pStyle w:val="BodyText"/>
        <w:ind w:left="1248" w:right="675" w:firstLine="708"/>
        <w:jc w:val="both"/>
      </w:pPr>
      <w:r>
        <w:rPr/>
        <w:t>Bu çalışma, yatarak tedavi gören nörolojik problemli hastalarda görülebilecek bası yarası risk faktörlerini analiz etmek amacıyla planlanmıştır.</w:t>
      </w:r>
    </w:p>
    <w:p>
      <w:pPr>
        <w:pStyle w:val="BodyText"/>
        <w:ind w:left="1248" w:right="671" w:firstLine="708"/>
        <w:jc w:val="both"/>
      </w:pPr>
      <w:r>
        <w:rPr/>
        <w:t>Çalışmaya dekübit ülseri gözlenmeyen 59(%42.1) kadın, 81(%57.9) erkek toplam 140 olgu dahil edilmiştir. Olguların demografik ve klinik bilgileri sorgulanmıştır. Olguların bilinç durumları Glasgow Koma Skalası, kognitif fonksiyonları Hodkinson Mental Testi, aktivite düzeyleri Barthel Günlük Yaşam Aktiviteleri İndeksi ve dekübit ülseri oluşma riski Norton Skalası ile değerlendirilmiştir.</w:t>
      </w:r>
    </w:p>
    <w:p>
      <w:pPr>
        <w:pStyle w:val="BodyText"/>
        <w:ind w:left="1248" w:right="669" w:firstLine="708"/>
        <w:jc w:val="both"/>
      </w:pPr>
      <w:r>
        <w:rPr/>
        <w:t>Çalışmaya dahil edilen olguların yaş ortalamaları 51.25±11.81 yıldır. Olguların hastanede kalma süreleri ortalama 13.27±9.47 gündür. Bası yarası açısından Norton Risk Skalasına göre olguların %37.9’unun (n=53) orta, %30.7’sinin (n=43) çok yüksek,</w:t>
      </w:r>
    </w:p>
    <w:p>
      <w:pPr>
        <w:pStyle w:val="BodyText"/>
        <w:spacing w:before="1"/>
        <w:ind w:left="1248" w:right="669"/>
        <w:jc w:val="both"/>
      </w:pPr>
      <w:r>
        <w:rPr/>
        <w:t>%22.1’inin (n=31) yüksek ve %9.7’sinin (n=13) düşük risk altında olduğu görülmüştür. Norton Bası Yarası Risk puanı ile hastanede kalış süresi (p=0.000, r=-0.296), serum hemoglobin düzeyi (p=0.001, r=0.278), Glaskow Koma Skoru (p=0.000, r=0.733), Hodkinson mental test (p=0.000, r=0.689) ve Barthel günlük yaşam aktivitesi (p=0.000, r=0.753) arasında istatistiksel olarak anlamlı bir ilişki bulunmuştur.</w:t>
      </w:r>
    </w:p>
    <w:p>
      <w:pPr>
        <w:pStyle w:val="BodyText"/>
        <w:ind w:left="1248" w:right="669" w:firstLine="708"/>
        <w:jc w:val="both"/>
      </w:pPr>
      <w:r>
        <w:rPr/>
        <w:t>Ayrıca yüksek ateş varlığının (p=0.039), inkontinans varlığının (p=0.000), havalı yatak kullanılmamasının (p=0.000) ve kas tonusunda değişiklikliğin olmasının (p=0.000) bası yarası oluşma riskini arttırdığı</w:t>
      </w:r>
      <w:r>
        <w:rPr>
          <w:spacing w:val="-16"/>
        </w:rPr>
        <w:t> </w:t>
      </w:r>
      <w:r>
        <w:rPr/>
        <w:t>bulunmuştur.</w:t>
      </w:r>
    </w:p>
    <w:p>
      <w:pPr>
        <w:pStyle w:val="BodyText"/>
        <w:ind w:left="1248" w:right="670" w:firstLine="708"/>
        <w:jc w:val="both"/>
      </w:pPr>
      <w:r>
        <w:rPr/>
        <w:t>Bu çalışmadan elde ettiğimiz sonuçlara göre bilinç durumu ve ruhsal durumları kötü olan, serum hemoglobin düzeyleri düşük ve hastanede daha uzun süre kalan hastalar bası yarası oluşması bakımından risk altındadır.</w:t>
      </w:r>
    </w:p>
    <w:p>
      <w:pPr>
        <w:pStyle w:val="BodyText"/>
        <w:spacing w:before="7"/>
        <w:rPr>
          <w:sz w:val="35"/>
        </w:rPr>
      </w:pPr>
    </w:p>
    <w:p>
      <w:pPr>
        <w:spacing w:before="0"/>
        <w:ind w:left="1248" w:right="0" w:firstLine="0"/>
        <w:jc w:val="both"/>
        <w:rPr>
          <w:sz w:val="22"/>
        </w:rPr>
      </w:pPr>
      <w:r>
        <w:rPr>
          <w:b/>
          <w:sz w:val="22"/>
        </w:rPr>
        <w:t>Anahtar kelimeler: </w:t>
      </w:r>
      <w:r>
        <w:rPr>
          <w:sz w:val="22"/>
        </w:rPr>
        <w:t>Bası yarası; Barthel indeksi; Norton skalası</w:t>
      </w:r>
    </w:p>
    <w:p>
      <w:pPr>
        <w:spacing w:after="0"/>
        <w:jc w:val="both"/>
        <w:rPr>
          <w:sz w:val="22"/>
        </w:rPr>
        <w:sectPr>
          <w:headerReference w:type="default" r:id="rId9"/>
          <w:pgSz w:w="11910" w:h="16840"/>
          <w:pgMar w:header="749" w:footer="0" w:top="960" w:bottom="280" w:left="1020" w:right="460"/>
          <w:pgNumType w:start="1"/>
        </w:sectPr>
      </w:pPr>
    </w:p>
    <w:p>
      <w:pPr>
        <w:pStyle w:val="BodyText"/>
        <w:rPr>
          <w:sz w:val="20"/>
        </w:rPr>
      </w:pPr>
    </w:p>
    <w:p>
      <w:pPr>
        <w:pStyle w:val="BodyText"/>
        <w:rPr>
          <w:sz w:val="20"/>
        </w:rPr>
      </w:pPr>
    </w:p>
    <w:p>
      <w:pPr>
        <w:pStyle w:val="BodyText"/>
        <w:rPr>
          <w:sz w:val="20"/>
        </w:rPr>
      </w:pPr>
    </w:p>
    <w:p>
      <w:pPr>
        <w:pStyle w:val="BodyText"/>
        <w:spacing w:before="1"/>
        <w:rPr>
          <w:sz w:val="18"/>
        </w:rPr>
      </w:pPr>
    </w:p>
    <w:p>
      <w:pPr>
        <w:pStyle w:val="Heading1"/>
        <w:spacing w:before="93"/>
        <w:ind w:left="1549" w:right="977"/>
        <w:jc w:val="center"/>
      </w:pPr>
      <w:bookmarkStart w:name="_bookmark1" w:id="2"/>
      <w:bookmarkEnd w:id="2"/>
      <w:r>
        <w:rPr>
          <w:b w:val="0"/>
        </w:rPr>
      </w:r>
      <w:r>
        <w:rPr/>
        <w:t>ABSTRACT</w:t>
      </w:r>
    </w:p>
    <w:p>
      <w:pPr>
        <w:pStyle w:val="BodyText"/>
        <w:rPr>
          <w:b/>
          <w:sz w:val="24"/>
        </w:rPr>
      </w:pPr>
    </w:p>
    <w:p>
      <w:pPr>
        <w:pStyle w:val="BodyText"/>
        <w:rPr>
          <w:b/>
          <w:sz w:val="20"/>
        </w:rPr>
      </w:pPr>
    </w:p>
    <w:p>
      <w:pPr>
        <w:spacing w:before="0"/>
        <w:ind w:left="1550" w:right="977" w:firstLine="0"/>
        <w:jc w:val="center"/>
        <w:rPr>
          <w:b/>
          <w:sz w:val="22"/>
        </w:rPr>
      </w:pPr>
      <w:r>
        <w:rPr>
          <w:b/>
          <w:sz w:val="22"/>
        </w:rPr>
        <w:t>PRESSURE ULCER RISK ANALYSIS ON HOSPITALIZED PATIENTS DUE TO NEUROLOGICAL DISEASES</w:t>
      </w:r>
    </w:p>
    <w:p>
      <w:pPr>
        <w:pStyle w:val="BodyText"/>
        <w:spacing w:before="4"/>
        <w:rPr>
          <w:b/>
        </w:rPr>
      </w:pPr>
    </w:p>
    <w:p>
      <w:pPr>
        <w:pStyle w:val="BodyText"/>
        <w:spacing w:line="252" w:lineRule="exact"/>
        <w:ind w:left="1550" w:right="976"/>
        <w:jc w:val="center"/>
      </w:pPr>
      <w:r>
        <w:rPr/>
        <w:t>NABHAN, Tarek</w:t>
      </w:r>
    </w:p>
    <w:p>
      <w:pPr>
        <w:pStyle w:val="BodyText"/>
        <w:ind w:left="2821" w:right="2245"/>
        <w:jc w:val="center"/>
      </w:pPr>
      <w:r>
        <w:rPr/>
        <w:t>M.Sc. Thesis in Physical Therapy and Rehabilitation Supervisor: Assoc. Prof. Filiz ALTUG</w:t>
      </w:r>
    </w:p>
    <w:p>
      <w:pPr>
        <w:pStyle w:val="BodyText"/>
        <w:spacing w:before="10"/>
        <w:rPr>
          <w:sz w:val="21"/>
        </w:rPr>
      </w:pPr>
    </w:p>
    <w:p>
      <w:pPr>
        <w:pStyle w:val="BodyText"/>
        <w:spacing w:before="1"/>
        <w:ind w:left="1550" w:right="973"/>
        <w:jc w:val="center"/>
      </w:pPr>
      <w:r>
        <w:rPr/>
        <w:t>August 2019, 44 pages</w:t>
      </w:r>
    </w:p>
    <w:p>
      <w:pPr>
        <w:pStyle w:val="BodyText"/>
      </w:pPr>
    </w:p>
    <w:p>
      <w:pPr>
        <w:pStyle w:val="BodyText"/>
        <w:ind w:left="1248" w:right="672" w:firstLine="708"/>
        <w:jc w:val="both"/>
      </w:pPr>
      <w:r>
        <w:rPr/>
        <w:t>This study was planned to analyze the pressure ulcer risk factors can be seen  in hospitalized patients with neurological</w:t>
      </w:r>
      <w:r>
        <w:rPr>
          <w:spacing w:val="-2"/>
        </w:rPr>
        <w:t> </w:t>
      </w:r>
      <w:r>
        <w:rPr/>
        <w:t>problems.</w:t>
      </w:r>
    </w:p>
    <w:p>
      <w:pPr>
        <w:pStyle w:val="BodyText"/>
        <w:spacing w:before="1"/>
        <w:ind w:left="1248" w:right="669" w:firstLine="708"/>
        <w:jc w:val="both"/>
      </w:pPr>
      <w:r>
        <w:rPr/>
        <w:t>In this study, 59(%42.1) female, 81(%57.9) male, total 140 subjects without pressure ulcer were included in this study. Demographic and clinical information of subjects were noted. Glasgow Coma Scale for states of consciousness, Hodkinson Mental Test for cognitive functions, Barthel Index for daily living activities and Norton Scale for risk of pressure ulcer was used for evaluate subjects.</w:t>
      </w:r>
    </w:p>
    <w:p>
      <w:pPr>
        <w:pStyle w:val="BodyText"/>
        <w:ind w:left="1248" w:right="668" w:firstLine="708"/>
        <w:jc w:val="both"/>
      </w:pPr>
      <w:r>
        <w:rPr/>
        <w:t>The mean age of subjects was 51.25±11.81 was years. The mean length of  stay in hospital was 13.27±9.47 days. According to Norton Scale 37.9% (n=53) of subjects were at medium risk, 30.7% (n=43) were at very high risk, 22.1% (n=31) were at high risk and 9.7% (n=13) at low risk in terms of developing pressure ulcer. There were statistically significant correlations between Norton Scale score and the length of stay in hospital (p=0.000, r=-0.296), serum hemoglobin level (p=0.001, r=0.278), Glasgow Coma Scale score (p=0.000, r=0.733), Hodkinson mental test (p=0.000, r=0.689) and Barthel index (p=0.000,</w:t>
      </w:r>
      <w:r>
        <w:rPr>
          <w:spacing w:val="-4"/>
        </w:rPr>
        <w:t> </w:t>
      </w:r>
      <w:r>
        <w:rPr/>
        <w:t>r=0.753).</w:t>
      </w:r>
    </w:p>
    <w:p>
      <w:pPr>
        <w:pStyle w:val="BodyText"/>
        <w:ind w:left="1248" w:right="668" w:firstLine="708"/>
        <w:jc w:val="both"/>
      </w:pPr>
      <w:r>
        <w:rPr/>
        <w:t>Additionally, high body temperature (p=0.039), incontinence (p=0.000), not using pressure air mattress (p=0.000) and change in muscle tone (p=0.000) were  found to increase the</w:t>
      </w:r>
      <w:r>
        <w:rPr>
          <w:spacing w:val="-7"/>
        </w:rPr>
        <w:t> </w:t>
      </w:r>
      <w:r>
        <w:rPr/>
        <w:t>risk.</w:t>
      </w:r>
    </w:p>
    <w:p>
      <w:pPr>
        <w:pStyle w:val="BodyText"/>
        <w:ind w:left="1248" w:right="668" w:firstLine="708"/>
        <w:jc w:val="both"/>
      </w:pPr>
      <w:r>
        <w:rPr/>
        <w:t>According to the results of this study, patients with poor consciousness and mental status, low serum hemoglobin levels and longer stay in hospital are at risk for pressure sores.</w:t>
      </w:r>
    </w:p>
    <w:p>
      <w:pPr>
        <w:pStyle w:val="BodyText"/>
        <w:rPr>
          <w:sz w:val="24"/>
        </w:rPr>
      </w:pPr>
    </w:p>
    <w:p>
      <w:pPr>
        <w:pStyle w:val="BodyText"/>
        <w:spacing w:before="8"/>
        <w:rPr>
          <w:sz w:val="19"/>
        </w:rPr>
      </w:pPr>
    </w:p>
    <w:p>
      <w:pPr>
        <w:pStyle w:val="BodyText"/>
        <w:ind w:left="1248"/>
      </w:pPr>
      <w:r>
        <w:rPr>
          <w:b/>
        </w:rPr>
        <w:t>Keywords: </w:t>
      </w:r>
      <w:r>
        <w:rPr/>
        <w:t>Pressure ulcer; Barthel index; Norton scale.</w:t>
      </w:r>
    </w:p>
    <w:p>
      <w:pPr>
        <w:spacing w:after="0"/>
        <w:sectPr>
          <w:pgSz w:w="11910" w:h="16840"/>
          <w:pgMar w:header="749" w:footer="0" w:top="960" w:bottom="280" w:left="1020" w:right="460"/>
        </w:sectPr>
      </w:pPr>
    </w:p>
    <w:p>
      <w:pPr>
        <w:pStyle w:val="BodyText"/>
        <w:rPr>
          <w:sz w:val="20"/>
        </w:rPr>
      </w:pPr>
    </w:p>
    <w:p>
      <w:pPr>
        <w:pStyle w:val="BodyText"/>
        <w:rPr>
          <w:sz w:val="20"/>
        </w:rPr>
      </w:pPr>
    </w:p>
    <w:p>
      <w:pPr>
        <w:pStyle w:val="BodyText"/>
        <w:rPr>
          <w:sz w:val="20"/>
        </w:rPr>
      </w:pPr>
    </w:p>
    <w:p>
      <w:pPr>
        <w:pStyle w:val="Heading1"/>
        <w:spacing w:before="210"/>
        <w:ind w:left="1548" w:right="977"/>
        <w:jc w:val="center"/>
      </w:pPr>
      <w:bookmarkStart w:name="_bookmark2" w:id="3"/>
      <w:bookmarkEnd w:id="3"/>
      <w:r>
        <w:rPr>
          <w:b w:val="0"/>
        </w:rPr>
      </w:r>
      <w:r>
        <w:rPr/>
        <w:t>TEŞEKKÜR</w:t>
      </w:r>
    </w:p>
    <w:p>
      <w:pPr>
        <w:pStyle w:val="BodyText"/>
        <w:rPr>
          <w:b/>
          <w:sz w:val="24"/>
        </w:rPr>
      </w:pPr>
    </w:p>
    <w:p>
      <w:pPr>
        <w:pStyle w:val="BodyText"/>
        <w:spacing w:before="4"/>
        <w:rPr>
          <w:b/>
          <w:sz w:val="34"/>
        </w:rPr>
      </w:pPr>
    </w:p>
    <w:p>
      <w:pPr>
        <w:pStyle w:val="BodyText"/>
        <w:spacing w:line="360" w:lineRule="auto"/>
        <w:ind w:left="1248" w:right="668" w:firstLine="720"/>
        <w:jc w:val="both"/>
      </w:pPr>
      <w:r>
        <w:rPr/>
        <w:t>Yüksek lisans öğrenimim ve tez çalışmam süresince tecrübelerinden yararlandığım başta tez danışman hocam Doç. Dr. Filiz ALTUĞ’a,</w:t>
      </w:r>
    </w:p>
    <w:p>
      <w:pPr>
        <w:pStyle w:val="BodyText"/>
        <w:spacing w:line="360" w:lineRule="auto"/>
        <w:ind w:left="1248" w:right="674" w:firstLine="720"/>
        <w:jc w:val="both"/>
      </w:pPr>
      <w:r>
        <w:rPr/>
        <w:t>Tez çalışmam sürecinde yardımlarını esirgemeyen ve kritik yorumlarını paylaşan değerli hocam Prof. Dr. Uğur</w:t>
      </w:r>
      <w:r>
        <w:rPr>
          <w:spacing w:val="-2"/>
        </w:rPr>
        <w:t> </w:t>
      </w:r>
      <w:r>
        <w:rPr/>
        <w:t>CAVLAK'a</w:t>
      </w:r>
    </w:p>
    <w:p>
      <w:pPr>
        <w:pStyle w:val="BodyText"/>
        <w:spacing w:line="360" w:lineRule="auto"/>
        <w:ind w:left="1248" w:right="669" w:firstLine="720"/>
        <w:jc w:val="both"/>
      </w:pPr>
      <w:r>
        <w:rPr/>
        <w:t>Bu tez çalışmamda materyallerini kullandığım aynı zamanda her türlü destek ve yardımı ile tezimin oluşmasına katkı sağlayan Dr. Fzt. Ayşe ÜNAL’a ve Uzm. Fzt. Gülsüm TIKAÇ’a</w:t>
      </w:r>
    </w:p>
    <w:p>
      <w:pPr>
        <w:pStyle w:val="BodyText"/>
        <w:spacing w:line="362" w:lineRule="auto"/>
        <w:ind w:left="1248" w:right="674" w:firstLine="720"/>
        <w:jc w:val="both"/>
      </w:pPr>
      <w:r>
        <w:rPr/>
        <w:t>Ve beni bugünlere getiren, tüm hayatım boyunca her koşulda yanımda olan canım aileme ve dostlarıma teşekkürlerimi sunarım.</w:t>
      </w:r>
    </w:p>
    <w:p>
      <w:pPr>
        <w:spacing w:after="0" w:line="362" w:lineRule="auto"/>
        <w:jc w:val="both"/>
        <w:sectPr>
          <w:headerReference w:type="default" r:id="rId10"/>
          <w:pgSz w:w="11910" w:h="16840"/>
          <w:pgMar w:header="749" w:footer="0" w:top="960" w:bottom="280" w:left="1020" w:right="460"/>
          <w:pgNumType w:start="3"/>
        </w:sectPr>
      </w:pPr>
    </w:p>
    <w:p>
      <w:pPr>
        <w:pStyle w:val="BodyText"/>
        <w:rPr>
          <w:sz w:val="20"/>
        </w:rPr>
      </w:pPr>
    </w:p>
    <w:p>
      <w:pPr>
        <w:pStyle w:val="BodyText"/>
        <w:spacing w:before="2"/>
        <w:rPr>
          <w:sz w:val="19"/>
        </w:rPr>
      </w:pPr>
    </w:p>
    <w:p>
      <w:pPr>
        <w:pStyle w:val="Heading1"/>
        <w:ind w:left="1550" w:right="267"/>
        <w:jc w:val="center"/>
      </w:pPr>
      <w:bookmarkStart w:name="_bookmark3" w:id="4"/>
      <w:bookmarkEnd w:id="4"/>
      <w:r>
        <w:rPr>
          <w:b w:val="0"/>
        </w:rPr>
      </w:r>
      <w:r>
        <w:rPr/>
        <w:t>İÇİNDEKİLER</w:t>
      </w:r>
    </w:p>
    <w:p>
      <w:pPr>
        <w:spacing w:before="127"/>
        <w:ind w:left="0" w:right="673" w:firstLine="0"/>
        <w:jc w:val="right"/>
        <w:rPr>
          <w:b/>
          <w:sz w:val="22"/>
        </w:rPr>
      </w:pPr>
      <w:r>
        <w:rPr>
          <w:b/>
          <w:spacing w:val="-2"/>
          <w:sz w:val="22"/>
        </w:rPr>
        <w:t>Sayfa</w:t>
      </w:r>
    </w:p>
    <w:p>
      <w:pPr>
        <w:spacing w:after="0"/>
        <w:jc w:val="right"/>
        <w:rPr>
          <w:sz w:val="22"/>
        </w:rPr>
        <w:sectPr>
          <w:pgSz w:w="11910" w:h="16840"/>
          <w:pgMar w:header="749" w:footer="0" w:top="960" w:bottom="1501" w:left="1020" w:right="460"/>
        </w:sectPr>
      </w:pPr>
    </w:p>
    <w:sdt>
      <w:sdtPr>
        <w:docPartObj>
          <w:docPartGallery w:val="Table of Contents"/>
          <w:docPartUnique/>
        </w:docPartObj>
      </w:sdtPr>
      <w:sdtEndPr/>
      <w:sdtContent>
        <w:p>
          <w:pPr>
            <w:pStyle w:val="TOC3"/>
            <w:tabs>
              <w:tab w:pos="9683" w:val="left" w:leader="dot"/>
            </w:tabs>
            <w:spacing w:before="182"/>
          </w:pPr>
          <w:hyperlink w:history="true" w:anchor="_bookmark0">
            <w:r>
              <w:rPr/>
              <w:t>ÖZET</w:t>
              <w:tab/>
              <w:t>i</w:t>
            </w:r>
          </w:hyperlink>
        </w:p>
        <w:p>
          <w:pPr>
            <w:pStyle w:val="TOC3"/>
            <w:tabs>
              <w:tab w:pos="9621" w:val="left" w:leader="dot"/>
            </w:tabs>
          </w:pPr>
          <w:hyperlink w:history="true" w:anchor="_bookmark1">
            <w:r>
              <w:rPr/>
              <w:t>ABSTRACT</w:t>
              <w:tab/>
              <w:t>ii</w:t>
            </w:r>
          </w:hyperlink>
        </w:p>
        <w:p>
          <w:pPr>
            <w:pStyle w:val="TOC3"/>
            <w:tabs>
              <w:tab w:pos="9561" w:val="left" w:leader="dot"/>
            </w:tabs>
          </w:pPr>
          <w:hyperlink w:history="true" w:anchor="_bookmark2">
            <w:r>
              <w:rPr/>
              <w:t>TEŞEKKÜR</w:t>
              <w:tab/>
              <w:t>iii</w:t>
            </w:r>
          </w:hyperlink>
        </w:p>
        <w:p>
          <w:pPr>
            <w:pStyle w:val="TOC3"/>
            <w:tabs>
              <w:tab w:pos="9561" w:val="left" w:leader="dot"/>
            </w:tabs>
          </w:pPr>
          <w:hyperlink w:history="true" w:anchor="_bookmark3">
            <w:r>
              <w:rPr/>
              <w:t>İÇİNDEKİLER</w:t>
              <w:tab/>
              <w:t>iv</w:t>
            </w:r>
          </w:hyperlink>
        </w:p>
        <w:p>
          <w:pPr>
            <w:pStyle w:val="TOC3"/>
            <w:tabs>
              <w:tab w:pos="9561" w:val="left" w:leader="dot"/>
            </w:tabs>
          </w:pPr>
          <w:hyperlink w:history="true" w:anchor="_bookmark4">
            <w:r>
              <w:rPr/>
              <w:t>ŞEKİLLER</w:t>
            </w:r>
            <w:r>
              <w:rPr>
                <w:spacing w:val="-1"/>
              </w:rPr>
              <w:t> </w:t>
            </w:r>
            <w:r>
              <w:rPr/>
              <w:t>DİZİNİ</w:t>
              <w:tab/>
            </w:r>
            <w:r>
              <w:rPr>
                <w:spacing w:val="-3"/>
              </w:rPr>
              <w:t>vi</w:t>
            </w:r>
          </w:hyperlink>
        </w:p>
        <w:p>
          <w:pPr>
            <w:pStyle w:val="TOC3"/>
            <w:tabs>
              <w:tab w:pos="9499" w:val="left" w:leader="dot"/>
            </w:tabs>
            <w:spacing w:before="127"/>
          </w:pPr>
          <w:hyperlink w:history="true" w:anchor="_bookmark5">
            <w:r>
              <w:rPr/>
              <w:t>TABLOLAR</w:t>
            </w:r>
            <w:r>
              <w:rPr>
                <w:spacing w:val="-2"/>
              </w:rPr>
              <w:t> </w:t>
            </w:r>
            <w:r>
              <w:rPr/>
              <w:t>DİZİNİ</w:t>
              <w:tab/>
              <w:t>vii</w:t>
            </w:r>
          </w:hyperlink>
        </w:p>
        <w:p>
          <w:pPr>
            <w:pStyle w:val="TOC3"/>
            <w:tabs>
              <w:tab w:pos="9439" w:val="left" w:leader="dot"/>
            </w:tabs>
            <w:spacing w:before="128"/>
          </w:pPr>
          <w:hyperlink w:history="true" w:anchor="_bookmark6">
            <w:r>
              <w:rPr/>
              <w:t>SİMGELER VE</w:t>
            </w:r>
            <w:r>
              <w:rPr>
                <w:spacing w:val="-5"/>
              </w:rPr>
              <w:t> </w:t>
            </w:r>
            <w:r>
              <w:rPr/>
              <w:t>KISALTMALAR</w:t>
            </w:r>
            <w:r>
              <w:rPr>
                <w:spacing w:val="-2"/>
              </w:rPr>
              <w:t> </w:t>
            </w:r>
            <w:r>
              <w:rPr/>
              <w:t>DİZİNİ</w:t>
              <w:tab/>
              <w:t>viii</w:t>
            </w:r>
          </w:hyperlink>
        </w:p>
        <w:p>
          <w:pPr>
            <w:pStyle w:val="TOC3"/>
            <w:numPr>
              <w:ilvl w:val="0"/>
              <w:numId w:val="1"/>
            </w:numPr>
            <w:tabs>
              <w:tab w:pos="1494" w:val="left" w:leader="none"/>
              <w:tab w:pos="9621" w:val="left" w:leader="dot"/>
            </w:tabs>
            <w:spacing w:line="240" w:lineRule="auto" w:before="576" w:after="0"/>
            <w:ind w:left="1493" w:right="0" w:hanging="246"/>
            <w:jc w:val="left"/>
          </w:pPr>
          <w:hyperlink w:history="true" w:anchor="_bookmark7">
            <w:r>
              <w:rPr/>
              <w:t>GİRİŞ</w:t>
              <w:tab/>
              <w:t>1</w:t>
            </w:r>
          </w:hyperlink>
        </w:p>
        <w:p>
          <w:pPr>
            <w:pStyle w:val="TOC4"/>
            <w:numPr>
              <w:ilvl w:val="1"/>
              <w:numId w:val="1"/>
            </w:numPr>
            <w:tabs>
              <w:tab w:pos="1618" w:val="left" w:leader="none"/>
              <w:tab w:pos="9621" w:val="left" w:leader="dot"/>
            </w:tabs>
            <w:spacing w:line="240" w:lineRule="auto" w:before="128" w:after="0"/>
            <w:ind w:left="1617" w:right="0" w:hanging="370"/>
            <w:jc w:val="left"/>
          </w:pPr>
          <w:hyperlink w:history="true" w:anchor="_bookmark8">
            <w:r>
              <w:rPr/>
              <w:t>Amaç</w:t>
              <w:tab/>
              <w:t>3</w:t>
            </w:r>
          </w:hyperlink>
        </w:p>
        <w:p>
          <w:pPr>
            <w:pStyle w:val="TOC3"/>
            <w:numPr>
              <w:ilvl w:val="0"/>
              <w:numId w:val="1"/>
            </w:numPr>
            <w:tabs>
              <w:tab w:pos="1496" w:val="left" w:leader="none"/>
              <w:tab w:pos="9621" w:val="left" w:leader="dot"/>
            </w:tabs>
            <w:spacing w:line="240" w:lineRule="auto" w:before="124" w:after="0"/>
            <w:ind w:left="1495" w:right="0" w:hanging="248"/>
            <w:jc w:val="left"/>
          </w:pPr>
          <w:hyperlink w:history="true" w:anchor="_bookmark9">
            <w:r>
              <w:rPr/>
              <w:t>KURAMSAL BİLGİLER VE</w:t>
            </w:r>
            <w:r>
              <w:rPr>
                <w:spacing w:val="-11"/>
              </w:rPr>
              <w:t> </w:t>
            </w:r>
            <w:r>
              <w:rPr/>
              <w:t>LİTERATÜR</w:t>
            </w:r>
            <w:r>
              <w:rPr>
                <w:spacing w:val="-4"/>
              </w:rPr>
              <w:t> </w:t>
            </w:r>
            <w:r>
              <w:rPr/>
              <w:t>TARAMASI</w:t>
              <w:tab/>
              <w:t>4</w:t>
            </w:r>
          </w:hyperlink>
        </w:p>
        <w:p>
          <w:pPr>
            <w:pStyle w:val="TOC4"/>
            <w:numPr>
              <w:ilvl w:val="1"/>
              <w:numId w:val="1"/>
            </w:numPr>
            <w:tabs>
              <w:tab w:pos="1618" w:val="left" w:leader="none"/>
              <w:tab w:pos="9621" w:val="left" w:leader="dot"/>
            </w:tabs>
            <w:spacing w:line="240" w:lineRule="auto" w:before="129" w:after="0"/>
            <w:ind w:left="1617" w:right="0" w:hanging="370"/>
            <w:jc w:val="left"/>
          </w:pPr>
          <w:hyperlink w:history="true" w:anchor="_bookmark10">
            <w:r>
              <w:rPr/>
              <w:t>Bası</w:t>
            </w:r>
            <w:r>
              <w:rPr>
                <w:spacing w:val="-7"/>
              </w:rPr>
              <w:t> </w:t>
            </w:r>
            <w:r>
              <w:rPr/>
              <w:t>Yarasının</w:t>
            </w:r>
            <w:r>
              <w:rPr>
                <w:spacing w:val="-2"/>
              </w:rPr>
              <w:t> </w:t>
            </w:r>
            <w:r>
              <w:rPr/>
              <w:t>Tanımı</w:t>
              <w:tab/>
              <w:t>4</w:t>
            </w:r>
          </w:hyperlink>
        </w:p>
        <w:p>
          <w:pPr>
            <w:pStyle w:val="TOC2"/>
            <w:numPr>
              <w:ilvl w:val="1"/>
              <w:numId w:val="1"/>
            </w:numPr>
            <w:tabs>
              <w:tab w:pos="1618" w:val="left" w:leader="none"/>
              <w:tab w:pos="8373" w:val="left" w:leader="dot"/>
            </w:tabs>
            <w:spacing w:line="240" w:lineRule="auto" w:before="129" w:after="0"/>
            <w:ind w:left="1617" w:right="680" w:hanging="1618"/>
            <w:jc w:val="right"/>
          </w:pPr>
          <w:hyperlink w:history="true" w:anchor="_bookmark11">
            <w:r>
              <w:rPr/>
              <w:t>Bası</w:t>
            </w:r>
            <w:r>
              <w:rPr>
                <w:spacing w:val="-7"/>
              </w:rPr>
              <w:t> </w:t>
            </w:r>
            <w:r>
              <w:rPr/>
              <w:t>Yarasının</w:t>
            </w:r>
            <w:r>
              <w:rPr>
                <w:spacing w:val="-2"/>
              </w:rPr>
              <w:t> </w:t>
            </w:r>
            <w:r>
              <w:rPr/>
              <w:t>Prevelansı</w:t>
              <w:tab/>
            </w:r>
            <w:r>
              <w:rPr>
                <w:spacing w:val="-1"/>
              </w:rPr>
              <w:t>4</w:t>
            </w:r>
          </w:hyperlink>
        </w:p>
        <w:p>
          <w:pPr>
            <w:pStyle w:val="TOC2"/>
            <w:numPr>
              <w:ilvl w:val="1"/>
              <w:numId w:val="1"/>
            </w:numPr>
            <w:tabs>
              <w:tab w:pos="1618" w:val="left" w:leader="none"/>
              <w:tab w:pos="8373" w:val="left" w:leader="dot"/>
            </w:tabs>
            <w:spacing w:line="240" w:lineRule="auto" w:before="126" w:after="0"/>
            <w:ind w:left="1617" w:right="680" w:hanging="1618"/>
            <w:jc w:val="right"/>
          </w:pPr>
          <w:hyperlink w:history="true" w:anchor="_bookmark12">
            <w:r>
              <w:rPr/>
              <w:t>Bası</w:t>
            </w:r>
            <w:r>
              <w:rPr>
                <w:spacing w:val="-8"/>
              </w:rPr>
              <w:t> </w:t>
            </w:r>
            <w:r>
              <w:rPr/>
              <w:t>Yarasının</w:t>
            </w:r>
            <w:r>
              <w:rPr>
                <w:spacing w:val="-3"/>
              </w:rPr>
              <w:t> </w:t>
            </w:r>
            <w:r>
              <w:rPr/>
              <w:t>Etyolojisi</w:t>
              <w:tab/>
            </w:r>
            <w:r>
              <w:rPr>
                <w:spacing w:val="-1"/>
              </w:rPr>
              <w:t>5</w:t>
            </w:r>
          </w:hyperlink>
        </w:p>
        <w:p>
          <w:pPr>
            <w:pStyle w:val="TOC2"/>
            <w:numPr>
              <w:ilvl w:val="1"/>
              <w:numId w:val="1"/>
            </w:numPr>
            <w:tabs>
              <w:tab w:pos="1618" w:val="left" w:leader="none"/>
              <w:tab w:pos="8373" w:val="left" w:leader="dot"/>
            </w:tabs>
            <w:spacing w:line="240" w:lineRule="auto" w:before="126" w:after="0"/>
            <w:ind w:left="1617" w:right="680" w:hanging="1618"/>
            <w:jc w:val="right"/>
          </w:pPr>
          <w:hyperlink w:history="true" w:anchor="_bookmark13">
            <w:r>
              <w:rPr/>
              <w:t>Bası Yarası Oluşumunu Etkileyen</w:t>
            </w:r>
            <w:r>
              <w:rPr>
                <w:spacing w:val="-21"/>
              </w:rPr>
              <w:t> </w:t>
            </w:r>
            <w:r>
              <w:rPr/>
              <w:t>Risk Faktörleri</w:t>
              <w:tab/>
            </w:r>
            <w:r>
              <w:rPr>
                <w:spacing w:val="-1"/>
              </w:rPr>
              <w:t>6</w:t>
            </w:r>
          </w:hyperlink>
        </w:p>
        <w:p>
          <w:pPr>
            <w:pStyle w:val="TOC2"/>
            <w:numPr>
              <w:ilvl w:val="2"/>
              <w:numId w:val="1"/>
            </w:numPr>
            <w:tabs>
              <w:tab w:pos="552" w:val="left" w:leader="none"/>
              <w:tab w:pos="7933" w:val="left" w:leader="dot"/>
            </w:tabs>
            <w:spacing w:line="240" w:lineRule="auto" w:before="126" w:after="0"/>
            <w:ind w:left="2239" w:right="680" w:hanging="2240"/>
            <w:jc w:val="right"/>
          </w:pPr>
          <w:hyperlink w:history="true" w:anchor="_bookmark14">
            <w:r>
              <w:rPr>
                <w:spacing w:val="-2"/>
              </w:rPr>
              <w:t>Dış </w:t>
            </w:r>
            <w:r>
              <w:rPr/>
              <w:t>/ Primer</w:t>
            </w:r>
            <w:r>
              <w:rPr>
                <w:spacing w:val="-1"/>
              </w:rPr>
              <w:t> </w:t>
            </w:r>
            <w:r>
              <w:rPr/>
              <w:t>etkenler</w:t>
              <w:tab/>
            </w:r>
            <w:r>
              <w:rPr>
                <w:spacing w:val="-1"/>
              </w:rPr>
              <w:t>7</w:t>
            </w:r>
          </w:hyperlink>
        </w:p>
        <w:p>
          <w:pPr>
            <w:pStyle w:val="TOC2"/>
            <w:numPr>
              <w:ilvl w:val="3"/>
              <w:numId w:val="1"/>
            </w:numPr>
            <w:tabs>
              <w:tab w:pos="736" w:val="left" w:leader="none"/>
              <w:tab w:pos="7713" w:val="left" w:leader="dot"/>
            </w:tabs>
            <w:spacing w:line="240" w:lineRule="auto" w:before="126" w:after="0"/>
            <w:ind w:left="2643" w:right="680" w:hanging="2644"/>
            <w:jc w:val="right"/>
          </w:pPr>
          <w:hyperlink w:history="true" w:anchor="_bookmark15">
            <w:r>
              <w:rPr/>
              <w:t>Basınç</w:t>
              <w:tab/>
              <w:t>7</w:t>
            </w:r>
          </w:hyperlink>
        </w:p>
        <w:p>
          <w:pPr>
            <w:pStyle w:val="TOC5"/>
            <w:numPr>
              <w:ilvl w:val="3"/>
              <w:numId w:val="1"/>
            </w:numPr>
            <w:tabs>
              <w:tab w:pos="2645" w:val="left" w:leader="none"/>
              <w:tab w:pos="9621" w:val="left" w:leader="dot"/>
            </w:tabs>
            <w:spacing w:line="240" w:lineRule="auto" w:before="127" w:after="0"/>
            <w:ind w:left="2644" w:right="0" w:hanging="737"/>
            <w:jc w:val="left"/>
          </w:pPr>
          <w:hyperlink w:history="true" w:anchor="_bookmark16">
            <w:r>
              <w:rPr/>
              <w:t>Makaslama</w:t>
              <w:tab/>
              <w:t>7</w:t>
            </w:r>
          </w:hyperlink>
        </w:p>
        <w:p>
          <w:pPr>
            <w:pStyle w:val="TOC5"/>
            <w:numPr>
              <w:ilvl w:val="3"/>
              <w:numId w:val="1"/>
            </w:numPr>
            <w:tabs>
              <w:tab w:pos="2644" w:val="left" w:leader="none"/>
              <w:tab w:pos="9621" w:val="left" w:leader="dot"/>
            </w:tabs>
            <w:spacing w:line="240" w:lineRule="auto" w:before="126" w:after="0"/>
            <w:ind w:left="2643" w:right="0" w:hanging="736"/>
            <w:jc w:val="left"/>
          </w:pPr>
          <w:hyperlink w:history="true" w:anchor="_bookmark17">
            <w:r>
              <w:rPr/>
              <w:t>Sürtünme</w:t>
            </w:r>
            <w:r>
              <w:rPr>
                <w:spacing w:val="-6"/>
              </w:rPr>
              <w:t> </w:t>
            </w:r>
            <w:r>
              <w:rPr/>
              <w:t>/</w:t>
            </w:r>
            <w:r>
              <w:rPr>
                <w:spacing w:val="-1"/>
              </w:rPr>
              <w:t> </w:t>
            </w:r>
            <w:r>
              <w:rPr/>
              <w:t>Friksiyon</w:t>
              <w:tab/>
              <w:t>8</w:t>
            </w:r>
          </w:hyperlink>
        </w:p>
        <w:p>
          <w:pPr>
            <w:pStyle w:val="TOC5"/>
            <w:numPr>
              <w:ilvl w:val="3"/>
              <w:numId w:val="1"/>
            </w:numPr>
            <w:tabs>
              <w:tab w:pos="2643" w:val="left" w:leader="none"/>
              <w:tab w:pos="9621" w:val="left" w:leader="dot"/>
            </w:tabs>
            <w:spacing w:line="240" w:lineRule="auto" w:before="127" w:after="0"/>
            <w:ind w:left="2642" w:right="0" w:hanging="735"/>
            <w:jc w:val="left"/>
          </w:pPr>
          <w:hyperlink w:history="true" w:anchor="_bookmark18">
            <w:r>
              <w:rPr/>
              <w:t>İmmobilizasyon</w:t>
              <w:tab/>
              <w:t>8</w:t>
            </w:r>
          </w:hyperlink>
        </w:p>
        <w:p>
          <w:pPr>
            <w:pStyle w:val="TOC5"/>
            <w:numPr>
              <w:ilvl w:val="3"/>
              <w:numId w:val="1"/>
            </w:numPr>
            <w:tabs>
              <w:tab w:pos="2643" w:val="left" w:leader="none"/>
              <w:tab w:pos="9621" w:val="left" w:leader="dot"/>
            </w:tabs>
            <w:spacing w:line="240" w:lineRule="auto" w:before="126" w:after="0"/>
            <w:ind w:left="2642" w:right="0" w:hanging="735"/>
            <w:jc w:val="left"/>
          </w:pPr>
          <w:hyperlink w:history="true" w:anchor="_bookmark19">
            <w:r>
              <w:rPr/>
              <w:t>Isı</w:t>
            </w:r>
            <w:r>
              <w:rPr>
                <w:spacing w:val="-5"/>
              </w:rPr>
              <w:t> </w:t>
            </w:r>
            <w:r>
              <w:rPr/>
              <w:t>artışı, Nem</w:t>
              <w:tab/>
              <w:t>9</w:t>
            </w:r>
          </w:hyperlink>
        </w:p>
        <w:p>
          <w:pPr>
            <w:pStyle w:val="TOC2"/>
            <w:numPr>
              <w:ilvl w:val="2"/>
              <w:numId w:val="1"/>
            </w:numPr>
            <w:tabs>
              <w:tab w:pos="552" w:val="left" w:leader="none"/>
              <w:tab w:pos="7933" w:val="left" w:leader="dot"/>
            </w:tabs>
            <w:spacing w:line="240" w:lineRule="auto" w:before="128" w:after="0"/>
            <w:ind w:left="2239" w:right="680" w:hanging="2240"/>
            <w:jc w:val="right"/>
          </w:pPr>
          <w:hyperlink w:history="true" w:anchor="_bookmark20">
            <w:r>
              <w:rPr/>
              <w:t>İç</w:t>
            </w:r>
            <w:r>
              <w:rPr>
                <w:spacing w:val="-2"/>
              </w:rPr>
              <w:t> </w:t>
            </w:r>
            <w:r>
              <w:rPr/>
              <w:t>/Sekonder</w:t>
            </w:r>
            <w:r>
              <w:rPr>
                <w:spacing w:val="-1"/>
              </w:rPr>
              <w:t> </w:t>
            </w:r>
            <w:r>
              <w:rPr/>
              <w:t>etkenler</w:t>
              <w:tab/>
            </w:r>
            <w:r>
              <w:rPr>
                <w:spacing w:val="-1"/>
              </w:rPr>
              <w:t>9</w:t>
            </w:r>
          </w:hyperlink>
        </w:p>
        <w:p>
          <w:pPr>
            <w:pStyle w:val="TOC2"/>
            <w:numPr>
              <w:ilvl w:val="3"/>
              <w:numId w:val="1"/>
            </w:numPr>
            <w:tabs>
              <w:tab w:pos="736" w:val="left" w:leader="none"/>
              <w:tab w:pos="7713" w:val="left" w:leader="dot"/>
            </w:tabs>
            <w:spacing w:line="240" w:lineRule="auto" w:before="127" w:after="0"/>
            <w:ind w:left="2643" w:right="680" w:hanging="2644"/>
            <w:jc w:val="right"/>
          </w:pPr>
          <w:hyperlink w:history="true" w:anchor="_bookmark21">
            <w:r>
              <w:rPr/>
              <w:t>Yaş</w:t>
              <w:tab/>
              <w:t>9</w:t>
            </w:r>
          </w:hyperlink>
        </w:p>
        <w:p>
          <w:pPr>
            <w:pStyle w:val="TOC2"/>
            <w:numPr>
              <w:ilvl w:val="3"/>
              <w:numId w:val="1"/>
            </w:numPr>
            <w:tabs>
              <w:tab w:pos="736" w:val="left" w:leader="none"/>
              <w:tab w:pos="7590" w:val="left" w:leader="dot"/>
            </w:tabs>
            <w:spacing w:line="240" w:lineRule="auto" w:before="126" w:after="0"/>
            <w:ind w:left="2643" w:right="680" w:hanging="2644"/>
            <w:jc w:val="right"/>
          </w:pPr>
          <w:hyperlink w:history="true" w:anchor="_bookmark22">
            <w:r>
              <w:rPr/>
              <w:t>Reaktif hiperemi</w:t>
            </w:r>
            <w:r>
              <w:rPr>
                <w:spacing w:val="-9"/>
              </w:rPr>
              <w:t> </w:t>
            </w:r>
            <w:r>
              <w:rPr/>
              <w:t>dengesinin</w:t>
            </w:r>
            <w:r>
              <w:rPr>
                <w:spacing w:val="-5"/>
              </w:rPr>
              <w:t> </w:t>
            </w:r>
            <w:r>
              <w:rPr/>
              <w:t>bozulması</w:t>
              <w:tab/>
            </w:r>
            <w:r>
              <w:rPr>
                <w:spacing w:val="-2"/>
              </w:rPr>
              <w:t>10</w:t>
            </w:r>
          </w:hyperlink>
        </w:p>
        <w:p>
          <w:pPr>
            <w:pStyle w:val="TOC2"/>
            <w:numPr>
              <w:ilvl w:val="3"/>
              <w:numId w:val="1"/>
            </w:numPr>
            <w:tabs>
              <w:tab w:pos="736" w:val="left" w:leader="none"/>
              <w:tab w:pos="7590" w:val="left" w:leader="dot"/>
            </w:tabs>
            <w:spacing w:line="240" w:lineRule="auto" w:before="126" w:after="0"/>
            <w:ind w:left="2643" w:right="680" w:hanging="2644"/>
            <w:jc w:val="right"/>
          </w:pPr>
          <w:hyperlink w:history="true" w:anchor="_bookmark23">
            <w:r>
              <w:rPr/>
              <w:t>Beslenme</w:t>
            </w:r>
            <w:r>
              <w:rPr>
                <w:spacing w:val="-3"/>
              </w:rPr>
              <w:t> </w:t>
            </w:r>
            <w:r>
              <w:rPr/>
              <w:t>bozukluğu</w:t>
              <w:tab/>
            </w:r>
            <w:r>
              <w:rPr>
                <w:spacing w:val="-2"/>
              </w:rPr>
              <w:t>10</w:t>
            </w:r>
          </w:hyperlink>
        </w:p>
        <w:p>
          <w:pPr>
            <w:pStyle w:val="TOC2"/>
            <w:numPr>
              <w:ilvl w:val="3"/>
              <w:numId w:val="1"/>
            </w:numPr>
            <w:tabs>
              <w:tab w:pos="736" w:val="left" w:leader="none"/>
              <w:tab w:pos="7590" w:val="left" w:leader="dot"/>
            </w:tabs>
            <w:spacing w:line="240" w:lineRule="auto" w:before="126" w:after="0"/>
            <w:ind w:left="2643" w:right="680" w:hanging="2644"/>
            <w:jc w:val="right"/>
          </w:pPr>
          <w:hyperlink w:history="true" w:anchor="_bookmark24">
            <w:r>
              <w:rPr/>
              <w:t>Hipotansiyon</w:t>
            </w:r>
            <w:r>
              <w:rPr>
                <w:spacing w:val="-3"/>
              </w:rPr>
              <w:t> </w:t>
            </w:r>
            <w:r>
              <w:rPr/>
              <w:t>/</w:t>
            </w:r>
            <w:r>
              <w:rPr>
                <w:spacing w:val="-3"/>
              </w:rPr>
              <w:t> </w:t>
            </w:r>
            <w:r>
              <w:rPr/>
              <w:t>İskemi</w:t>
              <w:tab/>
            </w:r>
            <w:r>
              <w:rPr>
                <w:spacing w:val="-2"/>
              </w:rPr>
              <w:t>10</w:t>
            </w:r>
          </w:hyperlink>
        </w:p>
        <w:p>
          <w:pPr>
            <w:pStyle w:val="TOC2"/>
            <w:numPr>
              <w:ilvl w:val="3"/>
              <w:numId w:val="1"/>
            </w:numPr>
            <w:tabs>
              <w:tab w:pos="736" w:val="left" w:leader="none"/>
              <w:tab w:pos="7590" w:val="left" w:leader="dot"/>
            </w:tabs>
            <w:spacing w:line="240" w:lineRule="auto" w:before="127" w:after="0"/>
            <w:ind w:left="2643" w:right="680" w:hanging="2644"/>
            <w:jc w:val="right"/>
          </w:pPr>
          <w:hyperlink w:history="true" w:anchor="_bookmark25">
            <w:r>
              <w:rPr/>
              <w:t>Diğer</w:t>
            </w:r>
            <w:r>
              <w:rPr>
                <w:spacing w:val="-4"/>
              </w:rPr>
              <w:t> </w:t>
            </w:r>
            <w:r>
              <w:rPr/>
              <w:t>nedenler</w:t>
              <w:tab/>
            </w:r>
            <w:r>
              <w:rPr>
                <w:spacing w:val="-2"/>
              </w:rPr>
              <w:t>11</w:t>
            </w:r>
          </w:hyperlink>
        </w:p>
        <w:p>
          <w:pPr>
            <w:pStyle w:val="TOC2"/>
            <w:numPr>
              <w:ilvl w:val="1"/>
              <w:numId w:val="1"/>
            </w:numPr>
            <w:tabs>
              <w:tab w:pos="1618" w:val="left" w:leader="none"/>
              <w:tab w:pos="8250" w:val="left" w:leader="dot"/>
            </w:tabs>
            <w:spacing w:line="240" w:lineRule="auto" w:before="126" w:after="0"/>
            <w:ind w:left="1617" w:right="680" w:hanging="1618"/>
            <w:jc w:val="right"/>
          </w:pPr>
          <w:hyperlink w:history="true" w:anchor="_bookmark26">
            <w:r>
              <w:rPr/>
              <w:t>Bası</w:t>
            </w:r>
            <w:r>
              <w:rPr>
                <w:spacing w:val="-9"/>
              </w:rPr>
              <w:t> </w:t>
            </w:r>
            <w:r>
              <w:rPr/>
              <w:t>Yaralarının</w:t>
            </w:r>
            <w:r>
              <w:rPr>
                <w:spacing w:val="-4"/>
              </w:rPr>
              <w:t> </w:t>
            </w:r>
            <w:r>
              <w:rPr/>
              <w:t>Sınıflandırması</w:t>
              <w:tab/>
            </w:r>
            <w:r>
              <w:rPr>
                <w:spacing w:val="-2"/>
              </w:rPr>
              <w:t>11</w:t>
            </w:r>
          </w:hyperlink>
        </w:p>
        <w:p>
          <w:pPr>
            <w:pStyle w:val="TOC2"/>
            <w:numPr>
              <w:ilvl w:val="1"/>
              <w:numId w:val="1"/>
            </w:numPr>
            <w:tabs>
              <w:tab w:pos="1618" w:val="left" w:leader="none"/>
              <w:tab w:pos="8250" w:val="left" w:leader="dot"/>
            </w:tabs>
            <w:spacing w:line="240" w:lineRule="auto" w:before="127" w:after="0"/>
            <w:ind w:left="1617" w:right="680" w:hanging="1618"/>
            <w:jc w:val="right"/>
          </w:pPr>
          <w:hyperlink w:history="true" w:anchor="_bookmark28">
            <w:r>
              <w:rPr/>
              <w:t>Bası Yaralarının En Sık Görüldüğü</w:t>
            </w:r>
            <w:r>
              <w:rPr>
                <w:spacing w:val="-17"/>
              </w:rPr>
              <w:t> </w:t>
            </w:r>
            <w:r>
              <w:rPr/>
              <w:t>Vücut</w:t>
            </w:r>
            <w:r>
              <w:rPr>
                <w:spacing w:val="-4"/>
              </w:rPr>
              <w:t> </w:t>
            </w:r>
            <w:r>
              <w:rPr/>
              <w:t>Bölgeleri</w:t>
              <w:tab/>
            </w:r>
            <w:r>
              <w:rPr>
                <w:spacing w:val="-2"/>
              </w:rPr>
              <w:t>12</w:t>
            </w:r>
          </w:hyperlink>
        </w:p>
        <w:p>
          <w:pPr>
            <w:pStyle w:val="TOC2"/>
            <w:numPr>
              <w:ilvl w:val="1"/>
              <w:numId w:val="1"/>
            </w:numPr>
            <w:tabs>
              <w:tab w:pos="1618" w:val="left" w:leader="none"/>
              <w:tab w:pos="8250" w:val="left" w:leader="dot"/>
            </w:tabs>
            <w:spacing w:line="240" w:lineRule="auto" w:before="126" w:after="0"/>
            <w:ind w:left="1617" w:right="680" w:hanging="1618"/>
            <w:jc w:val="right"/>
          </w:pPr>
          <w:hyperlink w:history="true" w:anchor="_bookmark30">
            <w:r>
              <w:rPr/>
              <w:t>Bası Yaralarında</w:t>
            </w:r>
            <w:r>
              <w:rPr>
                <w:spacing w:val="-12"/>
              </w:rPr>
              <w:t> </w:t>
            </w:r>
            <w:r>
              <w:rPr/>
              <w:t>Risk</w:t>
            </w:r>
            <w:r>
              <w:rPr>
                <w:spacing w:val="-3"/>
              </w:rPr>
              <w:t> </w:t>
            </w:r>
            <w:r>
              <w:rPr/>
              <w:t>Değerlendirmesi</w:t>
              <w:tab/>
            </w:r>
            <w:r>
              <w:rPr>
                <w:spacing w:val="-2"/>
              </w:rPr>
              <w:t>13</w:t>
            </w:r>
          </w:hyperlink>
        </w:p>
        <w:p>
          <w:pPr>
            <w:pStyle w:val="TOC2"/>
            <w:numPr>
              <w:ilvl w:val="2"/>
              <w:numId w:val="1"/>
            </w:numPr>
            <w:tabs>
              <w:tab w:pos="552" w:val="left" w:leader="none"/>
              <w:tab w:pos="7811" w:val="left" w:leader="dot"/>
            </w:tabs>
            <w:spacing w:line="240" w:lineRule="auto" w:before="128" w:after="0"/>
            <w:ind w:left="2239" w:right="680" w:hanging="2240"/>
            <w:jc w:val="right"/>
          </w:pPr>
          <w:hyperlink w:history="true" w:anchor="_bookmark31">
            <w:r>
              <w:rPr/>
              <w:t>Norton</w:t>
            </w:r>
            <w:r>
              <w:rPr>
                <w:spacing w:val="-5"/>
              </w:rPr>
              <w:t> </w:t>
            </w:r>
            <w:r>
              <w:rPr/>
              <w:t>Skalası</w:t>
              <w:tab/>
            </w:r>
            <w:r>
              <w:rPr>
                <w:spacing w:val="-2"/>
              </w:rPr>
              <w:t>14</w:t>
            </w:r>
          </w:hyperlink>
        </w:p>
        <w:p>
          <w:pPr>
            <w:pStyle w:val="TOC2"/>
            <w:numPr>
              <w:ilvl w:val="2"/>
              <w:numId w:val="1"/>
            </w:numPr>
            <w:tabs>
              <w:tab w:pos="547" w:val="left" w:leader="none"/>
              <w:tab w:pos="7811" w:val="left" w:leader="dot"/>
            </w:tabs>
            <w:spacing w:line="240" w:lineRule="auto" w:before="127" w:after="0"/>
            <w:ind w:left="2234" w:right="680" w:hanging="2235"/>
            <w:jc w:val="right"/>
          </w:pPr>
          <w:hyperlink w:history="true" w:anchor="_bookmark32">
            <w:r>
              <w:rPr/>
              <w:t>Waterlow</w:t>
            </w:r>
            <w:r>
              <w:rPr>
                <w:spacing w:val="-4"/>
              </w:rPr>
              <w:t> </w:t>
            </w:r>
            <w:r>
              <w:rPr/>
              <w:t>Ölçeği</w:t>
              <w:tab/>
            </w:r>
            <w:r>
              <w:rPr>
                <w:spacing w:val="-2"/>
              </w:rPr>
              <w:t>14</w:t>
            </w:r>
          </w:hyperlink>
        </w:p>
        <w:p>
          <w:pPr>
            <w:pStyle w:val="TOC2"/>
            <w:numPr>
              <w:ilvl w:val="2"/>
              <w:numId w:val="1"/>
            </w:numPr>
            <w:tabs>
              <w:tab w:pos="552" w:val="left" w:leader="none"/>
              <w:tab w:pos="7811" w:val="left" w:leader="dot"/>
            </w:tabs>
            <w:spacing w:line="240" w:lineRule="auto" w:before="126" w:after="0"/>
            <w:ind w:left="2239" w:right="680" w:hanging="2240"/>
            <w:jc w:val="right"/>
          </w:pPr>
          <w:hyperlink w:history="true" w:anchor="_bookmark33">
            <w:r>
              <w:rPr/>
              <w:t>Braden</w:t>
            </w:r>
            <w:r>
              <w:rPr>
                <w:spacing w:val="-5"/>
              </w:rPr>
              <w:t> </w:t>
            </w:r>
            <w:r>
              <w:rPr/>
              <w:t>Skalası</w:t>
              <w:tab/>
            </w:r>
            <w:r>
              <w:rPr>
                <w:spacing w:val="-2"/>
              </w:rPr>
              <w:t>14</w:t>
            </w:r>
          </w:hyperlink>
        </w:p>
        <w:p>
          <w:pPr>
            <w:pStyle w:val="TOC2"/>
            <w:numPr>
              <w:ilvl w:val="1"/>
              <w:numId w:val="1"/>
            </w:numPr>
            <w:tabs>
              <w:tab w:pos="1618" w:val="left" w:leader="none"/>
              <w:tab w:pos="8250" w:val="left" w:leader="dot"/>
            </w:tabs>
            <w:spacing w:line="240" w:lineRule="auto" w:before="126" w:after="240"/>
            <w:ind w:left="1617" w:right="680" w:hanging="1618"/>
            <w:jc w:val="right"/>
          </w:pPr>
          <w:hyperlink w:history="true" w:anchor="_bookmark35">
            <w:r>
              <w:rPr/>
              <w:t>Bası</w:t>
            </w:r>
            <w:r>
              <w:rPr>
                <w:spacing w:val="-8"/>
              </w:rPr>
              <w:t> </w:t>
            </w:r>
            <w:r>
              <w:rPr/>
              <w:t>Yaralarının</w:t>
            </w:r>
            <w:r>
              <w:rPr>
                <w:spacing w:val="-4"/>
              </w:rPr>
              <w:t> </w:t>
            </w:r>
            <w:r>
              <w:rPr/>
              <w:t>Önlenmesi</w:t>
              <w:tab/>
            </w:r>
            <w:r>
              <w:rPr>
                <w:spacing w:val="-2"/>
              </w:rPr>
              <w:t>15</w:t>
            </w:r>
          </w:hyperlink>
        </w:p>
        <w:p>
          <w:pPr>
            <w:pStyle w:val="TOC2"/>
            <w:numPr>
              <w:ilvl w:val="1"/>
              <w:numId w:val="1"/>
            </w:numPr>
            <w:tabs>
              <w:tab w:pos="1618" w:val="left" w:leader="none"/>
              <w:tab w:pos="8250" w:val="left" w:leader="dot"/>
            </w:tabs>
            <w:spacing w:line="240" w:lineRule="auto" w:before="453" w:after="0"/>
            <w:ind w:left="1617" w:right="680" w:hanging="1618"/>
            <w:jc w:val="right"/>
          </w:pPr>
          <w:hyperlink w:history="true" w:anchor="_bookmark36">
            <w:r>
              <w:rPr/>
              <w:t>Bası</w:t>
            </w:r>
            <w:r>
              <w:rPr>
                <w:spacing w:val="-8"/>
              </w:rPr>
              <w:t> </w:t>
            </w:r>
            <w:r>
              <w:rPr/>
              <w:t>Yaralarının</w:t>
            </w:r>
            <w:r>
              <w:rPr>
                <w:spacing w:val="-3"/>
              </w:rPr>
              <w:t> </w:t>
            </w:r>
            <w:r>
              <w:rPr/>
              <w:t>Tedavisi</w:t>
              <w:tab/>
            </w:r>
            <w:r>
              <w:rPr>
                <w:spacing w:val="-2"/>
              </w:rPr>
              <w:t>16</w:t>
            </w:r>
          </w:hyperlink>
        </w:p>
        <w:p>
          <w:pPr>
            <w:pStyle w:val="TOC2"/>
            <w:numPr>
              <w:ilvl w:val="2"/>
              <w:numId w:val="1"/>
            </w:numPr>
            <w:tabs>
              <w:tab w:pos="550" w:val="left" w:leader="none"/>
              <w:tab w:pos="7811" w:val="left" w:leader="dot"/>
            </w:tabs>
            <w:spacing w:line="240" w:lineRule="auto" w:before="127" w:after="0"/>
            <w:ind w:left="2236" w:right="680" w:hanging="2237"/>
            <w:jc w:val="right"/>
          </w:pPr>
          <w:hyperlink w:history="true" w:anchor="_bookmark37">
            <w:r>
              <w:rPr/>
              <w:t>Tedavi</w:t>
              <w:tab/>
            </w:r>
            <w:r>
              <w:rPr>
                <w:spacing w:val="-2"/>
              </w:rPr>
              <w:t>16</w:t>
            </w:r>
          </w:hyperlink>
        </w:p>
        <w:p>
          <w:pPr>
            <w:pStyle w:val="TOC2"/>
            <w:numPr>
              <w:ilvl w:val="3"/>
              <w:numId w:val="1"/>
            </w:numPr>
            <w:tabs>
              <w:tab w:pos="738" w:val="left" w:leader="none"/>
              <w:tab w:pos="7590" w:val="left" w:leader="dot"/>
            </w:tabs>
            <w:spacing w:line="240" w:lineRule="auto" w:before="129" w:after="0"/>
            <w:ind w:left="2645" w:right="680" w:hanging="2646"/>
            <w:jc w:val="right"/>
          </w:pPr>
          <w:hyperlink w:history="true" w:anchor="_bookmark38">
            <w:r>
              <w:rPr/>
              <w:t>Konservatif</w:t>
            </w:r>
            <w:r>
              <w:rPr>
                <w:spacing w:val="-2"/>
              </w:rPr>
              <w:t> </w:t>
            </w:r>
            <w:r>
              <w:rPr/>
              <w:t>tedavi</w:t>
              <w:tab/>
            </w:r>
            <w:r>
              <w:rPr>
                <w:spacing w:val="-2"/>
              </w:rPr>
              <w:t>16</w:t>
            </w:r>
          </w:hyperlink>
        </w:p>
        <w:p>
          <w:pPr>
            <w:pStyle w:val="TOC2"/>
            <w:numPr>
              <w:ilvl w:val="3"/>
              <w:numId w:val="1"/>
            </w:numPr>
            <w:tabs>
              <w:tab w:pos="736" w:val="left" w:leader="none"/>
              <w:tab w:pos="7590" w:val="left" w:leader="dot"/>
            </w:tabs>
            <w:spacing w:line="240" w:lineRule="auto" w:before="126" w:after="0"/>
            <w:ind w:left="2644" w:right="680" w:hanging="2645"/>
            <w:jc w:val="right"/>
          </w:pPr>
          <w:hyperlink w:history="true" w:anchor="_bookmark39">
            <w:r>
              <w:rPr/>
              <w:t>Cerrahi</w:t>
            </w:r>
            <w:r>
              <w:rPr>
                <w:spacing w:val="-5"/>
              </w:rPr>
              <w:t> </w:t>
            </w:r>
            <w:r>
              <w:rPr/>
              <w:t>tedavi</w:t>
              <w:tab/>
            </w:r>
            <w:r>
              <w:rPr>
                <w:spacing w:val="-2"/>
              </w:rPr>
              <w:t>17</w:t>
            </w:r>
          </w:hyperlink>
        </w:p>
        <w:p>
          <w:pPr>
            <w:pStyle w:val="TOC2"/>
            <w:numPr>
              <w:ilvl w:val="1"/>
              <w:numId w:val="1"/>
            </w:numPr>
            <w:tabs>
              <w:tab w:pos="492" w:val="left" w:leader="none"/>
              <w:tab w:pos="8250" w:val="left" w:leader="dot"/>
            </w:tabs>
            <w:spacing w:line="240" w:lineRule="auto" w:before="126" w:after="0"/>
            <w:ind w:left="1740" w:right="680" w:hanging="1741"/>
            <w:jc w:val="right"/>
          </w:pPr>
          <w:hyperlink w:history="true" w:anchor="_bookmark40">
            <w:r>
              <w:rPr/>
              <w:t>Hipotezler</w:t>
              <w:tab/>
            </w:r>
            <w:r>
              <w:rPr>
                <w:spacing w:val="-2"/>
              </w:rPr>
              <w:t>17</w:t>
            </w:r>
          </w:hyperlink>
        </w:p>
        <w:p>
          <w:pPr>
            <w:pStyle w:val="TOC1"/>
            <w:numPr>
              <w:ilvl w:val="0"/>
              <w:numId w:val="1"/>
            </w:numPr>
            <w:tabs>
              <w:tab w:pos="1494" w:val="left" w:leader="none"/>
              <w:tab w:pos="8250" w:val="left" w:leader="dot"/>
            </w:tabs>
            <w:spacing w:line="240" w:lineRule="auto" w:before="124" w:after="0"/>
            <w:ind w:left="1493" w:right="680" w:hanging="1494"/>
            <w:jc w:val="right"/>
          </w:pPr>
          <w:hyperlink w:history="true" w:anchor="_bookmark41">
            <w:r>
              <w:rPr/>
              <w:t>GEREÇ</w:t>
            </w:r>
            <w:r>
              <w:rPr>
                <w:spacing w:val="-2"/>
              </w:rPr>
              <w:t> </w:t>
            </w:r>
            <w:r>
              <w:rPr/>
              <w:t>VE</w:t>
            </w:r>
            <w:r>
              <w:rPr>
                <w:spacing w:val="-2"/>
              </w:rPr>
              <w:t> </w:t>
            </w:r>
            <w:r>
              <w:rPr/>
              <w:t>YÖNTEMLER</w:t>
              <w:tab/>
            </w:r>
            <w:r>
              <w:rPr>
                <w:spacing w:val="-2"/>
              </w:rPr>
              <w:t>18</w:t>
            </w:r>
          </w:hyperlink>
        </w:p>
        <w:p>
          <w:pPr>
            <w:pStyle w:val="TOC4"/>
            <w:numPr>
              <w:ilvl w:val="1"/>
              <w:numId w:val="1"/>
            </w:numPr>
            <w:tabs>
              <w:tab w:pos="1618" w:val="left" w:leader="none"/>
              <w:tab w:pos="9499" w:val="left" w:leader="dot"/>
            </w:tabs>
            <w:spacing w:line="240" w:lineRule="auto" w:before="128" w:after="0"/>
            <w:ind w:left="1617" w:right="0" w:hanging="370"/>
            <w:jc w:val="left"/>
          </w:pPr>
          <w:hyperlink w:history="true" w:anchor="_bookmark42">
            <w:r>
              <w:rPr/>
              <w:t>Çalışmanın</w:t>
            </w:r>
            <w:r>
              <w:rPr>
                <w:spacing w:val="-3"/>
              </w:rPr>
              <w:t> </w:t>
            </w:r>
            <w:r>
              <w:rPr/>
              <w:t>Yapıldığı</w:t>
            </w:r>
            <w:r>
              <w:rPr>
                <w:spacing w:val="-4"/>
              </w:rPr>
              <w:t> </w:t>
            </w:r>
            <w:r>
              <w:rPr/>
              <w:t>Yer</w:t>
              <w:tab/>
              <w:t>18</w:t>
            </w:r>
          </w:hyperlink>
        </w:p>
        <w:p>
          <w:pPr>
            <w:pStyle w:val="TOC4"/>
            <w:numPr>
              <w:ilvl w:val="1"/>
              <w:numId w:val="1"/>
            </w:numPr>
            <w:tabs>
              <w:tab w:pos="1618" w:val="left" w:leader="none"/>
              <w:tab w:pos="9499" w:val="left" w:leader="dot"/>
            </w:tabs>
            <w:spacing w:line="240" w:lineRule="auto" w:before="127" w:after="0"/>
            <w:ind w:left="1617" w:right="0" w:hanging="370"/>
            <w:jc w:val="left"/>
          </w:pPr>
          <w:hyperlink w:history="true" w:anchor="_bookmark43">
            <w:r>
              <w:rPr/>
              <w:t>Çalışmanın</w:t>
            </w:r>
            <w:r>
              <w:rPr>
                <w:spacing w:val="-3"/>
              </w:rPr>
              <w:t> </w:t>
            </w:r>
            <w:r>
              <w:rPr/>
              <w:t>Yapıldığı</w:t>
            </w:r>
            <w:r>
              <w:rPr>
                <w:spacing w:val="-6"/>
              </w:rPr>
              <w:t> </w:t>
            </w:r>
            <w:r>
              <w:rPr/>
              <w:t>Tarih</w:t>
              <w:tab/>
              <w:t>18</w:t>
            </w:r>
          </w:hyperlink>
        </w:p>
        <w:p>
          <w:pPr>
            <w:pStyle w:val="TOC4"/>
            <w:numPr>
              <w:ilvl w:val="1"/>
              <w:numId w:val="1"/>
            </w:numPr>
            <w:tabs>
              <w:tab w:pos="1618" w:val="left" w:leader="none"/>
              <w:tab w:pos="9499" w:val="left" w:leader="dot"/>
            </w:tabs>
            <w:spacing w:line="240" w:lineRule="auto" w:before="126" w:after="0"/>
            <w:ind w:left="1617" w:right="0" w:hanging="370"/>
            <w:jc w:val="left"/>
          </w:pPr>
          <w:hyperlink w:history="true" w:anchor="_bookmark44">
            <w:r>
              <w:rPr/>
              <w:t>Katılımcılar</w:t>
              <w:tab/>
              <w:t>18</w:t>
            </w:r>
          </w:hyperlink>
        </w:p>
        <w:p>
          <w:pPr>
            <w:pStyle w:val="TOC4"/>
            <w:numPr>
              <w:ilvl w:val="1"/>
              <w:numId w:val="1"/>
            </w:numPr>
            <w:tabs>
              <w:tab w:pos="1618" w:val="left" w:leader="none"/>
              <w:tab w:pos="9499" w:val="left" w:leader="dot"/>
            </w:tabs>
            <w:spacing w:line="240" w:lineRule="auto" w:before="126" w:after="0"/>
            <w:ind w:left="1617" w:right="0" w:hanging="370"/>
            <w:jc w:val="left"/>
          </w:pPr>
          <w:hyperlink w:history="true" w:anchor="_bookmark45">
            <w:r>
              <w:rPr/>
              <w:t>Araştırmaya Dahil</w:t>
            </w:r>
            <w:r>
              <w:rPr>
                <w:spacing w:val="-7"/>
              </w:rPr>
              <w:t> </w:t>
            </w:r>
            <w:r>
              <w:rPr/>
              <w:t>Edilme</w:t>
            </w:r>
            <w:r>
              <w:rPr>
                <w:spacing w:val="-3"/>
              </w:rPr>
              <w:t> </w:t>
            </w:r>
            <w:r>
              <w:rPr/>
              <w:t>Kriterleri</w:t>
              <w:tab/>
              <w:t>19</w:t>
            </w:r>
          </w:hyperlink>
        </w:p>
        <w:p>
          <w:pPr>
            <w:pStyle w:val="TOC4"/>
            <w:numPr>
              <w:ilvl w:val="1"/>
              <w:numId w:val="1"/>
            </w:numPr>
            <w:tabs>
              <w:tab w:pos="1618" w:val="left" w:leader="none"/>
              <w:tab w:pos="9499" w:val="left" w:leader="dot"/>
            </w:tabs>
            <w:spacing w:line="240" w:lineRule="auto" w:before="127" w:after="0"/>
            <w:ind w:left="1617" w:right="0" w:hanging="370"/>
            <w:jc w:val="left"/>
          </w:pPr>
          <w:hyperlink w:history="true" w:anchor="_bookmark46">
            <w:r>
              <w:rPr/>
              <w:t>Araştırmaya Dahil</w:t>
            </w:r>
            <w:r>
              <w:rPr>
                <w:spacing w:val="-9"/>
              </w:rPr>
              <w:t> </w:t>
            </w:r>
            <w:r>
              <w:rPr/>
              <w:t>Edilmeme</w:t>
            </w:r>
            <w:r>
              <w:rPr>
                <w:spacing w:val="-3"/>
              </w:rPr>
              <w:t> </w:t>
            </w:r>
            <w:r>
              <w:rPr/>
              <w:t>Kriterleri</w:t>
              <w:tab/>
              <w:t>19</w:t>
            </w:r>
          </w:hyperlink>
        </w:p>
        <w:p>
          <w:pPr>
            <w:pStyle w:val="TOC2"/>
            <w:numPr>
              <w:ilvl w:val="1"/>
              <w:numId w:val="1"/>
            </w:numPr>
            <w:tabs>
              <w:tab w:pos="707" w:val="left" w:leader="none"/>
              <w:tab w:pos="708" w:val="left" w:leader="none"/>
              <w:tab w:pos="8250" w:val="left" w:leader="dot"/>
            </w:tabs>
            <w:spacing w:line="240" w:lineRule="auto" w:before="129" w:after="0"/>
            <w:ind w:left="1956" w:right="680" w:hanging="1957"/>
            <w:jc w:val="right"/>
          </w:pPr>
          <w:hyperlink w:history="true" w:anchor="_bookmark47">
            <w:r>
              <w:rPr/>
              <w:t>Araştırmadan</w:t>
            </w:r>
            <w:r>
              <w:rPr>
                <w:spacing w:val="-4"/>
              </w:rPr>
              <w:t> </w:t>
            </w:r>
            <w:r>
              <w:rPr/>
              <w:t>Çıkarılma</w:t>
            </w:r>
            <w:r>
              <w:rPr>
                <w:spacing w:val="-5"/>
              </w:rPr>
              <w:t> </w:t>
            </w:r>
            <w:r>
              <w:rPr/>
              <w:t>Kriterleri</w:t>
              <w:tab/>
            </w:r>
            <w:r>
              <w:rPr>
                <w:spacing w:val="-2"/>
              </w:rPr>
              <w:t>19</w:t>
            </w:r>
          </w:hyperlink>
        </w:p>
        <w:p>
          <w:pPr>
            <w:pStyle w:val="TOC2"/>
            <w:numPr>
              <w:ilvl w:val="1"/>
              <w:numId w:val="1"/>
            </w:numPr>
            <w:tabs>
              <w:tab w:pos="1618" w:val="left" w:leader="none"/>
              <w:tab w:pos="8250" w:val="left" w:leader="dot"/>
            </w:tabs>
            <w:spacing w:line="240" w:lineRule="auto" w:before="126" w:after="0"/>
            <w:ind w:left="1617" w:right="680" w:hanging="1618"/>
            <w:jc w:val="right"/>
          </w:pPr>
          <w:hyperlink w:history="true" w:anchor="_bookmark48">
            <w:r>
              <w:rPr/>
              <w:t>Değerlendirme</w:t>
            </w:r>
            <w:r>
              <w:rPr>
                <w:spacing w:val="-6"/>
              </w:rPr>
              <w:t> </w:t>
            </w:r>
            <w:r>
              <w:rPr/>
              <w:t>Yöntemleri</w:t>
              <w:tab/>
            </w:r>
            <w:r>
              <w:rPr>
                <w:spacing w:val="-2"/>
              </w:rPr>
              <w:t>19</w:t>
            </w:r>
          </w:hyperlink>
        </w:p>
        <w:p>
          <w:pPr>
            <w:pStyle w:val="TOC2"/>
            <w:numPr>
              <w:ilvl w:val="1"/>
              <w:numId w:val="1"/>
            </w:numPr>
            <w:tabs>
              <w:tab w:pos="1618" w:val="left" w:leader="none"/>
              <w:tab w:pos="8250" w:val="left" w:leader="dot"/>
            </w:tabs>
            <w:spacing w:line="240" w:lineRule="auto" w:before="126" w:after="0"/>
            <w:ind w:left="1617" w:right="680" w:hanging="1618"/>
            <w:jc w:val="right"/>
          </w:pPr>
          <w:hyperlink w:history="true" w:anchor="_bookmark49">
            <w:r>
              <w:rPr/>
              <w:t>Değerlendirmeler</w:t>
              <w:tab/>
            </w:r>
            <w:r>
              <w:rPr>
                <w:spacing w:val="-2"/>
              </w:rPr>
              <w:t>20</w:t>
            </w:r>
          </w:hyperlink>
        </w:p>
        <w:p>
          <w:pPr>
            <w:pStyle w:val="TOC2"/>
            <w:numPr>
              <w:ilvl w:val="2"/>
              <w:numId w:val="1"/>
            </w:numPr>
            <w:tabs>
              <w:tab w:pos="552" w:val="left" w:leader="none"/>
              <w:tab w:pos="7811" w:val="left" w:leader="dot"/>
            </w:tabs>
            <w:spacing w:line="240" w:lineRule="auto" w:before="126" w:after="0"/>
            <w:ind w:left="2239" w:right="680" w:hanging="2240"/>
            <w:jc w:val="right"/>
          </w:pPr>
          <w:hyperlink w:history="true" w:anchor="_bookmark50">
            <w:r>
              <w:rPr/>
              <w:t>Demografik ve klinik</w:t>
            </w:r>
            <w:r>
              <w:rPr>
                <w:spacing w:val="-3"/>
              </w:rPr>
              <w:t> </w:t>
            </w:r>
            <w:r>
              <w:rPr/>
              <w:t>veri</w:t>
            </w:r>
            <w:r>
              <w:rPr>
                <w:spacing w:val="-4"/>
              </w:rPr>
              <w:t> </w:t>
            </w:r>
            <w:r>
              <w:rPr/>
              <w:t>formu</w:t>
              <w:tab/>
            </w:r>
            <w:r>
              <w:rPr>
                <w:spacing w:val="-2"/>
              </w:rPr>
              <w:t>20</w:t>
            </w:r>
          </w:hyperlink>
        </w:p>
        <w:p>
          <w:pPr>
            <w:pStyle w:val="TOC2"/>
            <w:numPr>
              <w:ilvl w:val="2"/>
              <w:numId w:val="1"/>
            </w:numPr>
            <w:tabs>
              <w:tab w:pos="552" w:val="left" w:leader="none"/>
              <w:tab w:pos="7811" w:val="left" w:leader="dot"/>
            </w:tabs>
            <w:spacing w:line="240" w:lineRule="auto" w:before="126" w:after="0"/>
            <w:ind w:left="2239" w:right="680" w:hanging="2240"/>
            <w:jc w:val="right"/>
          </w:pPr>
          <w:hyperlink w:history="true" w:anchor="_bookmark51">
            <w:r>
              <w:rPr/>
              <w:t>Glaskow</w:t>
            </w:r>
            <w:r>
              <w:rPr>
                <w:spacing w:val="-5"/>
              </w:rPr>
              <w:t> </w:t>
            </w:r>
            <w:r>
              <w:rPr/>
              <w:t>Koma</w:t>
            </w:r>
            <w:r>
              <w:rPr>
                <w:spacing w:val="-3"/>
              </w:rPr>
              <w:t> </w:t>
            </w:r>
            <w:r>
              <w:rPr/>
              <w:t>Skalası</w:t>
              <w:tab/>
            </w:r>
            <w:r>
              <w:rPr>
                <w:spacing w:val="-2"/>
              </w:rPr>
              <w:t>20</w:t>
            </w:r>
          </w:hyperlink>
        </w:p>
        <w:p>
          <w:pPr>
            <w:pStyle w:val="TOC2"/>
            <w:numPr>
              <w:ilvl w:val="2"/>
              <w:numId w:val="1"/>
            </w:numPr>
            <w:tabs>
              <w:tab w:pos="552" w:val="left" w:leader="none"/>
              <w:tab w:pos="7811" w:val="left" w:leader="dot"/>
            </w:tabs>
            <w:spacing w:line="240" w:lineRule="auto" w:before="127" w:after="0"/>
            <w:ind w:left="2239" w:right="680" w:hanging="2240"/>
            <w:jc w:val="right"/>
          </w:pPr>
          <w:hyperlink w:history="true" w:anchor="_bookmark52">
            <w:r>
              <w:rPr/>
              <w:t>Hodkinson</w:t>
            </w:r>
            <w:r>
              <w:rPr>
                <w:spacing w:val="-2"/>
              </w:rPr>
              <w:t> </w:t>
            </w:r>
            <w:r>
              <w:rPr/>
              <w:t>Mental</w:t>
            </w:r>
            <w:r>
              <w:rPr>
                <w:spacing w:val="-3"/>
              </w:rPr>
              <w:t> </w:t>
            </w:r>
            <w:r>
              <w:rPr/>
              <w:t>Testi</w:t>
              <w:tab/>
            </w:r>
            <w:r>
              <w:rPr>
                <w:spacing w:val="-2"/>
              </w:rPr>
              <w:t>20</w:t>
            </w:r>
          </w:hyperlink>
        </w:p>
        <w:p>
          <w:pPr>
            <w:pStyle w:val="TOC2"/>
            <w:numPr>
              <w:ilvl w:val="2"/>
              <w:numId w:val="1"/>
            </w:numPr>
            <w:tabs>
              <w:tab w:pos="552" w:val="left" w:leader="none"/>
              <w:tab w:pos="7811" w:val="left" w:leader="dot"/>
            </w:tabs>
            <w:spacing w:line="240" w:lineRule="auto" w:before="126" w:after="0"/>
            <w:ind w:left="2239" w:right="680" w:hanging="2240"/>
            <w:jc w:val="right"/>
          </w:pPr>
          <w:hyperlink w:history="true" w:anchor="_bookmark53">
            <w:r>
              <w:rPr/>
              <w:t>Barthel Günlük Yaşam</w:t>
            </w:r>
            <w:r>
              <w:rPr>
                <w:spacing w:val="-10"/>
              </w:rPr>
              <w:t> </w:t>
            </w:r>
            <w:r>
              <w:rPr/>
              <w:t>Aktiviteleri</w:t>
            </w:r>
            <w:r>
              <w:rPr>
                <w:spacing w:val="-4"/>
              </w:rPr>
              <w:t> </w:t>
            </w:r>
            <w:r>
              <w:rPr/>
              <w:t>İndeksi</w:t>
              <w:tab/>
            </w:r>
            <w:r>
              <w:rPr>
                <w:spacing w:val="-2"/>
              </w:rPr>
              <w:t>21</w:t>
            </w:r>
          </w:hyperlink>
        </w:p>
        <w:p>
          <w:pPr>
            <w:pStyle w:val="TOC2"/>
            <w:numPr>
              <w:ilvl w:val="2"/>
              <w:numId w:val="1"/>
            </w:numPr>
            <w:tabs>
              <w:tab w:pos="552" w:val="left" w:leader="none"/>
              <w:tab w:pos="7811" w:val="left" w:leader="dot"/>
            </w:tabs>
            <w:spacing w:line="240" w:lineRule="auto" w:before="126" w:after="0"/>
            <w:ind w:left="2239" w:right="680" w:hanging="2240"/>
            <w:jc w:val="right"/>
          </w:pPr>
          <w:hyperlink w:history="true" w:anchor="_bookmark54">
            <w:r>
              <w:rPr/>
              <w:t>Norton</w:t>
            </w:r>
            <w:r>
              <w:rPr>
                <w:spacing w:val="-5"/>
              </w:rPr>
              <w:t> </w:t>
            </w:r>
            <w:r>
              <w:rPr/>
              <w:t>Skalası</w:t>
              <w:tab/>
            </w:r>
            <w:r>
              <w:rPr>
                <w:spacing w:val="-2"/>
              </w:rPr>
              <w:t>21</w:t>
            </w:r>
          </w:hyperlink>
        </w:p>
        <w:p>
          <w:pPr>
            <w:pStyle w:val="TOC4"/>
            <w:numPr>
              <w:ilvl w:val="1"/>
              <w:numId w:val="1"/>
            </w:numPr>
            <w:tabs>
              <w:tab w:pos="1616" w:val="left" w:leader="none"/>
              <w:tab w:pos="9499" w:val="left" w:leader="dot"/>
            </w:tabs>
            <w:spacing w:line="240" w:lineRule="auto" w:before="127" w:after="0"/>
            <w:ind w:left="1615" w:right="0" w:hanging="368"/>
            <w:jc w:val="left"/>
          </w:pPr>
          <w:hyperlink w:history="true" w:anchor="_bookmark55">
            <w:r>
              <w:rPr/>
              <w:t>İstatistiksel</w:t>
            </w:r>
            <w:r>
              <w:rPr>
                <w:spacing w:val="-4"/>
              </w:rPr>
              <w:t> </w:t>
            </w:r>
            <w:r>
              <w:rPr/>
              <w:t>Analiz</w:t>
              <w:tab/>
              <w:t>21</w:t>
            </w:r>
          </w:hyperlink>
        </w:p>
        <w:p>
          <w:pPr>
            <w:pStyle w:val="TOC3"/>
            <w:numPr>
              <w:ilvl w:val="0"/>
              <w:numId w:val="1"/>
            </w:numPr>
            <w:tabs>
              <w:tab w:pos="1496" w:val="left" w:leader="none"/>
              <w:tab w:pos="9499" w:val="left" w:leader="dot"/>
            </w:tabs>
            <w:spacing w:line="240" w:lineRule="auto" w:before="126" w:after="0"/>
            <w:ind w:left="1495" w:right="0" w:hanging="248"/>
            <w:jc w:val="left"/>
          </w:pPr>
          <w:hyperlink w:history="true" w:anchor="_bookmark56">
            <w:r>
              <w:rPr/>
              <w:t>BULGULAR</w:t>
              <w:tab/>
              <w:t>22</w:t>
            </w:r>
          </w:hyperlink>
        </w:p>
        <w:p>
          <w:pPr>
            <w:pStyle w:val="TOC4"/>
            <w:numPr>
              <w:ilvl w:val="1"/>
              <w:numId w:val="1"/>
            </w:numPr>
            <w:tabs>
              <w:tab w:pos="1616" w:val="left" w:leader="none"/>
              <w:tab w:pos="9499" w:val="left" w:leader="dot"/>
            </w:tabs>
            <w:spacing w:line="240" w:lineRule="auto" w:before="129" w:after="0"/>
            <w:ind w:left="1615" w:right="0" w:hanging="368"/>
            <w:jc w:val="left"/>
          </w:pPr>
          <w:hyperlink w:history="true" w:anchor="_bookmark57">
            <w:r>
              <w:rPr/>
              <w:t>Tanımlayıcı</w:t>
            </w:r>
            <w:r>
              <w:rPr>
                <w:spacing w:val="-7"/>
              </w:rPr>
              <w:t> </w:t>
            </w:r>
            <w:r>
              <w:rPr/>
              <w:t>Bulgular</w:t>
              <w:tab/>
              <w:t>22</w:t>
            </w:r>
          </w:hyperlink>
        </w:p>
        <w:p>
          <w:pPr>
            <w:pStyle w:val="TOC4"/>
            <w:ind w:left="1248" w:firstLine="0"/>
          </w:pPr>
          <w:hyperlink w:history="true" w:anchor="_bookmark70">
            <w:r>
              <w:rPr/>
              <w:t>4.2. Bası Yarası Risk Oluşumunu Etkileyen Faktörler Arasındaki İlişkilerin İncelenmesi</w:t>
            </w:r>
          </w:hyperlink>
        </w:p>
        <w:p>
          <w:pPr>
            <w:pStyle w:val="TOC2"/>
            <w:ind w:left="0" w:firstLine="0"/>
          </w:pPr>
          <w:hyperlink w:history="true" w:anchor="_bookmark70">
            <w:r>
              <w:rPr/>
              <w:t>........................................................................................................................ </w:t>
            </w:r>
            <w:r>
              <w:rPr>
                <w:spacing w:val="60"/>
              </w:rPr>
              <w:t> </w:t>
            </w:r>
            <w:r>
              <w:rPr/>
              <w:t>28</w:t>
            </w:r>
          </w:hyperlink>
        </w:p>
        <w:p>
          <w:pPr>
            <w:pStyle w:val="TOC1"/>
            <w:numPr>
              <w:ilvl w:val="0"/>
              <w:numId w:val="1"/>
            </w:numPr>
            <w:tabs>
              <w:tab w:pos="247" w:val="left" w:leader="none"/>
              <w:tab w:pos="8250" w:val="left" w:leader="dot"/>
            </w:tabs>
            <w:spacing w:line="240" w:lineRule="auto" w:before="124" w:after="0"/>
            <w:ind w:left="1495" w:right="680" w:hanging="1496"/>
            <w:jc w:val="right"/>
          </w:pPr>
          <w:hyperlink w:history="true" w:anchor="_bookmark73">
            <w:r>
              <w:rPr/>
              <w:t>TARTIŞMA</w:t>
              <w:tab/>
            </w:r>
            <w:r>
              <w:rPr>
                <w:spacing w:val="-2"/>
              </w:rPr>
              <w:t>30</w:t>
            </w:r>
          </w:hyperlink>
        </w:p>
        <w:p>
          <w:pPr>
            <w:pStyle w:val="TOC1"/>
            <w:numPr>
              <w:ilvl w:val="0"/>
              <w:numId w:val="1"/>
            </w:numPr>
            <w:tabs>
              <w:tab w:pos="247" w:val="left" w:leader="none"/>
              <w:tab w:pos="8250" w:val="left" w:leader="dot"/>
            </w:tabs>
            <w:spacing w:line="240" w:lineRule="auto" w:before="126" w:after="0"/>
            <w:ind w:left="1495" w:right="680" w:hanging="1496"/>
            <w:jc w:val="right"/>
          </w:pPr>
          <w:hyperlink w:history="true" w:anchor="_bookmark74">
            <w:r>
              <w:rPr/>
              <w:t>SONUÇLAR</w:t>
              <w:tab/>
            </w:r>
            <w:r>
              <w:rPr>
                <w:spacing w:val="-2"/>
              </w:rPr>
              <w:t>35</w:t>
            </w:r>
          </w:hyperlink>
        </w:p>
        <w:p>
          <w:pPr>
            <w:pStyle w:val="TOC1"/>
            <w:numPr>
              <w:ilvl w:val="0"/>
              <w:numId w:val="1"/>
            </w:numPr>
            <w:tabs>
              <w:tab w:pos="248" w:val="left" w:leader="none"/>
              <w:tab w:pos="8250" w:val="left" w:leader="dot"/>
            </w:tabs>
            <w:spacing w:line="240" w:lineRule="auto" w:before="126" w:after="0"/>
            <w:ind w:left="1495" w:right="680" w:hanging="1496"/>
            <w:jc w:val="right"/>
          </w:pPr>
          <w:hyperlink w:history="true" w:anchor="_bookmark75">
            <w:r>
              <w:rPr/>
              <w:t>KAYNAKLAR</w:t>
              <w:tab/>
            </w:r>
            <w:r>
              <w:rPr>
                <w:spacing w:val="-2"/>
              </w:rPr>
              <w:t>36</w:t>
            </w:r>
          </w:hyperlink>
        </w:p>
        <w:p>
          <w:pPr>
            <w:pStyle w:val="TOC1"/>
            <w:numPr>
              <w:ilvl w:val="0"/>
              <w:numId w:val="1"/>
            </w:numPr>
            <w:tabs>
              <w:tab w:pos="1494" w:val="left" w:leader="none"/>
              <w:tab w:pos="8250" w:val="left" w:leader="dot"/>
            </w:tabs>
            <w:spacing w:line="240" w:lineRule="auto" w:before="127" w:after="0"/>
            <w:ind w:left="1493" w:right="680" w:hanging="1494"/>
            <w:jc w:val="right"/>
          </w:pPr>
          <w:hyperlink w:history="true" w:anchor="_bookmark76">
            <w:r>
              <w:rPr/>
              <w:t>ÖZGEÇMİŞ</w:t>
              <w:tab/>
            </w:r>
            <w:r>
              <w:rPr>
                <w:spacing w:val="-2"/>
              </w:rPr>
              <w:t>44</w:t>
            </w:r>
          </w:hyperlink>
        </w:p>
      </w:sdtContent>
    </w:sdt>
    <w:p>
      <w:pPr>
        <w:spacing w:after="0" w:line="240" w:lineRule="auto"/>
        <w:jc w:val="right"/>
        <w:sectPr>
          <w:type w:val="continuous"/>
          <w:pgSz w:w="11910" w:h="16840"/>
          <w:pgMar w:top="971" w:bottom="1501" w:left="1020" w:right="460"/>
        </w:sectPr>
      </w:pPr>
    </w:p>
    <w:p>
      <w:pPr>
        <w:pStyle w:val="ListParagraph"/>
        <w:numPr>
          <w:ilvl w:val="0"/>
          <w:numId w:val="1"/>
        </w:numPr>
        <w:tabs>
          <w:tab w:pos="1496" w:val="left" w:leader="none"/>
        </w:tabs>
        <w:spacing w:line="240" w:lineRule="auto" w:before="126" w:after="0"/>
        <w:ind w:left="1495" w:right="0" w:hanging="248"/>
        <w:jc w:val="left"/>
        <w:rPr>
          <w:b/>
          <w:sz w:val="22"/>
        </w:rPr>
      </w:pPr>
      <w:hyperlink w:history="true" w:anchor="_bookmark77">
        <w:r>
          <w:rPr>
            <w:b/>
            <w:sz w:val="22"/>
          </w:rPr>
          <w:t>EKLER</w:t>
        </w:r>
      </w:hyperlink>
    </w:p>
    <w:p>
      <w:pPr>
        <w:pStyle w:val="BodyText"/>
        <w:spacing w:before="129"/>
        <w:ind w:left="1248"/>
      </w:pPr>
      <w:r>
        <w:rPr>
          <w:b/>
        </w:rPr>
        <w:t>Ek-1 </w:t>
      </w:r>
      <w:r>
        <w:rPr/>
        <w:t>Etik Kurul Komisyon Kararı</w:t>
      </w:r>
    </w:p>
    <w:p>
      <w:pPr>
        <w:pStyle w:val="BodyText"/>
        <w:spacing w:before="126"/>
        <w:ind w:left="1248"/>
      </w:pPr>
      <w:r>
        <w:rPr>
          <w:b/>
        </w:rPr>
        <w:t>Ek-2 </w:t>
      </w:r>
      <w:r>
        <w:rPr/>
        <w:t>Nöroloji Anabilim Dalından Alınan İzin Yazısı</w:t>
      </w:r>
    </w:p>
    <w:p>
      <w:pPr>
        <w:pStyle w:val="BodyText"/>
        <w:spacing w:before="126"/>
        <w:ind w:left="1248"/>
      </w:pPr>
      <w:r>
        <w:rPr>
          <w:b/>
        </w:rPr>
        <w:t>Ek-3 </w:t>
      </w:r>
      <w:r>
        <w:rPr/>
        <w:t>Beyin ve Sinir Cerrahisi Anabilim Dalından Alınan İzin Yazısı</w:t>
      </w:r>
    </w:p>
    <w:p>
      <w:pPr>
        <w:pStyle w:val="BodyText"/>
        <w:spacing w:before="127"/>
        <w:ind w:left="1248"/>
      </w:pPr>
      <w:r>
        <w:rPr>
          <w:b/>
        </w:rPr>
        <w:t>Ek-4 </w:t>
      </w:r>
      <w:r>
        <w:rPr/>
        <w:t>Demografik ve Klinik Veri Formu</w:t>
      </w:r>
    </w:p>
    <w:p>
      <w:pPr>
        <w:pStyle w:val="BodyText"/>
        <w:spacing w:before="126"/>
        <w:ind w:left="1248"/>
      </w:pPr>
      <w:r>
        <w:rPr>
          <w:b/>
        </w:rPr>
        <w:t>Ek-5 </w:t>
      </w:r>
      <w:r>
        <w:rPr/>
        <w:t>Glaskow Koma</w:t>
      </w:r>
      <w:r>
        <w:rPr>
          <w:spacing w:val="-12"/>
        </w:rPr>
        <w:t> </w:t>
      </w:r>
      <w:r>
        <w:rPr/>
        <w:t>Skalası</w:t>
      </w:r>
    </w:p>
    <w:p>
      <w:pPr>
        <w:pStyle w:val="BodyText"/>
        <w:spacing w:before="126"/>
        <w:ind w:left="1248"/>
      </w:pPr>
      <w:r>
        <w:rPr>
          <w:b/>
        </w:rPr>
        <w:t>Ek-6 </w:t>
      </w:r>
      <w:r>
        <w:rPr/>
        <w:t>Hodkinson Mental</w:t>
      </w:r>
      <w:r>
        <w:rPr>
          <w:spacing w:val="-10"/>
        </w:rPr>
        <w:t> </w:t>
      </w:r>
      <w:r>
        <w:rPr/>
        <w:t>Test</w:t>
      </w:r>
    </w:p>
    <w:p>
      <w:pPr>
        <w:pStyle w:val="BodyText"/>
        <w:spacing w:before="126"/>
        <w:ind w:left="1248"/>
      </w:pPr>
      <w:r>
        <w:rPr>
          <w:b/>
        </w:rPr>
        <w:t>Ek-7 </w:t>
      </w:r>
      <w:r>
        <w:rPr/>
        <w:t>Bathel Günlük Yaşam Aktiviteleri İndeksi</w:t>
      </w:r>
    </w:p>
    <w:p>
      <w:pPr>
        <w:pStyle w:val="BodyText"/>
        <w:spacing w:before="126"/>
        <w:ind w:left="1248"/>
      </w:pPr>
      <w:r>
        <w:rPr>
          <w:b/>
        </w:rPr>
        <w:t>Ek-8 </w:t>
      </w:r>
      <w:r>
        <w:rPr/>
        <w:t>Norton Bası Yarası Risk Değerlendirme Ölçeği</w:t>
      </w:r>
    </w:p>
    <w:p>
      <w:pPr>
        <w:spacing w:after="0"/>
        <w:sectPr>
          <w:type w:val="continuous"/>
          <w:pgSz w:w="11910" w:h="16840"/>
          <w:pgMar w:top="960" w:bottom="280" w:left="1020" w:right="460"/>
        </w:sectPr>
      </w:pPr>
    </w:p>
    <w:p>
      <w:pPr>
        <w:pStyle w:val="BodyText"/>
        <w:rPr>
          <w:sz w:val="20"/>
        </w:rPr>
      </w:pPr>
    </w:p>
    <w:p>
      <w:pPr>
        <w:pStyle w:val="BodyText"/>
        <w:spacing w:before="2"/>
        <w:rPr>
          <w:sz w:val="19"/>
        </w:rPr>
      </w:pPr>
    </w:p>
    <w:p>
      <w:pPr>
        <w:pStyle w:val="Heading1"/>
        <w:ind w:left="1550" w:right="266"/>
        <w:jc w:val="center"/>
      </w:pPr>
      <w:bookmarkStart w:name="_bookmark4" w:id="5"/>
      <w:bookmarkEnd w:id="5"/>
      <w:r>
        <w:rPr>
          <w:b w:val="0"/>
        </w:rPr>
      </w:r>
      <w:r>
        <w:rPr/>
        <w:t>ŞEKİLLER DİZİNİ</w:t>
      </w:r>
    </w:p>
    <w:p>
      <w:pPr>
        <w:spacing w:before="127"/>
        <w:ind w:left="0" w:right="673" w:firstLine="0"/>
        <w:jc w:val="right"/>
        <w:rPr>
          <w:b/>
          <w:sz w:val="22"/>
        </w:rPr>
      </w:pPr>
      <w:r>
        <w:rPr>
          <w:b/>
          <w:spacing w:val="-2"/>
          <w:sz w:val="22"/>
        </w:rPr>
        <w:t>Sayfa</w:t>
      </w:r>
    </w:p>
    <w:p>
      <w:pPr>
        <w:pStyle w:val="BodyText"/>
        <w:rPr>
          <w:b/>
          <w:sz w:val="20"/>
        </w:rPr>
      </w:pPr>
    </w:p>
    <w:p>
      <w:pPr>
        <w:pStyle w:val="BodyText"/>
        <w:spacing w:before="10"/>
        <w:rPr>
          <w:b/>
          <w:sz w:val="17"/>
        </w:rPr>
      </w:pPr>
    </w:p>
    <w:p>
      <w:pPr>
        <w:pStyle w:val="BodyText"/>
        <w:tabs>
          <w:tab w:pos="9743" w:val="right" w:leader="dot"/>
        </w:tabs>
        <w:spacing w:before="94"/>
        <w:ind w:left="1248"/>
      </w:pPr>
      <w:hyperlink w:history="true" w:anchor="_bookmark59">
        <w:r>
          <w:rPr>
            <w:b/>
          </w:rPr>
          <w:t>Şekil 4.1.1 </w:t>
        </w:r>
        <w:r>
          <w:rPr/>
          <w:t>Bireylerin tedavi gördükleri servislerin</w:t>
        </w:r>
        <w:r>
          <w:rPr>
            <w:spacing w:val="-1"/>
          </w:rPr>
          <w:t> </w:t>
        </w:r>
        <w:r>
          <w:rPr/>
          <w:t>dağılımı</w:t>
          <w:tab/>
          <w:t>23</w:t>
        </w:r>
      </w:hyperlink>
    </w:p>
    <w:p>
      <w:pPr>
        <w:tabs>
          <w:tab w:pos="9743" w:val="right" w:leader="dot"/>
        </w:tabs>
        <w:spacing w:before="129"/>
        <w:ind w:left="1248" w:right="0" w:firstLine="0"/>
        <w:jc w:val="left"/>
        <w:rPr>
          <w:sz w:val="22"/>
        </w:rPr>
      </w:pPr>
      <w:hyperlink w:history="true" w:anchor="_bookmark62">
        <w:r>
          <w:rPr>
            <w:b/>
            <w:sz w:val="22"/>
          </w:rPr>
          <w:t>Şekil 4.1.2 </w:t>
        </w:r>
        <w:r>
          <w:rPr>
            <w:sz w:val="22"/>
          </w:rPr>
          <w:t>Bireylerin beslenme</w:t>
        </w:r>
        <w:r>
          <w:rPr>
            <w:spacing w:val="1"/>
            <w:sz w:val="22"/>
          </w:rPr>
          <w:t> </w:t>
        </w:r>
        <w:r>
          <w:rPr>
            <w:sz w:val="22"/>
          </w:rPr>
          <w:t>durumlarının dağılımı</w:t>
          <w:tab/>
          <w:t>24</w:t>
        </w:r>
      </w:hyperlink>
    </w:p>
    <w:p>
      <w:pPr>
        <w:pStyle w:val="BodyText"/>
        <w:tabs>
          <w:tab w:pos="9743" w:val="right" w:leader="dot"/>
        </w:tabs>
        <w:spacing w:before="126"/>
        <w:ind w:left="1248"/>
      </w:pPr>
      <w:hyperlink w:history="true" w:anchor="_bookmark69">
        <w:r>
          <w:rPr>
            <w:b/>
          </w:rPr>
          <w:t>Şekil 4.1.3 </w:t>
        </w:r>
        <w:r>
          <w:rPr/>
          <w:t>Norton bası yarası risk</w:t>
        </w:r>
        <w:r>
          <w:rPr>
            <w:spacing w:val="-7"/>
          </w:rPr>
          <w:t> </w:t>
        </w:r>
        <w:r>
          <w:rPr/>
          <w:t>derecelendirmesi</w:t>
        </w:r>
        <w:r>
          <w:rPr>
            <w:spacing w:val="-1"/>
          </w:rPr>
          <w:t> </w:t>
        </w:r>
        <w:r>
          <w:rPr/>
          <w:t>dağılımı</w:t>
          <w:tab/>
          <w:t>27</w:t>
        </w:r>
      </w:hyperlink>
    </w:p>
    <w:p>
      <w:pPr>
        <w:spacing w:after="0"/>
        <w:sectPr>
          <w:pgSz w:w="11910" w:h="16840"/>
          <w:pgMar w:header="749" w:footer="0" w:top="960" w:bottom="280" w:left="1020" w:right="460"/>
        </w:sectPr>
      </w:pPr>
    </w:p>
    <w:p>
      <w:pPr>
        <w:pStyle w:val="Heading1"/>
        <w:spacing w:before="451"/>
        <w:ind w:left="1550" w:right="976"/>
        <w:jc w:val="center"/>
      </w:pPr>
      <w:bookmarkStart w:name="_bookmark5" w:id="6"/>
      <w:bookmarkEnd w:id="6"/>
      <w:r>
        <w:rPr>
          <w:b w:val="0"/>
        </w:rPr>
      </w:r>
      <w:r>
        <w:rPr/>
        <w:t>TABLOLAR DİZİNİ</w:t>
      </w:r>
    </w:p>
    <w:p>
      <w:pPr>
        <w:spacing w:before="2"/>
        <w:ind w:left="0" w:right="673" w:firstLine="0"/>
        <w:jc w:val="right"/>
        <w:rPr>
          <w:b/>
          <w:sz w:val="22"/>
        </w:rPr>
      </w:pPr>
      <w:r>
        <w:rPr>
          <w:b/>
          <w:spacing w:val="-2"/>
          <w:sz w:val="22"/>
        </w:rPr>
        <w:t>Sayfa</w:t>
      </w:r>
    </w:p>
    <w:p>
      <w:pPr>
        <w:pStyle w:val="BodyText"/>
        <w:rPr>
          <w:b/>
          <w:sz w:val="24"/>
        </w:rPr>
      </w:pPr>
    </w:p>
    <w:p>
      <w:pPr>
        <w:pStyle w:val="BodyText"/>
        <w:spacing w:before="10"/>
        <w:rPr>
          <w:b/>
          <w:sz w:val="32"/>
        </w:rPr>
      </w:pPr>
    </w:p>
    <w:p>
      <w:pPr>
        <w:tabs>
          <w:tab w:pos="9499" w:val="left" w:leader="dot"/>
        </w:tabs>
        <w:spacing w:before="0"/>
        <w:ind w:left="1248" w:right="0" w:firstLine="0"/>
        <w:jc w:val="left"/>
        <w:rPr>
          <w:sz w:val="22"/>
        </w:rPr>
      </w:pPr>
      <w:hyperlink w:history="true" w:anchor="_bookmark27">
        <w:r>
          <w:rPr>
            <w:b/>
            <w:sz w:val="22"/>
          </w:rPr>
          <w:t>Tablo 2.5.1 </w:t>
        </w:r>
        <w:r>
          <w:rPr>
            <w:sz w:val="22"/>
          </w:rPr>
          <w:t>Bası</w:t>
        </w:r>
        <w:r>
          <w:rPr>
            <w:spacing w:val="-13"/>
            <w:sz w:val="22"/>
          </w:rPr>
          <w:t> </w:t>
        </w:r>
        <w:r>
          <w:rPr>
            <w:sz w:val="22"/>
          </w:rPr>
          <w:t>yaralarının</w:t>
        </w:r>
        <w:r>
          <w:rPr>
            <w:spacing w:val="-3"/>
            <w:sz w:val="22"/>
          </w:rPr>
          <w:t> </w:t>
        </w:r>
        <w:r>
          <w:rPr>
            <w:sz w:val="22"/>
          </w:rPr>
          <w:t>sınıflandırılması</w:t>
          <w:tab/>
          <w:t>12</w:t>
        </w:r>
      </w:hyperlink>
    </w:p>
    <w:p>
      <w:pPr>
        <w:pStyle w:val="BodyText"/>
        <w:tabs>
          <w:tab w:pos="9499" w:val="left" w:leader="dot"/>
        </w:tabs>
        <w:spacing w:before="129"/>
        <w:ind w:left="1248"/>
      </w:pPr>
      <w:hyperlink w:history="true" w:anchor="_bookmark29">
        <w:r>
          <w:rPr>
            <w:b/>
          </w:rPr>
          <w:t>Tablo 2.6.1 </w:t>
        </w:r>
        <w:r>
          <w:rPr/>
          <w:t>Bası yaralarının en sık görüldüğü</w:t>
        </w:r>
        <w:r>
          <w:rPr>
            <w:spacing w:val="-24"/>
          </w:rPr>
          <w:t> </w:t>
        </w:r>
        <w:r>
          <w:rPr/>
          <w:t>vücut</w:t>
        </w:r>
        <w:r>
          <w:rPr>
            <w:spacing w:val="-1"/>
          </w:rPr>
          <w:t> </w:t>
        </w:r>
        <w:r>
          <w:rPr/>
          <w:t>bölgeleri</w:t>
          <w:tab/>
          <w:t>13</w:t>
        </w:r>
      </w:hyperlink>
    </w:p>
    <w:p>
      <w:pPr>
        <w:pStyle w:val="BodyText"/>
        <w:tabs>
          <w:tab w:pos="9499" w:val="left" w:leader="dot"/>
        </w:tabs>
        <w:spacing w:before="126"/>
        <w:ind w:left="1248"/>
      </w:pPr>
      <w:hyperlink w:history="true" w:anchor="_bookmark34">
        <w:r>
          <w:rPr>
            <w:b/>
          </w:rPr>
          <w:t>Tablo 2.7.1 </w:t>
        </w:r>
        <w:r>
          <w:rPr/>
          <w:t>Bası yarası risk değerlendirmede</w:t>
        </w:r>
        <w:r>
          <w:rPr>
            <w:spacing w:val="-25"/>
          </w:rPr>
          <w:t> </w:t>
        </w:r>
        <w:r>
          <w:rPr/>
          <w:t>kullanılan</w:t>
        </w:r>
        <w:r>
          <w:rPr>
            <w:spacing w:val="-2"/>
          </w:rPr>
          <w:t> </w:t>
        </w:r>
        <w:r>
          <w:rPr/>
          <w:t>ölçekler</w:t>
          <w:tab/>
          <w:t>15</w:t>
        </w:r>
      </w:hyperlink>
    </w:p>
    <w:p>
      <w:pPr>
        <w:tabs>
          <w:tab w:pos="9499" w:val="left" w:leader="dot"/>
        </w:tabs>
        <w:spacing w:before="126"/>
        <w:ind w:left="1248" w:right="0" w:firstLine="0"/>
        <w:jc w:val="left"/>
        <w:rPr>
          <w:sz w:val="22"/>
        </w:rPr>
      </w:pPr>
      <w:hyperlink w:history="true" w:anchor="_bookmark58">
        <w:r>
          <w:rPr>
            <w:b/>
            <w:sz w:val="22"/>
          </w:rPr>
          <w:t>Tablo 4.1.1 </w:t>
        </w:r>
        <w:r>
          <w:rPr>
            <w:sz w:val="22"/>
          </w:rPr>
          <w:t>Bireylerin</w:t>
        </w:r>
        <w:r>
          <w:rPr>
            <w:spacing w:val="-6"/>
            <w:sz w:val="22"/>
          </w:rPr>
          <w:t> </w:t>
        </w:r>
        <w:r>
          <w:rPr>
            <w:sz w:val="22"/>
          </w:rPr>
          <w:t>demografik</w:t>
        </w:r>
        <w:r>
          <w:rPr>
            <w:spacing w:val="-1"/>
            <w:sz w:val="22"/>
          </w:rPr>
          <w:t> </w:t>
        </w:r>
        <w:r>
          <w:rPr>
            <w:sz w:val="22"/>
          </w:rPr>
          <w:t>verileri</w:t>
          <w:tab/>
          <w:t>22</w:t>
        </w:r>
      </w:hyperlink>
    </w:p>
    <w:p>
      <w:pPr>
        <w:pStyle w:val="BodyText"/>
        <w:tabs>
          <w:tab w:pos="9499" w:val="left" w:leader="dot"/>
        </w:tabs>
        <w:spacing w:before="126"/>
        <w:ind w:left="1248"/>
      </w:pPr>
      <w:hyperlink w:history="true" w:anchor="_bookmark60">
        <w:r>
          <w:rPr>
            <w:b/>
          </w:rPr>
          <w:t>Tablo 4.1.2 </w:t>
        </w:r>
        <w:r>
          <w:rPr/>
          <w:t>Bireylerin hastalık tanılarına</w:t>
        </w:r>
        <w:r>
          <w:rPr>
            <w:spacing w:val="-17"/>
          </w:rPr>
          <w:t> </w:t>
        </w:r>
        <w:r>
          <w:rPr/>
          <w:t>göre</w:t>
        </w:r>
        <w:r>
          <w:rPr>
            <w:spacing w:val="-6"/>
          </w:rPr>
          <w:t> </w:t>
        </w:r>
        <w:r>
          <w:rPr/>
          <w:t>dağılımları</w:t>
          <w:tab/>
          <w:t>23</w:t>
        </w:r>
      </w:hyperlink>
    </w:p>
    <w:p>
      <w:pPr>
        <w:pStyle w:val="BodyText"/>
        <w:tabs>
          <w:tab w:pos="9499" w:val="left" w:leader="dot"/>
        </w:tabs>
        <w:spacing w:before="127"/>
        <w:ind w:left="1248"/>
      </w:pPr>
      <w:hyperlink w:history="true" w:anchor="_bookmark61">
        <w:r>
          <w:rPr>
            <w:b/>
          </w:rPr>
          <w:t>Tablo 4.1.3 </w:t>
        </w:r>
        <w:r>
          <w:rPr/>
          <w:t>Bireylerde ek hastalıkların</w:t>
        </w:r>
        <w:r>
          <w:rPr>
            <w:spacing w:val="-20"/>
          </w:rPr>
          <w:t> </w:t>
        </w:r>
        <w:r>
          <w:rPr/>
          <w:t>varlığının</w:t>
        </w:r>
        <w:r>
          <w:rPr>
            <w:spacing w:val="-4"/>
          </w:rPr>
          <w:t> </w:t>
        </w:r>
        <w:r>
          <w:rPr/>
          <w:t>incelenmesi</w:t>
          <w:tab/>
          <w:t>24</w:t>
        </w:r>
      </w:hyperlink>
    </w:p>
    <w:p>
      <w:pPr>
        <w:pStyle w:val="BodyText"/>
        <w:tabs>
          <w:tab w:pos="9499" w:val="left" w:leader="dot"/>
        </w:tabs>
        <w:spacing w:before="126"/>
        <w:ind w:left="1248"/>
      </w:pPr>
      <w:hyperlink w:history="true" w:anchor="_bookmark63">
        <w:r>
          <w:rPr>
            <w:b/>
          </w:rPr>
          <w:t>Tablo 4.1.4 </w:t>
        </w:r>
        <w:r>
          <w:rPr/>
          <w:t>Bireylerde inkontinans</w:t>
        </w:r>
        <w:r>
          <w:rPr>
            <w:spacing w:val="-17"/>
          </w:rPr>
          <w:t> </w:t>
        </w:r>
        <w:r>
          <w:rPr/>
          <w:t>varlığının</w:t>
        </w:r>
        <w:r>
          <w:rPr>
            <w:spacing w:val="-4"/>
          </w:rPr>
          <w:t> </w:t>
        </w:r>
        <w:r>
          <w:rPr/>
          <w:t>incelenmesi</w:t>
          <w:tab/>
          <w:t>25</w:t>
        </w:r>
      </w:hyperlink>
    </w:p>
    <w:p>
      <w:pPr>
        <w:pStyle w:val="BodyText"/>
        <w:tabs>
          <w:tab w:pos="9499" w:val="left" w:leader="dot"/>
        </w:tabs>
        <w:spacing w:before="127"/>
        <w:ind w:left="1248"/>
      </w:pPr>
      <w:hyperlink w:history="true" w:anchor="_bookmark64">
        <w:r>
          <w:rPr>
            <w:b/>
          </w:rPr>
          <w:t>Tablo 4.1.5 </w:t>
        </w:r>
        <w:r>
          <w:rPr/>
          <w:t>Bireylerde bası yarası oluşunu etkileyen</w:t>
        </w:r>
        <w:r>
          <w:rPr>
            <w:spacing w:val="-33"/>
          </w:rPr>
          <w:t> </w:t>
        </w:r>
        <w:r>
          <w:rPr/>
          <w:t>risklerin</w:t>
        </w:r>
        <w:r>
          <w:rPr>
            <w:spacing w:val="-5"/>
          </w:rPr>
          <w:t> </w:t>
        </w:r>
        <w:r>
          <w:rPr/>
          <w:t>incelenmesi</w:t>
          <w:tab/>
          <w:t>25</w:t>
        </w:r>
      </w:hyperlink>
    </w:p>
    <w:p>
      <w:pPr>
        <w:pStyle w:val="BodyText"/>
        <w:tabs>
          <w:tab w:pos="9499" w:val="left" w:leader="dot"/>
        </w:tabs>
        <w:spacing w:before="126"/>
        <w:ind w:left="1248"/>
      </w:pPr>
      <w:hyperlink w:history="true" w:anchor="_bookmark65">
        <w:r>
          <w:rPr>
            <w:b/>
          </w:rPr>
          <w:t>Tablo 4.1.6 </w:t>
        </w:r>
        <w:r>
          <w:rPr/>
          <w:t>Bireylerde kas tonusu</w:t>
        </w:r>
        <w:r>
          <w:rPr>
            <w:spacing w:val="-20"/>
          </w:rPr>
          <w:t> </w:t>
        </w:r>
        <w:r>
          <w:rPr/>
          <w:t>değişikliklerinin</w:t>
        </w:r>
        <w:r>
          <w:rPr>
            <w:spacing w:val="-3"/>
          </w:rPr>
          <w:t> </w:t>
        </w:r>
        <w:r>
          <w:rPr/>
          <w:t>incelenmesi</w:t>
          <w:tab/>
          <w:t>26</w:t>
        </w:r>
      </w:hyperlink>
    </w:p>
    <w:p>
      <w:pPr>
        <w:pStyle w:val="BodyText"/>
        <w:tabs>
          <w:tab w:pos="9499" w:val="left" w:leader="dot"/>
        </w:tabs>
        <w:spacing w:before="126"/>
        <w:ind w:left="1248"/>
      </w:pPr>
      <w:hyperlink w:history="true" w:anchor="_bookmark66">
        <w:r>
          <w:rPr>
            <w:b/>
          </w:rPr>
          <w:t>Tablo 4.1.7 </w:t>
        </w:r>
        <w:r>
          <w:rPr/>
          <w:t>Bireylerde normal eklem hareket</w:t>
        </w:r>
        <w:r>
          <w:rPr>
            <w:spacing w:val="-25"/>
          </w:rPr>
          <w:t> </w:t>
        </w:r>
        <w:r>
          <w:rPr/>
          <w:t>genişliğinin</w:t>
        </w:r>
        <w:r>
          <w:rPr>
            <w:spacing w:val="-4"/>
          </w:rPr>
          <w:t> </w:t>
        </w:r>
        <w:r>
          <w:rPr/>
          <w:t>incelenmesi</w:t>
          <w:tab/>
          <w:t>26</w:t>
        </w:r>
      </w:hyperlink>
    </w:p>
    <w:p>
      <w:pPr>
        <w:pStyle w:val="BodyText"/>
        <w:tabs>
          <w:tab w:pos="8250" w:val="left" w:leader="dot"/>
        </w:tabs>
        <w:spacing w:before="129"/>
        <w:ind w:right="680"/>
        <w:jc w:val="right"/>
      </w:pPr>
      <w:hyperlink w:history="true" w:anchor="_bookmark67">
        <w:r>
          <w:rPr>
            <w:b/>
          </w:rPr>
          <w:t>Tablo 4.1.8 </w:t>
        </w:r>
        <w:r>
          <w:rPr/>
          <w:t>Bireylerin bası yarası riski ile ilişkili</w:t>
        </w:r>
        <w:r>
          <w:rPr>
            <w:spacing w:val="-32"/>
          </w:rPr>
          <w:t> </w:t>
        </w:r>
        <w:r>
          <w:rPr/>
          <w:t>faktörlerin</w:t>
        </w:r>
        <w:r>
          <w:rPr>
            <w:spacing w:val="-3"/>
          </w:rPr>
          <w:t> </w:t>
        </w:r>
        <w:r>
          <w:rPr/>
          <w:t>ortalamaları</w:t>
          <w:tab/>
        </w:r>
        <w:r>
          <w:rPr>
            <w:spacing w:val="-2"/>
          </w:rPr>
          <w:t>27</w:t>
        </w:r>
      </w:hyperlink>
    </w:p>
    <w:p>
      <w:pPr>
        <w:pStyle w:val="BodyText"/>
        <w:tabs>
          <w:tab w:pos="8250" w:val="left" w:leader="dot"/>
        </w:tabs>
        <w:spacing w:before="126"/>
        <w:ind w:right="680"/>
        <w:jc w:val="right"/>
      </w:pPr>
      <w:hyperlink w:history="true" w:anchor="_bookmark68">
        <w:r>
          <w:rPr>
            <w:b/>
          </w:rPr>
          <w:t>Tablo 4.1.9 </w:t>
        </w:r>
        <w:r>
          <w:rPr/>
          <w:t>Bireylerde Norton bası yarası risk</w:t>
        </w:r>
        <w:r>
          <w:rPr>
            <w:spacing w:val="-27"/>
          </w:rPr>
          <w:t> </w:t>
        </w:r>
        <w:r>
          <w:rPr/>
          <w:t>derecelendirmesi</w:t>
        </w:r>
        <w:r>
          <w:rPr>
            <w:spacing w:val="-4"/>
          </w:rPr>
          <w:t> </w:t>
        </w:r>
        <w:r>
          <w:rPr/>
          <w:t>dağılımı</w:t>
          <w:tab/>
        </w:r>
        <w:r>
          <w:rPr>
            <w:spacing w:val="-2"/>
          </w:rPr>
          <w:t>27</w:t>
        </w:r>
      </w:hyperlink>
    </w:p>
    <w:p>
      <w:pPr>
        <w:pStyle w:val="BodyText"/>
        <w:tabs>
          <w:tab w:pos="9499" w:val="left" w:leader="dot"/>
        </w:tabs>
        <w:spacing w:line="362" w:lineRule="auto" w:before="126"/>
        <w:ind w:left="2381" w:right="674" w:hanging="1134"/>
        <w:jc w:val="right"/>
      </w:pPr>
      <w:hyperlink w:history="true" w:anchor="_bookmark71">
        <w:r>
          <w:rPr>
            <w:b/>
          </w:rPr>
          <w:t>Tablo 4.2.1 </w:t>
        </w:r>
        <w:r>
          <w:rPr/>
          <w:t>Bası yarası risk oluşumunu etkileyen faktörler</w:t>
        </w:r>
        <w:r>
          <w:rPr>
            <w:spacing w:val="27"/>
          </w:rPr>
          <w:t> </w:t>
        </w:r>
        <w:r>
          <w:rPr/>
          <w:t>arasındaki</w:t>
        </w:r>
        <w:r>
          <w:rPr>
            <w:spacing w:val="48"/>
          </w:rPr>
          <w:t> </w:t>
        </w:r>
        <w:r>
          <w:rPr/>
          <w:t>ilişkinin</w:t>
        </w:r>
      </w:hyperlink>
      <w:r>
        <w:rPr>
          <w:w w:val="100"/>
        </w:rPr>
        <w:t> </w:t>
      </w:r>
      <w:hyperlink w:history="true" w:anchor="_bookmark71">
        <w:r>
          <w:rPr/>
          <w:t>incelenmesi</w:t>
          <w:tab/>
        </w:r>
        <w:r>
          <w:rPr>
            <w:spacing w:val="-7"/>
          </w:rPr>
          <w:t>28</w:t>
        </w:r>
      </w:hyperlink>
    </w:p>
    <w:p>
      <w:pPr>
        <w:pStyle w:val="BodyText"/>
        <w:tabs>
          <w:tab w:pos="9499" w:val="left" w:leader="dot"/>
        </w:tabs>
        <w:spacing w:line="362" w:lineRule="auto"/>
        <w:ind w:left="2381" w:right="668" w:hanging="1134"/>
        <w:jc w:val="right"/>
      </w:pPr>
      <w:hyperlink w:history="true" w:anchor="_bookmark72">
        <w:r>
          <w:rPr>
            <w:b/>
          </w:rPr>
          <w:t>Tablo 4.2.2 </w:t>
        </w:r>
        <w:r>
          <w:rPr/>
          <w:t>Bası yarası risk derecelendirme puanı ile</w:t>
        </w:r>
        <w:r>
          <w:rPr>
            <w:spacing w:val="16"/>
          </w:rPr>
          <w:t> </w:t>
        </w:r>
        <w:r>
          <w:rPr/>
          <w:t>bası yarası oluşumunu</w:t>
        </w:r>
        <w:r>
          <w:rPr>
            <w:spacing w:val="10"/>
          </w:rPr>
          <w:t> </w:t>
        </w:r>
        <w:r>
          <w:rPr/>
          <w:t>etkileyen</w:t>
        </w:r>
      </w:hyperlink>
      <w:r>
        <w:rPr>
          <w:w w:val="100"/>
        </w:rPr>
        <w:t> </w:t>
      </w:r>
      <w:hyperlink w:history="true" w:anchor="_bookmark72">
        <w:r>
          <w:rPr/>
          <w:t>faktörler arasındaki</w:t>
        </w:r>
        <w:r>
          <w:rPr>
            <w:spacing w:val="-10"/>
          </w:rPr>
          <w:t> </w:t>
        </w:r>
        <w:r>
          <w:rPr/>
          <w:t>ilişkilerin</w:t>
        </w:r>
        <w:r>
          <w:rPr>
            <w:spacing w:val="-6"/>
          </w:rPr>
          <w:t> </w:t>
        </w:r>
        <w:r>
          <w:rPr/>
          <w:t>incelenmesi</w:t>
          <w:tab/>
        </w:r>
        <w:r>
          <w:rPr>
            <w:spacing w:val="-1"/>
          </w:rPr>
          <w:t>29</w:t>
        </w:r>
      </w:hyperlink>
    </w:p>
    <w:p>
      <w:pPr>
        <w:spacing w:after="0" w:line="362" w:lineRule="auto"/>
        <w:jc w:val="right"/>
        <w:sectPr>
          <w:pgSz w:w="11910" w:h="16840"/>
          <w:pgMar w:header="749" w:footer="0" w:top="960" w:bottom="280" w:left="1020" w:right="460"/>
        </w:sectPr>
      </w:pPr>
    </w:p>
    <w:p>
      <w:pPr>
        <w:pStyle w:val="BodyText"/>
        <w:rPr>
          <w:sz w:val="20"/>
        </w:rPr>
      </w:pPr>
    </w:p>
    <w:p>
      <w:pPr>
        <w:pStyle w:val="BodyText"/>
        <w:spacing w:before="2"/>
        <w:rPr>
          <w:sz w:val="19"/>
        </w:rPr>
      </w:pPr>
    </w:p>
    <w:p>
      <w:pPr>
        <w:pStyle w:val="Heading1"/>
        <w:ind w:left="3929"/>
      </w:pPr>
      <w:bookmarkStart w:name="_bookmark6" w:id="7"/>
      <w:bookmarkEnd w:id="7"/>
      <w:r>
        <w:rPr>
          <w:b w:val="0"/>
        </w:rPr>
      </w:r>
      <w:r>
        <w:rPr/>
        <w:t>SİMGELER VE KISALTMALAR DİZİNİ</w:t>
      </w:r>
    </w:p>
    <w:p>
      <w:pPr>
        <w:pStyle w:val="BodyText"/>
        <w:rPr>
          <w:b/>
          <w:sz w:val="24"/>
        </w:rPr>
      </w:pPr>
    </w:p>
    <w:p>
      <w:pPr>
        <w:pStyle w:val="BodyText"/>
        <w:spacing w:before="5"/>
        <w:rPr>
          <w:b/>
          <w:sz w:val="20"/>
        </w:rPr>
      </w:pPr>
    </w:p>
    <w:p>
      <w:pPr>
        <w:pStyle w:val="BodyText"/>
        <w:tabs>
          <w:tab w:pos="3375" w:val="left" w:leader="none"/>
        </w:tabs>
        <w:spacing w:line="252" w:lineRule="exact"/>
        <w:ind w:left="1248"/>
      </w:pPr>
      <w:r>
        <w:rPr>
          <w:spacing w:val="12"/>
        </w:rPr>
        <w:t>%</w:t>
      </w:r>
      <w:r>
        <w:rPr>
          <w:spacing w:val="12"/>
          <w:u w:val="single"/>
        </w:rPr>
        <w:t> </w:t>
        <w:tab/>
      </w:r>
      <w:r>
        <w:rPr/>
        <w:t>Yüzde</w:t>
      </w:r>
      <w:r>
        <w:rPr>
          <w:spacing w:val="-1"/>
        </w:rPr>
        <w:t> </w:t>
      </w:r>
      <w:r>
        <w:rPr/>
        <w:t>oran</w:t>
      </w:r>
    </w:p>
    <w:p>
      <w:pPr>
        <w:pStyle w:val="BodyText"/>
        <w:tabs>
          <w:tab w:pos="3375" w:val="left" w:leader="none"/>
        </w:tabs>
        <w:spacing w:line="252" w:lineRule="exact"/>
        <w:ind w:left="1248"/>
      </w:pPr>
      <w:r>
        <w:rPr/>
        <w:t>&lt;</w:t>
      </w:r>
      <w:r>
        <w:rPr>
          <w:u w:val="single"/>
        </w:rPr>
        <w:t> </w:t>
        <w:tab/>
      </w:r>
      <w:r>
        <w:rPr/>
        <w:t>Küçüktür</w:t>
      </w:r>
    </w:p>
    <w:p>
      <w:pPr>
        <w:pStyle w:val="BodyText"/>
        <w:tabs>
          <w:tab w:pos="3375" w:val="left" w:leader="none"/>
        </w:tabs>
        <w:spacing w:line="252" w:lineRule="exact"/>
        <w:ind w:left="1248"/>
      </w:pPr>
      <w:r>
        <w:rPr/>
        <w:t>=</w:t>
      </w:r>
      <w:r>
        <w:rPr>
          <w:u w:val="single"/>
        </w:rPr>
        <w:t> </w:t>
        <w:tab/>
      </w:r>
      <w:r>
        <w:rPr/>
        <w:t>Eşittir</w:t>
      </w:r>
    </w:p>
    <w:p>
      <w:pPr>
        <w:pStyle w:val="BodyText"/>
        <w:tabs>
          <w:tab w:pos="3375" w:val="left" w:leader="none"/>
        </w:tabs>
        <w:spacing w:before="2"/>
        <w:ind w:left="1248" w:right="5752"/>
      </w:pPr>
      <w:r>
        <w:rPr/>
        <w:t>&gt;</w:t>
      </w:r>
      <w:r>
        <w:rPr>
          <w:u w:val="single"/>
        </w:rPr>
        <w:t> </w:t>
        <w:tab/>
      </w:r>
      <w:r>
        <w:rPr/>
        <w:t>Büyüktür ABD</w:t>
      </w:r>
      <w:r>
        <w:rPr>
          <w:u w:val="single"/>
        </w:rPr>
        <w:t> </w:t>
        <w:tab/>
      </w:r>
      <w:r>
        <w:rPr/>
        <w:t>Anabilim</w:t>
      </w:r>
      <w:r>
        <w:rPr>
          <w:spacing w:val="-6"/>
        </w:rPr>
        <w:t> </w:t>
      </w:r>
      <w:r>
        <w:rPr/>
        <w:t>Dalı</w:t>
      </w:r>
    </w:p>
    <w:p>
      <w:pPr>
        <w:pStyle w:val="BodyText"/>
        <w:tabs>
          <w:tab w:pos="3375" w:val="left" w:leader="none"/>
        </w:tabs>
        <w:ind w:left="1248" w:right="2062"/>
      </w:pPr>
      <w:r>
        <w:rPr/>
        <w:t>AUBYDP</w:t>
      </w:r>
      <w:r>
        <w:rPr>
          <w:u w:val="single"/>
        </w:rPr>
        <w:t> </w:t>
        <w:tab/>
      </w:r>
      <w:r>
        <w:rPr/>
        <w:t>Amerikan Ulusal Basınç Yarası Danışmanlık Paneli BWAT</w:t>
      </w:r>
      <w:r>
        <w:rPr>
          <w:u w:val="single"/>
        </w:rPr>
        <w:t> </w:t>
        <w:tab/>
      </w:r>
      <w:r>
        <w:rPr/>
        <w:t>Bates Jensen Yara Değerlendirme</w:t>
      </w:r>
      <w:r>
        <w:rPr>
          <w:spacing w:val="-8"/>
        </w:rPr>
        <w:t> </w:t>
      </w:r>
      <w:r>
        <w:rPr/>
        <w:t>Ölçeği</w:t>
      </w:r>
    </w:p>
    <w:p>
      <w:pPr>
        <w:pStyle w:val="BodyText"/>
        <w:tabs>
          <w:tab w:pos="3375" w:val="left" w:leader="none"/>
        </w:tabs>
        <w:ind w:left="1248" w:right="5983"/>
      </w:pPr>
      <w:r>
        <w:rPr/>
        <w:t>cm</w:t>
      </w:r>
      <w:r>
        <w:rPr>
          <w:u w:val="single"/>
        </w:rPr>
        <w:t> </w:t>
        <w:tab/>
      </w:r>
      <w:r>
        <w:rPr>
          <w:spacing w:val="-3"/>
        </w:rPr>
        <w:t>Santimetre </w:t>
      </w:r>
      <w:r>
        <w:rPr/>
        <w:t>dk</w:t>
      </w:r>
      <w:r>
        <w:rPr>
          <w:u w:val="single"/>
        </w:rPr>
        <w:t> </w:t>
        <w:tab/>
      </w:r>
      <w:r>
        <w:rPr/>
        <w:t>Dakika</w:t>
      </w:r>
    </w:p>
    <w:p>
      <w:pPr>
        <w:pStyle w:val="BodyText"/>
        <w:tabs>
          <w:tab w:pos="3375" w:val="left" w:leader="none"/>
        </w:tabs>
        <w:ind w:left="1248" w:right="3048"/>
      </w:pPr>
      <w:r>
        <w:rPr/>
        <w:t>EPUAP</w:t>
      </w:r>
      <w:r>
        <w:rPr>
          <w:u w:val="single"/>
        </w:rPr>
        <w:t> </w:t>
        <w:tab/>
      </w:r>
      <w:r>
        <w:rPr/>
        <w:t>European Pressure Ulcer Advisory </w:t>
      </w:r>
      <w:r>
        <w:rPr>
          <w:spacing w:val="-4"/>
        </w:rPr>
        <w:t>Panel </w:t>
      </w:r>
      <w:r>
        <w:rPr/>
        <w:t>GKS</w:t>
      </w:r>
      <w:r>
        <w:rPr>
          <w:u w:val="single"/>
        </w:rPr>
        <w:t> </w:t>
        <w:tab/>
      </w:r>
      <w:r>
        <w:rPr/>
        <w:t>Glaskow Koma</w:t>
      </w:r>
      <w:r>
        <w:rPr>
          <w:spacing w:val="-3"/>
        </w:rPr>
        <w:t> </w:t>
      </w:r>
      <w:r>
        <w:rPr/>
        <w:t>Skalası</w:t>
      </w:r>
    </w:p>
    <w:p>
      <w:pPr>
        <w:pStyle w:val="BodyText"/>
        <w:tabs>
          <w:tab w:pos="3375" w:val="left" w:leader="none"/>
        </w:tabs>
        <w:ind w:left="1248" w:right="4737"/>
      </w:pPr>
      <w:r>
        <w:rPr/>
        <w:t>GYA</w:t>
      </w:r>
      <w:r>
        <w:rPr>
          <w:u w:val="single"/>
        </w:rPr>
        <w:t> </w:t>
        <w:tab/>
      </w:r>
      <w:r>
        <w:rPr/>
        <w:t>Günlük yaşam aktivitesi kg</w:t>
      </w:r>
      <w:r>
        <w:rPr>
          <w:u w:val="single"/>
        </w:rPr>
        <w:t> </w:t>
        <w:tab/>
      </w:r>
      <w:r>
        <w:rPr/>
        <w:t>Kilogram</w:t>
      </w:r>
    </w:p>
    <w:p>
      <w:pPr>
        <w:pStyle w:val="BodyText"/>
        <w:tabs>
          <w:tab w:pos="3365" w:val="left" w:leader="none"/>
        </w:tabs>
        <w:ind w:left="1248" w:right="5705"/>
      </w:pPr>
      <w:r>
        <w:rPr/>
        <w:t>m</w:t>
      </w:r>
      <w:r>
        <w:rPr>
          <w:vertAlign w:val="superscript"/>
        </w:rPr>
        <w:t>2</w:t>
      </w:r>
      <w:r>
        <w:rPr>
          <w:u w:val="single"/>
          <w:vertAlign w:val="baseline"/>
        </w:rPr>
        <w:t> </w:t>
        <w:tab/>
      </w:r>
      <w:r>
        <w:rPr>
          <w:vertAlign w:val="baseline"/>
        </w:rPr>
        <w:t>Metre kare mmHg</w:t>
      </w:r>
      <w:r>
        <w:rPr>
          <w:u w:val="single"/>
          <w:vertAlign w:val="baseline"/>
        </w:rPr>
        <w:t> </w:t>
        <w:tab/>
      </w:r>
      <w:r>
        <w:rPr>
          <w:vertAlign w:val="baseline"/>
        </w:rPr>
        <w:t>Milimetre</w:t>
      </w:r>
      <w:r>
        <w:rPr>
          <w:spacing w:val="-1"/>
          <w:vertAlign w:val="baseline"/>
        </w:rPr>
        <w:t> </w:t>
      </w:r>
      <w:r>
        <w:rPr>
          <w:spacing w:val="-5"/>
          <w:vertAlign w:val="baseline"/>
        </w:rPr>
        <w:t>cıva</w:t>
      </w:r>
    </w:p>
    <w:p>
      <w:pPr>
        <w:pStyle w:val="BodyText"/>
        <w:tabs>
          <w:tab w:pos="3375" w:val="left" w:leader="none"/>
        </w:tabs>
        <w:ind w:left="1248" w:right="4995"/>
      </w:pPr>
      <w:r>
        <w:rPr/>
        <w:t>MSS</w:t>
      </w:r>
      <w:r>
        <w:rPr>
          <w:u w:val="single"/>
        </w:rPr>
        <w:t> </w:t>
        <w:tab/>
      </w:r>
      <w:r>
        <w:rPr/>
        <w:t>Merkezi Sinir </w:t>
      </w:r>
      <w:r>
        <w:rPr>
          <w:spacing w:val="-3"/>
        </w:rPr>
        <w:t>Sistemi </w:t>
      </w:r>
      <w:r>
        <w:rPr/>
        <w:t>n</w:t>
      </w:r>
      <w:r>
        <w:rPr>
          <w:u w:val="single"/>
        </w:rPr>
        <w:t> </w:t>
        <w:tab/>
      </w:r>
      <w:r>
        <w:rPr/>
        <w:t>Katılımcı</w:t>
      </w:r>
      <w:r>
        <w:rPr>
          <w:spacing w:val="-4"/>
        </w:rPr>
        <w:t> </w:t>
      </w:r>
      <w:r>
        <w:rPr/>
        <w:t>sayısı</w:t>
      </w:r>
    </w:p>
    <w:p>
      <w:pPr>
        <w:pStyle w:val="BodyText"/>
        <w:tabs>
          <w:tab w:pos="3375" w:val="left" w:leader="none"/>
        </w:tabs>
        <w:ind w:left="1248" w:right="2889"/>
      </w:pPr>
      <w:r>
        <w:rPr/>
        <w:t>SPSS</w:t>
      </w:r>
      <w:r>
        <w:rPr>
          <w:u w:val="single"/>
        </w:rPr>
        <w:t> </w:t>
        <w:tab/>
      </w:r>
      <w:r>
        <w:rPr/>
        <w:t>Statistical Package for the Social Sciences SS</w:t>
      </w:r>
      <w:r>
        <w:rPr>
          <w:u w:val="single"/>
        </w:rPr>
        <w:t> </w:t>
        <w:tab/>
      </w:r>
      <w:r>
        <w:rPr/>
        <w:t>Standart</w:t>
      </w:r>
      <w:r>
        <w:rPr>
          <w:spacing w:val="-2"/>
        </w:rPr>
        <w:t> </w:t>
      </w:r>
      <w:r>
        <w:rPr/>
        <w:t>sapma</w:t>
      </w:r>
    </w:p>
    <w:p>
      <w:pPr>
        <w:pStyle w:val="BodyText"/>
        <w:tabs>
          <w:tab w:pos="3375" w:val="left" w:leader="none"/>
        </w:tabs>
        <w:ind w:left="1248"/>
      </w:pPr>
      <w:r>
        <w:rPr/>
        <w:t>vd</w:t>
      </w:r>
      <w:r>
        <w:rPr>
          <w:u w:val="single"/>
        </w:rPr>
        <w:t> </w:t>
        <w:tab/>
      </w:r>
      <w:r>
        <w:rPr/>
        <w:t>Ve</w:t>
      </w:r>
      <w:r>
        <w:rPr>
          <w:spacing w:val="-1"/>
        </w:rPr>
        <w:t> </w:t>
      </w:r>
      <w:r>
        <w:rPr/>
        <w:t>diğerleri</w:t>
      </w:r>
    </w:p>
    <w:p>
      <w:pPr>
        <w:pStyle w:val="BodyText"/>
        <w:tabs>
          <w:tab w:pos="3375" w:val="left" w:leader="none"/>
        </w:tabs>
        <w:ind w:left="1248" w:right="5274"/>
      </w:pPr>
      <w:r>
        <w:rPr/>
        <w:t>VKİ</w:t>
      </w:r>
      <w:r>
        <w:rPr>
          <w:u w:val="single"/>
        </w:rPr>
        <w:t> </w:t>
        <w:tab/>
      </w:r>
      <w:r>
        <w:rPr/>
        <w:t>Vücut kitle indeksi X</w:t>
      </w:r>
      <w:r>
        <w:rPr>
          <w:u w:val="single"/>
        </w:rPr>
        <w:t> </w:t>
        <w:tab/>
      </w:r>
      <w:r>
        <w:rPr/>
        <w:t>Aritmetik</w:t>
      </w:r>
      <w:r>
        <w:rPr>
          <w:spacing w:val="6"/>
        </w:rPr>
        <w:t> </w:t>
      </w:r>
      <w:r>
        <w:rPr>
          <w:spacing w:val="-3"/>
        </w:rPr>
        <w:t>ortalama</w:t>
      </w:r>
    </w:p>
    <w:p>
      <w:pPr>
        <w:spacing w:after="0"/>
        <w:sectPr>
          <w:pgSz w:w="11910" w:h="16840"/>
          <w:pgMar w:header="749" w:footer="0" w:top="960" w:bottom="280" w:left="1020" w:right="4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6"/>
        </w:rPr>
      </w:pPr>
    </w:p>
    <w:p>
      <w:pPr>
        <w:pStyle w:val="Heading1"/>
        <w:numPr>
          <w:ilvl w:val="0"/>
          <w:numId w:val="2"/>
        </w:numPr>
        <w:tabs>
          <w:tab w:pos="1494" w:val="left" w:leader="none"/>
        </w:tabs>
        <w:spacing w:line="240" w:lineRule="auto" w:before="94" w:after="0"/>
        <w:ind w:left="1493" w:right="0" w:hanging="246"/>
        <w:jc w:val="left"/>
      </w:pPr>
      <w:bookmarkStart w:name="_bookmark7" w:id="8"/>
      <w:bookmarkEnd w:id="8"/>
      <w:r>
        <w:rPr>
          <w:b w:val="0"/>
        </w:rPr>
      </w:r>
      <w:bookmarkStart w:name="_bookmark7" w:id="9"/>
      <w:bookmarkEnd w:id="9"/>
      <w:r>
        <w:rPr/>
        <w:t>G</w:t>
      </w:r>
      <w:r>
        <w:rPr/>
        <w:t>İRİŞ</w:t>
      </w:r>
    </w:p>
    <w:p>
      <w:pPr>
        <w:pStyle w:val="BodyText"/>
        <w:rPr>
          <w:b/>
          <w:sz w:val="24"/>
        </w:rPr>
      </w:pPr>
    </w:p>
    <w:p>
      <w:pPr>
        <w:pStyle w:val="BodyText"/>
        <w:rPr>
          <w:b/>
          <w:sz w:val="24"/>
        </w:rPr>
      </w:pPr>
    </w:p>
    <w:p>
      <w:pPr>
        <w:pStyle w:val="BodyText"/>
        <w:spacing w:before="1"/>
        <w:rPr>
          <w:b/>
          <w:sz w:val="29"/>
        </w:rPr>
      </w:pPr>
    </w:p>
    <w:p>
      <w:pPr>
        <w:pStyle w:val="BodyText"/>
        <w:spacing w:line="360" w:lineRule="auto" w:before="1"/>
        <w:ind w:left="1308" w:right="666" w:firstLine="708"/>
        <w:jc w:val="both"/>
      </w:pPr>
      <w:r>
        <w:rPr/>
        <w:t>Bası yaraları uzun süre yatağa bağımlı kalan hastalarda sık görülen, tedavisi oldukça zor olan, rehabilitasyon programını aksatan ve hastanın ölümüne yol açabilecek derecede ağır olabilen bir komplikasyondur. Uzun süre devam eden basının deri ve deri altı dokularda dolaşımı bozması sonucu meydana gelen doku kayıpları ve ülserasyonlar etyopatogenezde önemli rol oynar (Kierney 1998, Tokgöz 2010). Bası yaralarının kliniği geniş bir yelpazeye sahip olup, yüzeyel cilt kaybından, altta yatan yağ, kas, kemik ve eklemlerin ilerleyici yıkımına kadar ilerleme gösterir. Tedavi edilmeden ilerlemesine izin verilirse, sepsis gelişebilir ve ölümle sonuçlanabilir (Özel</w:t>
      </w:r>
      <w:r>
        <w:rPr>
          <w:spacing w:val="-2"/>
        </w:rPr>
        <w:t> </w:t>
      </w:r>
      <w:r>
        <w:rPr/>
        <w:t>2014)</w:t>
      </w:r>
    </w:p>
    <w:p>
      <w:pPr>
        <w:pStyle w:val="BodyText"/>
        <w:spacing w:line="360" w:lineRule="auto" w:before="161"/>
        <w:ind w:left="1248" w:right="668" w:firstLine="708"/>
        <w:jc w:val="both"/>
      </w:pPr>
      <w:r>
        <w:rPr/>
        <w:t>Amerikan Ulusal Basınç Yarası Danışmanlık Paneli (AUBYDP) tanımına göre; "bası yarası sıklıkla bir kemik çıkıntı veya belirli bir alan üzerinde iskemi, hücre ölümü ve doku nekrozuna yol açan, giderilemeyen basınç alanı olarak tanımlanır. Lezyonlar genellikle derinliklerine göre makroskopik ve morfolojik kriterlere dayalı olarak çeşitli biçimlerde tanımlanmaktadır:</w:t>
      </w:r>
    </w:p>
    <w:p>
      <w:pPr>
        <w:pStyle w:val="BodyText"/>
        <w:spacing w:line="357" w:lineRule="auto" w:before="160"/>
        <w:ind w:left="1248" w:right="674" w:firstLine="708"/>
        <w:jc w:val="both"/>
      </w:pPr>
      <w:r>
        <w:rPr/>
        <w:t>Evre-1: Kalıcı, basmakla solmayan eritemle karakterizedir. Epidermis sağlamdır.</w:t>
      </w:r>
    </w:p>
    <w:p>
      <w:pPr>
        <w:pStyle w:val="BodyText"/>
        <w:spacing w:line="357" w:lineRule="auto" w:before="165"/>
        <w:ind w:left="1248" w:right="676" w:firstLine="708"/>
        <w:jc w:val="both"/>
      </w:pPr>
      <w:r>
        <w:rPr/>
        <w:t>Evre-2: Abrazyon, vezikül veya derin olmayan krater ile kendini gösteren, epidermis ve/veya dermisi içeren kısmi kalınlıkta deri kaybı ile karakterizedir.</w:t>
      </w:r>
    </w:p>
    <w:p>
      <w:pPr>
        <w:pStyle w:val="BodyText"/>
        <w:spacing w:line="357" w:lineRule="auto" w:before="165"/>
        <w:ind w:left="1248" w:right="680" w:firstLine="708"/>
        <w:jc w:val="both"/>
      </w:pPr>
      <w:r>
        <w:rPr/>
        <w:t>Evre-3: Alttaki fasyaya kadar uzanan ancak fasyayı içine almayan hasar veya nekrozun olduğu tam kalınlıktaki deri kaybıdır.</w:t>
      </w:r>
    </w:p>
    <w:p>
      <w:pPr>
        <w:pStyle w:val="BodyText"/>
        <w:spacing w:line="357" w:lineRule="auto" w:before="166"/>
        <w:ind w:left="1248" w:right="677" w:firstLine="708"/>
        <w:jc w:val="both"/>
      </w:pPr>
      <w:r>
        <w:rPr/>
        <w:t>Evre-4: Yaygın doku kaybı, doku nekrozu veya kas, kemik ya da destek dokuların hasarının olduğu, vücut boşluklarıyla irtibatlı olan tam kat doku kaybıdır (Yarkony 1990, Bozbaş 2011).</w:t>
      </w:r>
    </w:p>
    <w:p>
      <w:pPr>
        <w:pStyle w:val="BodyText"/>
        <w:spacing w:line="360" w:lineRule="auto" w:before="168"/>
        <w:ind w:left="1248" w:right="675" w:firstLine="708"/>
        <w:jc w:val="both"/>
      </w:pPr>
      <w:r>
        <w:rPr/>
        <w:t>Bu tanımlamaya göre, giderilemeyen ara yüz basıncı kapiller kan akışını düşürmekte ve dolayısıyla damarların kapanmasına yol açmaktadır. Bu şekilde doku</w:t>
      </w:r>
    </w:p>
    <w:p>
      <w:pPr>
        <w:spacing w:after="0" w:line="360" w:lineRule="auto"/>
        <w:jc w:val="both"/>
        <w:sectPr>
          <w:headerReference w:type="default" r:id="rId11"/>
          <w:pgSz w:w="11910" w:h="16840"/>
          <w:pgMar w:header="749" w:footer="0" w:top="960" w:bottom="280" w:left="1020" w:right="460"/>
          <w:pgNumType w:start="1"/>
        </w:sectPr>
      </w:pPr>
    </w:p>
    <w:p>
      <w:pPr>
        <w:pStyle w:val="BodyText"/>
        <w:rPr>
          <w:sz w:val="20"/>
        </w:rPr>
      </w:pPr>
    </w:p>
    <w:p>
      <w:pPr>
        <w:pStyle w:val="BodyText"/>
        <w:spacing w:before="5"/>
        <w:rPr>
          <w:sz w:val="19"/>
        </w:rPr>
      </w:pPr>
    </w:p>
    <w:p>
      <w:pPr>
        <w:pStyle w:val="BodyText"/>
        <w:spacing w:line="357" w:lineRule="auto"/>
        <w:ind w:left="1248" w:right="673"/>
        <w:jc w:val="both"/>
      </w:pPr>
      <w:r>
        <w:rPr/>
        <w:t>oksijenasyonu azalmaktadır. Bu durum da iskemiye neden olmakta ve sonuç olarak doku nekrozuna neden olmaktadır (Aljezawi 2014).</w:t>
      </w:r>
    </w:p>
    <w:p>
      <w:pPr>
        <w:pStyle w:val="BodyText"/>
        <w:spacing w:before="166"/>
        <w:ind w:left="1956"/>
        <w:jc w:val="both"/>
      </w:pPr>
      <w:r>
        <w:rPr/>
        <w:t>Çeşitli ülkelerden yapılan araştırmalarda bası yarası insidansının hastane içinde</w:t>
      </w:r>
    </w:p>
    <w:p>
      <w:pPr>
        <w:pStyle w:val="BodyText"/>
        <w:spacing w:line="360" w:lineRule="auto" w:before="126"/>
        <w:ind w:left="1248" w:right="669"/>
        <w:jc w:val="both"/>
      </w:pPr>
      <w:r>
        <w:rPr/>
        <w:t>%8-23 olduğu bununla beraber yoğun bakım ünitelerinde bu oranın %56’ya kadar çıktığı saptanmıştır (Özel 2014). Başka bir çalışmada ise 185 spinal kord yaralanmalı hastada bası yarası görülme riskini etkileyen en önemli etkenler; yaş ve  nörolojik seviye olarak belirtilmiştir (Idowu</w:t>
      </w:r>
      <w:r>
        <w:rPr>
          <w:spacing w:val="-1"/>
        </w:rPr>
        <w:t> </w:t>
      </w:r>
      <w:r>
        <w:rPr/>
        <w:t>2011).</w:t>
      </w:r>
    </w:p>
    <w:p>
      <w:pPr>
        <w:pStyle w:val="BodyText"/>
        <w:spacing w:line="360" w:lineRule="auto" w:before="160"/>
        <w:ind w:left="1248" w:right="669" w:firstLine="708"/>
        <w:jc w:val="both"/>
      </w:pPr>
      <w:r>
        <w:rPr/>
        <w:t>Ülkemizde yapılan çalışmalarda ise hastane içi bası yarası insidansı %6.8-8.6, cerrahi uygulamalardan sonra gelişen bası yarası insidansı %54.2 olarak saptanmıştır (Girgin 2007). Kardiyovasküler hastalıklar sırasında %41, akut nörolojik bozukluklar sırasında %27 ve ortopedik yaralanmalar sonrasında %15 oranında bası yaraları gözlemlenmiştir (Scott 2006).</w:t>
      </w:r>
    </w:p>
    <w:p>
      <w:pPr>
        <w:pStyle w:val="BodyText"/>
        <w:spacing w:line="360" w:lineRule="auto" w:before="162"/>
        <w:ind w:left="1248" w:right="675" w:firstLine="768"/>
        <w:jc w:val="both"/>
      </w:pPr>
      <w:r>
        <w:rPr/>
        <w:t>Bası yaraları; basıya uğrayan her yerde gelişebilmekle birlikte, en sık gözlendiği bölgeler, sakrum, topuklar, iskiyum ve trokanterlerdir. Dansereau ve Conley 2000 olguluk bir incelemede bası yaralarının anatomik dağılımını sırasıyla %28</w:t>
      </w:r>
      <w:r>
        <w:rPr>
          <w:spacing w:val="1"/>
        </w:rPr>
        <w:t> </w:t>
      </w:r>
      <w:r>
        <w:rPr/>
        <w:t>iskiyal,</w:t>
      </w:r>
    </w:p>
    <w:p>
      <w:pPr>
        <w:pStyle w:val="BodyText"/>
        <w:spacing w:line="357" w:lineRule="auto"/>
        <w:ind w:left="1248" w:right="677"/>
        <w:jc w:val="both"/>
      </w:pPr>
      <w:r>
        <w:rPr/>
        <w:t>%19 trokanterik, %17 sakral ve %36 diğer (topuk, malleol, diz gibi) olarak tespit etmişlerdir (Dansereau 1964).</w:t>
      </w:r>
    </w:p>
    <w:p>
      <w:pPr>
        <w:pStyle w:val="BodyText"/>
        <w:spacing w:line="360" w:lineRule="auto" w:before="165"/>
        <w:ind w:left="1248" w:right="669" w:firstLine="708"/>
        <w:jc w:val="both"/>
      </w:pPr>
      <w:r>
        <w:rPr/>
        <w:pict>
          <v:rect style="position:absolute;margin-left:535.679993pt;margin-top:57.707878pt;width:3pt;height:.84pt;mso-position-horizontal-relative:page;mso-position-vertical-relative:paragraph;z-index:-255560704" filled="true" fillcolor="#000000" stroked="false">
            <v:fill type="solid"/>
            <w10:wrap type="none"/>
          </v:rect>
        </w:pict>
      </w:r>
      <w:r>
        <w:rPr/>
        <w:t>Bası yaralarının önlenmesi için ilk ve en önemli adım bası yarasına neden olabilecek risk faktörlerinin belirlenmesidir, çünkü bası yaraları açıldıktan sonra kolay iyileşmeyen, tedavisi zor ve zahmetli olan kronik ülserler arasında yer almaktadır. Normalde açılan bir yaranın 2-3 haftada iyileşmesi beklenir, ancak infeksiyon, iskemi, staz, basıncın miktarı, yara çapının büyük olması gibi nedenler yara iyileşmesini geciktirir. İyileşmeyen yaralar hastanın tedavi programını olumsuz yönde etkilemektedir (Şahin 2009).</w:t>
      </w:r>
    </w:p>
    <w:p>
      <w:pPr>
        <w:pStyle w:val="BodyText"/>
        <w:spacing w:line="360" w:lineRule="auto" w:before="159"/>
        <w:ind w:left="1248" w:right="670" w:firstLine="708"/>
        <w:jc w:val="both"/>
      </w:pPr>
      <w:r>
        <w:rPr/>
        <w:t>Merkezi Sinir Sistemi (MSS) hastalıkları da biyolojik iyileşme sürecini bozarak yara iyileşmesini geciktirmektedir. Bu nedenle bası yaralarının meydana gelmeden önce önlenmesi, tedavisine göre çok daha kolay ve etkili bir yöntemdir ayrıca daha az maliyet gerektirmektedir. Bası yaralarının tedavisi Amerika Birleşik Devletleri’nde vaka başına 38.700-70.000 dolar maliyet gerektirmektedir ve yıllık toplam maliyet 11 milyar doları bulmaktadır (Padula 2011, Qaseem</w:t>
      </w:r>
      <w:r>
        <w:rPr>
          <w:spacing w:val="-2"/>
        </w:rPr>
        <w:t> </w:t>
      </w:r>
      <w:r>
        <w:rPr/>
        <w:t>2015).</w:t>
      </w:r>
    </w:p>
    <w:p>
      <w:pPr>
        <w:pStyle w:val="BodyText"/>
        <w:spacing w:line="360" w:lineRule="auto" w:before="162"/>
        <w:ind w:left="1248" w:right="672" w:firstLine="708"/>
        <w:jc w:val="both"/>
      </w:pPr>
      <w:r>
        <w:rPr/>
        <w:t>Ayrıca basınca bağlı ilk yaranın gelişmesinden sonra yeni alanlar daha fazla  risk altındadır. Risk grubunu, intoksikasyon, travma, anestezi, parapleji, tetrapleji gibi duysal</w:t>
      </w:r>
      <w:r>
        <w:rPr>
          <w:spacing w:val="38"/>
        </w:rPr>
        <w:t> </w:t>
      </w:r>
      <w:r>
        <w:rPr/>
        <w:t>ve</w:t>
      </w:r>
      <w:r>
        <w:rPr>
          <w:spacing w:val="37"/>
        </w:rPr>
        <w:t> </w:t>
      </w:r>
      <w:r>
        <w:rPr/>
        <w:t>motor</w:t>
      </w:r>
      <w:r>
        <w:rPr>
          <w:spacing w:val="38"/>
        </w:rPr>
        <w:t> </w:t>
      </w:r>
      <w:r>
        <w:rPr/>
        <w:t>sorunlar</w:t>
      </w:r>
      <w:r>
        <w:rPr>
          <w:spacing w:val="38"/>
        </w:rPr>
        <w:t> </w:t>
      </w:r>
      <w:r>
        <w:rPr/>
        <w:t>bulunan</w:t>
      </w:r>
      <w:r>
        <w:rPr>
          <w:spacing w:val="37"/>
        </w:rPr>
        <w:t> </w:t>
      </w:r>
      <w:r>
        <w:rPr/>
        <w:t>hastalar</w:t>
      </w:r>
      <w:r>
        <w:rPr>
          <w:spacing w:val="38"/>
        </w:rPr>
        <w:t> </w:t>
      </w:r>
      <w:r>
        <w:rPr/>
        <w:t>oluşturur.</w:t>
      </w:r>
      <w:r>
        <w:rPr>
          <w:spacing w:val="38"/>
        </w:rPr>
        <w:t> </w:t>
      </w:r>
      <w:r>
        <w:rPr/>
        <w:t>Bu</w:t>
      </w:r>
      <w:r>
        <w:rPr>
          <w:spacing w:val="37"/>
        </w:rPr>
        <w:t> </w:t>
      </w:r>
      <w:r>
        <w:rPr/>
        <w:t>hastalarda</w:t>
      </w:r>
      <w:r>
        <w:rPr>
          <w:spacing w:val="38"/>
        </w:rPr>
        <w:t> </w:t>
      </w:r>
      <w:r>
        <w:rPr/>
        <w:t>dekubitus</w:t>
      </w:r>
      <w:r>
        <w:rPr>
          <w:spacing w:val="37"/>
        </w:rPr>
        <w:t> </w:t>
      </w:r>
      <w:r>
        <w:rPr/>
        <w:t>ülseri</w:t>
      </w:r>
    </w:p>
    <w:p>
      <w:pPr>
        <w:spacing w:after="0" w:line="360" w:lineRule="auto"/>
        <w:jc w:val="both"/>
        <w:sectPr>
          <w:pgSz w:w="11910" w:h="16840"/>
          <w:pgMar w:header="749" w:footer="0" w:top="960" w:bottom="280" w:left="1020" w:right="460"/>
        </w:sectPr>
      </w:pPr>
    </w:p>
    <w:p>
      <w:pPr>
        <w:pStyle w:val="BodyText"/>
        <w:rPr>
          <w:sz w:val="20"/>
        </w:rPr>
      </w:pPr>
    </w:p>
    <w:p>
      <w:pPr>
        <w:pStyle w:val="BodyText"/>
        <w:spacing w:before="5"/>
        <w:rPr>
          <w:sz w:val="19"/>
        </w:rPr>
      </w:pPr>
    </w:p>
    <w:p>
      <w:pPr>
        <w:pStyle w:val="BodyText"/>
        <w:spacing w:line="357" w:lineRule="auto"/>
        <w:ind w:left="1248" w:right="675"/>
        <w:jc w:val="both"/>
      </w:pPr>
      <w:r>
        <w:rPr/>
        <w:t>sıklığı %44-86 arasında değişmekte olup, bu oranlar normal populasyondaki sıklığın yaklaşık olarak 10 katı kadardır (Demarre 2015).</w:t>
      </w:r>
    </w:p>
    <w:p>
      <w:pPr>
        <w:pStyle w:val="BodyText"/>
        <w:spacing w:line="360" w:lineRule="auto" w:before="166"/>
        <w:ind w:left="1248" w:right="673" w:firstLine="708"/>
        <w:jc w:val="both"/>
      </w:pPr>
      <w:r>
        <w:rPr/>
        <w:t>Tokgöz ve ark. nöroloji yoğun bakım servisinde tedavi gören 46 hastada yaptıkları çalışmada bası yarası görülme riskinin %15 olduğunu ifade etmiştir (Tokgöz 2010). Akça ve ark. rehabilitasyon bakım evinde 175 olguda yaptıkları çalışmaya göre olguların %16’sı bası yarası açısından yüksek riske sahiptir (Akça 2015).</w:t>
      </w:r>
    </w:p>
    <w:p>
      <w:pPr>
        <w:pStyle w:val="BodyText"/>
        <w:spacing w:line="360" w:lineRule="auto" w:before="159"/>
        <w:ind w:left="1248" w:right="673" w:firstLine="708"/>
        <w:jc w:val="both"/>
      </w:pPr>
      <w:r>
        <w:rPr/>
        <w:t>Bası yarası risk faktörlerinin bilinmesi tedavi planı açısından önemlidir. Hastalarda yaralara bağlı diğer komplikasyonların oluşmaması, hastanın hastanede kalış süresinin kısaltılması, tedavi maliyetlerinin azalması için sağlık personelinin risk oranını bilmesi önem arz etmektedir. Özellikle nörolojik rehabilitasyon alanında çalışan fizyoterapistlerin, hastalarda bası yarası oluşturabilecek risk faktörleri bilmesi ve risk altındaki hastaları belirleyip rehabilitasyonda buna yönelik uygulamalar da yapması ve bu konuda hassasiyet göstermeleri bası yaralarının önlenmesi açısından oldukça önemlidir.</w:t>
      </w:r>
    </w:p>
    <w:p>
      <w:pPr>
        <w:pStyle w:val="BodyText"/>
        <w:rPr>
          <w:sz w:val="24"/>
        </w:rPr>
      </w:pPr>
    </w:p>
    <w:p>
      <w:pPr>
        <w:pStyle w:val="BodyText"/>
        <w:rPr>
          <w:sz w:val="24"/>
        </w:rPr>
      </w:pPr>
    </w:p>
    <w:p>
      <w:pPr>
        <w:pStyle w:val="BodyText"/>
        <w:spacing w:before="9"/>
        <w:rPr>
          <w:sz w:val="31"/>
        </w:rPr>
      </w:pPr>
    </w:p>
    <w:p>
      <w:pPr>
        <w:pStyle w:val="Heading1"/>
        <w:numPr>
          <w:ilvl w:val="1"/>
          <w:numId w:val="2"/>
        </w:numPr>
        <w:tabs>
          <w:tab w:pos="1621" w:val="left" w:leader="none"/>
        </w:tabs>
        <w:spacing w:line="240" w:lineRule="auto" w:before="1" w:after="0"/>
        <w:ind w:left="1620" w:right="0" w:hanging="373"/>
        <w:jc w:val="left"/>
      </w:pPr>
      <w:bookmarkStart w:name="_bookmark8" w:id="10"/>
      <w:bookmarkEnd w:id="10"/>
      <w:r>
        <w:rPr>
          <w:b w:val="0"/>
        </w:rPr>
      </w:r>
      <w:bookmarkStart w:name="_bookmark8" w:id="11"/>
      <w:bookmarkEnd w:id="11"/>
      <w:r>
        <w:rPr>
          <w:spacing w:val="-3"/>
        </w:rPr>
        <w:t>A</w:t>
      </w:r>
      <w:r>
        <w:rPr>
          <w:spacing w:val="-3"/>
        </w:rPr>
        <w:t>maç</w:t>
      </w:r>
    </w:p>
    <w:p>
      <w:pPr>
        <w:pStyle w:val="BodyText"/>
        <w:rPr>
          <w:b/>
          <w:sz w:val="24"/>
        </w:rPr>
      </w:pPr>
    </w:p>
    <w:p>
      <w:pPr>
        <w:pStyle w:val="BodyText"/>
        <w:spacing w:before="2"/>
        <w:rPr>
          <w:b/>
          <w:sz w:val="20"/>
        </w:rPr>
      </w:pPr>
    </w:p>
    <w:p>
      <w:pPr>
        <w:pStyle w:val="BodyText"/>
        <w:spacing w:line="360" w:lineRule="auto"/>
        <w:ind w:left="1248" w:right="674" w:firstLine="708"/>
        <w:jc w:val="both"/>
      </w:pPr>
      <w:r>
        <w:rPr/>
        <w:t>Kesitsel olarak planlanan bu çalışmamızda temel amaçlarımız; Üniversitemizin Eğitim ve Araştırma Hastanesi Nöroloji Anabilim Dalı (AD) yataklı servisi ve Beyin Cerrahi ABD yataklı servisinde ve bu servislerin yoğun bakımlarında nörolojik bir tanıya bağlı olarak yatarak tedavi gören ve bir başkasının yardımı ile yatak dışı transferi gerçekleştirilebilen hastalar arasında bası yarası risk oranını belirlemek ve bası yarasına neden olabilecek risk faktörlerini tespit etmektir.</w:t>
      </w:r>
    </w:p>
    <w:p>
      <w:pPr>
        <w:spacing w:after="0" w:line="360" w:lineRule="auto"/>
        <w:jc w:val="both"/>
        <w:sectPr>
          <w:pgSz w:w="11910" w:h="16840"/>
          <w:pgMar w:header="749" w:footer="0" w:top="960" w:bottom="280" w:left="1020" w:right="4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6"/>
        </w:rPr>
      </w:pPr>
    </w:p>
    <w:p>
      <w:pPr>
        <w:pStyle w:val="Heading1"/>
        <w:numPr>
          <w:ilvl w:val="0"/>
          <w:numId w:val="2"/>
        </w:numPr>
        <w:tabs>
          <w:tab w:pos="1496" w:val="left" w:leader="none"/>
        </w:tabs>
        <w:spacing w:line="240" w:lineRule="auto" w:before="94" w:after="0"/>
        <w:ind w:left="1495" w:right="0" w:hanging="248"/>
        <w:jc w:val="left"/>
      </w:pPr>
      <w:bookmarkStart w:name="_bookmark9" w:id="12"/>
      <w:bookmarkEnd w:id="12"/>
      <w:r>
        <w:rPr>
          <w:b w:val="0"/>
        </w:rPr>
      </w:r>
      <w:bookmarkStart w:name="_bookmark9" w:id="13"/>
      <w:bookmarkEnd w:id="13"/>
      <w:r>
        <w:rPr/>
        <w:t>K</w:t>
      </w:r>
      <w:r>
        <w:rPr/>
        <w:t>URAMSAL BİLGİLER VE LİTERATÜR</w:t>
      </w:r>
      <w:r>
        <w:rPr>
          <w:spacing w:val="-2"/>
        </w:rPr>
        <w:t> </w:t>
      </w:r>
      <w:r>
        <w:rPr/>
        <w:t>TARAMASI</w:t>
      </w:r>
    </w:p>
    <w:p>
      <w:pPr>
        <w:pStyle w:val="BodyText"/>
        <w:rPr>
          <w:b/>
          <w:sz w:val="24"/>
        </w:rPr>
      </w:pPr>
    </w:p>
    <w:p>
      <w:pPr>
        <w:pStyle w:val="BodyText"/>
        <w:rPr>
          <w:b/>
          <w:sz w:val="24"/>
        </w:rPr>
      </w:pPr>
    </w:p>
    <w:p>
      <w:pPr>
        <w:pStyle w:val="BodyText"/>
        <w:spacing w:before="10"/>
        <w:rPr>
          <w:b/>
          <w:sz w:val="28"/>
        </w:rPr>
      </w:pPr>
    </w:p>
    <w:p>
      <w:pPr>
        <w:pStyle w:val="Heading1"/>
        <w:numPr>
          <w:ilvl w:val="1"/>
          <w:numId w:val="2"/>
        </w:numPr>
        <w:tabs>
          <w:tab w:pos="1618" w:val="left" w:leader="none"/>
        </w:tabs>
        <w:spacing w:line="240" w:lineRule="auto" w:before="1" w:after="0"/>
        <w:ind w:left="1617" w:right="0" w:hanging="370"/>
        <w:jc w:val="left"/>
      </w:pPr>
      <w:bookmarkStart w:name="_bookmark10" w:id="14"/>
      <w:bookmarkEnd w:id="14"/>
      <w:r>
        <w:rPr>
          <w:b w:val="0"/>
        </w:rPr>
      </w:r>
      <w:bookmarkStart w:name="_bookmark10" w:id="15"/>
      <w:bookmarkEnd w:id="15"/>
      <w:r>
        <w:rPr/>
        <w:t>B</w:t>
      </w:r>
      <w:r>
        <w:rPr/>
        <w:t>ası Yarasının</w:t>
      </w:r>
      <w:r>
        <w:rPr>
          <w:spacing w:val="-4"/>
        </w:rPr>
        <w:t> </w:t>
      </w:r>
      <w:r>
        <w:rPr/>
        <w:t>Tanımı</w:t>
      </w:r>
    </w:p>
    <w:p>
      <w:pPr>
        <w:pStyle w:val="BodyText"/>
        <w:rPr>
          <w:b/>
          <w:sz w:val="24"/>
        </w:rPr>
      </w:pPr>
    </w:p>
    <w:p>
      <w:pPr>
        <w:pStyle w:val="BodyText"/>
        <w:spacing w:before="2"/>
        <w:rPr>
          <w:b/>
          <w:sz w:val="20"/>
        </w:rPr>
      </w:pPr>
    </w:p>
    <w:p>
      <w:pPr>
        <w:pStyle w:val="BodyText"/>
        <w:spacing w:line="360" w:lineRule="auto"/>
        <w:ind w:left="1248" w:right="668" w:firstLine="708"/>
        <w:jc w:val="both"/>
      </w:pPr>
      <w:r>
        <w:rPr/>
        <w:t>Bası yaraları etkilenen insan sayısı göz önüne alındığında Dünya çapında büyük bir sağlık sorunudur (Lyder 2002). Bası yaraları, yatak yaraları / dekübit ülserleri olarak da bilinmektedir. Bası yaraları, uzun süreli aralıksız olarak devam eden basınç altında kalma, kayma ve/veya sürtünme aktivitelerinin kombinasyonuyla ortaya çıkan basınç sonucu oluşan, genellikle bir kemik çıkıntısı üzerinde ortaya çıkan cilt ve/veya altta yatan dokuda lokalize olan doku hasarlarıdır. Basının uzun süre devam etmesi ile deri ve deri altı dokularda dolaşımın bozulması, dokuların beslenmesinin bozulması dolayısıyla dokuya oksijen ulaşımının yetersiz olmasıyla doku bütünlüğünün bozulup parçalanması ve doku nekrozunun oluşması etyopatogenezde önemli rol oynar (Kierney 1998, Gebhardt 2010, Tokgöz</w:t>
      </w:r>
      <w:r>
        <w:rPr>
          <w:spacing w:val="-9"/>
        </w:rPr>
        <w:t> </w:t>
      </w:r>
      <w:r>
        <w:rPr/>
        <w:t>2010).</w:t>
      </w:r>
    </w:p>
    <w:p>
      <w:pPr>
        <w:pStyle w:val="BodyText"/>
        <w:spacing w:line="360" w:lineRule="auto" w:before="161"/>
        <w:ind w:left="1248" w:right="674" w:firstLine="708"/>
        <w:jc w:val="both"/>
      </w:pPr>
      <w:r>
        <w:rPr/>
        <w:t>Amerikan Ulusal Basınç Yarası Danışmanlık Paneli (AUBYDP) tanımına göre; "bası yarası sıklıkla bir kemik çıkıntı veya belirli bir alan üzerinde iskemi, hücre ölümü ve doku nekrozuna yol açan, giderilemeyen basınç alanı olarak tanımlanır. Basınç ülserleri, uzun süre yatağa veya tekerlekli sandalyeye mahkûm olan kişilerde potansiyel olarak en yıkıcı komplikasyonlardan</w:t>
      </w:r>
      <w:r>
        <w:rPr>
          <w:spacing w:val="-6"/>
        </w:rPr>
        <w:t> </w:t>
      </w:r>
      <w:r>
        <w:rPr/>
        <w:t>biridir.</w:t>
      </w:r>
    </w:p>
    <w:p>
      <w:pPr>
        <w:pStyle w:val="BodyText"/>
        <w:spacing w:line="360" w:lineRule="auto" w:before="159"/>
        <w:ind w:left="1248" w:right="675" w:firstLine="708"/>
        <w:jc w:val="both"/>
      </w:pPr>
      <w:r>
        <w:rPr/>
        <w:t>Bası yaraları ile ilgili ilk bilgilere tarihin en eski sayfalarında, antik çağda Mısır’ın bazı mumyalarında rastlanmıştır. Ancak bilimsel olarak 1800’lü yıllarda tanımlanmıştır (Colen 1988).</w:t>
      </w:r>
    </w:p>
    <w:p>
      <w:pPr>
        <w:pStyle w:val="BodyText"/>
        <w:rPr>
          <w:sz w:val="24"/>
        </w:rPr>
      </w:pPr>
    </w:p>
    <w:p>
      <w:pPr>
        <w:pStyle w:val="BodyText"/>
        <w:rPr>
          <w:sz w:val="24"/>
        </w:rPr>
      </w:pPr>
    </w:p>
    <w:p>
      <w:pPr>
        <w:pStyle w:val="Heading1"/>
        <w:numPr>
          <w:ilvl w:val="1"/>
          <w:numId w:val="2"/>
        </w:numPr>
        <w:tabs>
          <w:tab w:pos="1618" w:val="left" w:leader="none"/>
        </w:tabs>
        <w:spacing w:line="240" w:lineRule="auto" w:before="207" w:after="0"/>
        <w:ind w:left="1618" w:right="0" w:hanging="370"/>
        <w:jc w:val="left"/>
      </w:pPr>
      <w:bookmarkStart w:name="_bookmark11" w:id="16"/>
      <w:bookmarkEnd w:id="16"/>
      <w:r>
        <w:rPr>
          <w:b w:val="0"/>
        </w:rPr>
      </w:r>
      <w:bookmarkStart w:name="_bookmark11" w:id="17"/>
      <w:bookmarkEnd w:id="17"/>
      <w:r>
        <w:rPr/>
        <w:t>B</w:t>
      </w:r>
      <w:r>
        <w:rPr/>
        <w:t>ası Yarasının</w:t>
      </w:r>
      <w:r>
        <w:rPr>
          <w:spacing w:val="-4"/>
        </w:rPr>
        <w:t> </w:t>
      </w:r>
      <w:r>
        <w:rPr/>
        <w:t>Prevelansı</w:t>
      </w:r>
    </w:p>
    <w:p>
      <w:pPr>
        <w:pStyle w:val="BodyText"/>
        <w:rPr>
          <w:b/>
          <w:sz w:val="24"/>
        </w:rPr>
      </w:pPr>
    </w:p>
    <w:p>
      <w:pPr>
        <w:pStyle w:val="BodyText"/>
        <w:spacing w:before="1"/>
        <w:rPr>
          <w:b/>
          <w:sz w:val="20"/>
        </w:rPr>
      </w:pPr>
    </w:p>
    <w:p>
      <w:pPr>
        <w:pStyle w:val="BodyText"/>
        <w:spacing w:line="360" w:lineRule="auto" w:before="1"/>
        <w:ind w:left="1248" w:right="674" w:firstLine="708"/>
        <w:jc w:val="both"/>
      </w:pPr>
      <w:r>
        <w:rPr/>
        <w:t>Bası yaralarının prevalansı konusunda kesin bir rakam yoktur ve prevelansı ile ilgili farklı tahminlerde bulunulmuştur. Bu verilere göre kurumsallaşmış birimlerde genel prevelansının %9.2 olduğunu ifade edilmiştir. Bununla birlikte farklı kurumlarda örneğin; hastanelerde %5-10, geriatri kliniklerinde ve yaşlı bakım evlerinde %30 ve hemşire</w:t>
      </w:r>
    </w:p>
    <w:p>
      <w:pPr>
        <w:spacing w:after="0" w:line="360" w:lineRule="auto"/>
        <w:jc w:val="both"/>
        <w:sectPr>
          <w:pgSz w:w="11910" w:h="16840"/>
          <w:pgMar w:header="749" w:footer="0" w:top="960" w:bottom="280" w:left="1020" w:right="460"/>
        </w:sectPr>
      </w:pPr>
    </w:p>
    <w:p>
      <w:pPr>
        <w:pStyle w:val="BodyText"/>
        <w:rPr>
          <w:sz w:val="20"/>
        </w:rPr>
      </w:pPr>
    </w:p>
    <w:p>
      <w:pPr>
        <w:pStyle w:val="BodyText"/>
        <w:spacing w:before="5"/>
        <w:rPr>
          <w:sz w:val="19"/>
        </w:rPr>
      </w:pPr>
    </w:p>
    <w:p>
      <w:pPr>
        <w:pStyle w:val="BodyText"/>
        <w:spacing w:line="360" w:lineRule="auto"/>
        <w:ind w:left="1248" w:right="670"/>
        <w:jc w:val="both"/>
      </w:pPr>
      <w:r>
        <w:rPr/>
        <w:t>bakımının evde devam ettiği ev bakım hastalarında %20 oranında görülmektedir (Dornervd 2009). Özel ve ark. tarafından çeşitli ülkelerden yapılan araştırmalarda bası yarası insidansının hastane içinde %8-23 olduğunu, bununla beraber yoğun bakım ünitelerinde bu oranın %56’ya kadar çıktığı saptanmıştır (Özel 2014). Almanya Federal İstatistik Ofisi’nin yaptığı araştırmaya göre; Almanya’da yaşayan yaklaşık olarak 2.3 milyon kişinin 2007 yılında hemşirelik bakımı talep ettiği ve bu kişilerden 550.000 kişide bası yarası olduğu ve/veya olması için yüksek risk altında risk altında olduğu belirtilmiştir.  İspanya’da  yapılan  epidemiyolojik   çalışmada;  hastanedeki  </w:t>
      </w:r>
      <w:r>
        <w:rPr>
          <w:spacing w:val="7"/>
        </w:rPr>
        <w:t> </w:t>
      </w:r>
      <w:r>
        <w:rPr/>
        <w:t>hastalarda</w:t>
      </w:r>
    </w:p>
    <w:p>
      <w:pPr>
        <w:pStyle w:val="BodyText"/>
        <w:spacing w:line="360" w:lineRule="auto" w:before="1"/>
        <w:ind w:left="1248" w:right="674"/>
        <w:jc w:val="both"/>
      </w:pPr>
      <w:r>
        <w:rPr/>
        <w:t>%8.34, evde bakım alan hastalarda %8.34 ve bakım kurumlarında uzun süre kalan hastalarda % 6.43 oranında görüldüğü ifade edilmiştir (Torravd 2003). Gelişmekte olan diğer ülkelerde de görülme sıklığının %3 ile %30 oranında değiştiği bildirilmiştir (Bergstrom vd 1998, Lyder 2002, Torravd 2003).   Amerika’da </w:t>
      </w:r>
      <w:r>
        <w:rPr>
          <w:spacing w:val="27"/>
        </w:rPr>
        <w:t> </w:t>
      </w:r>
      <w:r>
        <w:rPr/>
        <w:t>ise genel popülasyonun</w:t>
      </w:r>
    </w:p>
    <w:p>
      <w:pPr>
        <w:pStyle w:val="BodyText"/>
        <w:spacing w:line="253" w:lineRule="exact"/>
        <w:ind w:left="1248"/>
        <w:jc w:val="both"/>
      </w:pPr>
      <w:r>
        <w:rPr/>
        <w:t>%0.5-2.2’sinin bası yaralarından etkilendiği bildirilmiştir (Karadağ 2003).</w:t>
      </w:r>
    </w:p>
    <w:p>
      <w:pPr>
        <w:pStyle w:val="BodyText"/>
        <w:spacing w:before="10"/>
        <w:rPr>
          <w:sz w:val="24"/>
        </w:rPr>
      </w:pPr>
    </w:p>
    <w:p>
      <w:pPr>
        <w:pStyle w:val="BodyText"/>
        <w:spacing w:line="360" w:lineRule="auto" w:before="1"/>
        <w:ind w:left="1248" w:right="669" w:firstLine="708"/>
        <w:jc w:val="both"/>
      </w:pPr>
      <w:r>
        <w:rPr/>
        <w:t>Ülkemizde bası yarası prevelansı ile ilgili yapılan çalışmalar genellikle kesitsel nitelikte olan çalışmalardır. Bu çalışmalara göre İstanbul Üniversitesi’nde 922 hastada bası yarası prevalansının %7.2 olduğu (Hug vd 2011), Atatürk Üniversitesi Hastanesinde %11.6 (Uzun 2007), Erzurum ilindeki 5 devlet hastanesinde %12.7 (Kaşıkcı vd 2018) ve Çukurova Üniversitesi Hastanesi’nde ise prevalansın %10.4 olduğu belirtilmiştir (İnan vd 2012). Ülkemizde yapılan bir başka çalışmada ise hastane içi bası yarası insidansı %6.8-8.6, cerrahi uygulamalardan sonra gelişen bası yarası insidansı %54.2 olarak saptanmıştır (Girgin 2007).</w:t>
      </w:r>
    </w:p>
    <w:p>
      <w:pPr>
        <w:pStyle w:val="BodyText"/>
        <w:rPr>
          <w:sz w:val="24"/>
        </w:rPr>
      </w:pPr>
    </w:p>
    <w:p>
      <w:pPr>
        <w:pStyle w:val="BodyText"/>
        <w:rPr>
          <w:sz w:val="24"/>
        </w:rPr>
      </w:pPr>
    </w:p>
    <w:p>
      <w:pPr>
        <w:pStyle w:val="Heading1"/>
        <w:numPr>
          <w:ilvl w:val="1"/>
          <w:numId w:val="2"/>
        </w:numPr>
        <w:tabs>
          <w:tab w:pos="1618" w:val="left" w:leader="none"/>
        </w:tabs>
        <w:spacing w:line="240" w:lineRule="auto" w:before="207" w:after="0"/>
        <w:ind w:left="1618" w:right="0" w:hanging="370"/>
        <w:jc w:val="left"/>
      </w:pPr>
      <w:bookmarkStart w:name="_bookmark12" w:id="18"/>
      <w:bookmarkEnd w:id="18"/>
      <w:r>
        <w:rPr>
          <w:b w:val="0"/>
        </w:rPr>
      </w:r>
      <w:bookmarkStart w:name="_bookmark12" w:id="19"/>
      <w:bookmarkEnd w:id="19"/>
      <w:r>
        <w:rPr/>
        <w:t>B</w:t>
      </w:r>
      <w:r>
        <w:rPr/>
        <w:t>ası Yarasının</w:t>
      </w:r>
      <w:r>
        <w:rPr>
          <w:spacing w:val="-3"/>
        </w:rPr>
        <w:t> </w:t>
      </w:r>
      <w:r>
        <w:rPr/>
        <w:t>Etyolojisi</w:t>
      </w:r>
    </w:p>
    <w:p>
      <w:pPr>
        <w:pStyle w:val="BodyText"/>
        <w:rPr>
          <w:b/>
          <w:sz w:val="24"/>
        </w:rPr>
      </w:pPr>
    </w:p>
    <w:p>
      <w:pPr>
        <w:pStyle w:val="BodyText"/>
        <w:spacing w:before="1"/>
        <w:rPr>
          <w:b/>
          <w:sz w:val="20"/>
        </w:rPr>
      </w:pPr>
    </w:p>
    <w:p>
      <w:pPr>
        <w:pStyle w:val="BodyText"/>
        <w:spacing w:line="360" w:lineRule="auto" w:before="1"/>
        <w:ind w:left="1248" w:right="668" w:firstLine="708"/>
        <w:jc w:val="both"/>
      </w:pPr>
      <w:r>
        <w:rPr/>
        <w:t>Bası yaralarının oluşmasına neden olabilecek birçok faktör vardır. Birbirinden farklı ve çok yönlü etyolojik faktörlerin kombinasyonuyla ortaya çıkmaktadır. Ancak burada ülserasyona giden son ortak yol dokunun iskemisidir. Dokular, 30-32 mmHg civarında olan kapiller basıncı sadece küçük bir süre boyunca tutabilmektedir. Ancak bu basınç uzun süre aynı pozisyonda kalmaya bağlı olarak oluşan basınç normalden biraz artsa bile mikro dolaşımda tıkanmaya neden olur, bu kılcal kan damarlarında beslenme bozukluğu ile sonuçlanarak dokuda iskemiye neden olur sonrasında ise doku ölümüne ve ülserasyona doğru bir ilerleme oluşur (Gefen 2008, Gefen</w:t>
      </w:r>
      <w:r>
        <w:rPr>
          <w:spacing w:val="-18"/>
        </w:rPr>
        <w:t> </w:t>
      </w:r>
      <w:r>
        <w:rPr/>
        <w:t>2009).</w:t>
      </w:r>
    </w:p>
    <w:p>
      <w:pPr>
        <w:pStyle w:val="BodyText"/>
        <w:spacing w:line="360" w:lineRule="auto" w:before="159"/>
        <w:ind w:left="1248" w:right="674" w:firstLine="720"/>
        <w:jc w:val="both"/>
      </w:pPr>
      <w:r>
        <w:rPr/>
        <w:t>Basınç ülserleri, kısa bir süre boyunca cilt bölgesine fazla miktarda basınç uygulandığında gelişebilir aynı zamanda da daha uzun bir süre boyunca ve daha düşük şiddetteki basınç uygulandığında da oluşabilir. Doku bütünlüğü; bir kişinin uzun süre</w:t>
      </w:r>
    </w:p>
    <w:p>
      <w:pPr>
        <w:spacing w:after="0" w:line="360" w:lineRule="auto"/>
        <w:jc w:val="both"/>
        <w:sectPr>
          <w:pgSz w:w="11910" w:h="16840"/>
          <w:pgMar w:header="749" w:footer="0" w:top="960" w:bottom="280" w:left="1020" w:right="460"/>
        </w:sectPr>
      </w:pPr>
    </w:p>
    <w:p>
      <w:pPr>
        <w:pStyle w:val="BodyText"/>
        <w:rPr>
          <w:sz w:val="20"/>
        </w:rPr>
      </w:pPr>
    </w:p>
    <w:p>
      <w:pPr>
        <w:pStyle w:val="BodyText"/>
        <w:spacing w:before="5"/>
        <w:rPr>
          <w:sz w:val="19"/>
        </w:rPr>
      </w:pPr>
    </w:p>
    <w:p>
      <w:pPr>
        <w:pStyle w:val="BodyText"/>
        <w:spacing w:line="360" w:lineRule="auto"/>
        <w:ind w:left="1248" w:right="669"/>
        <w:jc w:val="both"/>
      </w:pPr>
      <w:r>
        <w:rPr/>
        <w:t>oturması veya yatakta yatması sırasında yumuşak dokuların destek yüzeyi ile iskelet yapısı arasında sıkışmasıyla bozulmaktadır. Deforme olan doku içindeki kan damarları sıkıştırılmış, açılmış veya normal şekilleri bozulmuştur. Dokunun kendini korumak için oluşturduğu bu mekanizmanın sürekli hale gelmesiyle altta kalan dokularda kan akışı azalarak dokuda iskemiye neden olmaktadır (Lam vd 1985). Oluşan tıkanma ile kan akışının azalmasının yanında, doku bozulması ile de lenfatik akış engellenir ve bu da etkilenen dokuda metabolik atık ürünlerin, proteinler ve enzimlerin birikmesine neden olur. Bu olayların kombinasyonu olarak da doku hasarı artmaktadır (Krouskop vd 1978, Reddyvd 1995, Cannon 2004).</w:t>
      </w:r>
    </w:p>
    <w:p>
      <w:pPr>
        <w:pStyle w:val="BodyText"/>
        <w:spacing w:line="360" w:lineRule="auto" w:before="161"/>
        <w:ind w:left="1248" w:right="672" w:firstLine="720"/>
        <w:jc w:val="both"/>
      </w:pPr>
      <w:r>
        <w:rPr/>
        <w:t>Bası yaralanmasından etkilenen kişilerin çoğu, çeşitli nedenlerden dolayı hareketsiz kalan ve/veya zihinsel ya da fiziksel bazı sağlık sorunlarına sahip olanlardır. Önemli sağlık sorunlarından biri olan Tip 2 diyabet hastalığında kan akışı azalmakta ve kılcal perfüzyon bozulmaktadır. Bu gibi dolaşımı etkileyen bazı sistemik sağlık problemleri olan kişiler basınç ülserlerine karşı daha savunmasız hale gelmektedir (Leblebici vd 2007).</w:t>
      </w:r>
    </w:p>
    <w:p>
      <w:pPr>
        <w:pStyle w:val="BodyText"/>
        <w:spacing w:line="360" w:lineRule="auto" w:before="160"/>
        <w:ind w:left="1248" w:right="678" w:firstLine="720"/>
        <w:jc w:val="both"/>
      </w:pPr>
      <w:r>
        <w:rPr/>
        <w:t>Yaşın ilerlemesi aynı zamanda bası yaralarının oluşmasında etkili olup, yaşlıların yaklaşık olarak 2/3 ‘ü risk altındadır (Leblebici vd 2007).</w:t>
      </w:r>
    </w:p>
    <w:p>
      <w:pPr>
        <w:pStyle w:val="BodyText"/>
        <w:rPr>
          <w:sz w:val="24"/>
        </w:rPr>
      </w:pPr>
    </w:p>
    <w:p>
      <w:pPr>
        <w:pStyle w:val="BodyText"/>
        <w:rPr>
          <w:sz w:val="24"/>
        </w:rPr>
      </w:pPr>
    </w:p>
    <w:p>
      <w:pPr>
        <w:pStyle w:val="Heading1"/>
        <w:numPr>
          <w:ilvl w:val="1"/>
          <w:numId w:val="2"/>
        </w:numPr>
        <w:tabs>
          <w:tab w:pos="1618" w:val="left" w:leader="none"/>
        </w:tabs>
        <w:spacing w:line="240" w:lineRule="auto" w:before="206" w:after="0"/>
        <w:ind w:left="1618" w:right="0" w:hanging="370"/>
        <w:jc w:val="left"/>
      </w:pPr>
      <w:bookmarkStart w:name="_bookmark13" w:id="20"/>
      <w:bookmarkEnd w:id="20"/>
      <w:r>
        <w:rPr>
          <w:b w:val="0"/>
        </w:rPr>
      </w:r>
      <w:bookmarkStart w:name="_bookmark13" w:id="21"/>
      <w:bookmarkEnd w:id="21"/>
      <w:r>
        <w:rPr/>
        <w:t>B</w:t>
      </w:r>
      <w:r>
        <w:rPr/>
        <w:t>ası Yarası Oluşumunu Etkileyen Risk</w:t>
      </w:r>
      <w:r>
        <w:rPr>
          <w:spacing w:val="-4"/>
        </w:rPr>
        <w:t> </w:t>
      </w:r>
      <w:r>
        <w:rPr/>
        <w:t>Faktörleri</w:t>
      </w:r>
    </w:p>
    <w:p>
      <w:pPr>
        <w:pStyle w:val="BodyText"/>
        <w:rPr>
          <w:b/>
          <w:sz w:val="24"/>
        </w:rPr>
      </w:pPr>
    </w:p>
    <w:p>
      <w:pPr>
        <w:pStyle w:val="BodyText"/>
        <w:spacing w:before="2"/>
        <w:rPr>
          <w:b/>
          <w:sz w:val="20"/>
        </w:rPr>
      </w:pPr>
    </w:p>
    <w:p>
      <w:pPr>
        <w:pStyle w:val="BodyText"/>
        <w:spacing w:line="360" w:lineRule="auto"/>
        <w:ind w:left="1248" w:right="676" w:firstLine="708"/>
        <w:jc w:val="both"/>
      </w:pPr>
      <w:r>
        <w:rPr/>
        <w:t>Bası yaralarının oluşumunu etkileyen çok fazla sayıda etken bulunmaktadır (Maklebust vd 2001, Pedrovd 2006, Öztaş 2007, Bergstorm 2008).</w:t>
      </w:r>
    </w:p>
    <w:p>
      <w:pPr>
        <w:pStyle w:val="BodyText"/>
        <w:spacing w:before="8"/>
        <w:rPr>
          <w:sz w:val="32"/>
        </w:rPr>
      </w:pPr>
    </w:p>
    <w:p>
      <w:pPr>
        <w:pStyle w:val="Heading1"/>
      </w:pPr>
      <w:r>
        <w:rPr/>
        <w:t>Bu Etkenler;</w:t>
      </w:r>
    </w:p>
    <w:p>
      <w:pPr>
        <w:pStyle w:val="ListParagraph"/>
        <w:numPr>
          <w:ilvl w:val="0"/>
          <w:numId w:val="3"/>
        </w:numPr>
        <w:tabs>
          <w:tab w:pos="1609" w:val="left" w:leader="none"/>
        </w:tabs>
        <w:spacing w:line="240" w:lineRule="auto" w:before="127" w:after="0"/>
        <w:ind w:left="1608" w:right="0" w:hanging="361"/>
        <w:jc w:val="left"/>
        <w:rPr>
          <w:b/>
          <w:sz w:val="22"/>
        </w:rPr>
      </w:pPr>
      <w:r>
        <w:rPr>
          <w:b/>
          <w:sz w:val="22"/>
        </w:rPr>
        <w:t>Dış /Primer Etkenler</w:t>
      </w:r>
    </w:p>
    <w:p>
      <w:pPr>
        <w:pStyle w:val="ListParagraph"/>
        <w:numPr>
          <w:ilvl w:val="0"/>
          <w:numId w:val="3"/>
        </w:numPr>
        <w:tabs>
          <w:tab w:pos="1609" w:val="left" w:leader="none"/>
        </w:tabs>
        <w:spacing w:line="240" w:lineRule="auto" w:before="128" w:after="0"/>
        <w:ind w:left="1608" w:right="0" w:hanging="361"/>
        <w:jc w:val="left"/>
        <w:rPr>
          <w:b/>
          <w:sz w:val="22"/>
        </w:rPr>
      </w:pPr>
      <w:r>
        <w:rPr>
          <w:b/>
          <w:sz w:val="22"/>
        </w:rPr>
        <w:t>İç /Sekonder</w:t>
      </w:r>
      <w:r>
        <w:rPr>
          <w:b/>
          <w:spacing w:val="-1"/>
          <w:sz w:val="22"/>
        </w:rPr>
        <w:t> </w:t>
      </w:r>
      <w:r>
        <w:rPr>
          <w:b/>
          <w:sz w:val="22"/>
        </w:rPr>
        <w:t>Etkenler</w:t>
      </w:r>
    </w:p>
    <w:p>
      <w:pPr>
        <w:pStyle w:val="BodyText"/>
        <w:spacing w:before="129"/>
        <w:ind w:left="1248"/>
      </w:pPr>
      <w:r>
        <w:rPr/>
        <w:t>olmak üzere iki grupta incelenmektedir.</w:t>
      </w:r>
    </w:p>
    <w:p>
      <w:pPr>
        <w:pStyle w:val="BodyText"/>
        <w:rPr>
          <w:sz w:val="24"/>
        </w:rPr>
      </w:pPr>
    </w:p>
    <w:p>
      <w:pPr>
        <w:pStyle w:val="BodyText"/>
        <w:spacing w:before="9"/>
        <w:rPr>
          <w:sz w:val="19"/>
        </w:rPr>
      </w:pPr>
    </w:p>
    <w:p>
      <w:pPr>
        <w:pStyle w:val="Heading1"/>
      </w:pPr>
      <w:r>
        <w:rPr/>
        <w:t>Dış /Primer Etkenler</w:t>
      </w:r>
    </w:p>
    <w:p>
      <w:pPr>
        <w:pStyle w:val="ListParagraph"/>
        <w:numPr>
          <w:ilvl w:val="1"/>
          <w:numId w:val="3"/>
        </w:numPr>
        <w:tabs>
          <w:tab w:pos="1729" w:val="left" w:leader="none"/>
        </w:tabs>
        <w:spacing w:line="240" w:lineRule="auto" w:before="129" w:after="0"/>
        <w:ind w:left="1728" w:right="0" w:hanging="198"/>
        <w:jc w:val="left"/>
        <w:rPr>
          <w:sz w:val="22"/>
        </w:rPr>
      </w:pPr>
      <w:r>
        <w:rPr>
          <w:sz w:val="22"/>
        </w:rPr>
        <w:t>Basınç</w:t>
      </w:r>
    </w:p>
    <w:p>
      <w:pPr>
        <w:pStyle w:val="ListParagraph"/>
        <w:numPr>
          <w:ilvl w:val="1"/>
          <w:numId w:val="3"/>
        </w:numPr>
        <w:tabs>
          <w:tab w:pos="1729" w:val="left" w:leader="none"/>
        </w:tabs>
        <w:spacing w:line="240" w:lineRule="auto" w:before="126" w:after="0"/>
        <w:ind w:left="1728" w:right="0" w:hanging="198"/>
        <w:jc w:val="left"/>
        <w:rPr>
          <w:sz w:val="22"/>
        </w:rPr>
      </w:pPr>
      <w:r>
        <w:rPr>
          <w:sz w:val="22"/>
        </w:rPr>
        <w:t>Sürtünme</w:t>
      </w:r>
    </w:p>
    <w:p>
      <w:pPr>
        <w:pStyle w:val="ListParagraph"/>
        <w:numPr>
          <w:ilvl w:val="1"/>
          <w:numId w:val="3"/>
        </w:numPr>
        <w:tabs>
          <w:tab w:pos="1729" w:val="left" w:leader="none"/>
        </w:tabs>
        <w:spacing w:line="360" w:lineRule="auto" w:before="126" w:after="0"/>
        <w:ind w:left="1531" w:right="6984" w:firstLine="0"/>
        <w:jc w:val="left"/>
        <w:rPr>
          <w:sz w:val="22"/>
        </w:rPr>
      </w:pPr>
      <w:r>
        <w:rPr>
          <w:sz w:val="22"/>
        </w:rPr>
        <w:t>Makaslama </w:t>
      </w:r>
      <w:r>
        <w:rPr>
          <w:spacing w:val="-3"/>
          <w:sz w:val="22"/>
        </w:rPr>
        <w:t>Etkisi </w:t>
      </w:r>
      <w:r>
        <w:rPr>
          <w:sz w:val="22"/>
        </w:rPr>
        <w:t>4-İmmobilizasyon</w:t>
      </w:r>
    </w:p>
    <w:p>
      <w:pPr>
        <w:pStyle w:val="BodyText"/>
        <w:spacing w:line="252" w:lineRule="exact"/>
        <w:ind w:left="1531"/>
      </w:pPr>
      <w:r>
        <w:rPr/>
        <w:t>5-Isı Artışı, Nem</w:t>
      </w:r>
    </w:p>
    <w:p>
      <w:pPr>
        <w:spacing w:after="0" w:line="252" w:lineRule="exact"/>
        <w:sectPr>
          <w:pgSz w:w="11910" w:h="16840"/>
          <w:pgMar w:header="749" w:footer="0" w:top="960" w:bottom="280" w:left="1020" w:right="460"/>
        </w:sectPr>
      </w:pPr>
    </w:p>
    <w:p>
      <w:pPr>
        <w:pStyle w:val="BodyText"/>
        <w:rPr>
          <w:sz w:val="20"/>
        </w:rPr>
      </w:pPr>
    </w:p>
    <w:p>
      <w:pPr>
        <w:pStyle w:val="BodyText"/>
        <w:spacing w:before="2"/>
        <w:rPr>
          <w:sz w:val="19"/>
        </w:rPr>
      </w:pPr>
    </w:p>
    <w:p>
      <w:pPr>
        <w:pStyle w:val="Heading1"/>
        <w:jc w:val="both"/>
      </w:pPr>
      <w:r>
        <w:rPr/>
        <w:t>İç /Sekonder Etkenler</w:t>
      </w:r>
    </w:p>
    <w:p>
      <w:pPr>
        <w:pStyle w:val="ListParagraph"/>
        <w:numPr>
          <w:ilvl w:val="0"/>
          <w:numId w:val="4"/>
        </w:numPr>
        <w:tabs>
          <w:tab w:pos="1815" w:val="left" w:leader="none"/>
        </w:tabs>
        <w:spacing w:line="240" w:lineRule="auto" w:before="130" w:after="0"/>
        <w:ind w:left="1814" w:right="0" w:hanging="284"/>
        <w:jc w:val="left"/>
        <w:rPr>
          <w:sz w:val="22"/>
        </w:rPr>
      </w:pPr>
      <w:r>
        <w:rPr>
          <w:sz w:val="22"/>
        </w:rPr>
        <w:t>Yaş</w:t>
      </w:r>
    </w:p>
    <w:p>
      <w:pPr>
        <w:pStyle w:val="ListParagraph"/>
        <w:numPr>
          <w:ilvl w:val="0"/>
          <w:numId w:val="4"/>
        </w:numPr>
        <w:tabs>
          <w:tab w:pos="1789" w:val="left" w:leader="none"/>
        </w:tabs>
        <w:spacing w:line="360" w:lineRule="auto" w:before="128" w:after="0"/>
        <w:ind w:left="1531" w:right="1606" w:firstLine="0"/>
        <w:jc w:val="left"/>
        <w:rPr>
          <w:sz w:val="22"/>
        </w:rPr>
      </w:pPr>
      <w:r>
        <w:rPr>
          <w:sz w:val="22"/>
        </w:rPr>
        <w:t>İmmobilite / ve ona bağlı olarak Reaktif hiperemi döngüsünün bozulması 3- Beslenme</w:t>
      </w:r>
      <w:r>
        <w:rPr>
          <w:spacing w:val="-1"/>
          <w:sz w:val="22"/>
        </w:rPr>
        <w:t> </w:t>
      </w:r>
      <w:r>
        <w:rPr>
          <w:sz w:val="22"/>
        </w:rPr>
        <w:t>bozukluğu</w:t>
      </w:r>
    </w:p>
    <w:p>
      <w:pPr>
        <w:pStyle w:val="ListParagraph"/>
        <w:numPr>
          <w:ilvl w:val="0"/>
          <w:numId w:val="5"/>
        </w:numPr>
        <w:tabs>
          <w:tab w:pos="1791" w:val="left" w:leader="none"/>
        </w:tabs>
        <w:spacing w:line="252" w:lineRule="exact" w:before="0" w:after="0"/>
        <w:ind w:left="1790" w:right="0" w:hanging="260"/>
        <w:jc w:val="left"/>
        <w:rPr>
          <w:sz w:val="22"/>
        </w:rPr>
      </w:pPr>
      <w:r>
        <w:rPr>
          <w:sz w:val="22"/>
        </w:rPr>
        <w:t>Hipotansiyon/İskemi</w:t>
      </w:r>
    </w:p>
    <w:p>
      <w:pPr>
        <w:pStyle w:val="ListParagraph"/>
        <w:numPr>
          <w:ilvl w:val="0"/>
          <w:numId w:val="5"/>
        </w:numPr>
        <w:tabs>
          <w:tab w:pos="1791" w:val="left" w:leader="none"/>
        </w:tabs>
        <w:spacing w:line="240" w:lineRule="auto" w:before="126" w:after="0"/>
        <w:ind w:left="1790" w:right="0" w:hanging="260"/>
        <w:jc w:val="left"/>
        <w:rPr>
          <w:sz w:val="22"/>
        </w:rPr>
      </w:pPr>
      <w:r>
        <w:rPr>
          <w:sz w:val="22"/>
        </w:rPr>
        <w:t>Diğer Nedenler</w:t>
      </w:r>
    </w:p>
    <w:p>
      <w:pPr>
        <w:pStyle w:val="BodyText"/>
        <w:rPr>
          <w:sz w:val="24"/>
        </w:rPr>
      </w:pPr>
    </w:p>
    <w:p>
      <w:pPr>
        <w:pStyle w:val="BodyText"/>
        <w:spacing w:before="9"/>
        <w:rPr>
          <w:sz w:val="19"/>
        </w:rPr>
      </w:pPr>
    </w:p>
    <w:p>
      <w:pPr>
        <w:pStyle w:val="Heading1"/>
        <w:numPr>
          <w:ilvl w:val="2"/>
          <w:numId w:val="2"/>
        </w:numPr>
        <w:tabs>
          <w:tab w:pos="1800" w:val="left" w:leader="none"/>
        </w:tabs>
        <w:spacing w:line="240" w:lineRule="auto" w:before="0" w:after="0"/>
        <w:ind w:left="1799" w:right="0" w:hanging="552"/>
        <w:jc w:val="left"/>
      </w:pPr>
      <w:bookmarkStart w:name="_bookmark14" w:id="22"/>
      <w:bookmarkEnd w:id="22"/>
      <w:r>
        <w:rPr>
          <w:b w:val="0"/>
        </w:rPr>
      </w:r>
      <w:bookmarkStart w:name="_bookmark14" w:id="23"/>
      <w:bookmarkEnd w:id="23"/>
      <w:r>
        <w:rPr/>
        <w:t>D</w:t>
      </w:r>
      <w:r>
        <w:rPr/>
        <w:t>ış / Primer</w:t>
      </w:r>
      <w:r>
        <w:rPr>
          <w:spacing w:val="-5"/>
        </w:rPr>
        <w:t> </w:t>
      </w:r>
      <w:r>
        <w:rPr/>
        <w:t>etkenler</w:t>
      </w:r>
    </w:p>
    <w:p>
      <w:pPr>
        <w:pStyle w:val="BodyText"/>
        <w:rPr>
          <w:b/>
          <w:sz w:val="24"/>
        </w:rPr>
      </w:pPr>
    </w:p>
    <w:p>
      <w:pPr>
        <w:pStyle w:val="BodyText"/>
        <w:spacing w:before="11"/>
        <w:rPr>
          <w:b/>
          <w:sz w:val="19"/>
        </w:rPr>
      </w:pPr>
    </w:p>
    <w:p>
      <w:pPr>
        <w:pStyle w:val="Heading1"/>
        <w:numPr>
          <w:ilvl w:val="3"/>
          <w:numId w:val="2"/>
        </w:numPr>
        <w:tabs>
          <w:tab w:pos="1984" w:val="left" w:leader="none"/>
        </w:tabs>
        <w:spacing w:line="240" w:lineRule="auto" w:before="0" w:after="0"/>
        <w:ind w:left="1983" w:right="0" w:hanging="736"/>
        <w:jc w:val="left"/>
      </w:pPr>
      <w:bookmarkStart w:name="_bookmark15" w:id="24"/>
      <w:bookmarkEnd w:id="24"/>
      <w:r>
        <w:rPr>
          <w:b w:val="0"/>
        </w:rPr>
      </w:r>
      <w:bookmarkStart w:name="_bookmark15" w:id="25"/>
      <w:bookmarkEnd w:id="25"/>
      <w:r>
        <w:rPr/>
        <w:t>Ba</w:t>
      </w:r>
      <w:r>
        <w:rPr/>
        <w:t>sınç</w:t>
      </w:r>
    </w:p>
    <w:p>
      <w:pPr>
        <w:pStyle w:val="BodyText"/>
        <w:rPr>
          <w:b/>
          <w:sz w:val="24"/>
        </w:rPr>
      </w:pPr>
    </w:p>
    <w:p>
      <w:pPr>
        <w:pStyle w:val="BodyText"/>
        <w:spacing w:before="5"/>
        <w:rPr>
          <w:b/>
          <w:sz w:val="20"/>
        </w:rPr>
      </w:pPr>
    </w:p>
    <w:p>
      <w:pPr>
        <w:pStyle w:val="BodyText"/>
        <w:spacing w:line="360" w:lineRule="auto"/>
        <w:ind w:left="1248" w:right="669" w:firstLine="720"/>
        <w:jc w:val="both"/>
      </w:pPr>
      <w:r>
        <w:rPr/>
        <w:t>Bası yarası oluşumunda etkili olan en önemli faktörlerden birisi sürekli olarak basınca maruz kalmadır. Doku üzerine olan basıncın miktarı kısa süreli veya uzun süreli oluşan basıncın miktarına bağlı olarak doku bütünlüğünün bozulmasına neden olmaktadır. Oluşan basınca 30 dk veya daha kısa sürede maruz kalınma sonucunda ciltte hafif bir kızarıklık oluşur fakat oluşan bu kızarıklık 1 saat sonra ortadan kalkar. Eğer basınç 2-6 saat boyunca sürekli devam ederse iskemi oluşur ve bu durumda ise kızarıklık 36 saatte kaybolur. Eğer basınç 6-12 saat boyunca aralıksız olarak devam ederse dokuda mavi bir renk değişikliği oluşur ve nekroz gelişmeye başlar. Nekrozdan sonraki iki haftalık süreçte ciltte hasar oluşarak yara meydana gelir (Berker</w:t>
      </w:r>
      <w:r>
        <w:rPr>
          <w:spacing w:val="-21"/>
        </w:rPr>
        <w:t> </w:t>
      </w:r>
      <w:r>
        <w:rPr/>
        <w:t>2000).</w:t>
      </w:r>
    </w:p>
    <w:p>
      <w:pPr>
        <w:pStyle w:val="BodyText"/>
        <w:spacing w:line="360" w:lineRule="auto" w:before="159"/>
        <w:ind w:left="1248" w:right="669" w:firstLine="720"/>
        <w:jc w:val="both"/>
      </w:pPr>
      <w:r>
        <w:rPr/>
        <w:t>Canlı dokular statik olmadığından dolayı basınç altında yıkılma ve yeni form alma mekanizması ve şekilleri zaman içinde değişir. Sabit basınç muhafaza edildiğinde yumuşak dokular dışardan uygulanan etkiye uyum sağlamak için kendilerini yeniden şekillendirir (Dodd vd 1991). Bir kişide ortalama olarak 60-70 mmHg basıncın 1-6 saat boyunca devam etmesi bası yarası gelişmesi için yeterli olarak görülmektedir. Paraplejik hastalarda 1-2 saat devam eden basınç ile bası yaraları ortaya çıkabilir Sırtüstü yatış pozisyonunda en fazla basınca maruz kalan bölgeler; sakrum, iskium, büyük trokanter, fibulabaşı, kalça, iç ve dış malleul ve topuk bölgesidir. Bası</w:t>
      </w:r>
      <w:r>
        <w:rPr>
          <w:spacing w:val="-8"/>
        </w:rPr>
        <w:t> </w:t>
      </w:r>
      <w:r>
        <w:rPr/>
        <w:t>yaralarının</w:t>
      </w:r>
    </w:p>
    <w:p>
      <w:pPr>
        <w:pStyle w:val="BodyText"/>
        <w:ind w:left="1248"/>
        <w:jc w:val="both"/>
      </w:pPr>
      <w:r>
        <w:rPr/>
        <w:t>%80 bu bölgelerde görülmektedir (Kuffler 2010).</w:t>
      </w:r>
    </w:p>
    <w:p>
      <w:pPr>
        <w:pStyle w:val="BodyText"/>
        <w:rPr>
          <w:sz w:val="24"/>
        </w:rPr>
      </w:pPr>
    </w:p>
    <w:p>
      <w:pPr>
        <w:pStyle w:val="BodyText"/>
        <w:spacing w:before="9"/>
        <w:rPr>
          <w:sz w:val="19"/>
        </w:rPr>
      </w:pPr>
    </w:p>
    <w:p>
      <w:pPr>
        <w:pStyle w:val="Heading1"/>
        <w:numPr>
          <w:ilvl w:val="3"/>
          <w:numId w:val="2"/>
        </w:numPr>
        <w:tabs>
          <w:tab w:pos="1983" w:val="left" w:leader="none"/>
        </w:tabs>
        <w:spacing w:line="240" w:lineRule="auto" w:before="0" w:after="0"/>
        <w:ind w:left="1982" w:right="0" w:hanging="735"/>
        <w:jc w:val="left"/>
      </w:pPr>
      <w:bookmarkStart w:name="_bookmark16" w:id="26"/>
      <w:bookmarkEnd w:id="26"/>
      <w:r>
        <w:rPr>
          <w:b w:val="0"/>
        </w:rPr>
      </w:r>
      <w:bookmarkStart w:name="_bookmark16" w:id="27"/>
      <w:bookmarkEnd w:id="27"/>
      <w:r>
        <w:rPr/>
        <w:t>M</w:t>
      </w:r>
      <w:r>
        <w:rPr/>
        <w:t>akaslama</w:t>
      </w:r>
    </w:p>
    <w:p>
      <w:pPr>
        <w:pStyle w:val="BodyText"/>
        <w:rPr>
          <w:b/>
          <w:sz w:val="24"/>
        </w:rPr>
      </w:pPr>
    </w:p>
    <w:p>
      <w:pPr>
        <w:pStyle w:val="BodyText"/>
        <w:spacing w:before="4"/>
        <w:rPr>
          <w:b/>
          <w:sz w:val="20"/>
        </w:rPr>
      </w:pPr>
    </w:p>
    <w:p>
      <w:pPr>
        <w:pStyle w:val="BodyText"/>
        <w:spacing w:line="360" w:lineRule="auto"/>
        <w:ind w:left="1248" w:right="667" w:firstLine="720"/>
        <w:jc w:val="both"/>
      </w:pPr>
      <w:r>
        <w:rPr/>
        <w:t>Makaslama kuvveti dokudaki kan akışını kesmede basınçtan daha etkili bir kuvvete sahiptir. Makaslama kuvveti denilince dokunun kıvrılarak veya bükülerek bütünlüğünün bozulması olarak tanımlanabilir. Başka bir şekilde birbiri üzerinde  hareket eden yüzeylerin ters yöndeki kuvvet etkileri </w:t>
      </w:r>
      <w:r>
        <w:rPr>
          <w:i/>
        </w:rPr>
        <w:t>“makaslayıcı etkisi” </w:t>
      </w:r>
      <w:r>
        <w:rPr/>
        <w:t>dır.</w:t>
      </w:r>
      <w:r>
        <w:rPr>
          <w:spacing w:val="23"/>
        </w:rPr>
        <w:t> </w:t>
      </w:r>
      <w:r>
        <w:rPr/>
        <w:t>Örnek</w:t>
      </w:r>
    </w:p>
    <w:p>
      <w:pPr>
        <w:spacing w:after="0" w:line="360" w:lineRule="auto"/>
        <w:jc w:val="both"/>
        <w:sectPr>
          <w:pgSz w:w="11910" w:h="16840"/>
          <w:pgMar w:header="749" w:footer="0" w:top="960" w:bottom="280" w:left="1020" w:right="460"/>
        </w:sectPr>
      </w:pPr>
    </w:p>
    <w:p>
      <w:pPr>
        <w:pStyle w:val="BodyText"/>
        <w:rPr>
          <w:sz w:val="20"/>
        </w:rPr>
      </w:pPr>
    </w:p>
    <w:p>
      <w:pPr>
        <w:pStyle w:val="BodyText"/>
        <w:spacing w:before="5"/>
        <w:rPr>
          <w:sz w:val="19"/>
        </w:rPr>
      </w:pPr>
    </w:p>
    <w:p>
      <w:pPr>
        <w:pStyle w:val="BodyText"/>
        <w:spacing w:line="357" w:lineRule="auto"/>
        <w:ind w:left="1248" w:right="673"/>
        <w:jc w:val="both"/>
      </w:pPr>
      <w:r>
        <w:rPr/>
        <w:t>verecek olursak yatakta döndürülmeye çalışılan bir hastada sürtünmeye maruz kalan deri üzerinde oluşan kuvvet makaslama etkisidir (Berker 2000).</w:t>
      </w:r>
    </w:p>
    <w:p>
      <w:pPr>
        <w:pStyle w:val="BodyText"/>
        <w:spacing w:line="360" w:lineRule="auto" w:before="166"/>
        <w:ind w:left="1248" w:right="671" w:firstLine="720"/>
        <w:jc w:val="both"/>
      </w:pPr>
      <w:r>
        <w:rPr/>
        <w:t>Hastanın döndürülmesi sırasında çarşafa yapışan nemli deri ve yüzeydeki dokular altta bulunan derin fasiayı gererek, damar tabakasının hasar görmesi ve zedelenmesine neden olur. Vücudun özellikle makaslanmaya hassas olan bölgeler arasında tüberisitas iski, topuklar, omuz, skapulalar ve dirsekler bulunur. Çünkü bu bölgeler, ileri doğru kayma hareketi sırasında vücudun özellikle desteklendiği alanlardır (Acaroğlu vd 2005).</w:t>
      </w:r>
    </w:p>
    <w:p>
      <w:pPr>
        <w:pStyle w:val="BodyText"/>
        <w:spacing w:before="9"/>
        <w:rPr>
          <w:sz w:val="32"/>
        </w:rPr>
      </w:pPr>
    </w:p>
    <w:p>
      <w:pPr>
        <w:pStyle w:val="Heading1"/>
        <w:numPr>
          <w:ilvl w:val="3"/>
          <w:numId w:val="2"/>
        </w:numPr>
        <w:tabs>
          <w:tab w:pos="1984" w:val="left" w:leader="none"/>
        </w:tabs>
        <w:spacing w:line="240" w:lineRule="auto" w:before="0" w:after="0"/>
        <w:ind w:left="1983" w:right="0" w:hanging="736"/>
        <w:jc w:val="left"/>
      </w:pPr>
      <w:bookmarkStart w:name="_bookmark17" w:id="28"/>
      <w:bookmarkEnd w:id="28"/>
      <w:r>
        <w:rPr>
          <w:b w:val="0"/>
        </w:rPr>
      </w:r>
      <w:bookmarkStart w:name="_bookmark17" w:id="29"/>
      <w:bookmarkEnd w:id="29"/>
      <w:r>
        <w:rPr/>
        <w:t>S</w:t>
      </w:r>
      <w:r>
        <w:rPr/>
        <w:t>ürtünme /</w:t>
      </w:r>
      <w:r>
        <w:rPr>
          <w:spacing w:val="-2"/>
        </w:rPr>
        <w:t> </w:t>
      </w:r>
      <w:r>
        <w:rPr/>
        <w:t>Friksiyon</w:t>
      </w:r>
    </w:p>
    <w:p>
      <w:pPr>
        <w:pStyle w:val="BodyText"/>
        <w:rPr>
          <w:b/>
          <w:sz w:val="24"/>
        </w:rPr>
      </w:pPr>
    </w:p>
    <w:p>
      <w:pPr>
        <w:pStyle w:val="BodyText"/>
        <w:spacing w:before="3"/>
        <w:rPr>
          <w:b/>
          <w:sz w:val="20"/>
        </w:rPr>
      </w:pPr>
    </w:p>
    <w:p>
      <w:pPr>
        <w:pStyle w:val="BodyText"/>
        <w:spacing w:line="360" w:lineRule="auto"/>
        <w:ind w:left="1248" w:right="671" w:firstLine="720"/>
        <w:jc w:val="both"/>
      </w:pPr>
      <w:r>
        <w:rPr/>
        <w:t>Sürtünme veya friksiyon; basınç ve kaymayla birlikte bası yaralarının önemli bir nedeni olarak da belirtilmektedir. Sürtünme hem direkt olarak hem de dolaylı olarak makaslama ve kesme kuvvetlerinin oluşmasına neden olarak basınç yaralarının oluşmasında önemli etkenlerden biridir. Sürtünme iki yüzeyin birbiri üzerinde ve birbirine ters yönlerde hareketi ile oluşmaktadır. Hasta yatak üzerinde hareket ettirilirken dokular ve giysiler/ yatak çarşafları ya da diğer destek yüzeyleri arasında bir sürtünme kuvveti açığa çıkar. Oluşan bu sürtünme kuvveti mikroskobik ve makroskobik olarak dokuda bütünlüğün bozulmasına ve doku travmalarına neden olur. Uzun süre basınca maruz kararak iskemi ile zayıflamış cilt, sürtünmeye karşı daha duyarlı olur ve bu durum cilt dokusunun parçalanmasını kolaylaştırır (Patel vd 2006, Panfil</w:t>
      </w:r>
      <w:r>
        <w:rPr>
          <w:spacing w:val="-17"/>
        </w:rPr>
        <w:t> </w:t>
      </w:r>
      <w:r>
        <w:rPr/>
        <w:t>2010).</w:t>
      </w:r>
    </w:p>
    <w:p>
      <w:pPr>
        <w:pStyle w:val="BodyText"/>
        <w:spacing w:before="8"/>
        <w:rPr>
          <w:sz w:val="32"/>
        </w:rPr>
      </w:pPr>
    </w:p>
    <w:p>
      <w:pPr>
        <w:pStyle w:val="Heading1"/>
        <w:numPr>
          <w:ilvl w:val="3"/>
          <w:numId w:val="2"/>
        </w:numPr>
        <w:tabs>
          <w:tab w:pos="1983" w:val="left" w:leader="none"/>
        </w:tabs>
        <w:spacing w:line="240" w:lineRule="auto" w:before="1" w:after="0"/>
        <w:ind w:left="1982" w:right="0" w:hanging="735"/>
        <w:jc w:val="left"/>
      </w:pPr>
      <w:bookmarkStart w:name="_bookmark18" w:id="30"/>
      <w:bookmarkEnd w:id="30"/>
      <w:r>
        <w:rPr>
          <w:b w:val="0"/>
        </w:rPr>
      </w:r>
      <w:bookmarkStart w:name="_bookmark18" w:id="31"/>
      <w:bookmarkEnd w:id="31"/>
      <w:r>
        <w:rPr/>
        <w:t>İ</w:t>
      </w:r>
      <w:r>
        <w:rPr/>
        <w:t>mmobilizasyon</w:t>
      </w:r>
    </w:p>
    <w:p>
      <w:pPr>
        <w:pStyle w:val="BodyText"/>
        <w:rPr>
          <w:b/>
          <w:sz w:val="24"/>
        </w:rPr>
      </w:pPr>
    </w:p>
    <w:p>
      <w:pPr>
        <w:pStyle w:val="BodyText"/>
        <w:spacing w:before="4"/>
        <w:rPr>
          <w:b/>
          <w:sz w:val="20"/>
        </w:rPr>
      </w:pPr>
    </w:p>
    <w:p>
      <w:pPr>
        <w:pStyle w:val="BodyText"/>
        <w:spacing w:line="360" w:lineRule="auto"/>
        <w:ind w:left="1248" w:right="671" w:firstLine="720"/>
        <w:jc w:val="both"/>
      </w:pPr>
      <w:r>
        <w:rPr/>
        <w:t>İmmobilite bası yarası oluşumunda temel risk faktörlerinden birisidir. Yardımsız olarak hareket edebilen sağlıklı kişiler uzun süreli basınç altında kalan dokular üzerinde afferent sensoriomotor feedback sistemi ile rahatsız oldukları bölgelerde sık sık pozisyon değişikliği ile beraber basıncı azaltarak bası yarası oluşabilecek  riskli bölgeleri koruyarak bası yarası oluşum riskini azaltmaktadırlar (Premalatha vd</w:t>
      </w:r>
      <w:r>
        <w:rPr>
          <w:spacing w:val="-26"/>
        </w:rPr>
        <w:t> </w:t>
      </w:r>
      <w:r>
        <w:rPr/>
        <w:t>2000).</w:t>
      </w:r>
    </w:p>
    <w:p>
      <w:pPr>
        <w:pStyle w:val="BodyText"/>
        <w:spacing w:line="360" w:lineRule="auto" w:before="160"/>
        <w:ind w:left="1248" w:right="670" w:firstLine="720"/>
        <w:jc w:val="both"/>
      </w:pPr>
      <w:r>
        <w:rPr/>
        <w:t>Nörolojik olarak etkilenen hastalarda hem hareket etme yetenekleri kaybolmakta hemde duyu bozuklukları oluştuğu için yüksek risk altındadır. Bu hasta gruplarında risk altındaki bölgelerde aralıklı olarak basıncı giderecek olan normal pozisyon değişiklikleri belirli aralıklarla yapılmaz ise bu durumda bası yarası oluşumu kaçınılmaz bir sorundur (Bluestein vd 2008). Nörolojik hastalığı olanlar, yaşlı hastalar, ortopedik problemli hastalar, mental problemi olanlar, psikatrik sorunları olan,</w:t>
      </w:r>
      <w:r>
        <w:rPr>
          <w:spacing w:val="21"/>
        </w:rPr>
        <w:t> </w:t>
      </w:r>
      <w:r>
        <w:rPr/>
        <w:t>bilinç</w:t>
      </w:r>
    </w:p>
    <w:p>
      <w:pPr>
        <w:spacing w:after="0" w:line="360" w:lineRule="auto"/>
        <w:jc w:val="both"/>
        <w:sectPr>
          <w:pgSz w:w="11910" w:h="16840"/>
          <w:pgMar w:header="749" w:footer="0" w:top="960" w:bottom="280" w:left="1020" w:right="460"/>
        </w:sectPr>
      </w:pPr>
    </w:p>
    <w:p>
      <w:pPr>
        <w:pStyle w:val="BodyText"/>
        <w:rPr>
          <w:sz w:val="20"/>
        </w:rPr>
      </w:pPr>
    </w:p>
    <w:p>
      <w:pPr>
        <w:pStyle w:val="BodyText"/>
        <w:spacing w:before="5"/>
        <w:rPr>
          <w:sz w:val="19"/>
        </w:rPr>
      </w:pPr>
    </w:p>
    <w:p>
      <w:pPr>
        <w:pStyle w:val="BodyText"/>
        <w:spacing w:line="360" w:lineRule="auto"/>
        <w:ind w:left="1248" w:right="712"/>
      </w:pPr>
      <w:r>
        <w:rPr/>
        <w:t>kaybı olan ve şiddetli ağrı nedeniyle hareket etmekte zorlanan hastalar yüksek risk altındadır (Patel vd 2006, Panfil 2010).</w:t>
      </w:r>
    </w:p>
    <w:p>
      <w:pPr>
        <w:pStyle w:val="BodyText"/>
        <w:spacing w:before="11"/>
        <w:rPr>
          <w:sz w:val="32"/>
        </w:rPr>
      </w:pPr>
    </w:p>
    <w:p>
      <w:pPr>
        <w:pStyle w:val="Heading1"/>
        <w:numPr>
          <w:ilvl w:val="3"/>
          <w:numId w:val="2"/>
        </w:numPr>
        <w:tabs>
          <w:tab w:pos="1983" w:val="left" w:leader="none"/>
        </w:tabs>
        <w:spacing w:line="240" w:lineRule="auto" w:before="0" w:after="0"/>
        <w:ind w:left="1982" w:right="0" w:hanging="735"/>
        <w:jc w:val="left"/>
      </w:pPr>
      <w:bookmarkStart w:name="_bookmark19" w:id="32"/>
      <w:bookmarkEnd w:id="32"/>
      <w:r>
        <w:rPr>
          <w:b w:val="0"/>
        </w:rPr>
      </w:r>
      <w:bookmarkStart w:name="_bookmark19" w:id="33"/>
      <w:bookmarkEnd w:id="33"/>
      <w:r>
        <w:rPr/>
        <w:t>I</w:t>
      </w:r>
      <w:r>
        <w:rPr/>
        <w:t>sı artışı,</w:t>
      </w:r>
      <w:r>
        <w:rPr>
          <w:spacing w:val="-2"/>
        </w:rPr>
        <w:t> </w:t>
      </w:r>
      <w:r>
        <w:rPr/>
        <w:t>Nem</w:t>
      </w:r>
    </w:p>
    <w:p>
      <w:pPr>
        <w:pStyle w:val="BodyText"/>
        <w:rPr>
          <w:b/>
          <w:sz w:val="24"/>
        </w:rPr>
      </w:pPr>
    </w:p>
    <w:p>
      <w:pPr>
        <w:pStyle w:val="BodyText"/>
        <w:spacing w:before="2"/>
        <w:rPr>
          <w:b/>
          <w:sz w:val="20"/>
        </w:rPr>
      </w:pPr>
    </w:p>
    <w:p>
      <w:pPr>
        <w:pStyle w:val="BodyText"/>
        <w:spacing w:line="360" w:lineRule="auto"/>
        <w:ind w:left="1248" w:right="667" w:firstLine="720"/>
        <w:jc w:val="both"/>
      </w:pPr>
      <w:r>
        <w:rPr/>
        <w:t>Basınç altındaki bölgede oluşan ısı artışı hücresel metabolizmanın hızlanmasına yol açarak bası yarası oluşma riskini arttırır. Isı, nem ile birlikte deride zedelenmeyi kolaylaştırır ve deride katlanmayı arttırır. Üriner inkontinans ve terleme gibi olaylar deride nem miktarını arttırmakta ve dolayısıyla deri üstünde gerilme kuvvetlerinin artmasına neden olmaktadır (Tel vd 2006). Dokuda her 1 derecelik bir ısı artışı doku metabolizmasında ve oksijen gereksiniminde %10’luk artışa yol açmaktadır. Basınç altında kalan dokuda doku iskemisi ve doku ısısında artış beraberinde olduğunda bası yarası risk gelişme oranı daha da artmaktadır. Travmanın neden olduğu epitelizasyon, cildin giysilere ve temasta bulunulan diğer destek dokulara yapışmasına ve yapışmasını yaratan transdermal su kaybına neden olarak daha fazla yaralanmalara neden olur (Aydın vd 2007, Surajit vd</w:t>
      </w:r>
      <w:r>
        <w:rPr>
          <w:spacing w:val="4"/>
        </w:rPr>
        <w:t> </w:t>
      </w:r>
      <w:r>
        <w:rPr/>
        <w:t>2015).</w:t>
      </w:r>
    </w:p>
    <w:p>
      <w:pPr>
        <w:pStyle w:val="BodyText"/>
        <w:rPr>
          <w:sz w:val="24"/>
        </w:rPr>
      </w:pPr>
    </w:p>
    <w:p>
      <w:pPr>
        <w:pStyle w:val="BodyText"/>
        <w:spacing w:before="8"/>
      </w:pPr>
    </w:p>
    <w:p>
      <w:pPr>
        <w:pStyle w:val="Heading1"/>
        <w:numPr>
          <w:ilvl w:val="2"/>
          <w:numId w:val="2"/>
        </w:numPr>
        <w:tabs>
          <w:tab w:pos="1659" w:val="left" w:leader="none"/>
        </w:tabs>
        <w:spacing w:line="240" w:lineRule="auto" w:before="1" w:after="0"/>
        <w:ind w:left="1658" w:right="0" w:hanging="553"/>
        <w:jc w:val="left"/>
      </w:pPr>
      <w:bookmarkStart w:name="_bookmark20" w:id="34"/>
      <w:bookmarkEnd w:id="34"/>
      <w:r>
        <w:rPr>
          <w:b w:val="0"/>
        </w:rPr>
      </w:r>
      <w:bookmarkStart w:name="_bookmark20" w:id="35"/>
      <w:bookmarkEnd w:id="35"/>
      <w:r>
        <w:rPr/>
        <w:t>İç</w:t>
      </w:r>
      <w:r>
        <w:rPr/>
        <w:t> /Sekonder</w:t>
      </w:r>
      <w:r>
        <w:rPr>
          <w:spacing w:val="-3"/>
        </w:rPr>
        <w:t> </w:t>
      </w:r>
      <w:r>
        <w:rPr/>
        <w:t>etkenler</w:t>
      </w:r>
    </w:p>
    <w:p>
      <w:pPr>
        <w:pStyle w:val="BodyText"/>
        <w:rPr>
          <w:b/>
          <w:sz w:val="24"/>
        </w:rPr>
      </w:pPr>
    </w:p>
    <w:p>
      <w:pPr>
        <w:pStyle w:val="BodyText"/>
        <w:spacing w:before="11"/>
        <w:rPr>
          <w:b/>
          <w:sz w:val="19"/>
        </w:rPr>
      </w:pPr>
    </w:p>
    <w:p>
      <w:pPr>
        <w:pStyle w:val="Heading1"/>
        <w:numPr>
          <w:ilvl w:val="3"/>
          <w:numId w:val="2"/>
        </w:numPr>
        <w:tabs>
          <w:tab w:pos="1844" w:val="left" w:leader="none"/>
        </w:tabs>
        <w:spacing w:line="240" w:lineRule="auto" w:before="0" w:after="0"/>
        <w:ind w:left="1843" w:right="0" w:hanging="738"/>
        <w:jc w:val="left"/>
      </w:pPr>
      <w:bookmarkStart w:name="_bookmark21" w:id="36"/>
      <w:bookmarkEnd w:id="36"/>
      <w:r>
        <w:rPr>
          <w:b w:val="0"/>
        </w:rPr>
      </w:r>
      <w:bookmarkStart w:name="_bookmark21" w:id="37"/>
      <w:bookmarkEnd w:id="37"/>
      <w:r>
        <w:rPr/>
        <w:t>Yaş</w:t>
      </w:r>
    </w:p>
    <w:p>
      <w:pPr>
        <w:pStyle w:val="BodyText"/>
        <w:rPr>
          <w:b/>
          <w:sz w:val="24"/>
        </w:rPr>
      </w:pPr>
    </w:p>
    <w:p>
      <w:pPr>
        <w:pStyle w:val="BodyText"/>
        <w:spacing w:before="2"/>
        <w:rPr>
          <w:b/>
          <w:sz w:val="20"/>
        </w:rPr>
      </w:pPr>
    </w:p>
    <w:p>
      <w:pPr>
        <w:pStyle w:val="BodyText"/>
        <w:spacing w:line="360" w:lineRule="auto"/>
        <w:ind w:left="1248" w:right="668" w:firstLine="708"/>
        <w:jc w:val="both"/>
      </w:pPr>
      <w:r>
        <w:rPr/>
        <w:t>Yaşlanmaya bağlı olarak oluşan fizyolojik değişiklikler yaşlı hastalarda basınca bağlı olarak oluşan yaralanma eşiğini düşürerek bası yarası olma riskini yükseltmektedir. Yaşla birlikte dermiste kollajen, elastin miktarında azalma olur, epidermal hücrelerde yenilenme yeteneği azalır ve deri perfüzyonu azalır. Yaşlanmanın neden olduğu değişiklikler hastanın bası, sürtünme ve yırtılmaya karşı duyarlılığını artırır. Örneğin, kan damarlarının ve bağ dokusunun kırılganlığında artış ve basıncı dağıtma kapasitesinin düşmesine neden olan yağ ve kas kütlesindeki kayıplar yaşlanma ile ortaya çıkan önemli olan fizyolojik değişiklerdendir (Lyder 2003, Surajit vd 2015). 70 yaşın üzerindeki yetişkinlerin %11'ini etkileyen diyabet hastalığında dolaşım yetersizliği ile beraber yara iyileşme mekanizması da bozulmuştur (Kaveeshwar vd 2014).</w:t>
      </w:r>
    </w:p>
    <w:p>
      <w:pPr>
        <w:spacing w:after="0" w:line="360" w:lineRule="auto"/>
        <w:jc w:val="both"/>
        <w:sectPr>
          <w:pgSz w:w="11910" w:h="16840"/>
          <w:pgMar w:header="749" w:footer="0" w:top="960" w:bottom="280" w:left="1020" w:right="460"/>
        </w:sectPr>
      </w:pPr>
    </w:p>
    <w:p>
      <w:pPr>
        <w:pStyle w:val="BodyText"/>
        <w:rPr>
          <w:sz w:val="20"/>
        </w:rPr>
      </w:pPr>
    </w:p>
    <w:p>
      <w:pPr>
        <w:pStyle w:val="BodyText"/>
        <w:spacing w:before="2"/>
        <w:rPr>
          <w:sz w:val="19"/>
        </w:rPr>
      </w:pPr>
    </w:p>
    <w:p>
      <w:pPr>
        <w:pStyle w:val="Heading1"/>
        <w:numPr>
          <w:ilvl w:val="3"/>
          <w:numId w:val="2"/>
        </w:numPr>
        <w:tabs>
          <w:tab w:pos="1985" w:val="left" w:leader="none"/>
        </w:tabs>
        <w:spacing w:line="240" w:lineRule="auto" w:before="0" w:after="0"/>
        <w:ind w:left="1984" w:right="0" w:hanging="737"/>
        <w:jc w:val="left"/>
      </w:pPr>
      <w:bookmarkStart w:name="_bookmark22" w:id="38"/>
      <w:bookmarkEnd w:id="38"/>
      <w:r>
        <w:rPr>
          <w:b w:val="0"/>
        </w:rPr>
      </w:r>
      <w:bookmarkStart w:name="_bookmark22" w:id="39"/>
      <w:bookmarkEnd w:id="39"/>
      <w:r>
        <w:rPr/>
        <w:t>R</w:t>
      </w:r>
      <w:r>
        <w:rPr/>
        <w:t>eaktif hiperemi dengesinin</w:t>
      </w:r>
      <w:r>
        <w:rPr>
          <w:spacing w:val="-2"/>
        </w:rPr>
        <w:t> </w:t>
      </w:r>
      <w:r>
        <w:rPr/>
        <w:t>bozulması</w:t>
      </w:r>
    </w:p>
    <w:p>
      <w:pPr>
        <w:pStyle w:val="BodyText"/>
        <w:rPr>
          <w:b/>
          <w:sz w:val="24"/>
        </w:rPr>
      </w:pPr>
    </w:p>
    <w:p>
      <w:pPr>
        <w:pStyle w:val="BodyText"/>
        <w:spacing w:before="5"/>
        <w:rPr>
          <w:b/>
          <w:sz w:val="20"/>
        </w:rPr>
      </w:pPr>
    </w:p>
    <w:p>
      <w:pPr>
        <w:pStyle w:val="BodyText"/>
        <w:spacing w:line="360" w:lineRule="auto"/>
        <w:ind w:left="1248" w:right="669" w:firstLine="720"/>
        <w:jc w:val="both"/>
      </w:pPr>
      <w:r>
        <w:rPr/>
        <w:t>Doku bozulmasının olduğu ve beraberinde kan akımının bozulduğu bölgelerde normal kan akışını tekrar sağlamak, oluşan basıncı ve dolaşım aktivitesini hafifletmek için koruyucu hareketler vücut tarafından otomatik olarak oluşturulmaktadır. Bu otomatik hareketler oluşan iskemiyi ortadan kaldırmak için yeterli olmazsa MSS, devreye girerek kalıcı bir hasar oluşumunu engellemek ve basıncın tahliye edilmesini sağlamak için sürekli rahatsızlık ve ağrı sinyalleri oluşturur. Basınç düştüğünde ve kan dolaşımını tekrar sağladığında yerel kılcal damarlar genişlemeye başlar ve reaktif hiperemi olarak adlandırılan artan kan akımı gerçekleşir. Sonuç olarak ciltte parlak pembe geçici bir yama belirir, bu da genellikle eritem olarak adlandırılır. Reaktif hiperemi dokuda oksijen ve karbondioksit dengesinin hızlı bir şekilde restorasyonunu sağlar; ayrıca atık ürünleri temizler (Bliss 1998, Kaveeshwarvd 2014, Surajitvd 2015). Reaktif hiperemiyi üretemeyen hastalar, dokulara kalıcı hasar veren basınca bağlı iskemik ataklardan iyileşemezler.</w:t>
      </w:r>
    </w:p>
    <w:p>
      <w:pPr>
        <w:pStyle w:val="BodyText"/>
        <w:spacing w:before="8"/>
        <w:rPr>
          <w:sz w:val="32"/>
        </w:rPr>
      </w:pPr>
    </w:p>
    <w:p>
      <w:pPr>
        <w:pStyle w:val="Heading1"/>
        <w:numPr>
          <w:ilvl w:val="3"/>
          <w:numId w:val="2"/>
        </w:numPr>
        <w:tabs>
          <w:tab w:pos="1985" w:val="left" w:leader="none"/>
        </w:tabs>
        <w:spacing w:line="240" w:lineRule="auto" w:before="0" w:after="0"/>
        <w:ind w:left="1984" w:right="0" w:hanging="737"/>
        <w:jc w:val="left"/>
      </w:pPr>
      <w:bookmarkStart w:name="_bookmark23" w:id="40"/>
      <w:bookmarkEnd w:id="40"/>
      <w:r>
        <w:rPr>
          <w:b w:val="0"/>
        </w:rPr>
      </w:r>
      <w:bookmarkStart w:name="_bookmark23" w:id="41"/>
      <w:bookmarkEnd w:id="41"/>
      <w:r>
        <w:rPr/>
        <w:t>B</w:t>
      </w:r>
      <w:r>
        <w:rPr/>
        <w:t>eslenme</w:t>
      </w:r>
      <w:r>
        <w:rPr>
          <w:spacing w:val="-1"/>
        </w:rPr>
        <w:t> </w:t>
      </w:r>
      <w:r>
        <w:rPr/>
        <w:t>bozukluğu</w:t>
      </w:r>
    </w:p>
    <w:p>
      <w:pPr>
        <w:pStyle w:val="BodyText"/>
        <w:rPr>
          <w:b/>
          <w:sz w:val="24"/>
        </w:rPr>
      </w:pPr>
    </w:p>
    <w:p>
      <w:pPr>
        <w:pStyle w:val="BodyText"/>
        <w:spacing w:before="2"/>
        <w:rPr>
          <w:b/>
          <w:sz w:val="20"/>
        </w:rPr>
      </w:pPr>
    </w:p>
    <w:p>
      <w:pPr>
        <w:pStyle w:val="BodyText"/>
        <w:spacing w:line="360" w:lineRule="auto"/>
        <w:ind w:left="1248" w:right="668" w:firstLine="708"/>
        <w:jc w:val="both"/>
      </w:pPr>
      <w:r>
        <w:rPr/>
        <w:t>Bası yarası olan hastalarda kronik katabolik bir süreç söz konusu olur. Bu nedenle protein ve kalori alımının artırılması büyük önem arz eder. Beslenmenin düzenlenmesi ile beraber immün sistemin durumunu gözden geçirmek için; kalori alımı, hastanın vücut ağırlığı, lenfosit sayısı, albümin ve protein düzeyleri takip edilmelidir (Keast vd 2004, Scivoletto vd 2004, Langemo vd 2006). Yapılan bir çalışmada bası yarası olan hastalarda ferritin düzeyinin artığını, anemi ile birlikte protein miktarının ve albümin miktarının azaldığını gözlenmiştir (Yücel 2001, Lyder 2003).</w:t>
      </w:r>
    </w:p>
    <w:p>
      <w:pPr>
        <w:pStyle w:val="BodyText"/>
        <w:rPr>
          <w:sz w:val="24"/>
        </w:rPr>
      </w:pPr>
    </w:p>
    <w:p>
      <w:pPr>
        <w:pStyle w:val="BodyText"/>
        <w:spacing w:before="10"/>
      </w:pPr>
    </w:p>
    <w:p>
      <w:pPr>
        <w:pStyle w:val="Heading1"/>
        <w:numPr>
          <w:ilvl w:val="3"/>
          <w:numId w:val="2"/>
        </w:numPr>
        <w:tabs>
          <w:tab w:pos="1986" w:val="left" w:leader="none"/>
        </w:tabs>
        <w:spacing w:line="240" w:lineRule="auto" w:before="0" w:after="0"/>
        <w:ind w:left="1985" w:right="0" w:hanging="738"/>
        <w:jc w:val="left"/>
      </w:pPr>
      <w:bookmarkStart w:name="_bookmark24" w:id="42"/>
      <w:bookmarkEnd w:id="42"/>
      <w:r>
        <w:rPr>
          <w:b w:val="0"/>
        </w:rPr>
      </w:r>
      <w:bookmarkStart w:name="_bookmark24" w:id="43"/>
      <w:bookmarkEnd w:id="43"/>
      <w:r>
        <w:rPr/>
        <w:t>H</w:t>
      </w:r>
      <w:r>
        <w:rPr/>
        <w:t>ipotansiyon /</w:t>
      </w:r>
      <w:r>
        <w:rPr>
          <w:spacing w:val="2"/>
        </w:rPr>
        <w:t> </w:t>
      </w:r>
      <w:r>
        <w:rPr/>
        <w:t>İskemi</w:t>
      </w:r>
    </w:p>
    <w:p>
      <w:pPr>
        <w:pStyle w:val="BodyText"/>
        <w:rPr>
          <w:b/>
          <w:sz w:val="24"/>
        </w:rPr>
      </w:pPr>
    </w:p>
    <w:p>
      <w:pPr>
        <w:pStyle w:val="BodyText"/>
        <w:spacing w:before="2"/>
        <w:rPr>
          <w:b/>
          <w:sz w:val="20"/>
        </w:rPr>
      </w:pPr>
    </w:p>
    <w:p>
      <w:pPr>
        <w:pStyle w:val="BodyText"/>
        <w:spacing w:line="360" w:lineRule="auto"/>
        <w:ind w:left="1248" w:right="668" w:firstLine="720"/>
        <w:jc w:val="both"/>
      </w:pPr>
      <w:r>
        <w:rPr/>
        <w:t>Yara iyileşmesinin tüm aşamaları için oksijen gerekir, bu nedenle dokuda düşük oksijen gerilimi ile ilişkili olan herhangi bir durum basınç ülserlerinin ana nedenidir. Kalp yetmezliği, atriyal fibrilasyon, miyokard enfarktüsü ve kronik obstrüktif akciğer hastalığı gibi kronik hastalık durumlarda periferik kan akımında yetersizlikler ortaya çıkmaktadır. Yaşlı erişkinlerin yaklaşık olarak %20'sini etkileyen periferik vasküler hastalıklar, yara iyileşmesinde olumsuz bir etkiye sahiptir (Premalatha vd 2000).</w:t>
      </w:r>
    </w:p>
    <w:p>
      <w:pPr>
        <w:spacing w:after="0" w:line="360" w:lineRule="auto"/>
        <w:jc w:val="both"/>
        <w:sectPr>
          <w:pgSz w:w="11910" w:h="16840"/>
          <w:pgMar w:header="749" w:footer="0" w:top="960" w:bottom="280" w:left="1020" w:right="460"/>
        </w:sectPr>
      </w:pPr>
    </w:p>
    <w:p>
      <w:pPr>
        <w:pStyle w:val="BodyText"/>
        <w:rPr>
          <w:sz w:val="20"/>
        </w:rPr>
      </w:pPr>
    </w:p>
    <w:p>
      <w:pPr>
        <w:pStyle w:val="BodyText"/>
        <w:spacing w:before="2"/>
        <w:rPr>
          <w:sz w:val="19"/>
        </w:rPr>
      </w:pPr>
    </w:p>
    <w:p>
      <w:pPr>
        <w:pStyle w:val="Heading1"/>
        <w:numPr>
          <w:ilvl w:val="3"/>
          <w:numId w:val="2"/>
        </w:numPr>
        <w:tabs>
          <w:tab w:pos="1986" w:val="left" w:leader="none"/>
        </w:tabs>
        <w:spacing w:line="240" w:lineRule="auto" w:before="0" w:after="0"/>
        <w:ind w:left="1985" w:right="0" w:hanging="738"/>
        <w:jc w:val="left"/>
      </w:pPr>
      <w:bookmarkStart w:name="_bookmark25" w:id="44"/>
      <w:bookmarkEnd w:id="44"/>
      <w:r>
        <w:rPr>
          <w:b w:val="0"/>
        </w:rPr>
      </w:r>
      <w:bookmarkStart w:name="_bookmark25" w:id="45"/>
      <w:bookmarkEnd w:id="45"/>
      <w:r>
        <w:rPr/>
        <w:t>D</w:t>
      </w:r>
      <w:r>
        <w:rPr/>
        <w:t>iğer</w:t>
      </w:r>
      <w:r>
        <w:rPr>
          <w:spacing w:val="1"/>
        </w:rPr>
        <w:t> </w:t>
      </w:r>
      <w:r>
        <w:rPr/>
        <w:t>nedenler</w:t>
      </w:r>
    </w:p>
    <w:p>
      <w:pPr>
        <w:pStyle w:val="BodyText"/>
        <w:rPr>
          <w:b/>
          <w:sz w:val="24"/>
        </w:rPr>
      </w:pPr>
    </w:p>
    <w:p>
      <w:pPr>
        <w:pStyle w:val="BodyText"/>
        <w:spacing w:before="5"/>
        <w:rPr>
          <w:b/>
          <w:sz w:val="20"/>
        </w:rPr>
      </w:pPr>
    </w:p>
    <w:p>
      <w:pPr>
        <w:pStyle w:val="BodyText"/>
        <w:spacing w:line="360" w:lineRule="auto"/>
        <w:ind w:left="1248" w:right="667" w:firstLine="708"/>
        <w:jc w:val="both"/>
      </w:pPr>
      <w:r>
        <w:rPr/>
        <w:t>İmmobilizasyona neden olan bütün nörolojik hastalıklarda ortaya çıkan duyu kayıpları dokuda basınç algısının azalmasına neden olmaktadır. Eklemde oluşan kontraktürler ve spastisite nedeniyle ciltte sürtünme ve makaslama kuvvetleri artarak doku zedelenmesi daha kolay gerçekleşir. Ayrıca hastanın hijyeninin düzgün bir şekilde yapılmasını engelleyerek derinin nemli kalmasına neden olur ve enfeksiyon riskini arttırır. Bilinç düzeyindeki değişiklikler de bası yarası için risk oluşturmaktadır. Yaşlı hastalarda idrar ve dışkı inkontinansı dokuda bütünlüğün bozulmasına, maserasyona neden olarak dekübit ülseri gelişimine neden olmaktadır. Çalışmalar inkontinans hastalarının bası yarası açısından beş kat daha yüksek risk taşıdığını göstermektedir (Reddy vd 2006, Surajitvd 2015).</w:t>
      </w:r>
    </w:p>
    <w:p>
      <w:pPr>
        <w:pStyle w:val="BodyText"/>
        <w:rPr>
          <w:sz w:val="24"/>
        </w:rPr>
      </w:pPr>
    </w:p>
    <w:p>
      <w:pPr>
        <w:pStyle w:val="BodyText"/>
        <w:rPr>
          <w:sz w:val="24"/>
        </w:rPr>
      </w:pPr>
    </w:p>
    <w:p>
      <w:pPr>
        <w:pStyle w:val="Heading1"/>
        <w:numPr>
          <w:ilvl w:val="1"/>
          <w:numId w:val="2"/>
        </w:numPr>
        <w:tabs>
          <w:tab w:pos="1618" w:val="left" w:leader="none"/>
        </w:tabs>
        <w:spacing w:line="240" w:lineRule="auto" w:before="205" w:after="0"/>
        <w:ind w:left="1618" w:right="0" w:hanging="370"/>
        <w:jc w:val="left"/>
      </w:pPr>
      <w:bookmarkStart w:name="_bookmark26" w:id="46"/>
      <w:bookmarkEnd w:id="46"/>
      <w:r>
        <w:rPr>
          <w:b w:val="0"/>
        </w:rPr>
      </w:r>
      <w:bookmarkStart w:name="_bookmark26" w:id="47"/>
      <w:bookmarkEnd w:id="47"/>
      <w:r>
        <w:rPr/>
        <w:t>B</w:t>
      </w:r>
      <w:r>
        <w:rPr/>
        <w:t>ası Yaralarının</w:t>
      </w:r>
      <w:r>
        <w:rPr>
          <w:spacing w:val="-4"/>
        </w:rPr>
        <w:t> </w:t>
      </w:r>
      <w:r>
        <w:rPr/>
        <w:t>Sınıflandırması</w:t>
      </w:r>
    </w:p>
    <w:p>
      <w:pPr>
        <w:pStyle w:val="BodyText"/>
        <w:rPr>
          <w:b/>
          <w:sz w:val="24"/>
        </w:rPr>
      </w:pPr>
    </w:p>
    <w:p>
      <w:pPr>
        <w:pStyle w:val="BodyText"/>
        <w:spacing w:before="1"/>
        <w:rPr>
          <w:b/>
          <w:sz w:val="20"/>
        </w:rPr>
      </w:pPr>
    </w:p>
    <w:p>
      <w:pPr>
        <w:pStyle w:val="BodyText"/>
        <w:spacing w:line="360" w:lineRule="auto"/>
        <w:ind w:left="1248" w:right="669" w:firstLine="708"/>
        <w:jc w:val="both"/>
      </w:pPr>
      <w:r>
        <w:rPr/>
        <w:t>Sağlık uzmanları tarafından bası yaralarının ciddiyetini tanımlamak için çeşitli sınıflandırma sistemleri kullanılmaktadır. Ancak en yaygın olarak kullanılan sınıflama sistemi European Pressure Ulcer Advisory Panel (EPUAP) tarafından 1998 yılında geliştirilen sınıflama sistemi kullanılmaktadır (Ferrel vd 2000, Keast vd 2004, Surajit Bhattacharya vd 2015).</w:t>
      </w:r>
    </w:p>
    <w:p>
      <w:pPr>
        <w:pStyle w:val="BodyText"/>
        <w:spacing w:line="360" w:lineRule="auto" w:before="160"/>
        <w:ind w:left="1248" w:right="670" w:firstLine="708"/>
        <w:jc w:val="both"/>
      </w:pPr>
      <w:r>
        <w:rPr/>
        <w:t>Lezyonlar genellikle derinliklerine göre makroskopik ve morfolojik kriterlere dayalı olarak çeşitli biçimlerde tanımlanmaktadır. Basınç yaraları, hasar derinliğine karşılık gelen dört aşamada kategorilere ayrılmıştır. Bu sınıflama sistemi Tablo 2.5.1’de gösterilmiştir.</w:t>
      </w:r>
    </w:p>
    <w:p>
      <w:pPr>
        <w:spacing w:after="0" w:line="360" w:lineRule="auto"/>
        <w:jc w:val="both"/>
        <w:sectPr>
          <w:pgSz w:w="11910" w:h="16840"/>
          <w:pgMar w:header="749" w:footer="0" w:top="960" w:bottom="280" w:left="1020" w:right="460"/>
        </w:sectPr>
      </w:pPr>
    </w:p>
    <w:p>
      <w:pPr>
        <w:pStyle w:val="BodyText"/>
        <w:rPr>
          <w:sz w:val="20"/>
        </w:rPr>
      </w:pPr>
    </w:p>
    <w:p>
      <w:pPr>
        <w:pStyle w:val="BodyText"/>
        <w:spacing w:before="2"/>
        <w:rPr>
          <w:sz w:val="19"/>
        </w:rPr>
      </w:pPr>
    </w:p>
    <w:p>
      <w:pPr>
        <w:spacing w:before="0"/>
        <w:ind w:left="1248" w:right="0" w:firstLine="0"/>
        <w:jc w:val="left"/>
        <w:rPr>
          <w:sz w:val="22"/>
        </w:rPr>
      </w:pPr>
      <w:bookmarkStart w:name="_bookmark27" w:id="48"/>
      <w:bookmarkEnd w:id="48"/>
      <w:r>
        <w:rPr/>
      </w:r>
      <w:r>
        <w:rPr>
          <w:b/>
          <w:sz w:val="22"/>
        </w:rPr>
        <w:t>Tablo 2.5.1 </w:t>
      </w:r>
      <w:r>
        <w:rPr>
          <w:sz w:val="22"/>
        </w:rPr>
        <w:t>Bası yaralarının sınıflandırılması</w:t>
      </w:r>
    </w:p>
    <w:p>
      <w:pPr>
        <w:pStyle w:val="BodyText"/>
        <w:spacing w:before="6"/>
      </w:pPr>
    </w:p>
    <w:tbl>
      <w:tblPr>
        <w:tblW w:w="0" w:type="auto"/>
        <w:jc w:val="left"/>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9"/>
        <w:gridCol w:w="5238"/>
        <w:gridCol w:w="2707"/>
      </w:tblGrid>
      <w:tr>
        <w:trPr>
          <w:trHeight w:val="2915" w:hRule="atLeast"/>
        </w:trPr>
        <w:tc>
          <w:tcPr>
            <w:tcW w:w="1099" w:type="dxa"/>
          </w:tcPr>
          <w:p>
            <w:pPr>
              <w:pStyle w:val="TableParagraph"/>
              <w:rPr>
                <w:sz w:val="24"/>
              </w:rPr>
            </w:pPr>
          </w:p>
          <w:p>
            <w:pPr>
              <w:pStyle w:val="TableParagraph"/>
              <w:rPr>
                <w:sz w:val="24"/>
              </w:rPr>
            </w:pPr>
          </w:p>
          <w:p>
            <w:pPr>
              <w:pStyle w:val="TableParagraph"/>
              <w:rPr>
                <w:sz w:val="24"/>
              </w:rPr>
            </w:pPr>
          </w:p>
          <w:p>
            <w:pPr>
              <w:pStyle w:val="TableParagraph"/>
              <w:spacing w:before="8"/>
              <w:rPr>
                <w:sz w:val="26"/>
              </w:rPr>
            </w:pPr>
          </w:p>
          <w:p>
            <w:pPr>
              <w:pStyle w:val="TableParagraph"/>
              <w:ind w:left="107"/>
              <w:rPr>
                <w:b/>
                <w:sz w:val="22"/>
              </w:rPr>
            </w:pPr>
            <w:r>
              <w:rPr>
                <w:b/>
                <w:sz w:val="22"/>
              </w:rPr>
              <w:t>EVRE 1</w:t>
            </w:r>
          </w:p>
        </w:tc>
        <w:tc>
          <w:tcPr>
            <w:tcW w:w="5238" w:type="dxa"/>
          </w:tcPr>
          <w:p>
            <w:pPr>
              <w:pStyle w:val="TableParagraph"/>
              <w:spacing w:before="10"/>
              <w:rPr>
                <w:sz w:val="21"/>
              </w:rPr>
            </w:pPr>
          </w:p>
          <w:p>
            <w:pPr>
              <w:pStyle w:val="TableParagraph"/>
              <w:ind w:left="108" w:right="97"/>
              <w:jc w:val="both"/>
              <w:rPr>
                <w:sz w:val="22"/>
              </w:rPr>
            </w:pPr>
            <w:r>
              <w:rPr>
                <w:sz w:val="22"/>
              </w:rPr>
              <w:t>En yüzeysel olan bası yarası türüdür. Etkilenen cilt alanı renksiz görünür ve beyaz insanlarda kırmızı, koyu renkli cilde sahip insanlarda mor veya mavidir. Etkilenen bölgeye baskı uygulandığı zaman beyazlaşma olmamaktadır. Cilt bütünlüğü sağlamdır ve cilt bozulmadan kalır, ancak ağrılı veya kaşıntılı olabilir. Ayrıca sıcak veya süngerimsi bir alan vardır. Deri sertleşmiştir veya zor hissedilebilir.</w:t>
            </w:r>
          </w:p>
        </w:tc>
        <w:tc>
          <w:tcPr>
            <w:tcW w:w="2707" w:type="dxa"/>
          </w:tcPr>
          <w:p>
            <w:pPr>
              <w:pStyle w:val="TableParagraph"/>
              <w:spacing w:before="8"/>
              <w:rPr>
                <w:sz w:val="28"/>
              </w:rPr>
            </w:pPr>
          </w:p>
          <w:p>
            <w:pPr>
              <w:pStyle w:val="TableParagraph"/>
              <w:ind w:left="179"/>
              <w:rPr>
                <w:sz w:val="20"/>
              </w:rPr>
            </w:pPr>
            <w:r>
              <w:rPr>
                <w:sz w:val="20"/>
              </w:rPr>
              <w:drawing>
                <wp:inline distT="0" distB="0" distL="0" distR="0">
                  <wp:extent cx="1474823" cy="1446847"/>
                  <wp:effectExtent l="0" t="0" r="0" b="0"/>
                  <wp:docPr id="9" name="image5.jpeg"/>
                  <wp:cNvGraphicFramePr>
                    <a:graphicFrameLocks noChangeAspect="1"/>
                  </wp:cNvGraphicFramePr>
                  <a:graphic>
                    <a:graphicData uri="http://schemas.openxmlformats.org/drawingml/2006/picture">
                      <pic:pic>
                        <pic:nvPicPr>
                          <pic:cNvPr id="10" name="image5.jpeg"/>
                          <pic:cNvPicPr/>
                        </pic:nvPicPr>
                        <pic:blipFill>
                          <a:blip r:embed="rId12" cstate="print"/>
                          <a:stretch>
                            <a:fillRect/>
                          </a:stretch>
                        </pic:blipFill>
                        <pic:spPr>
                          <a:xfrm>
                            <a:off x="0" y="0"/>
                            <a:ext cx="1474823" cy="1446847"/>
                          </a:xfrm>
                          <a:prstGeom prst="rect">
                            <a:avLst/>
                          </a:prstGeom>
                        </pic:spPr>
                      </pic:pic>
                    </a:graphicData>
                  </a:graphic>
                </wp:inline>
              </w:drawing>
            </w:r>
            <w:r>
              <w:rPr>
                <w:sz w:val="20"/>
              </w:rPr>
            </w:r>
          </w:p>
        </w:tc>
      </w:tr>
      <w:tr>
        <w:trPr>
          <w:trHeight w:val="2277" w:hRule="atLeast"/>
        </w:trPr>
        <w:tc>
          <w:tcPr>
            <w:tcW w:w="1099" w:type="dxa"/>
          </w:tcPr>
          <w:p>
            <w:pPr>
              <w:pStyle w:val="TableParagraph"/>
              <w:rPr>
                <w:sz w:val="24"/>
              </w:rPr>
            </w:pPr>
          </w:p>
          <w:p>
            <w:pPr>
              <w:pStyle w:val="TableParagraph"/>
              <w:rPr>
                <w:sz w:val="24"/>
              </w:rPr>
            </w:pPr>
          </w:p>
          <w:p>
            <w:pPr>
              <w:pStyle w:val="TableParagraph"/>
              <w:spacing w:before="202"/>
              <w:ind w:left="107"/>
              <w:rPr>
                <w:b/>
                <w:sz w:val="22"/>
              </w:rPr>
            </w:pPr>
            <w:r>
              <w:rPr>
                <w:b/>
                <w:sz w:val="22"/>
              </w:rPr>
              <w:t>EVRE 2</w:t>
            </w:r>
          </w:p>
        </w:tc>
        <w:tc>
          <w:tcPr>
            <w:tcW w:w="5238" w:type="dxa"/>
          </w:tcPr>
          <w:p>
            <w:pPr>
              <w:pStyle w:val="TableParagraph"/>
              <w:spacing w:before="8"/>
              <w:rPr>
                <w:sz w:val="21"/>
              </w:rPr>
            </w:pPr>
          </w:p>
          <w:p>
            <w:pPr>
              <w:pStyle w:val="TableParagraph"/>
              <w:ind w:left="108" w:right="96"/>
              <w:jc w:val="both"/>
              <w:rPr>
                <w:sz w:val="22"/>
              </w:rPr>
            </w:pPr>
            <w:r>
              <w:rPr>
                <w:sz w:val="22"/>
              </w:rPr>
              <w:t>Cildin dış yüzeyinin bir kısmı (epidermis) veya daha derin bir cilt tabakasında (dermis) kısmi kayıp, yara yatağı pembe kırmızı Kabuksuz, yüzeysel yaralar Rüptüre veya korunmuş büller zarar görür ve cilt kaybına yol açar. Ülser açık bir yara veya bir kabarmaya benzer.</w:t>
            </w:r>
          </w:p>
        </w:tc>
        <w:tc>
          <w:tcPr>
            <w:tcW w:w="2707" w:type="dxa"/>
          </w:tcPr>
          <w:p>
            <w:pPr>
              <w:pStyle w:val="TableParagraph"/>
              <w:spacing w:before="4"/>
              <w:rPr>
                <w:sz w:val="7"/>
              </w:rPr>
            </w:pPr>
          </w:p>
          <w:p>
            <w:pPr>
              <w:pStyle w:val="TableParagraph"/>
              <w:ind w:left="178"/>
              <w:rPr>
                <w:sz w:val="20"/>
              </w:rPr>
            </w:pPr>
            <w:r>
              <w:rPr>
                <w:sz w:val="20"/>
              </w:rPr>
              <w:drawing>
                <wp:inline distT="0" distB="0" distL="0" distR="0">
                  <wp:extent cx="1480111" cy="1191196"/>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13" cstate="print"/>
                          <a:stretch>
                            <a:fillRect/>
                          </a:stretch>
                        </pic:blipFill>
                        <pic:spPr>
                          <a:xfrm>
                            <a:off x="0" y="0"/>
                            <a:ext cx="1480111" cy="1191196"/>
                          </a:xfrm>
                          <a:prstGeom prst="rect">
                            <a:avLst/>
                          </a:prstGeom>
                        </pic:spPr>
                      </pic:pic>
                    </a:graphicData>
                  </a:graphic>
                </wp:inline>
              </w:drawing>
            </w:r>
            <w:r>
              <w:rPr>
                <w:sz w:val="20"/>
              </w:rPr>
            </w:r>
          </w:p>
        </w:tc>
      </w:tr>
      <w:tr>
        <w:trPr>
          <w:trHeight w:val="2471" w:hRule="atLeast"/>
        </w:trPr>
        <w:tc>
          <w:tcPr>
            <w:tcW w:w="1099" w:type="dxa"/>
          </w:tcPr>
          <w:p>
            <w:pPr>
              <w:pStyle w:val="TableParagraph"/>
              <w:rPr>
                <w:sz w:val="24"/>
              </w:rPr>
            </w:pPr>
          </w:p>
          <w:p>
            <w:pPr>
              <w:pStyle w:val="TableParagraph"/>
              <w:rPr>
                <w:sz w:val="24"/>
              </w:rPr>
            </w:pPr>
          </w:p>
          <w:p>
            <w:pPr>
              <w:pStyle w:val="TableParagraph"/>
              <w:rPr>
                <w:sz w:val="24"/>
              </w:rPr>
            </w:pPr>
          </w:p>
          <w:p>
            <w:pPr>
              <w:pStyle w:val="TableParagraph"/>
              <w:spacing w:before="180"/>
              <w:ind w:left="107"/>
              <w:rPr>
                <w:b/>
                <w:sz w:val="22"/>
              </w:rPr>
            </w:pPr>
            <w:r>
              <w:rPr>
                <w:b/>
                <w:sz w:val="22"/>
              </w:rPr>
              <w:t>EVRE 3</w:t>
            </w:r>
          </w:p>
        </w:tc>
        <w:tc>
          <w:tcPr>
            <w:tcW w:w="5238" w:type="dxa"/>
          </w:tcPr>
          <w:p>
            <w:pPr>
              <w:pStyle w:val="TableParagraph"/>
              <w:spacing w:before="10"/>
              <w:rPr>
                <w:sz w:val="21"/>
              </w:rPr>
            </w:pPr>
          </w:p>
          <w:p>
            <w:pPr>
              <w:pStyle w:val="TableParagraph"/>
              <w:ind w:left="108" w:right="97"/>
              <w:jc w:val="both"/>
              <w:rPr>
                <w:sz w:val="22"/>
              </w:rPr>
            </w:pPr>
            <w:r>
              <w:rPr>
                <w:sz w:val="22"/>
              </w:rPr>
              <w:t>Cildin tümü veya tüm yara boyunca cilt kaybı olur. Altta yatan doku da zarar görür, ancak kas ve kemik zarar görmez. Ülser derin bir boşluk gibi görünür. Fasyaya kadar inebilen, deri altı dokularında hasar veya nekroz içeren yara türüdür. Subkutan yağ dokusu</w:t>
            </w:r>
            <w:r>
              <w:rPr>
                <w:spacing w:val="-7"/>
                <w:sz w:val="22"/>
              </w:rPr>
              <w:t> </w:t>
            </w:r>
            <w:r>
              <w:rPr>
                <w:sz w:val="22"/>
              </w:rPr>
              <w:t>görülebilir.</w:t>
            </w:r>
          </w:p>
        </w:tc>
        <w:tc>
          <w:tcPr>
            <w:tcW w:w="2707" w:type="dxa"/>
          </w:tcPr>
          <w:p>
            <w:pPr>
              <w:pStyle w:val="TableParagraph"/>
              <w:spacing w:before="1" w:after="1"/>
              <w:rPr>
                <w:sz w:val="11"/>
              </w:rPr>
            </w:pPr>
          </w:p>
          <w:p>
            <w:pPr>
              <w:pStyle w:val="TableParagraph"/>
              <w:ind w:left="106"/>
              <w:rPr>
                <w:sz w:val="20"/>
              </w:rPr>
            </w:pPr>
            <w:r>
              <w:rPr>
                <w:sz w:val="20"/>
              </w:rPr>
              <w:drawing>
                <wp:inline distT="0" distB="0" distL="0" distR="0">
                  <wp:extent cx="1508992" cy="1243012"/>
                  <wp:effectExtent l="0" t="0" r="0" b="0"/>
                  <wp:docPr id="13" name="image7.jpeg"/>
                  <wp:cNvGraphicFramePr>
                    <a:graphicFrameLocks noChangeAspect="1"/>
                  </wp:cNvGraphicFramePr>
                  <a:graphic>
                    <a:graphicData uri="http://schemas.openxmlformats.org/drawingml/2006/picture">
                      <pic:pic>
                        <pic:nvPicPr>
                          <pic:cNvPr id="14" name="image7.jpeg"/>
                          <pic:cNvPicPr/>
                        </pic:nvPicPr>
                        <pic:blipFill>
                          <a:blip r:embed="rId14" cstate="print"/>
                          <a:stretch>
                            <a:fillRect/>
                          </a:stretch>
                        </pic:blipFill>
                        <pic:spPr>
                          <a:xfrm>
                            <a:off x="0" y="0"/>
                            <a:ext cx="1508992" cy="1243012"/>
                          </a:xfrm>
                          <a:prstGeom prst="rect">
                            <a:avLst/>
                          </a:prstGeom>
                        </pic:spPr>
                      </pic:pic>
                    </a:graphicData>
                  </a:graphic>
                </wp:inline>
              </w:drawing>
            </w:r>
            <w:r>
              <w:rPr>
                <w:sz w:val="20"/>
              </w:rPr>
            </w:r>
          </w:p>
        </w:tc>
      </w:tr>
      <w:tr>
        <w:trPr>
          <w:trHeight w:val="2445" w:hRule="atLeast"/>
        </w:trPr>
        <w:tc>
          <w:tcPr>
            <w:tcW w:w="1099" w:type="dxa"/>
          </w:tcPr>
          <w:p>
            <w:pPr>
              <w:pStyle w:val="TableParagraph"/>
              <w:rPr>
                <w:sz w:val="24"/>
              </w:rPr>
            </w:pPr>
          </w:p>
          <w:p>
            <w:pPr>
              <w:pStyle w:val="TableParagraph"/>
              <w:rPr>
                <w:sz w:val="24"/>
              </w:rPr>
            </w:pPr>
          </w:p>
          <w:p>
            <w:pPr>
              <w:pStyle w:val="TableParagraph"/>
              <w:spacing w:before="204"/>
              <w:ind w:left="107"/>
              <w:rPr>
                <w:b/>
                <w:sz w:val="22"/>
              </w:rPr>
            </w:pPr>
            <w:r>
              <w:rPr>
                <w:b/>
                <w:sz w:val="22"/>
              </w:rPr>
              <w:t>EVRE 4</w:t>
            </w:r>
          </w:p>
        </w:tc>
        <w:tc>
          <w:tcPr>
            <w:tcW w:w="5238" w:type="dxa"/>
          </w:tcPr>
          <w:p>
            <w:pPr>
              <w:pStyle w:val="TableParagraph"/>
              <w:spacing w:before="10"/>
              <w:rPr>
                <w:sz w:val="21"/>
              </w:rPr>
            </w:pPr>
          </w:p>
          <w:p>
            <w:pPr>
              <w:pStyle w:val="TableParagraph"/>
              <w:ind w:left="108" w:right="96"/>
              <w:jc w:val="both"/>
              <w:rPr>
                <w:sz w:val="22"/>
              </w:rPr>
            </w:pPr>
            <w:r>
              <w:rPr>
                <w:sz w:val="22"/>
              </w:rPr>
              <w:t>Deri ciddi şekilde hasar görür ve çevresindeki dokuda nekroz gelişir. Kaslar, kemik veya eklem de hasar görebilir bazen çok şiddetli olan bası yaralarında kişilerde yaşamı tehdit edici bir enfeksiyon geliştirme riski yüksektir.</w:t>
            </w:r>
          </w:p>
        </w:tc>
        <w:tc>
          <w:tcPr>
            <w:tcW w:w="2707" w:type="dxa"/>
          </w:tcPr>
          <w:p>
            <w:pPr>
              <w:pStyle w:val="TableParagraph"/>
              <w:spacing w:before="4" w:after="1"/>
              <w:rPr>
                <w:sz w:val="12"/>
              </w:rPr>
            </w:pPr>
          </w:p>
          <w:p>
            <w:pPr>
              <w:pStyle w:val="TableParagraph"/>
              <w:ind w:left="162"/>
              <w:rPr>
                <w:sz w:val="20"/>
              </w:rPr>
            </w:pPr>
            <w:r>
              <w:rPr>
                <w:sz w:val="20"/>
              </w:rPr>
              <w:drawing>
                <wp:inline distT="0" distB="0" distL="0" distR="0">
                  <wp:extent cx="1411433" cy="1257966"/>
                  <wp:effectExtent l="0" t="0" r="0" b="0"/>
                  <wp:docPr id="15" name="image8.jpeg"/>
                  <wp:cNvGraphicFramePr>
                    <a:graphicFrameLocks noChangeAspect="1"/>
                  </wp:cNvGraphicFramePr>
                  <a:graphic>
                    <a:graphicData uri="http://schemas.openxmlformats.org/drawingml/2006/picture">
                      <pic:pic>
                        <pic:nvPicPr>
                          <pic:cNvPr id="16" name="image8.jpeg"/>
                          <pic:cNvPicPr/>
                        </pic:nvPicPr>
                        <pic:blipFill>
                          <a:blip r:embed="rId15" cstate="print"/>
                          <a:stretch>
                            <a:fillRect/>
                          </a:stretch>
                        </pic:blipFill>
                        <pic:spPr>
                          <a:xfrm>
                            <a:off x="0" y="0"/>
                            <a:ext cx="1411433" cy="1257966"/>
                          </a:xfrm>
                          <a:prstGeom prst="rect">
                            <a:avLst/>
                          </a:prstGeom>
                        </pic:spPr>
                      </pic:pic>
                    </a:graphicData>
                  </a:graphic>
                </wp:inline>
              </w:drawing>
            </w:r>
            <w:r>
              <w:rPr>
                <w:sz w:val="20"/>
              </w:rPr>
            </w:r>
          </w:p>
        </w:tc>
      </w:tr>
    </w:tbl>
    <w:p>
      <w:pPr>
        <w:pStyle w:val="BodyText"/>
        <w:ind w:left="572" w:right="977"/>
        <w:jc w:val="center"/>
      </w:pPr>
      <w:r>
        <w:rPr/>
        <w:t>(Ferrel vd 2000, Keast vd 2004, Surajit Bhattacharya vd 2015).</w:t>
      </w:r>
    </w:p>
    <w:p>
      <w:pPr>
        <w:pStyle w:val="BodyText"/>
        <w:rPr>
          <w:sz w:val="24"/>
        </w:rPr>
      </w:pPr>
    </w:p>
    <w:p>
      <w:pPr>
        <w:pStyle w:val="BodyText"/>
        <w:spacing w:before="10"/>
        <w:rPr>
          <w:sz w:val="33"/>
        </w:rPr>
      </w:pPr>
    </w:p>
    <w:p>
      <w:pPr>
        <w:pStyle w:val="Heading1"/>
        <w:numPr>
          <w:ilvl w:val="1"/>
          <w:numId w:val="2"/>
        </w:numPr>
        <w:tabs>
          <w:tab w:pos="1618" w:val="left" w:leader="none"/>
        </w:tabs>
        <w:spacing w:line="240" w:lineRule="auto" w:before="0" w:after="0"/>
        <w:ind w:left="1618" w:right="0" w:hanging="370"/>
        <w:jc w:val="left"/>
      </w:pPr>
      <w:bookmarkStart w:name="_bookmark28" w:id="49"/>
      <w:bookmarkEnd w:id="49"/>
      <w:r>
        <w:rPr>
          <w:b w:val="0"/>
        </w:rPr>
      </w:r>
      <w:bookmarkStart w:name="_bookmark28" w:id="50"/>
      <w:bookmarkEnd w:id="50"/>
      <w:r>
        <w:rPr/>
        <w:t>B</w:t>
      </w:r>
      <w:r>
        <w:rPr/>
        <w:t>ası Yaralarının En Sık Görüldüğü Vücut</w:t>
      </w:r>
      <w:r>
        <w:rPr>
          <w:spacing w:val="-11"/>
        </w:rPr>
        <w:t> </w:t>
      </w:r>
      <w:r>
        <w:rPr/>
        <w:t>Bölgeleri</w:t>
      </w:r>
    </w:p>
    <w:p>
      <w:pPr>
        <w:pStyle w:val="BodyText"/>
        <w:rPr>
          <w:b/>
          <w:sz w:val="24"/>
        </w:rPr>
      </w:pPr>
    </w:p>
    <w:p>
      <w:pPr>
        <w:pStyle w:val="BodyText"/>
        <w:spacing w:before="2"/>
        <w:rPr>
          <w:b/>
          <w:sz w:val="20"/>
        </w:rPr>
      </w:pPr>
    </w:p>
    <w:p>
      <w:pPr>
        <w:pStyle w:val="BodyText"/>
        <w:spacing w:line="360" w:lineRule="auto"/>
        <w:ind w:left="1248" w:right="669" w:firstLine="720"/>
        <w:jc w:val="both"/>
      </w:pPr>
      <w:r>
        <w:rPr/>
        <w:t>Hasta yatış pozisyonunda iken ya da otururken vücut ağılığı daha çok kemik çıkıntılar üzerinde taşınmaktadır. Yatış pozisyonunda vücut ağırlığının büyük bir kısmı sakrum üzerinde taşınmaktadır. Bacakların ağırlığının büyük bir kısmı ise topuklar üzerinde taşınmaktadır. Bu nedenden dolayı bası yaraları en çok sakrum ve</w:t>
      </w:r>
      <w:r>
        <w:rPr>
          <w:spacing w:val="58"/>
        </w:rPr>
        <w:t> </w:t>
      </w:r>
      <w:r>
        <w:rPr/>
        <w:t>topukların</w:t>
      </w:r>
    </w:p>
    <w:p>
      <w:pPr>
        <w:spacing w:after="0" w:line="360" w:lineRule="auto"/>
        <w:jc w:val="both"/>
        <w:sectPr>
          <w:pgSz w:w="11910" w:h="16840"/>
          <w:pgMar w:header="749" w:footer="0" w:top="960" w:bottom="280" w:left="1020" w:right="460"/>
        </w:sectPr>
      </w:pPr>
    </w:p>
    <w:p>
      <w:pPr>
        <w:pStyle w:val="BodyText"/>
        <w:rPr>
          <w:sz w:val="20"/>
        </w:rPr>
      </w:pPr>
    </w:p>
    <w:p>
      <w:pPr>
        <w:pStyle w:val="BodyText"/>
        <w:spacing w:before="5"/>
        <w:rPr>
          <w:sz w:val="19"/>
        </w:rPr>
      </w:pPr>
    </w:p>
    <w:p>
      <w:pPr>
        <w:pStyle w:val="BodyText"/>
        <w:spacing w:line="357" w:lineRule="auto"/>
        <w:ind w:left="1248"/>
      </w:pPr>
      <w:r>
        <w:rPr/>
        <w:t>üzerinde görülmektedir. Ama bununla beraber hastanın yatış pozisyonuna göre basınç noktaları değişmektedir (Sherman 2000, Banu 2008) (Tablo 2.6.1).</w:t>
      </w:r>
    </w:p>
    <w:p>
      <w:pPr>
        <w:pStyle w:val="BodyText"/>
        <w:rPr>
          <w:sz w:val="24"/>
        </w:rPr>
      </w:pPr>
    </w:p>
    <w:p>
      <w:pPr>
        <w:pStyle w:val="BodyText"/>
        <w:spacing w:before="142"/>
        <w:ind w:left="1248"/>
      </w:pPr>
      <w:bookmarkStart w:name="_bookmark29" w:id="51"/>
      <w:bookmarkEnd w:id="51"/>
      <w:r>
        <w:rPr/>
      </w:r>
      <w:r>
        <w:rPr>
          <w:b/>
        </w:rPr>
        <w:t>Tablo 2.6.1 </w:t>
      </w:r>
      <w:r>
        <w:rPr/>
        <w:t>Bası yaralarının en sık görüldüğü vücut bölgeleri</w:t>
      </w:r>
    </w:p>
    <w:p>
      <w:pPr>
        <w:pStyle w:val="BodyText"/>
        <w:spacing w:before="2"/>
      </w:pPr>
    </w:p>
    <w:tbl>
      <w:tblPr>
        <w:tblW w:w="0" w:type="auto"/>
        <w:jc w:val="left"/>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97"/>
        <w:gridCol w:w="5523"/>
      </w:tblGrid>
      <w:tr>
        <w:trPr>
          <w:trHeight w:val="8163" w:hRule="atLeast"/>
        </w:trPr>
        <w:tc>
          <w:tcPr>
            <w:tcW w:w="3197" w:type="dxa"/>
          </w:tcPr>
          <w:p>
            <w:pPr>
              <w:pStyle w:val="TableParagraph"/>
              <w:rPr>
                <w:sz w:val="24"/>
              </w:rPr>
            </w:pPr>
          </w:p>
          <w:p>
            <w:pPr>
              <w:pStyle w:val="TableParagraph"/>
              <w:rPr>
                <w:sz w:val="24"/>
              </w:rPr>
            </w:pPr>
          </w:p>
          <w:p>
            <w:pPr>
              <w:pStyle w:val="TableParagraph"/>
              <w:rPr>
                <w:sz w:val="24"/>
              </w:rPr>
            </w:pPr>
          </w:p>
          <w:p>
            <w:pPr>
              <w:pStyle w:val="TableParagraph"/>
              <w:spacing w:before="180"/>
              <w:ind w:left="107"/>
              <w:rPr>
                <w:b/>
                <w:sz w:val="22"/>
              </w:rPr>
            </w:pPr>
            <w:r>
              <w:rPr>
                <w:b/>
                <w:sz w:val="22"/>
              </w:rPr>
              <w:t>Sırt Üstü Pozisyonunda</w:t>
            </w:r>
          </w:p>
          <w:p>
            <w:pPr>
              <w:pStyle w:val="TableParagraph"/>
              <w:numPr>
                <w:ilvl w:val="0"/>
                <w:numId w:val="6"/>
              </w:numPr>
              <w:tabs>
                <w:tab w:pos="305" w:val="left" w:leader="none"/>
              </w:tabs>
              <w:spacing w:line="252" w:lineRule="exact" w:before="3" w:after="0"/>
              <w:ind w:left="304" w:right="0" w:hanging="198"/>
              <w:jc w:val="left"/>
              <w:rPr>
                <w:sz w:val="22"/>
              </w:rPr>
            </w:pPr>
            <w:r>
              <w:rPr>
                <w:sz w:val="22"/>
              </w:rPr>
              <w:t>Oksiput</w:t>
            </w:r>
          </w:p>
          <w:p>
            <w:pPr>
              <w:pStyle w:val="TableParagraph"/>
              <w:numPr>
                <w:ilvl w:val="0"/>
                <w:numId w:val="6"/>
              </w:numPr>
              <w:tabs>
                <w:tab w:pos="305" w:val="left" w:leader="none"/>
              </w:tabs>
              <w:spacing w:line="240" w:lineRule="auto" w:before="0" w:after="0"/>
              <w:ind w:left="107" w:right="445" w:firstLine="0"/>
              <w:jc w:val="left"/>
              <w:rPr>
                <w:sz w:val="22"/>
              </w:rPr>
            </w:pPr>
            <w:r>
              <w:rPr>
                <w:sz w:val="22"/>
              </w:rPr>
              <w:t>Omuz ve Skapular Bölge 3-Dirsekler</w:t>
            </w:r>
          </w:p>
          <w:p>
            <w:pPr>
              <w:pStyle w:val="TableParagraph"/>
              <w:spacing w:before="1"/>
              <w:ind w:left="107" w:right="302"/>
              <w:rPr>
                <w:sz w:val="22"/>
              </w:rPr>
            </w:pPr>
            <w:r>
              <w:rPr>
                <w:sz w:val="22"/>
              </w:rPr>
              <w:t>4-Sakrum ve iskiyal Bölgeler 5-Ayak Topukları</w:t>
            </w:r>
          </w:p>
          <w:p>
            <w:pPr>
              <w:pStyle w:val="TableParagraph"/>
              <w:rPr>
                <w:sz w:val="24"/>
              </w:rPr>
            </w:pPr>
          </w:p>
          <w:p>
            <w:pPr>
              <w:pStyle w:val="TableParagraph"/>
              <w:rPr>
                <w:sz w:val="24"/>
              </w:rPr>
            </w:pPr>
          </w:p>
          <w:p>
            <w:pPr>
              <w:pStyle w:val="TableParagraph"/>
              <w:spacing w:before="204"/>
              <w:ind w:left="107"/>
              <w:rPr>
                <w:b/>
                <w:sz w:val="22"/>
              </w:rPr>
            </w:pPr>
            <w:r>
              <w:rPr>
                <w:b/>
                <w:sz w:val="22"/>
              </w:rPr>
              <w:t>Yan Yatış Pozisyonunda</w:t>
            </w:r>
          </w:p>
          <w:p>
            <w:pPr>
              <w:pStyle w:val="TableParagraph"/>
              <w:numPr>
                <w:ilvl w:val="0"/>
                <w:numId w:val="7"/>
              </w:numPr>
              <w:tabs>
                <w:tab w:pos="305" w:val="left" w:leader="none"/>
              </w:tabs>
              <w:spacing w:line="240" w:lineRule="auto" w:before="2" w:after="0"/>
              <w:ind w:left="304" w:right="0" w:hanging="198"/>
              <w:jc w:val="left"/>
              <w:rPr>
                <w:sz w:val="22"/>
              </w:rPr>
            </w:pPr>
            <w:r>
              <w:rPr>
                <w:sz w:val="22"/>
              </w:rPr>
              <w:t>Kulaklar</w:t>
            </w:r>
            <w:r>
              <w:rPr>
                <w:spacing w:val="-2"/>
                <w:sz w:val="22"/>
              </w:rPr>
              <w:t> </w:t>
            </w:r>
            <w:r>
              <w:rPr>
                <w:sz w:val="22"/>
              </w:rPr>
              <w:t>Bölgesi</w:t>
            </w:r>
          </w:p>
          <w:p>
            <w:pPr>
              <w:pStyle w:val="TableParagraph"/>
              <w:numPr>
                <w:ilvl w:val="0"/>
                <w:numId w:val="7"/>
              </w:numPr>
              <w:tabs>
                <w:tab w:pos="305" w:val="left" w:leader="none"/>
              </w:tabs>
              <w:spacing w:line="240" w:lineRule="auto" w:before="1" w:after="0"/>
              <w:ind w:left="107" w:right="201" w:firstLine="0"/>
              <w:jc w:val="left"/>
              <w:rPr>
                <w:sz w:val="22"/>
              </w:rPr>
            </w:pPr>
            <w:r>
              <w:rPr>
                <w:sz w:val="22"/>
              </w:rPr>
              <w:t>Omuz ve Skapular Bölgeler 3-Trokantörler</w:t>
            </w:r>
          </w:p>
          <w:p>
            <w:pPr>
              <w:pStyle w:val="TableParagraph"/>
              <w:numPr>
                <w:ilvl w:val="0"/>
                <w:numId w:val="8"/>
              </w:numPr>
              <w:tabs>
                <w:tab w:pos="305" w:val="left" w:leader="none"/>
              </w:tabs>
              <w:spacing w:line="252" w:lineRule="exact" w:before="1" w:after="0"/>
              <w:ind w:left="304" w:right="0" w:hanging="198"/>
              <w:jc w:val="left"/>
              <w:rPr>
                <w:sz w:val="22"/>
              </w:rPr>
            </w:pPr>
            <w:r>
              <w:rPr>
                <w:sz w:val="22"/>
              </w:rPr>
              <w:t>Dizler</w:t>
            </w:r>
          </w:p>
          <w:p>
            <w:pPr>
              <w:pStyle w:val="TableParagraph"/>
              <w:numPr>
                <w:ilvl w:val="0"/>
                <w:numId w:val="8"/>
              </w:numPr>
              <w:tabs>
                <w:tab w:pos="305" w:val="left" w:leader="none"/>
              </w:tabs>
              <w:spacing w:line="252" w:lineRule="exact" w:before="0" w:after="0"/>
              <w:ind w:left="304" w:right="0" w:hanging="198"/>
              <w:jc w:val="left"/>
              <w:rPr>
                <w:sz w:val="22"/>
              </w:rPr>
            </w:pPr>
            <w:r>
              <w:rPr>
                <w:sz w:val="22"/>
              </w:rPr>
              <w:t>Malleollar</w:t>
            </w:r>
          </w:p>
          <w:p>
            <w:pPr>
              <w:pStyle w:val="TableParagraph"/>
              <w:rPr>
                <w:sz w:val="24"/>
              </w:rPr>
            </w:pPr>
          </w:p>
          <w:p>
            <w:pPr>
              <w:pStyle w:val="TableParagraph"/>
              <w:rPr>
                <w:sz w:val="24"/>
              </w:rPr>
            </w:pPr>
          </w:p>
          <w:p>
            <w:pPr>
              <w:pStyle w:val="TableParagraph"/>
              <w:spacing w:before="206"/>
              <w:ind w:left="107"/>
              <w:rPr>
                <w:b/>
                <w:sz w:val="22"/>
              </w:rPr>
            </w:pPr>
            <w:r>
              <w:rPr>
                <w:b/>
                <w:sz w:val="22"/>
              </w:rPr>
              <w:t>Oturma Pozisyonunda</w:t>
            </w:r>
          </w:p>
          <w:p>
            <w:pPr>
              <w:pStyle w:val="TableParagraph"/>
              <w:spacing w:before="1"/>
              <w:ind w:left="107" w:right="290"/>
              <w:rPr>
                <w:sz w:val="22"/>
              </w:rPr>
            </w:pPr>
            <w:r>
              <w:rPr>
                <w:sz w:val="22"/>
              </w:rPr>
              <w:t>1-Skapular ve Omuz Bölge 2-Sakrum ve İskiyal Bölgeler 3-Topuk</w:t>
            </w:r>
          </w:p>
          <w:p>
            <w:pPr>
              <w:pStyle w:val="TableParagraph"/>
              <w:spacing w:line="252" w:lineRule="exact"/>
              <w:ind w:left="107"/>
              <w:rPr>
                <w:sz w:val="22"/>
              </w:rPr>
            </w:pPr>
            <w:r>
              <w:rPr>
                <w:sz w:val="22"/>
              </w:rPr>
              <w:t>4-Ayak ve Parmaklarda</w:t>
            </w:r>
          </w:p>
        </w:tc>
        <w:tc>
          <w:tcPr>
            <w:tcW w:w="5523" w:type="dxa"/>
          </w:tcPr>
          <w:p>
            <w:pPr>
              <w:pStyle w:val="TableParagraph"/>
              <w:rPr>
                <w:sz w:val="9"/>
              </w:rPr>
            </w:pPr>
          </w:p>
          <w:p>
            <w:pPr>
              <w:pStyle w:val="TableParagraph"/>
              <w:ind w:left="148"/>
              <w:rPr>
                <w:sz w:val="20"/>
              </w:rPr>
            </w:pPr>
            <w:r>
              <w:rPr>
                <w:sz w:val="20"/>
              </w:rPr>
              <w:drawing>
                <wp:inline distT="0" distB="0" distL="0" distR="0">
                  <wp:extent cx="3297839" cy="4865751"/>
                  <wp:effectExtent l="0" t="0" r="0" b="0"/>
                  <wp:docPr id="17" name="image9.png"/>
                  <wp:cNvGraphicFramePr>
                    <a:graphicFrameLocks noChangeAspect="1"/>
                  </wp:cNvGraphicFramePr>
                  <a:graphic>
                    <a:graphicData uri="http://schemas.openxmlformats.org/drawingml/2006/picture">
                      <pic:pic>
                        <pic:nvPicPr>
                          <pic:cNvPr id="18" name="image9.png"/>
                          <pic:cNvPicPr/>
                        </pic:nvPicPr>
                        <pic:blipFill>
                          <a:blip r:embed="rId16" cstate="print"/>
                          <a:stretch>
                            <a:fillRect/>
                          </a:stretch>
                        </pic:blipFill>
                        <pic:spPr>
                          <a:xfrm>
                            <a:off x="0" y="0"/>
                            <a:ext cx="3297839" cy="4865751"/>
                          </a:xfrm>
                          <a:prstGeom prst="rect">
                            <a:avLst/>
                          </a:prstGeom>
                        </pic:spPr>
                      </pic:pic>
                    </a:graphicData>
                  </a:graphic>
                </wp:inline>
              </w:drawing>
            </w:r>
            <w:r>
              <w:rPr>
                <w:sz w:val="20"/>
              </w:rPr>
            </w:r>
          </w:p>
        </w:tc>
      </w:tr>
    </w:tbl>
    <w:p>
      <w:pPr>
        <w:pStyle w:val="BodyText"/>
        <w:ind w:left="1248"/>
      </w:pPr>
      <w:r>
        <w:rPr/>
        <w:t>(Sherman 2000, Banu 2008)</w:t>
      </w:r>
    </w:p>
    <w:p>
      <w:pPr>
        <w:pStyle w:val="BodyText"/>
        <w:rPr>
          <w:sz w:val="24"/>
        </w:rPr>
      </w:pPr>
    </w:p>
    <w:p>
      <w:pPr>
        <w:pStyle w:val="BodyText"/>
        <w:spacing w:before="8"/>
        <w:rPr>
          <w:sz w:val="19"/>
        </w:rPr>
      </w:pPr>
    </w:p>
    <w:p>
      <w:pPr>
        <w:pStyle w:val="Heading1"/>
        <w:numPr>
          <w:ilvl w:val="1"/>
          <w:numId w:val="2"/>
        </w:numPr>
        <w:tabs>
          <w:tab w:pos="1618" w:val="left" w:leader="none"/>
        </w:tabs>
        <w:spacing w:line="240" w:lineRule="auto" w:before="0" w:after="0"/>
        <w:ind w:left="1618" w:right="0" w:hanging="370"/>
        <w:jc w:val="left"/>
      </w:pPr>
      <w:bookmarkStart w:name="_bookmark30" w:id="52"/>
      <w:bookmarkEnd w:id="52"/>
      <w:r>
        <w:rPr>
          <w:b w:val="0"/>
        </w:rPr>
      </w:r>
      <w:bookmarkStart w:name="_bookmark30" w:id="53"/>
      <w:bookmarkEnd w:id="53"/>
      <w:r>
        <w:rPr/>
        <w:t>B</w:t>
      </w:r>
      <w:r>
        <w:rPr/>
        <w:t>ası Yaralarında Risk</w:t>
      </w:r>
      <w:r>
        <w:rPr>
          <w:spacing w:val="-2"/>
        </w:rPr>
        <w:t> </w:t>
      </w:r>
      <w:r>
        <w:rPr/>
        <w:t>Değerlendirmesi</w:t>
      </w:r>
    </w:p>
    <w:p>
      <w:pPr>
        <w:pStyle w:val="BodyText"/>
        <w:rPr>
          <w:b/>
          <w:sz w:val="24"/>
        </w:rPr>
      </w:pPr>
    </w:p>
    <w:p>
      <w:pPr>
        <w:pStyle w:val="BodyText"/>
        <w:spacing w:before="3"/>
        <w:rPr>
          <w:b/>
          <w:sz w:val="20"/>
        </w:rPr>
      </w:pPr>
    </w:p>
    <w:p>
      <w:pPr>
        <w:pStyle w:val="BodyText"/>
        <w:spacing w:line="360" w:lineRule="auto"/>
        <w:ind w:left="1248" w:right="668" w:firstLine="720"/>
        <w:jc w:val="both"/>
      </w:pPr>
      <w:r>
        <w:rPr/>
        <w:t>Bası yaralarının önlenmesi için ilk önce yapılacak en önemli nokta hasta ve veya hastanın bakımı ile ilgilenen hasta bakıcıların bası yaraları hakkında bilgilendirilmesi (oluşma mekanizması, engellemek için neler yapılmalı, risk faktörlerinelerdir ve cilt bakımı nasıl yapılmalıdır)</w:t>
      </w:r>
      <w:r>
        <w:rPr>
          <w:spacing w:val="-2"/>
        </w:rPr>
        <w:t> </w:t>
      </w:r>
      <w:r>
        <w:rPr/>
        <w:t>önemlidir.</w:t>
      </w:r>
    </w:p>
    <w:p>
      <w:pPr>
        <w:pStyle w:val="BodyText"/>
        <w:spacing w:line="360" w:lineRule="auto" w:before="159"/>
        <w:ind w:left="1248" w:right="673" w:firstLine="720"/>
        <w:jc w:val="both"/>
      </w:pPr>
      <w:r>
        <w:rPr/>
        <w:t>Bası yaralarında risk değerlendirmede birçok farklı ölçek geliştirilmesine Almanya’da hastanelerde Norton Ölçeği kullanılmaktadır. Yoğun bakım ünitelerinde</w:t>
      </w:r>
    </w:p>
    <w:p>
      <w:pPr>
        <w:spacing w:after="0" w:line="360" w:lineRule="auto"/>
        <w:jc w:val="both"/>
        <w:sectPr>
          <w:pgSz w:w="11910" w:h="16840"/>
          <w:pgMar w:header="749" w:footer="0" w:top="960" w:bottom="280" w:left="1020" w:right="460"/>
        </w:sectPr>
      </w:pPr>
    </w:p>
    <w:p>
      <w:pPr>
        <w:pStyle w:val="BodyText"/>
        <w:rPr>
          <w:sz w:val="20"/>
        </w:rPr>
      </w:pPr>
    </w:p>
    <w:p>
      <w:pPr>
        <w:pStyle w:val="BodyText"/>
        <w:spacing w:before="5"/>
        <w:rPr>
          <w:sz w:val="19"/>
        </w:rPr>
      </w:pPr>
    </w:p>
    <w:p>
      <w:pPr>
        <w:pStyle w:val="BodyText"/>
        <w:spacing w:line="360" w:lineRule="auto"/>
        <w:ind w:left="1248" w:right="674"/>
        <w:jc w:val="both"/>
      </w:pPr>
      <w:r>
        <w:rPr/>
        <w:t>daha çok Waterlow Ölçeği kullanılmaktadır. Braden Ölçeği bası yarası risk değerlendirmede kullanılan diğer bir önemli ölçektir. Braden Ölçeği özellikle yaşlılarda bası yarası riskini değerlendirmede tercih edilir. Bütün bu ölçeklerde önemli olan nokta hastaları ve bakıcıları bası yarası ve sorunlarına karşı bilgilendirmektir (Anders 2010).</w:t>
      </w:r>
    </w:p>
    <w:p>
      <w:pPr>
        <w:pStyle w:val="BodyText"/>
        <w:spacing w:before="9"/>
        <w:rPr>
          <w:sz w:val="35"/>
        </w:rPr>
      </w:pPr>
    </w:p>
    <w:p>
      <w:pPr>
        <w:pStyle w:val="Heading1"/>
        <w:numPr>
          <w:ilvl w:val="2"/>
          <w:numId w:val="2"/>
        </w:numPr>
        <w:tabs>
          <w:tab w:pos="1801" w:val="left" w:leader="none"/>
        </w:tabs>
        <w:spacing w:line="240" w:lineRule="auto" w:before="1" w:after="0"/>
        <w:ind w:left="1800" w:right="0" w:hanging="553"/>
        <w:jc w:val="left"/>
      </w:pPr>
      <w:bookmarkStart w:name="_bookmark31" w:id="54"/>
      <w:bookmarkEnd w:id="54"/>
      <w:r>
        <w:rPr>
          <w:b w:val="0"/>
        </w:rPr>
      </w:r>
      <w:bookmarkStart w:name="_bookmark31" w:id="55"/>
      <w:bookmarkEnd w:id="55"/>
      <w:r>
        <w:rPr/>
        <w:t>N</w:t>
      </w:r>
      <w:r>
        <w:rPr/>
        <w:t>orton Bası Yarası Risk Değerlendirme</w:t>
      </w:r>
      <w:r>
        <w:rPr>
          <w:spacing w:val="-5"/>
        </w:rPr>
        <w:t> </w:t>
      </w:r>
      <w:r>
        <w:rPr/>
        <w:t>Ölçeği</w:t>
      </w:r>
    </w:p>
    <w:p>
      <w:pPr>
        <w:pStyle w:val="BodyText"/>
        <w:rPr>
          <w:b/>
          <w:sz w:val="24"/>
        </w:rPr>
      </w:pPr>
    </w:p>
    <w:p>
      <w:pPr>
        <w:pStyle w:val="BodyText"/>
        <w:spacing w:before="1"/>
        <w:rPr>
          <w:b/>
          <w:sz w:val="20"/>
        </w:rPr>
      </w:pPr>
    </w:p>
    <w:p>
      <w:pPr>
        <w:pStyle w:val="BodyText"/>
        <w:spacing w:line="360" w:lineRule="auto"/>
        <w:ind w:left="1248" w:right="671" w:firstLine="720"/>
        <w:jc w:val="both"/>
      </w:pPr>
      <w:r>
        <w:rPr/>
        <w:t>Norton skalası bası ülseri oluşma riskini değerlendirme amacı ile oluşturulmuş bir ölçektir. Fiziksel durum, mental durum, aktivite, mobilite ve inkontinans alt bölümlerinden oluşur. Her bölüm 1-4 arası puanlanır. Toplam puan 5 (en yüksek risk) ile 20 (en düşük risk) arasında değişebilir. 9’un altındaki Norton Skoru, çok yüksek riski,10-13 arası yüksek riski,14-17 arası orta riski ve 18’den yüksek skor düşük riski ifade eder (Norton</w:t>
      </w:r>
      <w:r>
        <w:rPr>
          <w:spacing w:val="-5"/>
        </w:rPr>
        <w:t> </w:t>
      </w:r>
      <w:r>
        <w:rPr/>
        <w:t>1962).</w:t>
      </w:r>
    </w:p>
    <w:p>
      <w:pPr>
        <w:pStyle w:val="BodyText"/>
        <w:rPr>
          <w:sz w:val="24"/>
        </w:rPr>
      </w:pPr>
    </w:p>
    <w:p>
      <w:pPr>
        <w:pStyle w:val="Heading1"/>
        <w:numPr>
          <w:ilvl w:val="2"/>
          <w:numId w:val="2"/>
        </w:numPr>
        <w:tabs>
          <w:tab w:pos="1801" w:val="left" w:leader="none"/>
        </w:tabs>
        <w:spacing w:line="240" w:lineRule="auto" w:before="182" w:after="0"/>
        <w:ind w:left="1800" w:right="0" w:hanging="553"/>
        <w:jc w:val="left"/>
      </w:pPr>
      <w:bookmarkStart w:name="_bookmark32" w:id="56"/>
      <w:bookmarkEnd w:id="56"/>
      <w:r>
        <w:rPr>
          <w:b w:val="0"/>
        </w:rPr>
      </w:r>
      <w:bookmarkStart w:name="_bookmark32" w:id="57"/>
      <w:bookmarkEnd w:id="57"/>
      <w:r>
        <w:rPr/>
        <w:t>W</w:t>
      </w:r>
      <w:r>
        <w:rPr/>
        <w:t>aterlow</w:t>
      </w:r>
      <w:r>
        <w:rPr>
          <w:spacing w:val="2"/>
        </w:rPr>
        <w:t> </w:t>
      </w:r>
      <w:r>
        <w:rPr/>
        <w:t>Ölçeği</w:t>
      </w:r>
    </w:p>
    <w:p>
      <w:pPr>
        <w:pStyle w:val="BodyText"/>
        <w:rPr>
          <w:b/>
          <w:sz w:val="24"/>
        </w:rPr>
      </w:pPr>
    </w:p>
    <w:p>
      <w:pPr>
        <w:pStyle w:val="BodyText"/>
        <w:spacing w:before="1"/>
        <w:rPr>
          <w:b/>
          <w:sz w:val="20"/>
        </w:rPr>
      </w:pPr>
    </w:p>
    <w:p>
      <w:pPr>
        <w:pStyle w:val="BodyText"/>
        <w:spacing w:line="360" w:lineRule="auto" w:before="1"/>
        <w:ind w:left="1248" w:right="669" w:firstLine="708"/>
        <w:jc w:val="both"/>
      </w:pPr>
      <w:r>
        <w:rPr>
          <w:color w:val="221F1F"/>
        </w:rPr>
        <w:t>Ölçek vücut yapısı / kilo, boşaltım, beslenme alışkanlığı, cilt tipi, yaş/cinsiyet ve bağımlılık derecesi olarak altı alt bölümden oluşmaktadır. Ölçekte puan arttıkça risk puanı artmaktadır. Puanlamada 10 puan altı alan hastada basınç yarası gelişme riski olduğu, 10-14 puan riskli, 15-19 puan arası yüksek riskli ve 20 puan ve üzeri ise çok yüksek riskli olarak kabuledilmektedir (Börekçi 2007).</w:t>
      </w:r>
    </w:p>
    <w:p>
      <w:pPr>
        <w:pStyle w:val="BodyText"/>
        <w:spacing w:before="10"/>
        <w:rPr>
          <w:sz w:val="32"/>
        </w:rPr>
      </w:pPr>
    </w:p>
    <w:p>
      <w:pPr>
        <w:pStyle w:val="Heading1"/>
        <w:numPr>
          <w:ilvl w:val="2"/>
          <w:numId w:val="2"/>
        </w:numPr>
        <w:tabs>
          <w:tab w:pos="1800" w:val="left" w:leader="none"/>
        </w:tabs>
        <w:spacing w:line="240" w:lineRule="auto" w:before="0" w:after="0"/>
        <w:ind w:left="1799" w:right="0" w:hanging="552"/>
        <w:jc w:val="left"/>
      </w:pPr>
      <w:bookmarkStart w:name="_bookmark33" w:id="58"/>
      <w:bookmarkEnd w:id="58"/>
      <w:r>
        <w:rPr>
          <w:b w:val="0"/>
        </w:rPr>
      </w:r>
      <w:bookmarkStart w:name="_bookmark33" w:id="59"/>
      <w:bookmarkEnd w:id="59"/>
      <w:r>
        <w:rPr/>
        <w:t>B</w:t>
      </w:r>
      <w:r>
        <w:rPr/>
        <w:t>raden Skalası</w:t>
      </w:r>
    </w:p>
    <w:p>
      <w:pPr>
        <w:pStyle w:val="BodyText"/>
        <w:rPr>
          <w:b/>
          <w:sz w:val="24"/>
        </w:rPr>
      </w:pPr>
    </w:p>
    <w:p>
      <w:pPr>
        <w:pStyle w:val="BodyText"/>
        <w:spacing w:before="2"/>
        <w:rPr>
          <w:b/>
          <w:sz w:val="20"/>
        </w:rPr>
      </w:pPr>
    </w:p>
    <w:p>
      <w:pPr>
        <w:pStyle w:val="BodyText"/>
        <w:spacing w:line="360" w:lineRule="auto"/>
        <w:ind w:left="1248" w:right="670" w:firstLine="708"/>
        <w:jc w:val="both"/>
      </w:pPr>
      <w:r>
        <w:rPr/>
        <w:t>Braden tarafından geliştirilen skalanın Türkçe güvenirlik ve geçerlik çalışması Oğuz tarafından yapılmıştır (Oğuz 1998). Ölçek uyaranın algılanması, nem, aktivite, hareket, beslenme, sürtünme ve tahriş olmak üzere 6 alt boyut içermektedir ve puanlaması 6-23 arasında değişmektedir (Anders 2010). Bası yarası risk değerlendirmesinde kullanılan değerlendirme ölçekleri Tablo 2.7.1’de verilmiştir (Kılınç ve Sucudağ 2017).</w:t>
      </w:r>
    </w:p>
    <w:p>
      <w:pPr>
        <w:spacing w:after="0" w:line="360" w:lineRule="auto"/>
        <w:jc w:val="both"/>
        <w:sectPr>
          <w:pgSz w:w="11910" w:h="16840"/>
          <w:pgMar w:header="749" w:footer="0" w:top="960" w:bottom="280" w:left="1020" w:right="460"/>
        </w:sectPr>
      </w:pPr>
    </w:p>
    <w:p>
      <w:pPr>
        <w:pStyle w:val="BodyText"/>
        <w:rPr>
          <w:sz w:val="20"/>
        </w:rPr>
      </w:pPr>
    </w:p>
    <w:p>
      <w:pPr>
        <w:pStyle w:val="BodyText"/>
        <w:spacing w:before="2"/>
        <w:rPr>
          <w:sz w:val="19"/>
        </w:rPr>
      </w:pPr>
    </w:p>
    <w:p>
      <w:pPr>
        <w:pStyle w:val="BodyText"/>
        <w:ind w:left="1248"/>
      </w:pPr>
      <w:bookmarkStart w:name="_bookmark34" w:id="60"/>
      <w:bookmarkEnd w:id="60"/>
      <w:r>
        <w:rPr/>
      </w:r>
      <w:r>
        <w:rPr>
          <w:b/>
        </w:rPr>
        <w:t>Tablo 2.7.1 </w:t>
      </w:r>
      <w:r>
        <w:rPr/>
        <w:t>Bası yarası risk değerlendirmede kullanılan ölçekler</w:t>
      </w:r>
    </w:p>
    <w:p>
      <w:pPr>
        <w:pStyle w:val="BodyText"/>
        <w:spacing w:before="6"/>
      </w:pPr>
    </w:p>
    <w:tbl>
      <w:tblPr>
        <w:tblW w:w="0" w:type="auto"/>
        <w:jc w:val="left"/>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45"/>
        <w:gridCol w:w="2979"/>
      </w:tblGrid>
      <w:tr>
        <w:trPr>
          <w:trHeight w:val="506" w:hRule="atLeast"/>
        </w:trPr>
        <w:tc>
          <w:tcPr>
            <w:tcW w:w="5245" w:type="dxa"/>
          </w:tcPr>
          <w:p>
            <w:pPr>
              <w:pStyle w:val="TableParagraph"/>
              <w:spacing w:line="248" w:lineRule="exact"/>
              <w:ind w:left="107"/>
              <w:rPr>
                <w:b/>
                <w:sz w:val="22"/>
              </w:rPr>
            </w:pPr>
            <w:r>
              <w:rPr>
                <w:b/>
                <w:sz w:val="22"/>
              </w:rPr>
              <w:t>Risk Değerlendirme Ölçekleri</w:t>
            </w:r>
          </w:p>
        </w:tc>
        <w:tc>
          <w:tcPr>
            <w:tcW w:w="2979" w:type="dxa"/>
          </w:tcPr>
          <w:p>
            <w:pPr>
              <w:pStyle w:val="TableParagraph"/>
              <w:spacing w:line="248" w:lineRule="exact"/>
              <w:ind w:left="107"/>
              <w:rPr>
                <w:b/>
                <w:sz w:val="22"/>
              </w:rPr>
            </w:pPr>
            <w:r>
              <w:rPr>
                <w:b/>
                <w:sz w:val="22"/>
              </w:rPr>
              <w:t>Kullanıldığı Alan</w:t>
            </w:r>
          </w:p>
        </w:tc>
      </w:tr>
      <w:tr>
        <w:trPr>
          <w:trHeight w:val="505" w:hRule="atLeast"/>
        </w:trPr>
        <w:tc>
          <w:tcPr>
            <w:tcW w:w="5245" w:type="dxa"/>
          </w:tcPr>
          <w:p>
            <w:pPr>
              <w:pStyle w:val="TableParagraph"/>
              <w:spacing w:line="250" w:lineRule="exact"/>
              <w:ind w:left="107"/>
              <w:rPr>
                <w:sz w:val="22"/>
              </w:rPr>
            </w:pPr>
            <w:r>
              <w:rPr>
                <w:sz w:val="22"/>
              </w:rPr>
              <w:t>-Braden Risk Değerlendirme Ölçeği</w:t>
            </w:r>
          </w:p>
        </w:tc>
        <w:tc>
          <w:tcPr>
            <w:tcW w:w="2979" w:type="dxa"/>
          </w:tcPr>
          <w:p>
            <w:pPr>
              <w:pStyle w:val="TableParagraph"/>
              <w:spacing w:line="250" w:lineRule="exact"/>
              <w:ind w:left="107"/>
              <w:rPr>
                <w:sz w:val="22"/>
              </w:rPr>
            </w:pPr>
            <w:r>
              <w:rPr>
                <w:sz w:val="22"/>
              </w:rPr>
              <w:t>Genel</w:t>
            </w:r>
          </w:p>
        </w:tc>
      </w:tr>
      <w:tr>
        <w:trPr>
          <w:trHeight w:val="506" w:hRule="atLeast"/>
        </w:trPr>
        <w:tc>
          <w:tcPr>
            <w:tcW w:w="5245" w:type="dxa"/>
          </w:tcPr>
          <w:p>
            <w:pPr>
              <w:pStyle w:val="TableParagraph"/>
              <w:spacing w:line="250" w:lineRule="exact"/>
              <w:ind w:left="107"/>
              <w:rPr>
                <w:sz w:val="22"/>
              </w:rPr>
            </w:pPr>
            <w:r>
              <w:rPr>
                <w:sz w:val="22"/>
              </w:rPr>
              <w:t>-Norton Risk Değerlendirme Ölçeği</w:t>
            </w:r>
          </w:p>
        </w:tc>
        <w:tc>
          <w:tcPr>
            <w:tcW w:w="2979" w:type="dxa"/>
          </w:tcPr>
          <w:p>
            <w:pPr>
              <w:pStyle w:val="TableParagraph"/>
              <w:spacing w:line="250" w:lineRule="exact"/>
              <w:ind w:left="107"/>
              <w:rPr>
                <w:sz w:val="22"/>
              </w:rPr>
            </w:pPr>
            <w:r>
              <w:rPr>
                <w:sz w:val="22"/>
              </w:rPr>
              <w:t>Yaşlı Popülasyon / Genel</w:t>
            </w:r>
          </w:p>
        </w:tc>
      </w:tr>
      <w:tr>
        <w:trPr>
          <w:trHeight w:val="505" w:hRule="atLeast"/>
        </w:trPr>
        <w:tc>
          <w:tcPr>
            <w:tcW w:w="5245" w:type="dxa"/>
          </w:tcPr>
          <w:p>
            <w:pPr>
              <w:pStyle w:val="TableParagraph"/>
              <w:spacing w:line="250" w:lineRule="exact"/>
              <w:ind w:left="107"/>
              <w:rPr>
                <w:sz w:val="22"/>
              </w:rPr>
            </w:pPr>
            <w:r>
              <w:rPr>
                <w:sz w:val="22"/>
              </w:rPr>
              <w:t>-Bates Jensen Yara Değerlendirme Ölçeği (BWAT)</w:t>
            </w:r>
          </w:p>
        </w:tc>
        <w:tc>
          <w:tcPr>
            <w:tcW w:w="2979" w:type="dxa"/>
          </w:tcPr>
          <w:p>
            <w:pPr>
              <w:pStyle w:val="TableParagraph"/>
              <w:spacing w:line="250" w:lineRule="exact"/>
              <w:ind w:left="107"/>
              <w:rPr>
                <w:sz w:val="22"/>
              </w:rPr>
            </w:pPr>
            <w:r>
              <w:rPr>
                <w:sz w:val="22"/>
              </w:rPr>
              <w:t>Genel</w:t>
            </w:r>
          </w:p>
        </w:tc>
      </w:tr>
      <w:tr>
        <w:trPr>
          <w:trHeight w:val="505" w:hRule="atLeast"/>
        </w:trPr>
        <w:tc>
          <w:tcPr>
            <w:tcW w:w="5245" w:type="dxa"/>
          </w:tcPr>
          <w:p>
            <w:pPr>
              <w:pStyle w:val="TableParagraph"/>
              <w:spacing w:line="250" w:lineRule="exact"/>
              <w:ind w:left="107"/>
              <w:rPr>
                <w:sz w:val="22"/>
              </w:rPr>
            </w:pPr>
            <w:r>
              <w:rPr>
                <w:sz w:val="22"/>
              </w:rPr>
              <w:t>-Waterlow Risk Değerlendirme Ölçeği</w:t>
            </w:r>
          </w:p>
        </w:tc>
        <w:tc>
          <w:tcPr>
            <w:tcW w:w="2979" w:type="dxa"/>
          </w:tcPr>
          <w:p>
            <w:pPr>
              <w:pStyle w:val="TableParagraph"/>
              <w:spacing w:line="250" w:lineRule="exact"/>
              <w:ind w:left="107"/>
              <w:rPr>
                <w:sz w:val="22"/>
              </w:rPr>
            </w:pPr>
            <w:r>
              <w:rPr>
                <w:sz w:val="22"/>
              </w:rPr>
              <w:t>Ortopedi / Genel</w:t>
            </w:r>
          </w:p>
        </w:tc>
      </w:tr>
      <w:tr>
        <w:trPr>
          <w:trHeight w:val="505" w:hRule="atLeast"/>
        </w:trPr>
        <w:tc>
          <w:tcPr>
            <w:tcW w:w="5245" w:type="dxa"/>
          </w:tcPr>
          <w:p>
            <w:pPr>
              <w:pStyle w:val="TableParagraph"/>
              <w:spacing w:line="250" w:lineRule="exact"/>
              <w:ind w:left="107"/>
              <w:rPr>
                <w:sz w:val="22"/>
              </w:rPr>
            </w:pPr>
            <w:r>
              <w:rPr>
                <w:sz w:val="22"/>
              </w:rPr>
              <w:t>-Buçh Pediatrik Basınç Yarası Risk Tanılama Aracı</w:t>
            </w:r>
          </w:p>
        </w:tc>
        <w:tc>
          <w:tcPr>
            <w:tcW w:w="2979" w:type="dxa"/>
          </w:tcPr>
          <w:p>
            <w:pPr>
              <w:pStyle w:val="TableParagraph"/>
              <w:spacing w:line="250" w:lineRule="exact"/>
              <w:ind w:left="107"/>
              <w:rPr>
                <w:sz w:val="22"/>
              </w:rPr>
            </w:pPr>
            <w:r>
              <w:rPr>
                <w:color w:val="221F1F"/>
                <w:sz w:val="22"/>
              </w:rPr>
              <w:t>Çocuk</w:t>
            </w:r>
          </w:p>
        </w:tc>
      </w:tr>
      <w:tr>
        <w:trPr>
          <w:trHeight w:val="506" w:hRule="atLeast"/>
        </w:trPr>
        <w:tc>
          <w:tcPr>
            <w:tcW w:w="5245" w:type="dxa"/>
          </w:tcPr>
          <w:p>
            <w:pPr>
              <w:pStyle w:val="TableParagraph"/>
              <w:spacing w:line="250" w:lineRule="exact"/>
              <w:ind w:left="107"/>
              <w:rPr>
                <w:sz w:val="22"/>
              </w:rPr>
            </w:pPr>
            <w:r>
              <w:rPr>
                <w:sz w:val="22"/>
              </w:rPr>
              <w:t>-Suriadi ve Sanada Basınç Yarası Risk</w:t>
            </w:r>
          </w:p>
          <w:p>
            <w:pPr>
              <w:pStyle w:val="TableParagraph"/>
              <w:spacing w:line="234" w:lineRule="exact" w:before="2"/>
              <w:ind w:left="107"/>
              <w:rPr>
                <w:sz w:val="22"/>
              </w:rPr>
            </w:pPr>
            <w:r>
              <w:rPr>
                <w:sz w:val="22"/>
              </w:rPr>
              <w:t>Değerlendirme Ölçeği</w:t>
            </w:r>
          </w:p>
        </w:tc>
        <w:tc>
          <w:tcPr>
            <w:tcW w:w="2979" w:type="dxa"/>
          </w:tcPr>
          <w:p>
            <w:pPr>
              <w:pStyle w:val="TableParagraph"/>
              <w:spacing w:line="250" w:lineRule="exact"/>
              <w:ind w:left="107"/>
              <w:rPr>
                <w:sz w:val="22"/>
              </w:rPr>
            </w:pPr>
            <w:r>
              <w:rPr>
                <w:sz w:val="22"/>
              </w:rPr>
              <w:t>Yoğun Bakım, Erişkin /</w:t>
            </w:r>
          </w:p>
          <w:p>
            <w:pPr>
              <w:pStyle w:val="TableParagraph"/>
              <w:spacing w:line="234" w:lineRule="exact" w:before="2"/>
              <w:ind w:left="107"/>
              <w:rPr>
                <w:sz w:val="22"/>
              </w:rPr>
            </w:pPr>
            <w:r>
              <w:rPr>
                <w:sz w:val="22"/>
              </w:rPr>
              <w:t>Yaşlı Popülasyon</w:t>
            </w:r>
          </w:p>
        </w:tc>
      </w:tr>
    </w:tbl>
    <w:p>
      <w:pPr>
        <w:pStyle w:val="BodyText"/>
        <w:rPr>
          <w:sz w:val="24"/>
        </w:rPr>
      </w:pPr>
    </w:p>
    <w:p>
      <w:pPr>
        <w:pStyle w:val="BodyText"/>
        <w:rPr>
          <w:sz w:val="24"/>
        </w:rPr>
      </w:pPr>
    </w:p>
    <w:p>
      <w:pPr>
        <w:pStyle w:val="Heading1"/>
        <w:numPr>
          <w:ilvl w:val="1"/>
          <w:numId w:val="2"/>
        </w:numPr>
        <w:tabs>
          <w:tab w:pos="1618" w:val="left" w:leader="none"/>
        </w:tabs>
        <w:spacing w:line="240" w:lineRule="auto" w:before="201" w:after="0"/>
        <w:ind w:left="1617" w:right="0" w:hanging="370"/>
        <w:jc w:val="both"/>
      </w:pPr>
      <w:bookmarkStart w:name="_bookmark35" w:id="61"/>
      <w:bookmarkEnd w:id="61"/>
      <w:r>
        <w:rPr>
          <w:b w:val="0"/>
        </w:rPr>
      </w:r>
      <w:bookmarkStart w:name="_bookmark35" w:id="62"/>
      <w:bookmarkEnd w:id="62"/>
      <w:r>
        <w:rPr/>
        <w:t>B</w:t>
      </w:r>
      <w:r>
        <w:rPr/>
        <w:t>ası Yaralarının</w:t>
      </w:r>
      <w:r>
        <w:rPr>
          <w:spacing w:val="-4"/>
        </w:rPr>
        <w:t> </w:t>
      </w:r>
      <w:r>
        <w:rPr/>
        <w:t>Önlenmesi</w:t>
      </w:r>
    </w:p>
    <w:p>
      <w:pPr>
        <w:pStyle w:val="BodyText"/>
        <w:rPr>
          <w:b/>
          <w:sz w:val="24"/>
        </w:rPr>
      </w:pPr>
    </w:p>
    <w:p>
      <w:pPr>
        <w:pStyle w:val="BodyText"/>
        <w:spacing w:before="4"/>
        <w:rPr>
          <w:b/>
          <w:sz w:val="20"/>
        </w:rPr>
      </w:pPr>
    </w:p>
    <w:p>
      <w:pPr>
        <w:pStyle w:val="BodyText"/>
        <w:spacing w:line="360" w:lineRule="auto" w:before="1"/>
        <w:ind w:left="1248" w:right="670" w:firstLine="720"/>
        <w:jc w:val="both"/>
      </w:pPr>
      <w:r>
        <w:rPr/>
        <w:t>Bası yaraları ölümcül olabilirler. Ancak birkaç basit önlemler ile yaranın oluşması yada bası yarası oluşmuş ise ilerlemesi engellenebilir. Bası yaralarının önlenmesi için alınması gereken tedbirler bunların tedavisinden daha kolay ve daha ekonomiktir. Burada en önemli olan nokta hasta ve hastanın bakımı ile ilgilenen hasta bakıcıların, sağlık personelinin bası yaralarının oluşma mekanizması, engellemek için neler yapılmalı, risk faktörlerin neler olduğu ve cilt bakımı nasıl yapılmalıdır gibi konularda bilgilendirilmesidir. Bu uygulama sürecinin devamlılığı önemlidir ve bütün risk faktörleri değerlendirilerek her biri için ayrı ayrı önlem alınmalı ve tedavi presedürleri uygulanmalıdır (Ersoy vd 2013).</w:t>
      </w:r>
    </w:p>
    <w:p>
      <w:pPr>
        <w:pStyle w:val="BodyText"/>
        <w:spacing w:line="357" w:lineRule="auto" w:before="158"/>
        <w:ind w:left="1248" w:right="676" w:firstLine="720"/>
        <w:jc w:val="both"/>
      </w:pPr>
      <w:r>
        <w:rPr/>
        <w:t>Bası yaralarının oluşmasını önlemek için yapılması gerekenler aşağıda listelenmiştir.</w:t>
      </w:r>
    </w:p>
    <w:p>
      <w:pPr>
        <w:pStyle w:val="ListParagraph"/>
        <w:numPr>
          <w:ilvl w:val="0"/>
          <w:numId w:val="9"/>
        </w:numPr>
        <w:tabs>
          <w:tab w:pos="1532" w:val="left" w:leader="none"/>
        </w:tabs>
        <w:spacing w:line="360" w:lineRule="auto" w:before="166" w:after="0"/>
        <w:ind w:left="1531" w:right="675" w:hanging="284"/>
        <w:jc w:val="both"/>
        <w:rPr>
          <w:sz w:val="20"/>
        </w:rPr>
      </w:pPr>
      <w:r>
        <w:rPr>
          <w:sz w:val="22"/>
        </w:rPr>
        <w:t>Bası yaralarının önlenmesinde ilk aşama eğitimdir. Hasta ve ailesi, hastanede çalışanlar yara oluş nedenleri ve sonuçları hakkında</w:t>
      </w:r>
      <w:r>
        <w:rPr>
          <w:spacing w:val="-8"/>
          <w:sz w:val="22"/>
        </w:rPr>
        <w:t> </w:t>
      </w:r>
      <w:r>
        <w:rPr>
          <w:sz w:val="22"/>
        </w:rPr>
        <w:t>eğitilmelidirler.</w:t>
      </w:r>
    </w:p>
    <w:p>
      <w:pPr>
        <w:pStyle w:val="ListParagraph"/>
        <w:numPr>
          <w:ilvl w:val="0"/>
          <w:numId w:val="9"/>
        </w:numPr>
        <w:tabs>
          <w:tab w:pos="1532" w:val="left" w:leader="none"/>
        </w:tabs>
        <w:spacing w:line="240" w:lineRule="auto" w:before="0" w:after="0"/>
        <w:ind w:left="1531" w:right="0" w:hanging="284"/>
        <w:jc w:val="both"/>
        <w:rPr>
          <w:sz w:val="20"/>
        </w:rPr>
      </w:pPr>
      <w:r>
        <w:rPr>
          <w:sz w:val="22"/>
        </w:rPr>
        <w:t>Hastanın yatağının altına havalı yataklar</w:t>
      </w:r>
      <w:r>
        <w:rPr>
          <w:spacing w:val="-5"/>
          <w:sz w:val="22"/>
        </w:rPr>
        <w:t> </w:t>
      </w:r>
      <w:r>
        <w:rPr>
          <w:sz w:val="22"/>
        </w:rPr>
        <w:t>koyulmalıdır.</w:t>
      </w:r>
    </w:p>
    <w:p>
      <w:pPr>
        <w:pStyle w:val="ListParagraph"/>
        <w:numPr>
          <w:ilvl w:val="0"/>
          <w:numId w:val="9"/>
        </w:numPr>
        <w:tabs>
          <w:tab w:pos="1532" w:val="left" w:leader="none"/>
        </w:tabs>
        <w:spacing w:line="360" w:lineRule="auto" w:before="128" w:after="0"/>
        <w:ind w:left="1531" w:right="671" w:hanging="284"/>
        <w:jc w:val="both"/>
        <w:rPr>
          <w:sz w:val="20"/>
        </w:rPr>
      </w:pPr>
      <w:r>
        <w:rPr>
          <w:sz w:val="22"/>
        </w:rPr>
        <w:t>Hastaların pozisyonu 2-3 saatte bir değiştirmelidir. Tekerlekli sandalyede oturanlar her 2-3 saatte bir elleriyle kendilerini yükselterek bu bölgelerin kanlanmasını sağlamalıdırlar.</w:t>
      </w:r>
    </w:p>
    <w:p>
      <w:pPr>
        <w:pStyle w:val="ListParagraph"/>
        <w:numPr>
          <w:ilvl w:val="0"/>
          <w:numId w:val="9"/>
        </w:numPr>
        <w:tabs>
          <w:tab w:pos="1531" w:val="left" w:leader="none"/>
          <w:tab w:pos="1532" w:val="left" w:leader="none"/>
        </w:tabs>
        <w:spacing w:line="252" w:lineRule="exact" w:before="0" w:after="0"/>
        <w:ind w:left="1531" w:right="0" w:hanging="284"/>
        <w:jc w:val="left"/>
        <w:rPr>
          <w:sz w:val="20"/>
        </w:rPr>
      </w:pPr>
      <w:r>
        <w:rPr>
          <w:sz w:val="22"/>
        </w:rPr>
        <w:t>Vücut ağırlığının yoğunlaştığı bölgeler yumuşak yastıklarla</w:t>
      </w:r>
      <w:r>
        <w:rPr>
          <w:spacing w:val="-7"/>
          <w:sz w:val="22"/>
        </w:rPr>
        <w:t> </w:t>
      </w:r>
      <w:r>
        <w:rPr>
          <w:sz w:val="22"/>
        </w:rPr>
        <w:t>desteklenmelidir.</w:t>
      </w:r>
    </w:p>
    <w:p>
      <w:pPr>
        <w:pStyle w:val="ListParagraph"/>
        <w:numPr>
          <w:ilvl w:val="0"/>
          <w:numId w:val="9"/>
        </w:numPr>
        <w:tabs>
          <w:tab w:pos="1531" w:val="left" w:leader="none"/>
          <w:tab w:pos="1532" w:val="left" w:leader="none"/>
        </w:tabs>
        <w:spacing w:line="360" w:lineRule="auto" w:before="127" w:after="0"/>
        <w:ind w:left="1531" w:right="680" w:hanging="284"/>
        <w:jc w:val="left"/>
        <w:rPr>
          <w:sz w:val="20"/>
        </w:rPr>
      </w:pPr>
      <w:r>
        <w:rPr>
          <w:sz w:val="22"/>
        </w:rPr>
        <w:t>Hastanın pozisyonu ayarlanırken çok dikkatli olunmalıdır. Sürtünme, makaslama ve doku bütünlüğünün bozulmamasına özen</w:t>
      </w:r>
      <w:r>
        <w:rPr>
          <w:spacing w:val="-7"/>
          <w:sz w:val="22"/>
        </w:rPr>
        <w:t> </w:t>
      </w:r>
      <w:r>
        <w:rPr>
          <w:sz w:val="22"/>
        </w:rPr>
        <w:t>gösterilmelidir.</w:t>
      </w:r>
    </w:p>
    <w:p>
      <w:pPr>
        <w:pStyle w:val="ListParagraph"/>
        <w:numPr>
          <w:ilvl w:val="0"/>
          <w:numId w:val="9"/>
        </w:numPr>
        <w:tabs>
          <w:tab w:pos="1531" w:val="left" w:leader="none"/>
          <w:tab w:pos="1532" w:val="left" w:leader="none"/>
        </w:tabs>
        <w:spacing w:line="252" w:lineRule="exact" w:before="0" w:after="0"/>
        <w:ind w:left="1531" w:right="0" w:hanging="284"/>
        <w:jc w:val="left"/>
        <w:rPr>
          <w:sz w:val="20"/>
        </w:rPr>
      </w:pPr>
      <w:r>
        <w:rPr>
          <w:sz w:val="22"/>
        </w:rPr>
        <w:t>Deri ve yatak bakımı çok önemlidir. Ciltteki renk değişiklikleri her gün</w:t>
      </w:r>
      <w:r>
        <w:rPr>
          <w:spacing w:val="-26"/>
          <w:sz w:val="22"/>
        </w:rPr>
        <w:t> </w:t>
      </w:r>
      <w:r>
        <w:rPr>
          <w:sz w:val="22"/>
        </w:rPr>
        <w:t>gözlenmelidir.</w:t>
      </w:r>
    </w:p>
    <w:p>
      <w:pPr>
        <w:spacing w:after="0" w:line="252" w:lineRule="exact"/>
        <w:jc w:val="left"/>
        <w:rPr>
          <w:sz w:val="20"/>
        </w:rPr>
        <w:sectPr>
          <w:pgSz w:w="11910" w:h="16840"/>
          <w:pgMar w:header="749" w:footer="0" w:top="960" w:bottom="280" w:left="1020" w:right="460"/>
        </w:sectPr>
      </w:pPr>
    </w:p>
    <w:p>
      <w:pPr>
        <w:pStyle w:val="BodyText"/>
        <w:rPr>
          <w:sz w:val="20"/>
        </w:rPr>
      </w:pPr>
    </w:p>
    <w:p>
      <w:pPr>
        <w:pStyle w:val="BodyText"/>
        <w:spacing w:before="5"/>
        <w:rPr>
          <w:sz w:val="19"/>
        </w:rPr>
      </w:pPr>
    </w:p>
    <w:p>
      <w:pPr>
        <w:pStyle w:val="ListParagraph"/>
        <w:numPr>
          <w:ilvl w:val="0"/>
          <w:numId w:val="9"/>
        </w:numPr>
        <w:tabs>
          <w:tab w:pos="1531" w:val="left" w:leader="none"/>
          <w:tab w:pos="1532" w:val="left" w:leader="none"/>
        </w:tabs>
        <w:spacing w:line="360" w:lineRule="auto" w:before="0" w:after="0"/>
        <w:ind w:left="1531" w:right="676" w:hanging="284"/>
        <w:jc w:val="left"/>
        <w:rPr>
          <w:sz w:val="20"/>
        </w:rPr>
      </w:pPr>
      <w:r>
        <w:rPr>
          <w:sz w:val="22"/>
        </w:rPr>
        <w:t>Deri her gün sabunlu su ile silinmeli, özenle kurulanmalı. Derinin dolaşımını, dayanıklılığını arttırmak amacıyla masaj</w:t>
      </w:r>
      <w:r>
        <w:rPr>
          <w:spacing w:val="-8"/>
          <w:sz w:val="22"/>
        </w:rPr>
        <w:t> </w:t>
      </w:r>
      <w:r>
        <w:rPr>
          <w:sz w:val="22"/>
        </w:rPr>
        <w:t>uygulanmalıdır.</w:t>
      </w:r>
    </w:p>
    <w:p>
      <w:pPr>
        <w:pStyle w:val="ListParagraph"/>
        <w:numPr>
          <w:ilvl w:val="0"/>
          <w:numId w:val="9"/>
        </w:numPr>
        <w:tabs>
          <w:tab w:pos="1531" w:val="left" w:leader="none"/>
          <w:tab w:pos="1532" w:val="left" w:leader="none"/>
        </w:tabs>
        <w:spacing w:line="360" w:lineRule="auto" w:before="2" w:after="0"/>
        <w:ind w:left="1531" w:right="678" w:hanging="284"/>
        <w:jc w:val="left"/>
        <w:rPr>
          <w:sz w:val="20"/>
        </w:rPr>
      </w:pPr>
      <w:r>
        <w:rPr>
          <w:sz w:val="22"/>
        </w:rPr>
        <w:t>Yatak çarşafları temiz ve kuru olmalıdır. Hastanın altındaki yatak ve çarşafta kırışıklar</w:t>
      </w:r>
      <w:r>
        <w:rPr>
          <w:spacing w:val="2"/>
          <w:sz w:val="22"/>
        </w:rPr>
        <w:t> </w:t>
      </w:r>
      <w:r>
        <w:rPr>
          <w:sz w:val="22"/>
        </w:rPr>
        <w:t>olmamalıdır.</w:t>
      </w:r>
    </w:p>
    <w:p>
      <w:pPr>
        <w:pStyle w:val="ListParagraph"/>
        <w:numPr>
          <w:ilvl w:val="0"/>
          <w:numId w:val="9"/>
        </w:numPr>
        <w:tabs>
          <w:tab w:pos="1531" w:val="left" w:leader="none"/>
          <w:tab w:pos="1532" w:val="left" w:leader="none"/>
        </w:tabs>
        <w:spacing w:line="252" w:lineRule="exact" w:before="0" w:after="0"/>
        <w:ind w:left="1531" w:right="0" w:hanging="284"/>
        <w:jc w:val="left"/>
        <w:rPr>
          <w:sz w:val="20"/>
        </w:rPr>
      </w:pPr>
      <w:r>
        <w:rPr>
          <w:sz w:val="22"/>
        </w:rPr>
        <w:t>Yatağa bağımlılarda idrar ve defekasyon sonrası temizlik çok</w:t>
      </w:r>
      <w:r>
        <w:rPr>
          <w:spacing w:val="-8"/>
          <w:sz w:val="22"/>
        </w:rPr>
        <w:t> </w:t>
      </w:r>
      <w:r>
        <w:rPr>
          <w:sz w:val="22"/>
        </w:rPr>
        <w:t>önemlidir.</w:t>
      </w:r>
    </w:p>
    <w:p>
      <w:pPr>
        <w:pStyle w:val="ListParagraph"/>
        <w:numPr>
          <w:ilvl w:val="0"/>
          <w:numId w:val="9"/>
        </w:numPr>
        <w:tabs>
          <w:tab w:pos="1531" w:val="left" w:leader="none"/>
          <w:tab w:pos="1532" w:val="left" w:leader="none"/>
        </w:tabs>
        <w:spacing w:line="360" w:lineRule="auto" w:before="126" w:after="0"/>
        <w:ind w:left="1531" w:right="673" w:hanging="284"/>
        <w:jc w:val="left"/>
        <w:rPr>
          <w:sz w:val="20"/>
        </w:rPr>
      </w:pPr>
      <w:r>
        <w:rPr>
          <w:sz w:val="22"/>
        </w:rPr>
        <w:t>Bası yaralarının açılmasına sebep olabilecek anemi, hipoproteinemi, vitamin eksiklikleri, incelenip uygun beslenme programları</w:t>
      </w:r>
      <w:r>
        <w:rPr>
          <w:spacing w:val="-8"/>
          <w:sz w:val="22"/>
        </w:rPr>
        <w:t> </w:t>
      </w:r>
      <w:r>
        <w:rPr>
          <w:sz w:val="22"/>
        </w:rPr>
        <w:t>oluşturulmalıdır.</w:t>
      </w:r>
    </w:p>
    <w:p>
      <w:pPr>
        <w:pStyle w:val="ListParagraph"/>
        <w:numPr>
          <w:ilvl w:val="0"/>
          <w:numId w:val="9"/>
        </w:numPr>
        <w:tabs>
          <w:tab w:pos="1531" w:val="left" w:leader="none"/>
          <w:tab w:pos="1532" w:val="left" w:leader="none"/>
        </w:tabs>
        <w:spacing w:line="252" w:lineRule="exact" w:before="0" w:after="0"/>
        <w:ind w:left="1531" w:right="0" w:hanging="284"/>
        <w:jc w:val="left"/>
        <w:rPr>
          <w:sz w:val="20"/>
        </w:rPr>
      </w:pPr>
      <w:r>
        <w:rPr>
          <w:sz w:val="22"/>
        </w:rPr>
        <w:t>Yanlış yapılmış sargılar, sıkı uygulanan ateller sık sık kontrol</w:t>
      </w:r>
      <w:r>
        <w:rPr>
          <w:spacing w:val="-5"/>
          <w:sz w:val="22"/>
        </w:rPr>
        <w:t> </w:t>
      </w:r>
      <w:r>
        <w:rPr>
          <w:sz w:val="22"/>
        </w:rPr>
        <w:t>edilmelidir.</w:t>
      </w:r>
    </w:p>
    <w:p>
      <w:pPr>
        <w:pStyle w:val="ListParagraph"/>
        <w:numPr>
          <w:ilvl w:val="0"/>
          <w:numId w:val="9"/>
        </w:numPr>
        <w:tabs>
          <w:tab w:pos="1531" w:val="left" w:leader="none"/>
          <w:tab w:pos="1532" w:val="left" w:leader="none"/>
        </w:tabs>
        <w:spacing w:line="240" w:lineRule="auto" w:before="127" w:after="0"/>
        <w:ind w:left="1531" w:right="0" w:hanging="284"/>
        <w:jc w:val="left"/>
        <w:rPr>
          <w:sz w:val="20"/>
        </w:rPr>
      </w:pPr>
      <w:r>
        <w:rPr>
          <w:sz w:val="22"/>
        </w:rPr>
        <w:t>Vücut direncini düşürecek faktörler ortadan</w:t>
      </w:r>
      <w:r>
        <w:rPr>
          <w:spacing w:val="-8"/>
          <w:sz w:val="22"/>
        </w:rPr>
        <w:t> </w:t>
      </w:r>
      <w:r>
        <w:rPr>
          <w:sz w:val="22"/>
        </w:rPr>
        <w:t>kaldırılmalıdır.</w:t>
      </w:r>
    </w:p>
    <w:p>
      <w:pPr>
        <w:pStyle w:val="ListParagraph"/>
        <w:numPr>
          <w:ilvl w:val="0"/>
          <w:numId w:val="9"/>
        </w:numPr>
        <w:tabs>
          <w:tab w:pos="1532" w:val="left" w:leader="none"/>
        </w:tabs>
        <w:spacing w:line="360" w:lineRule="auto" w:before="126" w:after="0"/>
        <w:ind w:left="1531" w:right="669" w:hanging="284"/>
        <w:jc w:val="both"/>
        <w:rPr>
          <w:sz w:val="20"/>
        </w:rPr>
      </w:pPr>
      <w:r>
        <w:rPr>
          <w:sz w:val="22"/>
        </w:rPr>
        <w:t>Spastisite ile mücadele edilmelidir. Yara oluşumunu önlemek için birçok yatak, tekerlekli sandalye ve minderler geliştirilmiş olmasına karşın bası yaralarının tümünü engelleyecek bir gereç henüz</w:t>
      </w:r>
      <w:r>
        <w:rPr>
          <w:spacing w:val="-2"/>
          <w:sz w:val="22"/>
        </w:rPr>
        <w:t> </w:t>
      </w:r>
      <w:r>
        <w:rPr>
          <w:sz w:val="22"/>
        </w:rPr>
        <w:t>üretilmemiştir</w:t>
      </w:r>
    </w:p>
    <w:p>
      <w:pPr>
        <w:pStyle w:val="ListParagraph"/>
        <w:numPr>
          <w:ilvl w:val="0"/>
          <w:numId w:val="9"/>
        </w:numPr>
        <w:tabs>
          <w:tab w:pos="1532" w:val="left" w:leader="none"/>
        </w:tabs>
        <w:spacing w:line="360" w:lineRule="auto" w:before="2" w:after="0"/>
        <w:ind w:left="1531" w:right="682" w:hanging="284"/>
        <w:jc w:val="both"/>
        <w:rPr>
          <w:sz w:val="20"/>
        </w:rPr>
      </w:pPr>
      <w:r>
        <w:rPr>
          <w:sz w:val="22"/>
        </w:rPr>
        <w:t>Dizlerin ve ayak bileklerinin birbirine sürtünmesini önlemek için bacak araları yastık ya da köpük kenarlıklarla desteklenmelidir (Kurt 2003, Banu</w:t>
      </w:r>
      <w:r>
        <w:rPr>
          <w:spacing w:val="-6"/>
          <w:sz w:val="22"/>
        </w:rPr>
        <w:t> </w:t>
      </w:r>
      <w:r>
        <w:rPr>
          <w:sz w:val="22"/>
        </w:rPr>
        <w:t>2008).</w:t>
      </w:r>
    </w:p>
    <w:p>
      <w:pPr>
        <w:pStyle w:val="BodyText"/>
        <w:spacing w:before="8"/>
        <w:rPr>
          <w:sz w:val="32"/>
        </w:rPr>
      </w:pPr>
    </w:p>
    <w:p>
      <w:pPr>
        <w:pStyle w:val="Heading1"/>
        <w:numPr>
          <w:ilvl w:val="1"/>
          <w:numId w:val="2"/>
        </w:numPr>
        <w:tabs>
          <w:tab w:pos="1618" w:val="left" w:leader="none"/>
        </w:tabs>
        <w:spacing w:line="240" w:lineRule="auto" w:before="0" w:after="0"/>
        <w:ind w:left="1618" w:right="0" w:hanging="370"/>
        <w:jc w:val="left"/>
      </w:pPr>
      <w:bookmarkStart w:name="_bookmark36" w:id="63"/>
      <w:bookmarkEnd w:id="63"/>
      <w:r>
        <w:rPr>
          <w:b w:val="0"/>
        </w:rPr>
      </w:r>
      <w:bookmarkStart w:name="_bookmark36" w:id="64"/>
      <w:bookmarkEnd w:id="64"/>
      <w:r>
        <w:rPr/>
        <w:t>B</w:t>
      </w:r>
      <w:r>
        <w:rPr/>
        <w:t>ası Yaralarının</w:t>
      </w:r>
      <w:r>
        <w:rPr>
          <w:spacing w:val="-4"/>
        </w:rPr>
        <w:t> </w:t>
      </w:r>
      <w:r>
        <w:rPr/>
        <w:t>Tedavisi</w:t>
      </w:r>
    </w:p>
    <w:p>
      <w:pPr>
        <w:pStyle w:val="BodyText"/>
        <w:rPr>
          <w:b/>
          <w:sz w:val="24"/>
        </w:rPr>
      </w:pPr>
    </w:p>
    <w:p>
      <w:pPr>
        <w:pStyle w:val="BodyText"/>
        <w:spacing w:before="2"/>
        <w:rPr>
          <w:b/>
          <w:sz w:val="20"/>
        </w:rPr>
      </w:pPr>
    </w:p>
    <w:p>
      <w:pPr>
        <w:pStyle w:val="BodyText"/>
        <w:spacing w:line="360" w:lineRule="auto"/>
        <w:ind w:left="1248" w:right="669" w:firstLine="708"/>
        <w:jc w:val="both"/>
      </w:pPr>
      <w:r>
        <w:rPr/>
        <w:t>Bası yaralarının en iyi tedavisi oluşmasını engellemektir ama bunun mümkün olmadığı durumda ise en erken aşamada teşhis etmek ve tedavi etmektir. Başarılı bir tedavi süreci ve iyi sonuç elde edebilmek bir ekip çalışmasını gerektirir (Ersoy vd 2013, Kılınç ve Sucudağ 2017).</w:t>
      </w:r>
    </w:p>
    <w:p>
      <w:pPr>
        <w:spacing w:before="158"/>
        <w:ind w:left="1968" w:right="0" w:firstLine="0"/>
        <w:jc w:val="both"/>
        <w:rPr>
          <w:i/>
          <w:sz w:val="22"/>
        </w:rPr>
      </w:pPr>
      <w:r>
        <w:rPr>
          <w:i/>
          <w:sz w:val="22"/>
        </w:rPr>
        <w:t>Tedavinin altın prensibi:</w:t>
      </w:r>
    </w:p>
    <w:p>
      <w:pPr>
        <w:pStyle w:val="BodyText"/>
        <w:spacing w:before="11"/>
        <w:rPr>
          <w:i/>
          <w:sz w:val="24"/>
        </w:rPr>
      </w:pPr>
    </w:p>
    <w:p>
      <w:pPr>
        <w:pStyle w:val="BodyText"/>
        <w:ind w:left="1248"/>
      </w:pPr>
      <w:r>
        <w:rPr/>
        <w:t>-Ülsere neden olan risk faktörlerinin belirlenip ortadan kaldırılmasıdır.</w:t>
      </w:r>
    </w:p>
    <w:p>
      <w:pPr>
        <w:pStyle w:val="BodyText"/>
        <w:spacing w:before="2"/>
        <w:rPr>
          <w:sz w:val="25"/>
        </w:rPr>
      </w:pPr>
    </w:p>
    <w:p>
      <w:pPr>
        <w:pStyle w:val="BodyText"/>
        <w:ind w:left="1248"/>
      </w:pPr>
      <w:r>
        <w:rPr/>
        <w:t>-Başarılı bir ülser tedavisi entegrasyon içinde çalışan bir ekip işidir.</w:t>
      </w:r>
    </w:p>
    <w:p>
      <w:pPr>
        <w:pStyle w:val="BodyText"/>
        <w:rPr>
          <w:sz w:val="24"/>
        </w:rPr>
      </w:pPr>
    </w:p>
    <w:p>
      <w:pPr>
        <w:pStyle w:val="BodyText"/>
        <w:spacing w:before="8"/>
        <w:rPr>
          <w:sz w:val="19"/>
        </w:rPr>
      </w:pPr>
    </w:p>
    <w:p>
      <w:pPr>
        <w:pStyle w:val="Heading1"/>
        <w:numPr>
          <w:ilvl w:val="2"/>
          <w:numId w:val="2"/>
        </w:numPr>
        <w:tabs>
          <w:tab w:pos="1801" w:val="left" w:leader="none"/>
        </w:tabs>
        <w:spacing w:line="240" w:lineRule="auto" w:before="0" w:after="0"/>
        <w:ind w:left="1800" w:right="0" w:hanging="553"/>
        <w:jc w:val="left"/>
      </w:pPr>
      <w:bookmarkStart w:name="_bookmark37" w:id="65"/>
      <w:bookmarkEnd w:id="65"/>
      <w:r>
        <w:rPr>
          <w:b w:val="0"/>
        </w:rPr>
      </w:r>
      <w:bookmarkStart w:name="_bookmark37" w:id="66"/>
      <w:bookmarkEnd w:id="66"/>
      <w:r>
        <w:rPr/>
        <w:t>T</w:t>
      </w:r>
      <w:r>
        <w:rPr/>
        <w:t>edavi</w:t>
      </w:r>
    </w:p>
    <w:p>
      <w:pPr>
        <w:pStyle w:val="BodyText"/>
        <w:rPr>
          <w:b/>
          <w:sz w:val="24"/>
        </w:rPr>
      </w:pPr>
    </w:p>
    <w:p>
      <w:pPr>
        <w:pStyle w:val="BodyText"/>
        <w:spacing w:before="3"/>
        <w:rPr>
          <w:b/>
          <w:sz w:val="20"/>
        </w:rPr>
      </w:pPr>
    </w:p>
    <w:p>
      <w:pPr>
        <w:pStyle w:val="BodyText"/>
        <w:spacing w:line="360" w:lineRule="auto"/>
        <w:ind w:left="1248" w:right="669" w:firstLine="708"/>
        <w:jc w:val="both"/>
      </w:pPr>
      <w:r>
        <w:rPr/>
        <w:t>Konservatif ve cerrahi tedavi olmak üzere ikiye ayrılır (Banu 2008, Anders 2010, Ersoy vd 2013, Kılınç ve Sucudağ 2017).</w:t>
      </w:r>
    </w:p>
    <w:p>
      <w:pPr>
        <w:pStyle w:val="BodyText"/>
        <w:spacing w:before="10"/>
        <w:rPr>
          <w:sz w:val="32"/>
        </w:rPr>
      </w:pPr>
    </w:p>
    <w:p>
      <w:pPr>
        <w:pStyle w:val="Heading1"/>
        <w:numPr>
          <w:ilvl w:val="3"/>
          <w:numId w:val="2"/>
        </w:numPr>
        <w:tabs>
          <w:tab w:pos="1986" w:val="left" w:leader="none"/>
        </w:tabs>
        <w:spacing w:line="240" w:lineRule="auto" w:before="1" w:after="0"/>
        <w:ind w:left="1985" w:right="0" w:hanging="738"/>
        <w:jc w:val="left"/>
      </w:pPr>
      <w:bookmarkStart w:name="_bookmark38" w:id="67"/>
      <w:bookmarkEnd w:id="67"/>
      <w:r>
        <w:rPr>
          <w:b w:val="0"/>
        </w:rPr>
      </w:r>
      <w:bookmarkStart w:name="_bookmark38" w:id="68"/>
      <w:bookmarkEnd w:id="68"/>
      <w:r>
        <w:rPr/>
        <w:t>K</w:t>
      </w:r>
      <w:r>
        <w:rPr/>
        <w:t>onservatif</w:t>
      </w:r>
      <w:r>
        <w:rPr>
          <w:spacing w:val="-2"/>
        </w:rPr>
        <w:t> </w:t>
      </w:r>
      <w:r>
        <w:rPr/>
        <w:t>tedavi</w:t>
      </w:r>
    </w:p>
    <w:p>
      <w:pPr>
        <w:pStyle w:val="BodyText"/>
        <w:rPr>
          <w:b/>
          <w:sz w:val="24"/>
        </w:rPr>
      </w:pPr>
    </w:p>
    <w:p>
      <w:pPr>
        <w:pStyle w:val="BodyText"/>
        <w:spacing w:before="10"/>
        <w:rPr>
          <w:b/>
          <w:sz w:val="19"/>
        </w:rPr>
      </w:pPr>
    </w:p>
    <w:p>
      <w:pPr>
        <w:pStyle w:val="BodyText"/>
        <w:spacing w:before="1"/>
        <w:ind w:left="1248"/>
      </w:pPr>
      <w:r>
        <w:rPr/>
        <w:t>-Uygun koruma ve oluşan risklerin ortadan kaldırılması</w:t>
      </w:r>
    </w:p>
    <w:p>
      <w:pPr>
        <w:pStyle w:val="BodyText"/>
        <w:spacing w:before="10"/>
        <w:rPr>
          <w:sz w:val="24"/>
        </w:rPr>
      </w:pPr>
    </w:p>
    <w:p>
      <w:pPr>
        <w:pStyle w:val="BodyText"/>
        <w:spacing w:before="1"/>
        <w:ind w:left="1248"/>
      </w:pPr>
      <w:r>
        <w:rPr/>
        <w:t>-Ağrı kontrolünün sağlanması</w:t>
      </w:r>
    </w:p>
    <w:p>
      <w:pPr>
        <w:pStyle w:val="BodyText"/>
        <w:spacing w:before="8"/>
        <w:rPr>
          <w:sz w:val="24"/>
        </w:rPr>
      </w:pPr>
    </w:p>
    <w:p>
      <w:pPr>
        <w:pStyle w:val="BodyText"/>
        <w:ind w:left="1248"/>
      </w:pPr>
      <w:r>
        <w:rPr/>
        <w:t>-Yara bakımının sağlanması</w:t>
      </w:r>
    </w:p>
    <w:p>
      <w:pPr>
        <w:spacing w:after="0"/>
        <w:sectPr>
          <w:pgSz w:w="11910" w:h="16840"/>
          <w:pgMar w:header="749" w:footer="0" w:top="960" w:bottom="280" w:left="1020" w:right="460"/>
        </w:sectPr>
      </w:pPr>
    </w:p>
    <w:p>
      <w:pPr>
        <w:pStyle w:val="BodyText"/>
        <w:rPr>
          <w:sz w:val="20"/>
        </w:rPr>
      </w:pPr>
    </w:p>
    <w:p>
      <w:pPr>
        <w:pStyle w:val="BodyText"/>
        <w:spacing w:before="2"/>
        <w:rPr>
          <w:sz w:val="19"/>
        </w:rPr>
      </w:pPr>
    </w:p>
    <w:p>
      <w:pPr>
        <w:pStyle w:val="BodyText"/>
        <w:ind w:left="1248"/>
      </w:pPr>
      <w:r>
        <w:rPr/>
        <w:t>-Enfeksiyon oluşumunu önlemek için tedavi</w:t>
      </w:r>
    </w:p>
    <w:p>
      <w:pPr>
        <w:pStyle w:val="BodyText"/>
        <w:rPr>
          <w:sz w:val="25"/>
        </w:rPr>
      </w:pPr>
    </w:p>
    <w:p>
      <w:pPr>
        <w:pStyle w:val="BodyText"/>
        <w:ind w:left="1248"/>
      </w:pPr>
      <w:r>
        <w:rPr/>
        <w:t>-Beslenmenin düzenlenmesi</w:t>
      </w:r>
    </w:p>
    <w:p>
      <w:pPr>
        <w:pStyle w:val="BodyText"/>
        <w:spacing w:before="9"/>
        <w:rPr>
          <w:sz w:val="24"/>
        </w:rPr>
      </w:pPr>
    </w:p>
    <w:p>
      <w:pPr>
        <w:pStyle w:val="BodyText"/>
        <w:ind w:left="1248"/>
      </w:pPr>
      <w:r>
        <w:rPr>
          <w:b/>
        </w:rPr>
        <w:t>-</w:t>
      </w:r>
      <w:r>
        <w:rPr/>
        <w:t>Hastanın günlük izlemesi</w:t>
      </w:r>
    </w:p>
    <w:p>
      <w:pPr>
        <w:pStyle w:val="BodyText"/>
        <w:spacing w:before="2"/>
        <w:rPr>
          <w:sz w:val="25"/>
        </w:rPr>
      </w:pPr>
    </w:p>
    <w:p>
      <w:pPr>
        <w:pStyle w:val="BodyText"/>
        <w:ind w:left="1248"/>
      </w:pPr>
      <w:r>
        <w:rPr/>
        <w:t>-Psikososyal destek</w:t>
      </w:r>
    </w:p>
    <w:p>
      <w:pPr>
        <w:pStyle w:val="BodyText"/>
        <w:spacing w:before="8"/>
        <w:rPr>
          <w:sz w:val="24"/>
        </w:rPr>
      </w:pPr>
    </w:p>
    <w:p>
      <w:pPr>
        <w:pStyle w:val="BodyText"/>
        <w:spacing w:before="1"/>
        <w:ind w:left="1248"/>
      </w:pPr>
      <w:r>
        <w:rPr/>
        <w:t>-Basıncın uygun dağıtılması</w:t>
      </w:r>
    </w:p>
    <w:p>
      <w:pPr>
        <w:pStyle w:val="BodyText"/>
        <w:spacing w:before="11"/>
        <w:rPr>
          <w:sz w:val="24"/>
        </w:rPr>
      </w:pPr>
    </w:p>
    <w:p>
      <w:pPr>
        <w:pStyle w:val="BodyText"/>
        <w:ind w:left="1248"/>
      </w:pPr>
      <w:r>
        <w:rPr/>
        <w:t>-Destek yüzeyler</w:t>
      </w:r>
    </w:p>
    <w:p>
      <w:pPr>
        <w:pStyle w:val="BodyText"/>
        <w:spacing w:before="1"/>
        <w:rPr>
          <w:sz w:val="25"/>
        </w:rPr>
      </w:pPr>
    </w:p>
    <w:p>
      <w:pPr>
        <w:pStyle w:val="BodyText"/>
        <w:tabs>
          <w:tab w:pos="2243" w:val="left" w:leader="none"/>
          <w:tab w:pos="8400" w:val="left" w:leader="none"/>
        </w:tabs>
        <w:spacing w:line="357" w:lineRule="auto" w:before="1"/>
        <w:ind w:left="1248" w:right="712"/>
      </w:pPr>
      <w:r>
        <w:rPr/>
        <w:t>-Yüksek</w:t>
        <w:tab/>
        <w:t>riskli   hastalarda   basınç   azaltıcı   veya  </w:t>
      </w:r>
      <w:r>
        <w:rPr>
          <w:spacing w:val="50"/>
        </w:rPr>
        <w:t> </w:t>
      </w:r>
      <w:r>
        <w:rPr/>
        <w:t>rahatlatıcı  </w:t>
      </w:r>
      <w:r>
        <w:rPr>
          <w:spacing w:val="10"/>
        </w:rPr>
        <w:t> </w:t>
      </w:r>
      <w:r>
        <w:rPr/>
        <w:t>yatak</w:t>
        <w:tab/>
        <w:t>ve </w:t>
      </w:r>
      <w:r>
        <w:rPr>
          <w:spacing w:val="-3"/>
        </w:rPr>
        <w:t>minderler </w:t>
      </w:r>
      <w:r>
        <w:rPr/>
        <w:t>kullanılabilir.</w:t>
      </w:r>
    </w:p>
    <w:p>
      <w:pPr>
        <w:pStyle w:val="BodyText"/>
        <w:spacing w:before="163"/>
        <w:ind w:left="1248"/>
      </w:pPr>
      <w:r>
        <w:rPr/>
        <w:t>-Pozisyon verme ve düzenli değiştirme ihmal edilmemeli</w:t>
      </w:r>
    </w:p>
    <w:p>
      <w:pPr>
        <w:pStyle w:val="BodyText"/>
        <w:rPr>
          <w:sz w:val="25"/>
        </w:rPr>
      </w:pPr>
    </w:p>
    <w:p>
      <w:pPr>
        <w:pStyle w:val="BodyText"/>
        <w:ind w:left="1248"/>
      </w:pPr>
      <w:r>
        <w:rPr/>
        <w:t>-Hasta yan yatarken 30 derecelik açıyla yerleştirilmeli</w:t>
      </w:r>
    </w:p>
    <w:p>
      <w:pPr>
        <w:pStyle w:val="BodyText"/>
        <w:spacing w:before="8"/>
        <w:rPr>
          <w:sz w:val="24"/>
        </w:rPr>
      </w:pPr>
    </w:p>
    <w:p>
      <w:pPr>
        <w:pStyle w:val="BodyText"/>
        <w:ind w:left="1248"/>
      </w:pPr>
      <w:r>
        <w:rPr/>
        <w:t>-Yatak başı 30 dereceden yüksek olmamalı</w:t>
      </w:r>
    </w:p>
    <w:p>
      <w:pPr>
        <w:pStyle w:val="BodyText"/>
        <w:spacing w:before="2"/>
        <w:rPr>
          <w:sz w:val="25"/>
        </w:rPr>
      </w:pPr>
    </w:p>
    <w:p>
      <w:pPr>
        <w:pStyle w:val="BodyText"/>
        <w:ind w:left="1248"/>
      </w:pPr>
      <w:r>
        <w:rPr/>
        <w:t>-Yaranın iyileşmesini destekleyecek medikal ajanların kullanımı</w:t>
      </w:r>
    </w:p>
    <w:p>
      <w:pPr>
        <w:pStyle w:val="BodyText"/>
        <w:rPr>
          <w:sz w:val="24"/>
        </w:rPr>
      </w:pPr>
    </w:p>
    <w:p>
      <w:pPr>
        <w:pStyle w:val="BodyText"/>
        <w:spacing w:before="9"/>
        <w:rPr>
          <w:sz w:val="19"/>
        </w:rPr>
      </w:pPr>
    </w:p>
    <w:p>
      <w:pPr>
        <w:pStyle w:val="Heading1"/>
        <w:numPr>
          <w:ilvl w:val="3"/>
          <w:numId w:val="2"/>
        </w:numPr>
        <w:tabs>
          <w:tab w:pos="1985" w:val="left" w:leader="none"/>
        </w:tabs>
        <w:spacing w:line="240" w:lineRule="auto" w:before="0" w:after="0"/>
        <w:ind w:left="1984" w:right="0" w:hanging="737"/>
        <w:jc w:val="left"/>
      </w:pPr>
      <w:bookmarkStart w:name="_bookmark39" w:id="69"/>
      <w:bookmarkEnd w:id="69"/>
      <w:r>
        <w:rPr>
          <w:b w:val="0"/>
        </w:rPr>
      </w:r>
      <w:bookmarkStart w:name="_bookmark39" w:id="70"/>
      <w:bookmarkEnd w:id="70"/>
      <w:r>
        <w:rPr/>
        <w:t>C</w:t>
      </w:r>
      <w:r>
        <w:rPr/>
        <w:t>errahi</w:t>
      </w:r>
      <w:r>
        <w:rPr>
          <w:spacing w:val="-1"/>
        </w:rPr>
        <w:t> </w:t>
      </w:r>
      <w:r>
        <w:rPr/>
        <w:t>tedavi</w:t>
      </w:r>
    </w:p>
    <w:p>
      <w:pPr>
        <w:pStyle w:val="BodyText"/>
        <w:rPr>
          <w:b/>
          <w:sz w:val="24"/>
        </w:rPr>
      </w:pPr>
    </w:p>
    <w:p>
      <w:pPr>
        <w:pStyle w:val="BodyText"/>
        <w:spacing w:before="4"/>
        <w:rPr>
          <w:b/>
          <w:sz w:val="20"/>
        </w:rPr>
      </w:pPr>
    </w:p>
    <w:p>
      <w:pPr>
        <w:pStyle w:val="BodyText"/>
        <w:spacing w:line="360" w:lineRule="auto" w:before="1"/>
        <w:ind w:left="1248" w:right="671" w:firstLine="720"/>
        <w:jc w:val="both"/>
      </w:pPr>
      <w:r>
        <w:rPr/>
        <w:t>Evre 3 ve 4 bası yaralarında yara kapanması için cerrahi girişim gereklidir. Genelde ülsere bölge tümüyle eksize edildikten sonra çeşitli cerrahi tekniklerle greft veya flap önerilir.</w:t>
      </w:r>
    </w:p>
    <w:p>
      <w:pPr>
        <w:pStyle w:val="BodyText"/>
        <w:rPr>
          <w:sz w:val="24"/>
        </w:rPr>
      </w:pPr>
    </w:p>
    <w:p>
      <w:pPr>
        <w:pStyle w:val="BodyText"/>
        <w:rPr>
          <w:sz w:val="24"/>
        </w:rPr>
      </w:pPr>
    </w:p>
    <w:p>
      <w:pPr>
        <w:pStyle w:val="Heading1"/>
        <w:numPr>
          <w:ilvl w:val="1"/>
          <w:numId w:val="2"/>
        </w:numPr>
        <w:tabs>
          <w:tab w:pos="1741" w:val="left" w:leader="none"/>
        </w:tabs>
        <w:spacing w:line="240" w:lineRule="auto" w:before="203" w:after="0"/>
        <w:ind w:left="1740" w:right="0" w:hanging="493"/>
        <w:jc w:val="left"/>
      </w:pPr>
      <w:bookmarkStart w:name="_bookmark40" w:id="71"/>
      <w:bookmarkEnd w:id="71"/>
      <w:r>
        <w:rPr>
          <w:b w:val="0"/>
        </w:rPr>
      </w:r>
      <w:bookmarkStart w:name="_bookmark40" w:id="72"/>
      <w:bookmarkEnd w:id="72"/>
      <w:r>
        <w:rPr/>
        <w:t>H</w:t>
      </w:r>
      <w:r>
        <w:rPr/>
        <w:t>ipotezler</w:t>
      </w:r>
    </w:p>
    <w:p>
      <w:pPr>
        <w:pStyle w:val="BodyText"/>
        <w:rPr>
          <w:b/>
          <w:sz w:val="24"/>
        </w:rPr>
      </w:pPr>
    </w:p>
    <w:p>
      <w:pPr>
        <w:pStyle w:val="BodyText"/>
        <w:spacing w:before="11"/>
        <w:rPr>
          <w:b/>
          <w:sz w:val="19"/>
        </w:rPr>
      </w:pPr>
    </w:p>
    <w:p>
      <w:pPr>
        <w:pStyle w:val="BodyText"/>
        <w:ind w:left="1956"/>
      </w:pPr>
      <w:r>
        <w:rPr/>
        <w:t>Bu çalışmadaki hipotezlerimiz:</w:t>
      </w:r>
    </w:p>
    <w:p>
      <w:pPr>
        <w:pStyle w:val="BodyText"/>
        <w:spacing w:before="2"/>
        <w:rPr>
          <w:sz w:val="25"/>
        </w:rPr>
      </w:pPr>
    </w:p>
    <w:p>
      <w:pPr>
        <w:pStyle w:val="ListParagraph"/>
        <w:numPr>
          <w:ilvl w:val="0"/>
          <w:numId w:val="10"/>
        </w:numPr>
        <w:tabs>
          <w:tab w:pos="2307" w:val="left" w:leader="none"/>
        </w:tabs>
        <w:spacing w:line="357" w:lineRule="auto" w:before="0" w:after="0"/>
        <w:ind w:left="1248" w:right="673" w:firstLine="708"/>
        <w:jc w:val="left"/>
        <w:rPr>
          <w:sz w:val="22"/>
        </w:rPr>
      </w:pPr>
      <w:r>
        <w:rPr>
          <w:i/>
          <w:sz w:val="22"/>
        </w:rPr>
        <w:t>HİPOTEZ: H</w:t>
      </w:r>
      <w:r>
        <w:rPr>
          <w:i/>
          <w:sz w:val="22"/>
          <w:vertAlign w:val="subscript"/>
        </w:rPr>
        <w:t>1</w:t>
      </w:r>
      <w:r>
        <w:rPr>
          <w:i/>
          <w:sz w:val="22"/>
          <w:vertAlign w:val="baseline"/>
        </w:rPr>
        <w:t>: </w:t>
      </w:r>
      <w:r>
        <w:rPr>
          <w:sz w:val="22"/>
          <w:vertAlign w:val="baseline"/>
        </w:rPr>
        <w:t>Nörolojik bir tanıya bağlı olarak yatarak tedavi gören hastalarda bası yarası riski</w:t>
      </w:r>
      <w:r>
        <w:rPr>
          <w:spacing w:val="-6"/>
          <w:sz w:val="22"/>
          <w:vertAlign w:val="baseline"/>
        </w:rPr>
        <w:t> </w:t>
      </w:r>
      <w:r>
        <w:rPr>
          <w:sz w:val="22"/>
          <w:vertAlign w:val="baseline"/>
        </w:rPr>
        <w:t>vardır.</w:t>
      </w:r>
    </w:p>
    <w:p>
      <w:pPr>
        <w:pStyle w:val="ListParagraph"/>
        <w:numPr>
          <w:ilvl w:val="0"/>
          <w:numId w:val="10"/>
        </w:numPr>
        <w:tabs>
          <w:tab w:pos="2307" w:val="left" w:leader="none"/>
        </w:tabs>
        <w:spacing w:line="357" w:lineRule="auto" w:before="166" w:after="0"/>
        <w:ind w:left="1248" w:right="673" w:firstLine="708"/>
        <w:jc w:val="left"/>
        <w:rPr>
          <w:sz w:val="22"/>
        </w:rPr>
      </w:pPr>
      <w:r>
        <w:rPr>
          <w:i/>
          <w:sz w:val="22"/>
        </w:rPr>
        <w:t>HİPOTEZ: H</w:t>
      </w:r>
      <w:r>
        <w:rPr>
          <w:i/>
          <w:sz w:val="22"/>
          <w:vertAlign w:val="subscript"/>
        </w:rPr>
        <w:t>1</w:t>
      </w:r>
      <w:r>
        <w:rPr>
          <w:i/>
          <w:sz w:val="22"/>
          <w:vertAlign w:val="baseline"/>
        </w:rPr>
        <w:t>: </w:t>
      </w:r>
      <w:r>
        <w:rPr>
          <w:sz w:val="22"/>
          <w:vertAlign w:val="baseline"/>
        </w:rPr>
        <w:t>Nörolojik bir tanıya bağlı olarak yatarak tedavi gören hastalarda bilinç düzeyi azaldıkça bası yarası riski arasında ilişki</w:t>
      </w:r>
      <w:r>
        <w:rPr>
          <w:spacing w:val="-17"/>
          <w:sz w:val="22"/>
          <w:vertAlign w:val="baseline"/>
        </w:rPr>
        <w:t> </w:t>
      </w:r>
      <w:r>
        <w:rPr>
          <w:sz w:val="22"/>
          <w:vertAlign w:val="baseline"/>
        </w:rPr>
        <w:t>vardır.</w:t>
      </w:r>
    </w:p>
    <w:p>
      <w:pPr>
        <w:pStyle w:val="ListParagraph"/>
        <w:numPr>
          <w:ilvl w:val="0"/>
          <w:numId w:val="10"/>
        </w:numPr>
        <w:tabs>
          <w:tab w:pos="2307" w:val="left" w:leader="none"/>
        </w:tabs>
        <w:spacing w:line="357" w:lineRule="auto" w:before="165" w:after="0"/>
        <w:ind w:left="1248" w:right="673" w:firstLine="708"/>
        <w:jc w:val="left"/>
        <w:rPr>
          <w:sz w:val="22"/>
        </w:rPr>
      </w:pPr>
      <w:r>
        <w:rPr>
          <w:i/>
          <w:sz w:val="22"/>
        </w:rPr>
        <w:t>HİPOTEZ: H</w:t>
      </w:r>
      <w:r>
        <w:rPr>
          <w:i/>
          <w:sz w:val="22"/>
          <w:vertAlign w:val="subscript"/>
        </w:rPr>
        <w:t>1</w:t>
      </w:r>
      <w:r>
        <w:rPr>
          <w:i/>
          <w:sz w:val="22"/>
          <w:vertAlign w:val="baseline"/>
        </w:rPr>
        <w:t>: </w:t>
      </w:r>
      <w:r>
        <w:rPr>
          <w:sz w:val="22"/>
          <w:vertAlign w:val="baseline"/>
        </w:rPr>
        <w:t>Nörolojik bir tanıya bağlı olarak yatarak tedavi gören hastalarda kognitif fonksiyonlar azaldıkça bası yarası riski arasında ilişki</w:t>
      </w:r>
      <w:r>
        <w:rPr>
          <w:spacing w:val="-21"/>
          <w:sz w:val="22"/>
          <w:vertAlign w:val="baseline"/>
        </w:rPr>
        <w:t> </w:t>
      </w:r>
      <w:r>
        <w:rPr>
          <w:sz w:val="22"/>
          <w:vertAlign w:val="baseline"/>
        </w:rPr>
        <w:t>vardır.</w:t>
      </w:r>
    </w:p>
    <w:p>
      <w:pPr>
        <w:pStyle w:val="ListParagraph"/>
        <w:numPr>
          <w:ilvl w:val="0"/>
          <w:numId w:val="10"/>
        </w:numPr>
        <w:tabs>
          <w:tab w:pos="2307" w:val="left" w:leader="none"/>
        </w:tabs>
        <w:spacing w:line="357" w:lineRule="auto" w:before="165" w:after="0"/>
        <w:ind w:left="1248" w:right="673" w:firstLine="708"/>
        <w:jc w:val="left"/>
        <w:rPr>
          <w:sz w:val="22"/>
        </w:rPr>
      </w:pPr>
      <w:r>
        <w:rPr>
          <w:i/>
          <w:sz w:val="22"/>
        </w:rPr>
        <w:t>HİPOTEZ: H</w:t>
      </w:r>
      <w:r>
        <w:rPr>
          <w:i/>
          <w:sz w:val="22"/>
          <w:vertAlign w:val="subscript"/>
        </w:rPr>
        <w:t>1</w:t>
      </w:r>
      <w:r>
        <w:rPr>
          <w:i/>
          <w:sz w:val="22"/>
          <w:vertAlign w:val="baseline"/>
        </w:rPr>
        <w:t>: </w:t>
      </w:r>
      <w:r>
        <w:rPr>
          <w:sz w:val="22"/>
          <w:vertAlign w:val="baseline"/>
        </w:rPr>
        <w:t>Nörolojik bir tanıya bağlı olarak yatarak tedavi gören hastalarda bağımsızlık düzeyi azaldıkça bası yarası riski arasında ilişki</w:t>
      </w:r>
      <w:r>
        <w:rPr>
          <w:spacing w:val="-19"/>
          <w:sz w:val="22"/>
          <w:vertAlign w:val="baseline"/>
        </w:rPr>
        <w:t> </w:t>
      </w:r>
      <w:r>
        <w:rPr>
          <w:sz w:val="22"/>
          <w:vertAlign w:val="baseline"/>
        </w:rPr>
        <w:t>vardır.</w:t>
      </w:r>
    </w:p>
    <w:p>
      <w:pPr>
        <w:spacing w:after="0" w:line="357" w:lineRule="auto"/>
        <w:jc w:val="left"/>
        <w:rPr>
          <w:sz w:val="22"/>
        </w:rPr>
        <w:sectPr>
          <w:pgSz w:w="11910" w:h="16840"/>
          <w:pgMar w:header="749" w:footer="0" w:top="960" w:bottom="280" w:left="1020" w:right="4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6"/>
        </w:rPr>
      </w:pPr>
    </w:p>
    <w:p>
      <w:pPr>
        <w:pStyle w:val="Heading1"/>
        <w:numPr>
          <w:ilvl w:val="0"/>
          <w:numId w:val="11"/>
        </w:numPr>
        <w:tabs>
          <w:tab w:pos="1494" w:val="left" w:leader="none"/>
        </w:tabs>
        <w:spacing w:line="240" w:lineRule="auto" w:before="94" w:after="0"/>
        <w:ind w:left="1493" w:right="0" w:hanging="246"/>
        <w:jc w:val="left"/>
      </w:pPr>
      <w:bookmarkStart w:name="_bookmark41" w:id="73"/>
      <w:bookmarkEnd w:id="73"/>
      <w:r>
        <w:rPr>
          <w:b w:val="0"/>
        </w:rPr>
      </w:r>
      <w:bookmarkStart w:name="_bookmark41" w:id="74"/>
      <w:bookmarkEnd w:id="74"/>
      <w:r>
        <w:rPr/>
        <w:t>G</w:t>
      </w:r>
      <w:r>
        <w:rPr/>
        <w:t>EREÇ VE</w:t>
      </w:r>
      <w:r>
        <w:rPr>
          <w:spacing w:val="-1"/>
        </w:rPr>
        <w:t> </w:t>
      </w:r>
      <w:r>
        <w:rPr/>
        <w:t>YÖNTEMLER</w:t>
      </w:r>
    </w:p>
    <w:p>
      <w:pPr>
        <w:pStyle w:val="BodyText"/>
        <w:rPr>
          <w:b/>
          <w:sz w:val="24"/>
        </w:rPr>
      </w:pPr>
    </w:p>
    <w:p>
      <w:pPr>
        <w:pStyle w:val="BodyText"/>
        <w:rPr>
          <w:b/>
          <w:sz w:val="24"/>
        </w:rPr>
      </w:pPr>
    </w:p>
    <w:p>
      <w:pPr>
        <w:pStyle w:val="BodyText"/>
        <w:spacing w:before="10"/>
        <w:rPr>
          <w:b/>
          <w:sz w:val="28"/>
        </w:rPr>
      </w:pPr>
    </w:p>
    <w:p>
      <w:pPr>
        <w:pStyle w:val="Heading1"/>
        <w:numPr>
          <w:ilvl w:val="1"/>
          <w:numId w:val="11"/>
        </w:numPr>
        <w:tabs>
          <w:tab w:pos="1618" w:val="left" w:leader="none"/>
        </w:tabs>
        <w:spacing w:line="240" w:lineRule="auto" w:before="1" w:after="0"/>
        <w:ind w:left="1617" w:right="0" w:hanging="370"/>
        <w:jc w:val="left"/>
      </w:pPr>
      <w:bookmarkStart w:name="_bookmark42" w:id="75"/>
      <w:bookmarkEnd w:id="75"/>
      <w:r>
        <w:rPr>
          <w:b w:val="0"/>
        </w:rPr>
      </w:r>
      <w:bookmarkStart w:name="_bookmark42" w:id="76"/>
      <w:bookmarkEnd w:id="76"/>
      <w:r>
        <w:rPr/>
        <w:t>Ç</w:t>
      </w:r>
      <w:r>
        <w:rPr/>
        <w:t>alışmanın Yapıldığı</w:t>
      </w:r>
      <w:r>
        <w:rPr>
          <w:spacing w:val="-2"/>
        </w:rPr>
        <w:t> </w:t>
      </w:r>
      <w:r>
        <w:rPr/>
        <w:t>Yer</w:t>
      </w:r>
    </w:p>
    <w:p>
      <w:pPr>
        <w:pStyle w:val="BodyText"/>
        <w:rPr>
          <w:b/>
          <w:sz w:val="24"/>
        </w:rPr>
      </w:pPr>
    </w:p>
    <w:p>
      <w:pPr>
        <w:pStyle w:val="BodyText"/>
        <w:spacing w:before="2"/>
        <w:rPr>
          <w:b/>
          <w:sz w:val="20"/>
        </w:rPr>
      </w:pPr>
    </w:p>
    <w:p>
      <w:pPr>
        <w:pStyle w:val="BodyText"/>
        <w:spacing w:line="360" w:lineRule="auto"/>
        <w:ind w:left="1248" w:right="674" w:firstLine="708"/>
        <w:jc w:val="both"/>
      </w:pPr>
      <w:r>
        <w:rPr/>
        <w:t>Çalışmamız Pamukkale Üniversitesi Eğitim ve Araştırma Hastanesi Nöroloji ABD yataklı servisi ve Beyin Cerrahi ABD yataklı servisinde ve bu servislerin yoğun bakım servislerinde</w:t>
      </w:r>
      <w:r>
        <w:rPr>
          <w:spacing w:val="1"/>
        </w:rPr>
        <w:t> </w:t>
      </w:r>
      <w:r>
        <w:rPr/>
        <w:t>gerçekleştirilmiştir.</w:t>
      </w:r>
    </w:p>
    <w:p>
      <w:pPr>
        <w:pStyle w:val="BodyText"/>
        <w:spacing w:line="360" w:lineRule="auto" w:before="160"/>
        <w:ind w:left="1248" w:right="670" w:firstLine="708"/>
        <w:jc w:val="both"/>
      </w:pPr>
      <w:r>
        <w:rPr/>
        <w:t>Çalışmamızda Pamukkale Üniversitesi Girişimsel Olmayan Klinik Araştırmalar Etik Kurulu tarafından 19.12. 2017 tarihli ve 17 sayılı kurul toplantısında etik kurul onayı alınmıştır (Ek-1).</w:t>
      </w:r>
    </w:p>
    <w:p>
      <w:pPr>
        <w:pStyle w:val="BodyText"/>
        <w:spacing w:before="158"/>
        <w:ind w:left="1956"/>
        <w:jc w:val="both"/>
      </w:pPr>
      <w:r>
        <w:rPr/>
        <w:t>Ayrıca ilgili anabilim dallarından yazılı izinler alınmıştır (Ek 2, Ek 3).</w:t>
      </w:r>
    </w:p>
    <w:p>
      <w:pPr>
        <w:pStyle w:val="BodyText"/>
        <w:rPr>
          <w:sz w:val="24"/>
        </w:rPr>
      </w:pPr>
    </w:p>
    <w:p>
      <w:pPr>
        <w:pStyle w:val="BodyText"/>
        <w:rPr>
          <w:sz w:val="24"/>
        </w:rPr>
      </w:pPr>
    </w:p>
    <w:p>
      <w:pPr>
        <w:pStyle w:val="BodyText"/>
        <w:rPr>
          <w:sz w:val="24"/>
        </w:rPr>
      </w:pPr>
    </w:p>
    <w:p>
      <w:pPr>
        <w:pStyle w:val="BodyText"/>
        <w:spacing w:before="10"/>
        <w:rPr>
          <w:sz w:val="18"/>
        </w:rPr>
      </w:pPr>
    </w:p>
    <w:p>
      <w:pPr>
        <w:pStyle w:val="Heading1"/>
        <w:numPr>
          <w:ilvl w:val="1"/>
          <w:numId w:val="11"/>
        </w:numPr>
        <w:tabs>
          <w:tab w:pos="1618" w:val="left" w:leader="none"/>
        </w:tabs>
        <w:spacing w:line="240" w:lineRule="auto" w:before="1" w:after="0"/>
        <w:ind w:left="1617" w:right="0" w:hanging="370"/>
        <w:jc w:val="left"/>
      </w:pPr>
      <w:bookmarkStart w:name="_bookmark43" w:id="77"/>
      <w:bookmarkEnd w:id="77"/>
      <w:r>
        <w:rPr>
          <w:b w:val="0"/>
        </w:rPr>
      </w:r>
      <w:bookmarkStart w:name="_bookmark43" w:id="78"/>
      <w:bookmarkEnd w:id="78"/>
      <w:r>
        <w:rPr/>
        <w:t>Ç</w:t>
      </w:r>
      <w:r>
        <w:rPr/>
        <w:t>alışmanın Yapıldığı</w:t>
      </w:r>
      <w:r>
        <w:rPr>
          <w:spacing w:val="-2"/>
        </w:rPr>
        <w:t> </w:t>
      </w:r>
      <w:r>
        <w:rPr/>
        <w:t>Tarih</w:t>
      </w:r>
    </w:p>
    <w:p>
      <w:pPr>
        <w:pStyle w:val="BodyText"/>
        <w:rPr>
          <w:b/>
          <w:sz w:val="24"/>
        </w:rPr>
      </w:pPr>
    </w:p>
    <w:p>
      <w:pPr>
        <w:pStyle w:val="BodyText"/>
        <w:spacing w:before="4"/>
        <w:rPr>
          <w:b/>
          <w:sz w:val="20"/>
        </w:rPr>
      </w:pPr>
    </w:p>
    <w:p>
      <w:pPr>
        <w:pStyle w:val="BodyText"/>
        <w:ind w:left="1956"/>
        <w:jc w:val="both"/>
      </w:pPr>
      <w:r>
        <w:rPr/>
        <w:t>Çalışma Eylül 2017 - Ağustos 2019 tarihleri arasında yapılmıştır.</w:t>
      </w:r>
    </w:p>
    <w:p>
      <w:pPr>
        <w:pStyle w:val="BodyText"/>
        <w:rPr>
          <w:sz w:val="24"/>
        </w:rPr>
      </w:pPr>
    </w:p>
    <w:p>
      <w:pPr>
        <w:pStyle w:val="BodyText"/>
        <w:rPr>
          <w:sz w:val="24"/>
        </w:rPr>
      </w:pPr>
    </w:p>
    <w:p>
      <w:pPr>
        <w:pStyle w:val="BodyText"/>
        <w:spacing w:before="8"/>
        <w:rPr>
          <w:sz w:val="28"/>
        </w:rPr>
      </w:pPr>
    </w:p>
    <w:p>
      <w:pPr>
        <w:pStyle w:val="Heading1"/>
        <w:numPr>
          <w:ilvl w:val="1"/>
          <w:numId w:val="11"/>
        </w:numPr>
        <w:tabs>
          <w:tab w:pos="1618" w:val="left" w:leader="none"/>
        </w:tabs>
        <w:spacing w:line="240" w:lineRule="auto" w:before="0" w:after="0"/>
        <w:ind w:left="1617" w:right="0" w:hanging="370"/>
        <w:jc w:val="left"/>
      </w:pPr>
      <w:bookmarkStart w:name="_bookmark44" w:id="79"/>
      <w:bookmarkEnd w:id="79"/>
      <w:r>
        <w:rPr>
          <w:b w:val="0"/>
        </w:rPr>
      </w:r>
      <w:bookmarkStart w:name="_bookmark44" w:id="80"/>
      <w:bookmarkEnd w:id="80"/>
      <w:r>
        <w:rPr/>
        <w:t>K</w:t>
      </w:r>
      <w:r>
        <w:rPr/>
        <w:t>atılımcılar</w:t>
      </w:r>
    </w:p>
    <w:p>
      <w:pPr>
        <w:pStyle w:val="BodyText"/>
        <w:rPr>
          <w:b/>
          <w:sz w:val="24"/>
        </w:rPr>
      </w:pPr>
    </w:p>
    <w:p>
      <w:pPr>
        <w:pStyle w:val="BodyText"/>
        <w:spacing w:before="2"/>
        <w:rPr>
          <w:b/>
          <w:sz w:val="20"/>
        </w:rPr>
      </w:pPr>
    </w:p>
    <w:p>
      <w:pPr>
        <w:pStyle w:val="BodyText"/>
        <w:spacing w:line="357" w:lineRule="auto"/>
        <w:ind w:left="1248" w:right="673" w:firstLine="708"/>
        <w:jc w:val="both"/>
      </w:pPr>
      <w:r>
        <w:rPr/>
        <w:t>Yapılan güç analizi sonucunda çalışmaya en az 140 olgu alındığında %95 güvenle %90 güç elde edildiği hesaplanmıştır.</w:t>
      </w:r>
    </w:p>
    <w:p>
      <w:pPr>
        <w:pStyle w:val="BodyText"/>
        <w:spacing w:line="360" w:lineRule="auto" w:before="166"/>
        <w:ind w:left="1248" w:right="668" w:firstLine="708"/>
        <w:jc w:val="both"/>
      </w:pPr>
      <w:r>
        <w:rPr/>
        <w:t>Pamukkale Üniversitesi Eğitim ve Araştırma Hastanesi Nöroloji ABD yataklı servisi ve Beyin Cerrahi ABD yataklı servisinde ve bu servislerin yoğun bakımlarında yatarak tedavi olan, nörolojik bir hastalık tanısı konulmuş, mobilizasyonunu kendi kendine yapamayan, dekübit ülseri gözlenmeyen, en az üç gündür hastanede yatarak tedavi gören ve çalışmaya katılmayı kabul eden hastalar alınmıştır</w:t>
      </w:r>
    </w:p>
    <w:p>
      <w:pPr>
        <w:pStyle w:val="BodyText"/>
        <w:spacing w:line="357" w:lineRule="auto" w:before="159"/>
        <w:ind w:left="1248" w:right="677" w:firstLine="708"/>
        <w:jc w:val="both"/>
      </w:pPr>
      <w:r>
        <w:rPr/>
        <w:t>Araştırmaya katılmayı kabul eden bireylerden bilgilendirildiklerine dair yazılı onam alınmıştır.</w:t>
      </w:r>
    </w:p>
    <w:p>
      <w:pPr>
        <w:spacing w:after="0" w:line="357" w:lineRule="auto"/>
        <w:jc w:val="both"/>
        <w:sectPr>
          <w:pgSz w:w="11910" w:h="16840"/>
          <w:pgMar w:header="749" w:footer="0" w:top="960" w:bottom="280" w:left="1020" w:right="4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7"/>
        </w:rPr>
      </w:pPr>
    </w:p>
    <w:p>
      <w:pPr>
        <w:pStyle w:val="Heading1"/>
        <w:numPr>
          <w:ilvl w:val="1"/>
          <w:numId w:val="11"/>
        </w:numPr>
        <w:tabs>
          <w:tab w:pos="1621" w:val="left" w:leader="none"/>
        </w:tabs>
        <w:spacing w:line="240" w:lineRule="auto" w:before="94" w:after="0"/>
        <w:ind w:left="1620" w:right="0" w:hanging="373"/>
        <w:jc w:val="left"/>
      </w:pPr>
      <w:bookmarkStart w:name="_bookmark45" w:id="81"/>
      <w:bookmarkEnd w:id="81"/>
      <w:r>
        <w:rPr>
          <w:b w:val="0"/>
        </w:rPr>
      </w:r>
      <w:bookmarkStart w:name="_bookmark45" w:id="82"/>
      <w:bookmarkEnd w:id="82"/>
      <w:r>
        <w:rPr/>
        <w:t>A</w:t>
      </w:r>
      <w:r>
        <w:rPr/>
        <w:t>raştırmaya Dahil Edilme</w:t>
      </w:r>
      <w:r>
        <w:rPr>
          <w:spacing w:val="2"/>
        </w:rPr>
        <w:t> </w:t>
      </w:r>
      <w:r>
        <w:rPr/>
        <w:t>Kriterleri</w:t>
      </w:r>
    </w:p>
    <w:p>
      <w:pPr>
        <w:pStyle w:val="BodyText"/>
        <w:rPr>
          <w:b/>
          <w:sz w:val="24"/>
        </w:rPr>
      </w:pPr>
    </w:p>
    <w:p>
      <w:pPr>
        <w:pStyle w:val="BodyText"/>
        <w:spacing w:before="1"/>
        <w:rPr>
          <w:b/>
          <w:sz w:val="20"/>
        </w:rPr>
      </w:pPr>
    </w:p>
    <w:p>
      <w:pPr>
        <w:pStyle w:val="ListParagraph"/>
        <w:numPr>
          <w:ilvl w:val="0"/>
          <w:numId w:val="9"/>
        </w:numPr>
        <w:tabs>
          <w:tab w:pos="1386" w:val="left" w:leader="none"/>
        </w:tabs>
        <w:spacing w:line="240" w:lineRule="auto" w:before="1" w:after="0"/>
        <w:ind w:left="1385" w:right="0" w:hanging="138"/>
        <w:jc w:val="left"/>
        <w:rPr>
          <w:sz w:val="22"/>
        </w:rPr>
      </w:pPr>
      <w:r>
        <w:rPr>
          <w:sz w:val="22"/>
        </w:rPr>
        <w:t>Herhangi bir nörolojik hastalık tanısı konulmuş</w:t>
      </w:r>
      <w:r>
        <w:rPr>
          <w:spacing w:val="-2"/>
          <w:sz w:val="22"/>
        </w:rPr>
        <w:t> </w:t>
      </w:r>
      <w:r>
        <w:rPr>
          <w:sz w:val="22"/>
        </w:rPr>
        <w:t>olgular.</w:t>
      </w:r>
    </w:p>
    <w:p>
      <w:pPr>
        <w:pStyle w:val="ListParagraph"/>
        <w:numPr>
          <w:ilvl w:val="0"/>
          <w:numId w:val="9"/>
        </w:numPr>
        <w:tabs>
          <w:tab w:pos="1458" w:val="left" w:leader="none"/>
        </w:tabs>
        <w:spacing w:line="360" w:lineRule="auto" w:before="126" w:after="0"/>
        <w:ind w:left="1248" w:right="675" w:firstLine="0"/>
        <w:jc w:val="left"/>
        <w:rPr>
          <w:sz w:val="22"/>
        </w:rPr>
      </w:pPr>
      <w:r>
        <w:rPr>
          <w:sz w:val="22"/>
        </w:rPr>
        <w:t>Bir başkasının veya başkalarının yardımı ile yatak dışı transferi gerçekleştirilen olgular.</w:t>
      </w:r>
    </w:p>
    <w:p>
      <w:pPr>
        <w:pStyle w:val="ListParagraph"/>
        <w:numPr>
          <w:ilvl w:val="0"/>
          <w:numId w:val="9"/>
        </w:numPr>
        <w:tabs>
          <w:tab w:pos="1386" w:val="left" w:leader="none"/>
        </w:tabs>
        <w:spacing w:line="252" w:lineRule="exact" w:before="0" w:after="0"/>
        <w:ind w:left="1385" w:right="0" w:hanging="138"/>
        <w:jc w:val="left"/>
        <w:rPr>
          <w:sz w:val="22"/>
        </w:rPr>
      </w:pPr>
      <w:r>
        <w:rPr>
          <w:sz w:val="22"/>
        </w:rPr>
        <w:t>Bası yarası gözlenmeyen</w:t>
      </w:r>
      <w:r>
        <w:rPr>
          <w:spacing w:val="-8"/>
          <w:sz w:val="22"/>
        </w:rPr>
        <w:t> </w:t>
      </w:r>
      <w:r>
        <w:rPr>
          <w:sz w:val="22"/>
        </w:rPr>
        <w:t>olgular.</w:t>
      </w:r>
    </w:p>
    <w:p>
      <w:pPr>
        <w:pStyle w:val="ListParagraph"/>
        <w:numPr>
          <w:ilvl w:val="0"/>
          <w:numId w:val="9"/>
        </w:numPr>
        <w:tabs>
          <w:tab w:pos="1386" w:val="left" w:leader="none"/>
        </w:tabs>
        <w:spacing w:line="240" w:lineRule="auto" w:before="126" w:after="0"/>
        <w:ind w:left="1385" w:right="0" w:hanging="138"/>
        <w:jc w:val="left"/>
        <w:rPr>
          <w:sz w:val="22"/>
        </w:rPr>
      </w:pPr>
      <w:r>
        <w:rPr>
          <w:sz w:val="22"/>
        </w:rPr>
        <w:t>Hastaneye yatışı üzerinden en az üç gün geçmiş</w:t>
      </w:r>
      <w:r>
        <w:rPr>
          <w:spacing w:val="-15"/>
          <w:sz w:val="22"/>
        </w:rPr>
        <w:t> </w:t>
      </w:r>
      <w:r>
        <w:rPr>
          <w:sz w:val="22"/>
        </w:rPr>
        <w:t>olgular.</w:t>
      </w:r>
    </w:p>
    <w:p>
      <w:pPr>
        <w:pStyle w:val="BodyText"/>
        <w:rPr>
          <w:sz w:val="24"/>
        </w:rPr>
      </w:pPr>
    </w:p>
    <w:p>
      <w:pPr>
        <w:pStyle w:val="BodyText"/>
        <w:rPr>
          <w:sz w:val="24"/>
        </w:rPr>
      </w:pPr>
    </w:p>
    <w:p>
      <w:pPr>
        <w:pStyle w:val="BodyText"/>
        <w:rPr>
          <w:sz w:val="29"/>
        </w:rPr>
      </w:pPr>
    </w:p>
    <w:p>
      <w:pPr>
        <w:pStyle w:val="Heading1"/>
        <w:numPr>
          <w:ilvl w:val="1"/>
          <w:numId w:val="11"/>
        </w:numPr>
        <w:tabs>
          <w:tab w:pos="1621" w:val="left" w:leader="none"/>
        </w:tabs>
        <w:spacing w:line="240" w:lineRule="auto" w:before="0" w:after="0"/>
        <w:ind w:left="1620" w:right="0" w:hanging="373"/>
        <w:jc w:val="left"/>
      </w:pPr>
      <w:bookmarkStart w:name="_bookmark46" w:id="83"/>
      <w:bookmarkEnd w:id="83"/>
      <w:r>
        <w:rPr>
          <w:b w:val="0"/>
        </w:rPr>
      </w:r>
      <w:bookmarkStart w:name="_bookmark46" w:id="84"/>
      <w:bookmarkEnd w:id="84"/>
      <w:r>
        <w:rPr/>
        <w:t>A</w:t>
      </w:r>
      <w:r>
        <w:rPr/>
        <w:t>raştırmaya Dahil Edilmeme Kriterleri</w:t>
      </w:r>
    </w:p>
    <w:p>
      <w:pPr>
        <w:pStyle w:val="BodyText"/>
        <w:rPr>
          <w:b/>
          <w:sz w:val="24"/>
        </w:rPr>
      </w:pPr>
    </w:p>
    <w:p>
      <w:pPr>
        <w:pStyle w:val="BodyText"/>
        <w:spacing w:before="2"/>
        <w:rPr>
          <w:b/>
          <w:sz w:val="20"/>
        </w:rPr>
      </w:pPr>
    </w:p>
    <w:p>
      <w:pPr>
        <w:pStyle w:val="ListParagraph"/>
        <w:numPr>
          <w:ilvl w:val="0"/>
          <w:numId w:val="9"/>
        </w:numPr>
        <w:tabs>
          <w:tab w:pos="1386" w:val="left" w:leader="none"/>
        </w:tabs>
        <w:spacing w:line="240" w:lineRule="auto" w:before="0" w:after="0"/>
        <w:ind w:left="1385" w:right="0" w:hanging="138"/>
        <w:jc w:val="left"/>
        <w:rPr>
          <w:sz w:val="22"/>
        </w:rPr>
      </w:pPr>
      <w:r>
        <w:rPr>
          <w:sz w:val="22"/>
        </w:rPr>
        <w:t>Bası yarası mevcut olan</w:t>
      </w:r>
      <w:r>
        <w:rPr>
          <w:spacing w:val="-7"/>
          <w:sz w:val="22"/>
        </w:rPr>
        <w:t> </w:t>
      </w:r>
      <w:r>
        <w:rPr>
          <w:sz w:val="22"/>
        </w:rPr>
        <w:t>olgular.</w:t>
      </w:r>
    </w:p>
    <w:p>
      <w:pPr>
        <w:pStyle w:val="ListParagraph"/>
        <w:numPr>
          <w:ilvl w:val="0"/>
          <w:numId w:val="9"/>
        </w:numPr>
        <w:tabs>
          <w:tab w:pos="1386" w:val="left" w:leader="none"/>
        </w:tabs>
        <w:spacing w:line="240" w:lineRule="auto" w:before="126" w:after="0"/>
        <w:ind w:left="1385" w:right="0" w:hanging="138"/>
        <w:jc w:val="left"/>
        <w:rPr>
          <w:sz w:val="22"/>
        </w:rPr>
      </w:pPr>
      <w:r>
        <w:rPr>
          <w:sz w:val="22"/>
        </w:rPr>
        <w:t>Hastaneye yatış süresi üç günün altında olan</w:t>
      </w:r>
      <w:r>
        <w:rPr>
          <w:spacing w:val="-6"/>
          <w:sz w:val="22"/>
        </w:rPr>
        <w:t> </w:t>
      </w:r>
      <w:r>
        <w:rPr>
          <w:sz w:val="22"/>
        </w:rPr>
        <w:t>olgular.</w:t>
      </w:r>
    </w:p>
    <w:p>
      <w:pPr>
        <w:pStyle w:val="BodyText"/>
        <w:rPr>
          <w:sz w:val="24"/>
        </w:rPr>
      </w:pPr>
    </w:p>
    <w:p>
      <w:pPr>
        <w:pStyle w:val="BodyText"/>
        <w:rPr>
          <w:sz w:val="24"/>
        </w:rPr>
      </w:pPr>
    </w:p>
    <w:p>
      <w:pPr>
        <w:pStyle w:val="BodyText"/>
        <w:spacing w:before="8"/>
        <w:rPr>
          <w:sz w:val="28"/>
        </w:rPr>
      </w:pPr>
    </w:p>
    <w:p>
      <w:pPr>
        <w:pStyle w:val="Heading1"/>
        <w:numPr>
          <w:ilvl w:val="1"/>
          <w:numId w:val="11"/>
        </w:numPr>
        <w:tabs>
          <w:tab w:pos="1609" w:val="left" w:leader="none"/>
        </w:tabs>
        <w:spacing w:line="240" w:lineRule="auto" w:before="0" w:after="0"/>
        <w:ind w:left="1608" w:right="0" w:hanging="361"/>
        <w:jc w:val="left"/>
      </w:pPr>
      <w:bookmarkStart w:name="_bookmark47" w:id="85"/>
      <w:bookmarkEnd w:id="85"/>
      <w:r>
        <w:rPr>
          <w:b w:val="0"/>
        </w:rPr>
      </w:r>
      <w:bookmarkStart w:name="_bookmark47" w:id="86"/>
      <w:bookmarkEnd w:id="86"/>
      <w:r>
        <w:rPr/>
        <w:t>A</w:t>
      </w:r>
      <w:r>
        <w:rPr/>
        <w:t>raştırmadan Çıkarılma</w:t>
      </w:r>
      <w:r>
        <w:rPr>
          <w:spacing w:val="-3"/>
        </w:rPr>
        <w:t> </w:t>
      </w:r>
      <w:r>
        <w:rPr/>
        <w:t>Kriterleri</w:t>
      </w:r>
    </w:p>
    <w:p>
      <w:pPr>
        <w:pStyle w:val="BodyText"/>
        <w:spacing w:before="4"/>
        <w:rPr>
          <w:b/>
          <w:sz w:val="33"/>
        </w:rPr>
      </w:pPr>
    </w:p>
    <w:p>
      <w:pPr>
        <w:pStyle w:val="ListParagraph"/>
        <w:numPr>
          <w:ilvl w:val="0"/>
          <w:numId w:val="9"/>
        </w:numPr>
        <w:tabs>
          <w:tab w:pos="1390" w:val="left" w:leader="none"/>
        </w:tabs>
        <w:spacing w:line="240" w:lineRule="auto" w:before="0" w:after="0"/>
        <w:ind w:left="1390" w:right="0" w:hanging="142"/>
        <w:jc w:val="left"/>
        <w:rPr>
          <w:sz w:val="20"/>
        </w:rPr>
      </w:pPr>
      <w:r>
        <w:rPr>
          <w:sz w:val="22"/>
        </w:rPr>
        <w:t>Herhangi bir sebeple değerlendirmeyi tamamlayamayan</w:t>
      </w:r>
      <w:r>
        <w:rPr>
          <w:spacing w:val="-8"/>
          <w:sz w:val="22"/>
        </w:rPr>
        <w:t> </w:t>
      </w:r>
      <w:r>
        <w:rPr>
          <w:sz w:val="22"/>
        </w:rPr>
        <w:t>olgular</w:t>
      </w:r>
    </w:p>
    <w:p>
      <w:pPr>
        <w:pStyle w:val="BodyText"/>
        <w:rPr>
          <w:sz w:val="24"/>
        </w:rPr>
      </w:pPr>
    </w:p>
    <w:p>
      <w:pPr>
        <w:pStyle w:val="BodyText"/>
        <w:rPr>
          <w:sz w:val="24"/>
        </w:rPr>
      </w:pPr>
    </w:p>
    <w:p>
      <w:pPr>
        <w:pStyle w:val="BodyText"/>
        <w:spacing w:before="10"/>
        <w:rPr>
          <w:sz w:val="32"/>
        </w:rPr>
      </w:pPr>
    </w:p>
    <w:p>
      <w:pPr>
        <w:pStyle w:val="Heading1"/>
        <w:numPr>
          <w:ilvl w:val="1"/>
          <w:numId w:val="11"/>
        </w:numPr>
        <w:tabs>
          <w:tab w:pos="1618" w:val="left" w:leader="none"/>
        </w:tabs>
        <w:spacing w:line="240" w:lineRule="auto" w:before="0" w:after="0"/>
        <w:ind w:left="1617" w:right="0" w:hanging="370"/>
        <w:jc w:val="left"/>
      </w:pPr>
      <w:bookmarkStart w:name="_bookmark48" w:id="87"/>
      <w:bookmarkEnd w:id="87"/>
      <w:r>
        <w:rPr>
          <w:b w:val="0"/>
        </w:rPr>
      </w:r>
      <w:bookmarkStart w:name="_bookmark48" w:id="88"/>
      <w:bookmarkEnd w:id="88"/>
      <w:r>
        <w:rPr/>
        <w:t>D</w:t>
      </w:r>
      <w:r>
        <w:rPr/>
        <w:t>eğerlendirme</w:t>
      </w:r>
      <w:r>
        <w:rPr>
          <w:spacing w:val="-3"/>
        </w:rPr>
        <w:t> </w:t>
      </w:r>
      <w:r>
        <w:rPr/>
        <w:t>Yöntemleri</w:t>
      </w:r>
    </w:p>
    <w:p>
      <w:pPr>
        <w:pStyle w:val="BodyText"/>
        <w:rPr>
          <w:b/>
          <w:sz w:val="24"/>
        </w:rPr>
      </w:pPr>
    </w:p>
    <w:p>
      <w:pPr>
        <w:pStyle w:val="BodyText"/>
        <w:spacing w:before="2"/>
        <w:rPr>
          <w:b/>
          <w:sz w:val="20"/>
        </w:rPr>
      </w:pPr>
    </w:p>
    <w:p>
      <w:pPr>
        <w:pStyle w:val="BodyText"/>
        <w:spacing w:line="357" w:lineRule="auto"/>
        <w:ind w:left="1248" w:right="670" w:firstLine="708"/>
        <w:jc w:val="both"/>
      </w:pPr>
      <w:r>
        <w:rPr/>
        <w:t>Olgular dahil edilme kriterlerine göre seçilerek; çalışmaya dahil olan her katılımcıya çalışma hakkında detaylı bilgi verilmiştir ve çalışmaya katılmayı kabul eden tüm olgulardan sözlü ve yazılı onamları alınmıştır.</w:t>
      </w:r>
    </w:p>
    <w:p>
      <w:pPr>
        <w:pStyle w:val="BodyText"/>
        <w:spacing w:line="357" w:lineRule="auto" w:before="168"/>
        <w:ind w:left="1248" w:right="670" w:firstLine="708"/>
        <w:jc w:val="both"/>
      </w:pPr>
      <w:r>
        <w:rPr/>
        <w:t>Hastalar yatış günlerinden en az üç gün sonra değerlendirilmiştir. Olguların demografik ve klinik verileri değerlendirme formlarına kaydedilmiştir.</w:t>
      </w:r>
    </w:p>
    <w:p>
      <w:pPr>
        <w:spacing w:after="0" w:line="357" w:lineRule="auto"/>
        <w:jc w:val="both"/>
        <w:sectPr>
          <w:pgSz w:w="11910" w:h="16840"/>
          <w:pgMar w:header="749" w:footer="0" w:top="960" w:bottom="280" w:left="1020" w:right="460"/>
        </w:sectPr>
      </w:pPr>
    </w:p>
    <w:p>
      <w:pPr>
        <w:pStyle w:val="BodyText"/>
        <w:rPr>
          <w:sz w:val="20"/>
        </w:rPr>
      </w:pPr>
    </w:p>
    <w:p>
      <w:pPr>
        <w:pStyle w:val="BodyText"/>
        <w:rPr>
          <w:sz w:val="20"/>
        </w:rPr>
      </w:pPr>
    </w:p>
    <w:p>
      <w:pPr>
        <w:pStyle w:val="BodyText"/>
        <w:spacing w:before="1"/>
        <w:rPr>
          <w:sz w:val="24"/>
        </w:rPr>
      </w:pPr>
    </w:p>
    <w:p>
      <w:pPr>
        <w:pStyle w:val="Heading1"/>
        <w:numPr>
          <w:ilvl w:val="1"/>
          <w:numId w:val="11"/>
        </w:numPr>
        <w:tabs>
          <w:tab w:pos="1618" w:val="left" w:leader="none"/>
        </w:tabs>
        <w:spacing w:line="240" w:lineRule="auto" w:before="94" w:after="0"/>
        <w:ind w:left="1618" w:right="0" w:hanging="370"/>
        <w:jc w:val="left"/>
      </w:pPr>
      <w:bookmarkStart w:name="_bookmark49" w:id="89"/>
      <w:bookmarkEnd w:id="89"/>
      <w:r>
        <w:rPr>
          <w:b w:val="0"/>
        </w:rPr>
      </w:r>
      <w:bookmarkStart w:name="_bookmark49" w:id="90"/>
      <w:bookmarkEnd w:id="90"/>
      <w:r>
        <w:rPr/>
        <w:t>D</w:t>
      </w:r>
      <w:r>
        <w:rPr/>
        <w:t>eğerlendirmeler</w:t>
      </w:r>
    </w:p>
    <w:p>
      <w:pPr>
        <w:pStyle w:val="BodyText"/>
        <w:rPr>
          <w:b/>
          <w:sz w:val="24"/>
        </w:rPr>
      </w:pPr>
    </w:p>
    <w:p>
      <w:pPr>
        <w:pStyle w:val="BodyText"/>
        <w:spacing w:before="1"/>
        <w:rPr>
          <w:b/>
          <w:sz w:val="20"/>
        </w:rPr>
      </w:pPr>
    </w:p>
    <w:p>
      <w:pPr>
        <w:pStyle w:val="Heading1"/>
        <w:numPr>
          <w:ilvl w:val="2"/>
          <w:numId w:val="11"/>
        </w:numPr>
        <w:tabs>
          <w:tab w:pos="1800" w:val="left" w:leader="none"/>
        </w:tabs>
        <w:spacing w:line="240" w:lineRule="auto" w:before="0" w:after="0"/>
        <w:ind w:left="1800" w:right="0" w:hanging="552"/>
        <w:jc w:val="left"/>
      </w:pPr>
      <w:bookmarkStart w:name="_bookmark50" w:id="91"/>
      <w:bookmarkEnd w:id="91"/>
      <w:r>
        <w:rPr>
          <w:b w:val="0"/>
        </w:rPr>
      </w:r>
      <w:bookmarkStart w:name="_bookmark50" w:id="92"/>
      <w:bookmarkEnd w:id="92"/>
      <w:r>
        <w:rPr/>
        <w:t>D</w:t>
      </w:r>
      <w:r>
        <w:rPr/>
        <w:t>emografik ve klinik veri</w:t>
      </w:r>
      <w:r>
        <w:rPr>
          <w:spacing w:val="-3"/>
        </w:rPr>
        <w:t> </w:t>
      </w:r>
      <w:r>
        <w:rPr/>
        <w:t>formu</w:t>
      </w:r>
    </w:p>
    <w:p>
      <w:pPr>
        <w:pStyle w:val="BodyText"/>
        <w:rPr>
          <w:b/>
          <w:sz w:val="24"/>
        </w:rPr>
      </w:pPr>
    </w:p>
    <w:p>
      <w:pPr>
        <w:pStyle w:val="BodyText"/>
        <w:spacing w:before="2"/>
        <w:rPr>
          <w:b/>
          <w:sz w:val="20"/>
        </w:rPr>
      </w:pPr>
    </w:p>
    <w:p>
      <w:pPr>
        <w:pStyle w:val="BodyText"/>
        <w:spacing w:line="357" w:lineRule="auto"/>
        <w:ind w:left="1248" w:right="670" w:firstLine="708"/>
        <w:jc w:val="both"/>
      </w:pPr>
      <w:r>
        <w:rPr/>
        <w:t>Olguların; tanı, yaş, cinsiyet, boy, kilo, vücut kitle indeksi (VKİ), yatış tarihi, yattığı servis, hastanede kalış süresi, sigara kullanımı gibi bilgiler hazırlanan forma kaydedilmiştir.</w:t>
      </w:r>
    </w:p>
    <w:p>
      <w:pPr>
        <w:pStyle w:val="BodyText"/>
        <w:spacing w:line="360" w:lineRule="auto" w:before="168"/>
        <w:ind w:left="1248" w:right="671" w:firstLine="708"/>
        <w:jc w:val="both"/>
      </w:pPr>
      <w:r>
        <w:rPr/>
        <w:t>Ayrıca olguların ek hastalıkları, beslenme durumları, serum albümin ve hemoglobin düzeyleri, inkontinans durumları, havalı yatak kullanım durumları, pozisyon değişimi ve cilt bakımı yapılma durumları değerlendirilmiştir. Olguların normal eklem hareket açıklıkları ve kas tonuslarındaki değişiklikler kaydedilmiştir (Ek 4).</w:t>
      </w:r>
    </w:p>
    <w:p>
      <w:pPr>
        <w:pStyle w:val="BodyText"/>
        <w:rPr>
          <w:sz w:val="24"/>
        </w:rPr>
      </w:pPr>
    </w:p>
    <w:p>
      <w:pPr>
        <w:pStyle w:val="BodyText"/>
        <w:spacing w:before="8"/>
      </w:pPr>
    </w:p>
    <w:p>
      <w:pPr>
        <w:pStyle w:val="Heading1"/>
        <w:numPr>
          <w:ilvl w:val="2"/>
          <w:numId w:val="11"/>
        </w:numPr>
        <w:tabs>
          <w:tab w:pos="1801" w:val="left" w:leader="none"/>
        </w:tabs>
        <w:spacing w:line="240" w:lineRule="auto" w:before="0" w:after="0"/>
        <w:ind w:left="1800" w:right="0" w:hanging="553"/>
        <w:jc w:val="left"/>
      </w:pPr>
      <w:bookmarkStart w:name="_bookmark51" w:id="93"/>
      <w:bookmarkEnd w:id="93"/>
      <w:r>
        <w:rPr>
          <w:b w:val="0"/>
        </w:rPr>
      </w:r>
      <w:bookmarkStart w:name="_bookmark51" w:id="94"/>
      <w:bookmarkEnd w:id="94"/>
      <w:r>
        <w:rPr/>
        <w:t>G</w:t>
      </w:r>
      <w:r>
        <w:rPr/>
        <w:t>laskow Koma</w:t>
      </w:r>
      <w:r>
        <w:rPr>
          <w:spacing w:val="2"/>
        </w:rPr>
        <w:t> </w:t>
      </w:r>
      <w:r>
        <w:rPr/>
        <w:t>Skalası</w:t>
      </w:r>
    </w:p>
    <w:p>
      <w:pPr>
        <w:pStyle w:val="BodyText"/>
        <w:rPr>
          <w:b/>
          <w:sz w:val="24"/>
        </w:rPr>
      </w:pPr>
    </w:p>
    <w:p>
      <w:pPr>
        <w:pStyle w:val="BodyText"/>
        <w:spacing w:before="2"/>
        <w:rPr>
          <w:b/>
          <w:sz w:val="20"/>
        </w:rPr>
      </w:pPr>
    </w:p>
    <w:p>
      <w:pPr>
        <w:pStyle w:val="BodyText"/>
        <w:spacing w:line="360" w:lineRule="auto"/>
        <w:ind w:left="1248" w:right="669" w:firstLine="708"/>
        <w:jc w:val="both"/>
      </w:pPr>
      <w:r>
        <w:rPr/>
        <w:t>Bilinci değerlendirmede en sık Glasgow Koma Skalası (GKS) kullanılmaktadır. Göz açma, sözel ve motor yanıt olmak üzere başlıca 3 fonksiyon değerlendirilir ve puanlanır. Toplam puan 3-15 arasındadır. Toplam puan 13-15 puan ise hasta uyanık, 8-12 arasında ise prekoma, 8 ve altında ise koma olarak değerlendirilir (Sepit 2005)  (Ek</w:t>
      </w:r>
      <w:r>
        <w:rPr>
          <w:spacing w:val="1"/>
        </w:rPr>
        <w:t> </w:t>
      </w:r>
      <w:r>
        <w:rPr/>
        <w:t>5).</w:t>
      </w:r>
    </w:p>
    <w:p>
      <w:pPr>
        <w:pStyle w:val="BodyText"/>
        <w:rPr>
          <w:sz w:val="24"/>
        </w:rPr>
      </w:pPr>
    </w:p>
    <w:p>
      <w:pPr>
        <w:pStyle w:val="BodyText"/>
        <w:spacing w:before="10"/>
      </w:pPr>
    </w:p>
    <w:p>
      <w:pPr>
        <w:pStyle w:val="Heading1"/>
        <w:numPr>
          <w:ilvl w:val="2"/>
          <w:numId w:val="11"/>
        </w:numPr>
        <w:tabs>
          <w:tab w:pos="1801" w:val="left" w:leader="none"/>
        </w:tabs>
        <w:spacing w:line="240" w:lineRule="auto" w:before="0" w:after="0"/>
        <w:ind w:left="1800" w:right="0" w:hanging="553"/>
        <w:jc w:val="left"/>
      </w:pPr>
      <w:bookmarkStart w:name="_bookmark52" w:id="95"/>
      <w:bookmarkEnd w:id="95"/>
      <w:r>
        <w:rPr>
          <w:b w:val="0"/>
        </w:rPr>
      </w:r>
      <w:bookmarkStart w:name="_bookmark52" w:id="96"/>
      <w:bookmarkEnd w:id="96"/>
      <w:r>
        <w:rPr/>
        <w:t>H</w:t>
      </w:r>
      <w:r>
        <w:rPr/>
        <w:t>odkinson Mental</w:t>
      </w:r>
      <w:r>
        <w:rPr>
          <w:spacing w:val="-4"/>
        </w:rPr>
        <w:t> </w:t>
      </w:r>
      <w:r>
        <w:rPr/>
        <w:t>Testi</w:t>
      </w:r>
    </w:p>
    <w:p>
      <w:pPr>
        <w:pStyle w:val="BodyText"/>
        <w:rPr>
          <w:b/>
          <w:sz w:val="24"/>
        </w:rPr>
      </w:pPr>
    </w:p>
    <w:p>
      <w:pPr>
        <w:pStyle w:val="BodyText"/>
        <w:spacing w:before="2"/>
        <w:rPr>
          <w:b/>
          <w:sz w:val="20"/>
        </w:rPr>
      </w:pPr>
    </w:p>
    <w:p>
      <w:pPr>
        <w:pStyle w:val="BodyText"/>
        <w:spacing w:line="360" w:lineRule="auto"/>
        <w:ind w:left="1248" w:right="668" w:firstLine="708"/>
        <w:jc w:val="both"/>
      </w:pPr>
      <w:r>
        <w:rPr/>
        <w:t>Kognitif fonksiyonların değerlendirilmesi için Hodkinson Mental testi kullanılmıştır. Toplam 10 sorudan oluşur. Minimum skoru 0 ve maksimum skoru 10’dur.</w:t>
      </w:r>
    </w:p>
    <w:p>
      <w:pPr>
        <w:pStyle w:val="BodyText"/>
        <w:spacing w:line="360" w:lineRule="auto"/>
        <w:ind w:left="1248" w:right="670"/>
        <w:jc w:val="both"/>
      </w:pPr>
      <w:r>
        <w:rPr/>
        <w:t>1 ya da 2 yanlışa kadar cevap verenler normal kognitif fonksiyona sahip olarak değerlendirilir. 6-8 arası doğru cevap verenler hafif kognitif bozukluğa, 4-6 doğru cevap verenler orta düzeyde kognitif bozukluğa, bundan daha az doğru cevap verenler ise ağır kognitif bozukluğa sahiptir. Uygulaması ve anlaşılması oldukça kolaydır (Hodkinson 1972) (Ek</w:t>
      </w:r>
      <w:r>
        <w:rPr>
          <w:spacing w:val="-3"/>
        </w:rPr>
        <w:t> </w:t>
      </w:r>
      <w:r>
        <w:rPr/>
        <w:t>6).</w:t>
      </w:r>
    </w:p>
    <w:p>
      <w:pPr>
        <w:spacing w:after="0" w:line="360" w:lineRule="auto"/>
        <w:jc w:val="both"/>
        <w:sectPr>
          <w:pgSz w:w="11910" w:h="16840"/>
          <w:pgMar w:header="749" w:footer="0" w:top="960" w:bottom="280" w:left="1020" w:right="460"/>
        </w:sectPr>
      </w:pPr>
    </w:p>
    <w:p>
      <w:pPr>
        <w:pStyle w:val="BodyText"/>
        <w:rPr>
          <w:sz w:val="20"/>
        </w:rPr>
      </w:pPr>
    </w:p>
    <w:p>
      <w:pPr>
        <w:pStyle w:val="BodyText"/>
        <w:spacing w:before="2"/>
        <w:rPr>
          <w:sz w:val="19"/>
        </w:rPr>
      </w:pPr>
    </w:p>
    <w:p>
      <w:pPr>
        <w:pStyle w:val="Heading1"/>
        <w:numPr>
          <w:ilvl w:val="2"/>
          <w:numId w:val="11"/>
        </w:numPr>
        <w:tabs>
          <w:tab w:pos="1801" w:val="left" w:leader="none"/>
        </w:tabs>
        <w:spacing w:line="240" w:lineRule="auto" w:before="0" w:after="0"/>
        <w:ind w:left="1800" w:right="0" w:hanging="553"/>
        <w:jc w:val="left"/>
      </w:pPr>
      <w:bookmarkStart w:name="_bookmark53" w:id="97"/>
      <w:bookmarkEnd w:id="97"/>
      <w:r>
        <w:rPr>
          <w:b w:val="0"/>
        </w:rPr>
      </w:r>
      <w:bookmarkStart w:name="_bookmark53" w:id="98"/>
      <w:bookmarkEnd w:id="98"/>
      <w:r>
        <w:rPr/>
        <w:t>B</w:t>
      </w:r>
      <w:r>
        <w:rPr/>
        <w:t>arthel Günlük Yaşam Aktiviteleri</w:t>
      </w:r>
      <w:r>
        <w:rPr>
          <w:spacing w:val="-1"/>
        </w:rPr>
        <w:t> </w:t>
      </w:r>
      <w:r>
        <w:rPr/>
        <w:t>İndeksi</w:t>
      </w:r>
    </w:p>
    <w:p>
      <w:pPr>
        <w:pStyle w:val="BodyText"/>
        <w:rPr>
          <w:b/>
          <w:sz w:val="24"/>
        </w:rPr>
      </w:pPr>
    </w:p>
    <w:p>
      <w:pPr>
        <w:pStyle w:val="BodyText"/>
        <w:spacing w:before="5"/>
        <w:rPr>
          <w:b/>
          <w:sz w:val="20"/>
        </w:rPr>
      </w:pPr>
    </w:p>
    <w:p>
      <w:pPr>
        <w:pStyle w:val="BodyText"/>
        <w:spacing w:line="360" w:lineRule="auto"/>
        <w:ind w:left="1248" w:right="668" w:firstLine="708"/>
        <w:jc w:val="both"/>
      </w:pPr>
      <w:r>
        <w:rPr/>
        <w:t>Bireylerin aktivitelerindeki bağımsızlık düzeylerini belirlemek amacıyla kullanılmıştır. Toplam 10 alt basamaktan oluşmaktadır. Her alt basamak 0 ile 2 arasında puanlanmaktadır. Barthel Günlük Yaşam Aktiviteleri (GYA)  indeksinin puanları 0-20 arasında değişmektedir. Puanın düşüklüğü bağımsızlık düzeyinin düşüklüğünü belirtmektedir (Collin 1988) (Ek</w:t>
      </w:r>
      <w:r>
        <w:rPr>
          <w:spacing w:val="3"/>
        </w:rPr>
        <w:t> </w:t>
      </w:r>
      <w:r>
        <w:rPr/>
        <w:t>7).</w:t>
      </w:r>
    </w:p>
    <w:p>
      <w:pPr>
        <w:pStyle w:val="BodyText"/>
        <w:rPr>
          <w:sz w:val="24"/>
        </w:rPr>
      </w:pPr>
    </w:p>
    <w:p>
      <w:pPr>
        <w:pStyle w:val="BodyText"/>
        <w:spacing w:before="7"/>
      </w:pPr>
    </w:p>
    <w:p>
      <w:pPr>
        <w:pStyle w:val="Heading1"/>
        <w:numPr>
          <w:ilvl w:val="2"/>
          <w:numId w:val="11"/>
        </w:numPr>
        <w:tabs>
          <w:tab w:pos="1801" w:val="left" w:leader="none"/>
        </w:tabs>
        <w:spacing w:line="240" w:lineRule="auto" w:before="0" w:after="0"/>
        <w:ind w:left="1800" w:right="0" w:hanging="553"/>
        <w:jc w:val="left"/>
      </w:pPr>
      <w:bookmarkStart w:name="_bookmark54" w:id="99"/>
      <w:bookmarkEnd w:id="99"/>
      <w:r>
        <w:rPr>
          <w:b w:val="0"/>
        </w:rPr>
      </w:r>
      <w:bookmarkStart w:name="_bookmark54" w:id="100"/>
      <w:bookmarkEnd w:id="100"/>
      <w:r>
        <w:rPr/>
        <w:t>N</w:t>
      </w:r>
      <w:r>
        <w:rPr/>
        <w:t>orton</w:t>
      </w:r>
      <w:r>
        <w:rPr>
          <w:spacing w:val="-4"/>
        </w:rPr>
        <w:t> </w:t>
      </w:r>
      <w:r>
        <w:rPr/>
        <w:t>Skalası</w:t>
      </w:r>
    </w:p>
    <w:p>
      <w:pPr>
        <w:pStyle w:val="BodyText"/>
        <w:rPr>
          <w:b/>
          <w:sz w:val="24"/>
        </w:rPr>
      </w:pPr>
    </w:p>
    <w:p>
      <w:pPr>
        <w:pStyle w:val="BodyText"/>
        <w:spacing w:before="3"/>
        <w:rPr>
          <w:b/>
          <w:sz w:val="20"/>
        </w:rPr>
      </w:pPr>
    </w:p>
    <w:p>
      <w:pPr>
        <w:pStyle w:val="BodyText"/>
        <w:spacing w:line="360" w:lineRule="auto"/>
        <w:ind w:left="1248" w:right="671" w:firstLine="708"/>
        <w:jc w:val="both"/>
      </w:pPr>
      <w:r>
        <w:rPr/>
        <w:t>Norton skalası bası ülseri oluşma riskini değerlendirme amacı ile oluşturulmuş bir ölçektir. Fiziksel durum, mental durum, aktivite, mobilite ve inkontinans alt bölümlerinden oluşur. Her bölüm 1-4 arası puanlanır. Toplam puan 5 (en yüksek risk) ile 20 (en düşük risk) arasında değişebilir. 9’un altındaki Norton Skoru, çok yüksek riski,10-13 arası yüksek riski,14-17 arası orta riski ve 18’den yüksek skor düşük riski ifade eder (Norton 1962) (Ek</w:t>
      </w:r>
      <w:r>
        <w:rPr>
          <w:spacing w:val="-5"/>
        </w:rPr>
        <w:t> </w:t>
      </w:r>
      <w:r>
        <w:rPr/>
        <w:t>8).</w:t>
      </w:r>
    </w:p>
    <w:p>
      <w:pPr>
        <w:pStyle w:val="BodyText"/>
        <w:rPr>
          <w:sz w:val="24"/>
        </w:rPr>
      </w:pPr>
    </w:p>
    <w:p>
      <w:pPr>
        <w:pStyle w:val="BodyText"/>
        <w:rPr>
          <w:sz w:val="24"/>
        </w:rPr>
      </w:pPr>
    </w:p>
    <w:p>
      <w:pPr>
        <w:pStyle w:val="Heading1"/>
        <w:numPr>
          <w:ilvl w:val="1"/>
          <w:numId w:val="11"/>
        </w:numPr>
        <w:tabs>
          <w:tab w:pos="1616" w:val="left" w:leader="none"/>
        </w:tabs>
        <w:spacing w:line="240" w:lineRule="auto" w:before="205" w:after="0"/>
        <w:ind w:left="1615" w:right="0" w:hanging="368"/>
        <w:jc w:val="left"/>
      </w:pPr>
      <w:bookmarkStart w:name="_bookmark55" w:id="101"/>
      <w:bookmarkEnd w:id="101"/>
      <w:r>
        <w:rPr>
          <w:b w:val="0"/>
        </w:rPr>
      </w:r>
      <w:bookmarkStart w:name="_bookmark55" w:id="102"/>
      <w:bookmarkEnd w:id="102"/>
      <w:r>
        <w:rPr/>
        <w:t>İ</w:t>
      </w:r>
      <w:r>
        <w:rPr/>
        <w:t>statistiksel</w:t>
      </w:r>
      <w:r>
        <w:rPr>
          <w:spacing w:val="3"/>
        </w:rPr>
        <w:t> </w:t>
      </w:r>
      <w:r>
        <w:rPr/>
        <w:t>Analiz</w:t>
      </w:r>
    </w:p>
    <w:p>
      <w:pPr>
        <w:pStyle w:val="BodyText"/>
        <w:spacing w:before="4"/>
        <w:rPr>
          <w:b/>
          <w:sz w:val="33"/>
        </w:rPr>
      </w:pPr>
    </w:p>
    <w:p>
      <w:pPr>
        <w:pStyle w:val="BodyText"/>
        <w:ind w:left="1956"/>
      </w:pPr>
      <w:r>
        <w:rPr/>
        <w:t>Yapılan güç analizi sonucunda, çalışmaya 140 kişi alındığında %95 güvenle</w:t>
      </w:r>
    </w:p>
    <w:p>
      <w:pPr>
        <w:pStyle w:val="BodyText"/>
        <w:spacing w:before="124"/>
        <w:ind w:left="1248"/>
      </w:pPr>
      <w:r>
        <w:rPr/>
        <w:t>%90 güç elde edileceği hesaplanmıştır.</w:t>
      </w:r>
    </w:p>
    <w:p>
      <w:pPr>
        <w:pStyle w:val="BodyText"/>
        <w:spacing w:before="10"/>
        <w:rPr>
          <w:sz w:val="24"/>
        </w:rPr>
      </w:pPr>
    </w:p>
    <w:p>
      <w:pPr>
        <w:pStyle w:val="BodyText"/>
        <w:spacing w:line="360" w:lineRule="auto" w:before="1"/>
        <w:ind w:left="1248" w:right="668" w:firstLine="708"/>
        <w:jc w:val="both"/>
      </w:pPr>
      <w:r>
        <w:rPr/>
        <w:t>Verilerin SPSS statistics 22.0 paket programı ile analiz edildi. Demografik veriler de tanımlayıcı istatistik, sürekli değişkenler de ortalama ± standart sapma (X±SS) ve kategorik değişkenler de sayı (n) ve yüzde (%) olarak yapıldı. Verilerin normal dağılıma uygunluğunu belirlemede Kolmogrov Smirnov Testi kullanılmıştır. Kategorik değişkenlerin karşılaştırılmasında Ki -kare analizi, sayısal değişkenlerin aralarındaki ilişkinin incelenmesinde ise Spearman korelasyon analizleri kullanılmıştır. İstatistiksel anlamlılık düzeyi p&lt;0.05 olarak kabul edildi (Sümbüloğlu ve Sümbüloğlu 2004).</w:t>
      </w:r>
    </w:p>
    <w:p>
      <w:pPr>
        <w:spacing w:after="0" w:line="360" w:lineRule="auto"/>
        <w:jc w:val="both"/>
        <w:sectPr>
          <w:pgSz w:w="11910" w:h="16840"/>
          <w:pgMar w:header="749" w:footer="0" w:top="960" w:bottom="280" w:left="1020" w:right="4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3"/>
        </w:rPr>
      </w:pPr>
    </w:p>
    <w:p>
      <w:pPr>
        <w:pStyle w:val="Heading1"/>
        <w:numPr>
          <w:ilvl w:val="0"/>
          <w:numId w:val="11"/>
        </w:numPr>
        <w:tabs>
          <w:tab w:pos="1496" w:val="left" w:leader="none"/>
        </w:tabs>
        <w:spacing w:line="240" w:lineRule="auto" w:before="94" w:after="0"/>
        <w:ind w:left="1495" w:right="0" w:hanging="248"/>
        <w:jc w:val="left"/>
      </w:pPr>
      <w:bookmarkStart w:name="_bookmark56" w:id="103"/>
      <w:bookmarkEnd w:id="103"/>
      <w:r>
        <w:rPr>
          <w:b w:val="0"/>
        </w:rPr>
      </w:r>
      <w:bookmarkStart w:name="_bookmark56" w:id="104"/>
      <w:bookmarkEnd w:id="104"/>
      <w:r>
        <w:rPr/>
        <w:t>B</w:t>
      </w:r>
      <w:r>
        <w:rPr/>
        <w:t>ULGULAR</w:t>
      </w:r>
    </w:p>
    <w:p>
      <w:pPr>
        <w:pStyle w:val="BodyText"/>
        <w:rPr>
          <w:b/>
          <w:sz w:val="24"/>
        </w:rPr>
      </w:pPr>
    </w:p>
    <w:p>
      <w:pPr>
        <w:pStyle w:val="BodyText"/>
        <w:rPr>
          <w:b/>
          <w:sz w:val="24"/>
        </w:rPr>
      </w:pPr>
    </w:p>
    <w:p>
      <w:pPr>
        <w:pStyle w:val="BodyText"/>
        <w:spacing w:before="11"/>
        <w:rPr>
          <w:b/>
          <w:sz w:val="28"/>
        </w:rPr>
      </w:pPr>
    </w:p>
    <w:p>
      <w:pPr>
        <w:pStyle w:val="Heading1"/>
        <w:numPr>
          <w:ilvl w:val="1"/>
          <w:numId w:val="11"/>
        </w:numPr>
        <w:tabs>
          <w:tab w:pos="1618" w:val="left" w:leader="none"/>
        </w:tabs>
        <w:spacing w:line="240" w:lineRule="auto" w:before="0" w:after="0"/>
        <w:ind w:left="1617" w:right="0" w:hanging="370"/>
        <w:jc w:val="left"/>
      </w:pPr>
      <w:bookmarkStart w:name="_bookmark57" w:id="105"/>
      <w:bookmarkEnd w:id="105"/>
      <w:r>
        <w:rPr>
          <w:b w:val="0"/>
        </w:rPr>
      </w:r>
      <w:bookmarkStart w:name="_bookmark57" w:id="106"/>
      <w:bookmarkEnd w:id="106"/>
      <w:r>
        <w:rPr/>
        <w:t>T</w:t>
      </w:r>
      <w:r>
        <w:rPr/>
        <w:t>anımlayıcı Bulgular</w:t>
      </w:r>
    </w:p>
    <w:p>
      <w:pPr>
        <w:pStyle w:val="BodyText"/>
        <w:rPr>
          <w:b/>
          <w:sz w:val="24"/>
        </w:rPr>
      </w:pPr>
    </w:p>
    <w:p>
      <w:pPr>
        <w:pStyle w:val="BodyText"/>
        <w:spacing w:before="2"/>
        <w:rPr>
          <w:b/>
          <w:sz w:val="20"/>
        </w:rPr>
      </w:pPr>
    </w:p>
    <w:p>
      <w:pPr>
        <w:pStyle w:val="BodyText"/>
        <w:spacing w:line="360" w:lineRule="auto"/>
        <w:ind w:left="1248" w:right="668" w:firstLine="708"/>
        <w:jc w:val="both"/>
      </w:pPr>
      <w:r>
        <w:rPr/>
        <w:t>Pamukkale Üniversitesi, Eğitim ve Araştırma Hastanesi, Nöroloji ABD yataklı servisi ve Beyin Cerrahi ABD yataklı servisinde ve bu servislerin yoğun bakımlarında yatarak tedavi olan, nörolojik bir hastalık tanısı konulmuş, mobilizasyonunu kendi kendine yapamayan, dekübit ülseri gözlenmeyen, en az üç gündür hastanede yatarak tedavi gören, çalışmaya katılmayı kabul eden, dahil edilme ve hariç tutulma kriterlerine uyan 59 (%42.1) kadın ve 81 (%57.9) erkek birey olmak üzere toplam 140 nörolojik tanılı birey çalışmaya alınmıştır.</w:t>
      </w:r>
    </w:p>
    <w:p>
      <w:pPr>
        <w:pStyle w:val="BodyText"/>
        <w:spacing w:line="360" w:lineRule="auto" w:before="162"/>
        <w:ind w:left="1248" w:right="669" w:firstLine="708"/>
        <w:jc w:val="both"/>
      </w:pPr>
      <w:r>
        <w:rPr/>
        <w:t>Çalışmaya alınan bireylerin yaş ortalaması 51.25±11.81 yıl; vücut kitle indeksi (VKİ) ortalama değeri 26.09±9.47 kg/m</w:t>
      </w:r>
      <w:r>
        <w:rPr>
          <w:vertAlign w:val="superscript"/>
        </w:rPr>
        <w:t>2</w:t>
      </w:r>
      <w:r>
        <w:rPr>
          <w:vertAlign w:val="baseline"/>
        </w:rPr>
        <w:t> olarak bulunmuştur. Çalışmaya alınan tüm bireylerin demografik verileri Tablo 4.1.1’de gösterilmiştir.</w:t>
      </w:r>
    </w:p>
    <w:p>
      <w:pPr>
        <w:pStyle w:val="BodyText"/>
        <w:rPr>
          <w:sz w:val="24"/>
        </w:rPr>
      </w:pPr>
    </w:p>
    <w:p>
      <w:pPr>
        <w:pStyle w:val="BodyText"/>
        <w:spacing w:before="9"/>
        <w:rPr>
          <w:sz w:val="19"/>
        </w:rPr>
      </w:pPr>
    </w:p>
    <w:p>
      <w:pPr>
        <w:spacing w:before="0"/>
        <w:ind w:left="1248" w:right="0" w:firstLine="0"/>
        <w:jc w:val="left"/>
        <w:rPr>
          <w:sz w:val="22"/>
        </w:rPr>
      </w:pPr>
      <w:bookmarkStart w:name="_bookmark58" w:id="107"/>
      <w:bookmarkEnd w:id="107"/>
      <w:r>
        <w:rPr/>
      </w:r>
      <w:r>
        <w:rPr>
          <w:b/>
          <w:sz w:val="22"/>
        </w:rPr>
        <w:t>Tablo 4.1.1 </w:t>
      </w:r>
      <w:r>
        <w:rPr>
          <w:sz w:val="22"/>
        </w:rPr>
        <w:t>Bireylerin demografik verileri</w:t>
      </w:r>
    </w:p>
    <w:p>
      <w:pPr>
        <w:pStyle w:val="BodyText"/>
        <w:spacing w:before="3" w:after="1"/>
        <w:rPr>
          <w:sz w:val="24"/>
        </w:rPr>
      </w:pPr>
    </w:p>
    <w:tbl>
      <w:tblPr>
        <w:tblW w:w="0" w:type="auto"/>
        <w:jc w:val="left"/>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22"/>
        <w:gridCol w:w="2440"/>
      </w:tblGrid>
      <w:tr>
        <w:trPr>
          <w:trHeight w:val="454" w:hRule="atLeast"/>
        </w:trPr>
        <w:tc>
          <w:tcPr>
            <w:tcW w:w="3522" w:type="dxa"/>
            <w:tcBorders>
              <w:top w:val="single" w:sz="12" w:space="0" w:color="000000"/>
              <w:bottom w:val="single" w:sz="12" w:space="0" w:color="000000"/>
            </w:tcBorders>
          </w:tcPr>
          <w:p>
            <w:pPr>
              <w:pStyle w:val="TableParagraph"/>
              <w:spacing w:line="250" w:lineRule="exact"/>
              <w:ind w:left="115"/>
              <w:rPr>
                <w:b/>
                <w:sz w:val="22"/>
              </w:rPr>
            </w:pPr>
            <w:r>
              <w:rPr>
                <w:b/>
                <w:sz w:val="22"/>
              </w:rPr>
              <w:t>Değişkenler</w:t>
            </w:r>
          </w:p>
        </w:tc>
        <w:tc>
          <w:tcPr>
            <w:tcW w:w="2440" w:type="dxa"/>
            <w:tcBorders>
              <w:top w:val="single" w:sz="12" w:space="0" w:color="000000"/>
              <w:bottom w:val="single" w:sz="12" w:space="0" w:color="000000"/>
            </w:tcBorders>
          </w:tcPr>
          <w:p>
            <w:pPr>
              <w:pStyle w:val="TableParagraph"/>
              <w:spacing w:line="250" w:lineRule="exact"/>
              <w:ind w:left="795" w:right="1044"/>
              <w:jc w:val="center"/>
              <w:rPr>
                <w:b/>
                <w:sz w:val="22"/>
              </w:rPr>
            </w:pPr>
            <w:r>
              <w:rPr>
                <w:b/>
                <w:sz w:val="22"/>
              </w:rPr>
              <w:t>X±SS</w:t>
            </w:r>
          </w:p>
        </w:tc>
      </w:tr>
      <w:tr>
        <w:trPr>
          <w:trHeight w:val="396" w:hRule="atLeast"/>
        </w:trPr>
        <w:tc>
          <w:tcPr>
            <w:tcW w:w="3522" w:type="dxa"/>
            <w:tcBorders>
              <w:top w:val="single" w:sz="12" w:space="0" w:color="000000"/>
            </w:tcBorders>
          </w:tcPr>
          <w:p>
            <w:pPr>
              <w:pStyle w:val="TableParagraph"/>
              <w:spacing w:before="66"/>
              <w:ind w:left="115"/>
              <w:rPr>
                <w:b/>
                <w:sz w:val="22"/>
              </w:rPr>
            </w:pPr>
            <w:r>
              <w:rPr>
                <w:b/>
                <w:sz w:val="22"/>
              </w:rPr>
              <w:t>Yaş(yıl)</w:t>
            </w:r>
          </w:p>
        </w:tc>
        <w:tc>
          <w:tcPr>
            <w:tcW w:w="2440" w:type="dxa"/>
            <w:tcBorders>
              <w:top w:val="single" w:sz="12" w:space="0" w:color="000000"/>
            </w:tcBorders>
          </w:tcPr>
          <w:p>
            <w:pPr>
              <w:pStyle w:val="TableParagraph"/>
              <w:spacing w:before="69"/>
              <w:ind w:left="484"/>
              <w:rPr>
                <w:sz w:val="22"/>
              </w:rPr>
            </w:pPr>
            <w:r>
              <w:rPr>
                <w:sz w:val="22"/>
              </w:rPr>
              <w:t>51.25±11.81</w:t>
            </w:r>
          </w:p>
        </w:tc>
      </w:tr>
      <w:tr>
        <w:trPr>
          <w:trHeight w:val="397" w:hRule="atLeast"/>
        </w:trPr>
        <w:tc>
          <w:tcPr>
            <w:tcW w:w="3522" w:type="dxa"/>
          </w:tcPr>
          <w:p>
            <w:pPr>
              <w:pStyle w:val="TableParagraph"/>
              <w:spacing w:before="68"/>
              <w:ind w:left="115"/>
              <w:rPr>
                <w:b/>
                <w:sz w:val="22"/>
              </w:rPr>
            </w:pPr>
            <w:r>
              <w:rPr>
                <w:b/>
                <w:sz w:val="22"/>
              </w:rPr>
              <w:t>Vücut ağırlığı(kg)</w:t>
            </w:r>
          </w:p>
        </w:tc>
        <w:tc>
          <w:tcPr>
            <w:tcW w:w="2440" w:type="dxa"/>
          </w:tcPr>
          <w:p>
            <w:pPr>
              <w:pStyle w:val="TableParagraph"/>
              <w:spacing w:before="70"/>
              <w:ind w:left="422"/>
              <w:rPr>
                <w:sz w:val="22"/>
              </w:rPr>
            </w:pPr>
            <w:r>
              <w:rPr>
                <w:sz w:val="22"/>
              </w:rPr>
              <w:t>72.28±911.82</w:t>
            </w:r>
          </w:p>
        </w:tc>
      </w:tr>
      <w:tr>
        <w:trPr>
          <w:trHeight w:val="383" w:hRule="atLeast"/>
        </w:trPr>
        <w:tc>
          <w:tcPr>
            <w:tcW w:w="3522" w:type="dxa"/>
          </w:tcPr>
          <w:p>
            <w:pPr>
              <w:pStyle w:val="TableParagraph"/>
              <w:spacing w:before="67"/>
              <w:ind w:left="115"/>
              <w:rPr>
                <w:b/>
                <w:sz w:val="22"/>
              </w:rPr>
            </w:pPr>
            <w:r>
              <w:rPr>
                <w:b/>
                <w:sz w:val="22"/>
              </w:rPr>
              <w:t>Boy uzunluğu(cm)</w:t>
            </w:r>
          </w:p>
        </w:tc>
        <w:tc>
          <w:tcPr>
            <w:tcW w:w="2440" w:type="dxa"/>
          </w:tcPr>
          <w:p>
            <w:pPr>
              <w:pStyle w:val="TableParagraph"/>
              <w:spacing w:before="69"/>
              <w:ind w:left="484"/>
              <w:rPr>
                <w:sz w:val="22"/>
              </w:rPr>
            </w:pPr>
            <w:r>
              <w:rPr>
                <w:sz w:val="22"/>
              </w:rPr>
              <w:t>166.58±7.79</w:t>
            </w:r>
          </w:p>
        </w:tc>
      </w:tr>
      <w:tr>
        <w:trPr>
          <w:trHeight w:val="410" w:hRule="atLeast"/>
        </w:trPr>
        <w:tc>
          <w:tcPr>
            <w:tcW w:w="3522" w:type="dxa"/>
            <w:tcBorders>
              <w:bottom w:val="single" w:sz="4" w:space="0" w:color="000000"/>
            </w:tcBorders>
          </w:tcPr>
          <w:p>
            <w:pPr>
              <w:pStyle w:val="TableParagraph"/>
              <w:spacing w:before="81"/>
              <w:ind w:left="115"/>
              <w:rPr>
                <w:b/>
                <w:sz w:val="22"/>
              </w:rPr>
            </w:pPr>
            <w:r>
              <w:rPr>
                <w:b/>
                <w:sz w:val="22"/>
              </w:rPr>
              <w:t>VKİ (kg/m</w:t>
            </w:r>
            <w:r>
              <w:rPr>
                <w:b/>
                <w:sz w:val="22"/>
                <w:vertAlign w:val="superscript"/>
              </w:rPr>
              <w:t>2</w:t>
            </w:r>
            <w:r>
              <w:rPr>
                <w:b/>
                <w:sz w:val="22"/>
                <w:vertAlign w:val="baseline"/>
              </w:rPr>
              <w:t>)</w:t>
            </w:r>
          </w:p>
        </w:tc>
        <w:tc>
          <w:tcPr>
            <w:tcW w:w="2440" w:type="dxa"/>
            <w:tcBorders>
              <w:bottom w:val="single" w:sz="4" w:space="0" w:color="000000"/>
            </w:tcBorders>
          </w:tcPr>
          <w:p>
            <w:pPr>
              <w:pStyle w:val="TableParagraph"/>
              <w:spacing w:before="84"/>
              <w:ind w:left="544"/>
              <w:rPr>
                <w:sz w:val="22"/>
              </w:rPr>
            </w:pPr>
            <w:r>
              <w:rPr>
                <w:sz w:val="22"/>
              </w:rPr>
              <w:t>26.09±9.47</w:t>
            </w:r>
          </w:p>
        </w:tc>
      </w:tr>
      <w:tr>
        <w:trPr>
          <w:trHeight w:val="398" w:hRule="atLeast"/>
        </w:trPr>
        <w:tc>
          <w:tcPr>
            <w:tcW w:w="3522" w:type="dxa"/>
            <w:tcBorders>
              <w:top w:val="single" w:sz="4" w:space="0" w:color="000000"/>
              <w:bottom w:val="single" w:sz="12" w:space="0" w:color="000000"/>
            </w:tcBorders>
          </w:tcPr>
          <w:p>
            <w:pPr>
              <w:pStyle w:val="TableParagraph"/>
              <w:spacing w:before="67"/>
              <w:ind w:left="115"/>
              <w:rPr>
                <w:b/>
                <w:sz w:val="22"/>
              </w:rPr>
            </w:pPr>
            <w:r>
              <w:rPr>
                <w:b/>
                <w:sz w:val="22"/>
              </w:rPr>
              <w:t>Hastanede kalış süresi (gün)</w:t>
            </w:r>
          </w:p>
        </w:tc>
        <w:tc>
          <w:tcPr>
            <w:tcW w:w="2440" w:type="dxa"/>
            <w:tcBorders>
              <w:top w:val="single" w:sz="4" w:space="0" w:color="000000"/>
              <w:bottom w:val="single" w:sz="12" w:space="0" w:color="000000"/>
            </w:tcBorders>
          </w:tcPr>
          <w:p>
            <w:pPr>
              <w:pStyle w:val="TableParagraph"/>
              <w:spacing w:before="69"/>
              <w:ind w:left="544"/>
              <w:rPr>
                <w:sz w:val="22"/>
              </w:rPr>
            </w:pPr>
            <w:r>
              <w:rPr>
                <w:sz w:val="22"/>
              </w:rPr>
              <w:t>13.27±9.47</w:t>
            </w:r>
          </w:p>
        </w:tc>
      </w:tr>
    </w:tbl>
    <w:p>
      <w:pPr>
        <w:pStyle w:val="BodyText"/>
        <w:rPr>
          <w:sz w:val="24"/>
        </w:rPr>
      </w:pPr>
    </w:p>
    <w:p>
      <w:pPr>
        <w:pStyle w:val="BodyText"/>
        <w:rPr>
          <w:sz w:val="24"/>
        </w:rPr>
      </w:pPr>
    </w:p>
    <w:p>
      <w:pPr>
        <w:pStyle w:val="BodyText"/>
        <w:spacing w:line="360" w:lineRule="auto" w:before="204"/>
        <w:ind w:left="1248" w:right="670" w:firstLine="708"/>
        <w:jc w:val="both"/>
      </w:pPr>
      <w:r>
        <w:rPr/>
        <w:t>Çalışmaya alınan bireylerin hastanede kalış süresi ortalaması 13.27±9.47 gündür. Tedavi görmek için yattıkları servislerin dağılımı incelendiğinde; 35 (%25) bireyin beyin cerrahi servisinde, 92 (%65.7) bireyin beyin cerrahi yoğun bakım ünitesinde ve 13 (%9.3) bireyin de nöroloji servisinde yattığı tespit edilmiştir (Şekil 4.1.1).</w:t>
      </w:r>
    </w:p>
    <w:p>
      <w:pPr>
        <w:spacing w:after="0" w:line="360" w:lineRule="auto"/>
        <w:jc w:val="both"/>
        <w:sectPr>
          <w:pgSz w:w="11910" w:h="16840"/>
          <w:pgMar w:header="749" w:footer="0" w:top="960" w:bottom="280" w:left="1020" w:right="460"/>
        </w:sectPr>
      </w:pPr>
    </w:p>
    <w:p>
      <w:pPr>
        <w:pStyle w:val="BodyText"/>
        <w:rPr>
          <w:sz w:val="20"/>
        </w:rPr>
      </w:pPr>
    </w:p>
    <w:p>
      <w:pPr>
        <w:pStyle w:val="BodyText"/>
        <w:spacing w:before="2"/>
        <w:rPr>
          <w:sz w:val="19"/>
        </w:rPr>
      </w:pPr>
    </w:p>
    <w:p>
      <w:pPr>
        <w:pStyle w:val="BodyText"/>
        <w:ind w:left="1135"/>
        <w:rPr>
          <w:sz w:val="20"/>
        </w:rPr>
      </w:pPr>
      <w:r>
        <w:rPr>
          <w:sz w:val="20"/>
        </w:rPr>
        <w:pict>
          <v:group style="width:332pt;height:207.2pt;mso-position-horizontal-relative:char;mso-position-vertical-relative:line" coordorigin="0,0" coordsize="6640,4144">
            <v:line style="position:absolute" from="10,5" to="6630,5" stroked="true" strokeweight=".48pt" strokecolor="#000000">
              <v:stroke dashstyle="solid"/>
            </v:line>
            <v:line style="position:absolute" from="5,0" to="5,4134" stroked="true" strokeweight=".48pt" strokecolor="#000000">
              <v:stroke dashstyle="solid"/>
            </v:line>
            <v:rect style="position:absolute;left:0;top:4133;width:10;height:10" filled="true" fillcolor="#000000" stroked="false">
              <v:fill type="solid"/>
            </v:rect>
            <v:rect style="position:absolute;left:0;top:4133;width:10;height:10" filled="true" fillcolor="#000000" stroked="false">
              <v:fill type="solid"/>
            </v:rect>
            <v:line style="position:absolute" from="10,4139" to="6630,4139" stroked="true" strokeweight=".47998pt" strokecolor="#000000">
              <v:stroke dashstyle="solid"/>
            </v:line>
            <v:line style="position:absolute" from="6635,0" to="6635,4134" stroked="true" strokeweight=".48001pt" strokecolor="#000000">
              <v:stroke dashstyle="solid"/>
            </v:line>
            <v:rect style="position:absolute;left:6630;top:4133;width:10;height:10" filled="true" fillcolor="#000000" stroked="false">
              <v:fill type="solid"/>
            </v:rect>
            <v:rect style="position:absolute;left:6630;top:4133;width:10;height:10" filled="true" fillcolor="#000000" stroked="false">
              <v:fill type="solid"/>
            </v:rect>
          </v:group>
        </w:pict>
      </w:r>
      <w:r>
        <w:rPr>
          <w:sz w:val="20"/>
        </w:rPr>
      </w:r>
    </w:p>
    <w:p>
      <w:pPr>
        <w:pStyle w:val="BodyText"/>
        <w:spacing w:line="216" w:lineRule="exact"/>
        <w:ind w:left="1248"/>
      </w:pPr>
      <w:r>
        <w:rPr/>
        <w:drawing>
          <wp:anchor distT="0" distB="0" distL="0" distR="0" allowOverlap="1" layoutInCell="1" locked="0" behindDoc="1" simplePos="0" relativeHeight="247757824">
            <wp:simplePos x="0" y="0"/>
            <wp:positionH relativeFrom="page">
              <wp:posOffset>2360737</wp:posOffset>
            </wp:positionH>
            <wp:positionV relativeFrom="paragraph">
              <wp:posOffset>-2348020</wp:posOffset>
            </wp:positionV>
            <wp:extent cx="1945046" cy="1938527"/>
            <wp:effectExtent l="0" t="0" r="0" b="0"/>
            <wp:wrapNone/>
            <wp:docPr id="19" name="image10.png"/>
            <wp:cNvGraphicFramePr>
              <a:graphicFrameLocks noChangeAspect="1"/>
            </wp:cNvGraphicFramePr>
            <a:graphic>
              <a:graphicData uri="http://schemas.openxmlformats.org/drawingml/2006/picture">
                <pic:pic>
                  <pic:nvPicPr>
                    <pic:cNvPr id="20" name="image10.png"/>
                    <pic:cNvPicPr/>
                  </pic:nvPicPr>
                  <pic:blipFill>
                    <a:blip r:embed="rId17" cstate="print"/>
                    <a:stretch>
                      <a:fillRect/>
                    </a:stretch>
                  </pic:blipFill>
                  <pic:spPr>
                    <a:xfrm>
                      <a:off x="0" y="0"/>
                      <a:ext cx="1945046" cy="1938527"/>
                    </a:xfrm>
                    <a:prstGeom prst="rect">
                      <a:avLst/>
                    </a:prstGeom>
                  </pic:spPr>
                </pic:pic>
              </a:graphicData>
            </a:graphic>
          </wp:anchor>
        </w:drawing>
      </w:r>
      <w:bookmarkStart w:name="_bookmark59" w:id="108"/>
      <w:bookmarkEnd w:id="108"/>
      <w:r>
        <w:rPr/>
      </w:r>
      <w:r>
        <w:rPr>
          <w:b/>
        </w:rPr>
        <w:t>Şekil 4.1.1 </w:t>
      </w:r>
      <w:r>
        <w:rPr/>
        <w:t>Bireylerin tedavi gördükleri servislerin dağılımı</w:t>
      </w:r>
    </w:p>
    <w:p>
      <w:pPr>
        <w:pStyle w:val="BodyText"/>
        <w:rPr>
          <w:sz w:val="24"/>
        </w:rPr>
      </w:pPr>
    </w:p>
    <w:p>
      <w:pPr>
        <w:pStyle w:val="BodyText"/>
        <w:spacing w:line="360" w:lineRule="auto" w:before="184"/>
        <w:ind w:left="1248" w:right="670" w:firstLine="708"/>
        <w:jc w:val="both"/>
      </w:pPr>
      <w:r>
        <w:rPr/>
        <w:t>Bireylerin hastalık tanılarına göre dağılımları incelendiğinde; en fazla  30 (%21.4) birey ile İntra kranial kitle olduğu, servikal ve lumbal disk patolojilerinin 20 (%14.3) olduğu, anevrizma 15 (%10.7), hemipleji 14 (%10), spinal kitle 14 (%10) oranında olduğu tespit edilmiştir. Bireylerin hastalık tanılarına göre dağılımları Tablo 4.1.2’de</w:t>
      </w:r>
      <w:r>
        <w:rPr>
          <w:spacing w:val="-3"/>
        </w:rPr>
        <w:t> </w:t>
      </w:r>
      <w:r>
        <w:rPr/>
        <w:t>gösterilmiştir.</w:t>
      </w:r>
    </w:p>
    <w:p>
      <w:pPr>
        <w:pStyle w:val="BodyText"/>
        <w:rPr>
          <w:sz w:val="24"/>
        </w:rPr>
      </w:pPr>
    </w:p>
    <w:p>
      <w:pPr>
        <w:pStyle w:val="BodyText"/>
        <w:spacing w:before="2"/>
        <w:rPr>
          <w:sz w:val="27"/>
        </w:rPr>
      </w:pPr>
    </w:p>
    <w:p>
      <w:pPr>
        <w:spacing w:before="1"/>
        <w:ind w:left="1248" w:right="0" w:firstLine="0"/>
        <w:jc w:val="left"/>
        <w:rPr>
          <w:sz w:val="22"/>
        </w:rPr>
      </w:pPr>
      <w:bookmarkStart w:name="_bookmark60" w:id="109"/>
      <w:bookmarkEnd w:id="109"/>
      <w:r>
        <w:rPr/>
      </w:r>
      <w:r>
        <w:rPr>
          <w:b/>
          <w:sz w:val="22"/>
        </w:rPr>
        <w:t>Tablo 4.1.2 </w:t>
      </w:r>
      <w:r>
        <w:rPr>
          <w:sz w:val="22"/>
        </w:rPr>
        <w:t>Bireylerin hastalık tanılarına göre dağılımları</w:t>
      </w:r>
    </w:p>
    <w:p>
      <w:pPr>
        <w:pStyle w:val="BodyText"/>
        <w:spacing w:before="5"/>
      </w:pPr>
    </w:p>
    <w:tbl>
      <w:tblPr>
        <w:tblW w:w="0" w:type="auto"/>
        <w:jc w:val="left"/>
        <w:tblInd w:w="12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07"/>
        <w:gridCol w:w="1215"/>
        <w:gridCol w:w="1164"/>
      </w:tblGrid>
      <w:tr>
        <w:trPr>
          <w:trHeight w:val="560" w:hRule="atLeast"/>
        </w:trPr>
        <w:tc>
          <w:tcPr>
            <w:tcW w:w="3907" w:type="dxa"/>
            <w:tcBorders>
              <w:top w:val="single" w:sz="12" w:space="0" w:color="000000"/>
              <w:bottom w:val="single" w:sz="12" w:space="0" w:color="000000"/>
            </w:tcBorders>
          </w:tcPr>
          <w:p>
            <w:pPr>
              <w:pStyle w:val="TableParagraph"/>
              <w:spacing w:before="122"/>
              <w:ind w:left="76"/>
              <w:rPr>
                <w:b/>
                <w:sz w:val="22"/>
              </w:rPr>
            </w:pPr>
            <w:r>
              <w:rPr>
                <w:b/>
                <w:sz w:val="22"/>
              </w:rPr>
              <w:t>Hastalık Tanıları</w:t>
            </w:r>
          </w:p>
        </w:tc>
        <w:tc>
          <w:tcPr>
            <w:tcW w:w="1215" w:type="dxa"/>
            <w:tcBorders>
              <w:top w:val="single" w:sz="12" w:space="0" w:color="000000"/>
              <w:bottom w:val="single" w:sz="12" w:space="0" w:color="000000"/>
            </w:tcBorders>
          </w:tcPr>
          <w:p>
            <w:pPr>
              <w:pStyle w:val="TableParagraph"/>
              <w:spacing w:before="122"/>
              <w:ind w:left="227"/>
              <w:jc w:val="center"/>
              <w:rPr>
                <w:b/>
                <w:sz w:val="22"/>
              </w:rPr>
            </w:pPr>
            <w:r>
              <w:rPr>
                <w:b/>
                <w:w w:val="100"/>
                <w:sz w:val="22"/>
              </w:rPr>
              <w:t>n</w:t>
            </w:r>
          </w:p>
        </w:tc>
        <w:tc>
          <w:tcPr>
            <w:tcW w:w="1164" w:type="dxa"/>
            <w:tcBorders>
              <w:top w:val="single" w:sz="12" w:space="0" w:color="000000"/>
              <w:bottom w:val="single" w:sz="12" w:space="0" w:color="000000"/>
            </w:tcBorders>
          </w:tcPr>
          <w:p>
            <w:pPr>
              <w:pStyle w:val="TableParagraph"/>
              <w:spacing w:before="122"/>
              <w:jc w:val="center"/>
              <w:rPr>
                <w:b/>
                <w:sz w:val="22"/>
              </w:rPr>
            </w:pPr>
            <w:r>
              <w:rPr>
                <w:b/>
                <w:w w:val="100"/>
                <w:sz w:val="22"/>
              </w:rPr>
              <w:t>%</w:t>
            </w:r>
          </w:p>
        </w:tc>
      </w:tr>
      <w:tr>
        <w:trPr>
          <w:trHeight w:val="430" w:hRule="atLeast"/>
        </w:trPr>
        <w:tc>
          <w:tcPr>
            <w:tcW w:w="3907" w:type="dxa"/>
            <w:tcBorders>
              <w:top w:val="single" w:sz="12" w:space="0" w:color="000000"/>
              <w:bottom w:val="single" w:sz="8" w:space="0" w:color="000000"/>
            </w:tcBorders>
          </w:tcPr>
          <w:p>
            <w:pPr>
              <w:pStyle w:val="TableParagraph"/>
              <w:spacing w:line="250" w:lineRule="exact"/>
              <w:ind w:left="76"/>
              <w:rPr>
                <w:sz w:val="22"/>
              </w:rPr>
            </w:pPr>
            <w:r>
              <w:rPr>
                <w:sz w:val="22"/>
              </w:rPr>
              <w:t>İntra kranial kitle</w:t>
            </w:r>
          </w:p>
        </w:tc>
        <w:tc>
          <w:tcPr>
            <w:tcW w:w="1215" w:type="dxa"/>
            <w:tcBorders>
              <w:top w:val="single" w:sz="12" w:space="0" w:color="000000"/>
              <w:bottom w:val="single" w:sz="8" w:space="0" w:color="000000"/>
            </w:tcBorders>
          </w:tcPr>
          <w:p>
            <w:pPr>
              <w:pStyle w:val="TableParagraph"/>
              <w:spacing w:line="250" w:lineRule="exact"/>
              <w:ind w:left="598"/>
              <w:rPr>
                <w:sz w:val="22"/>
              </w:rPr>
            </w:pPr>
            <w:r>
              <w:rPr>
                <w:sz w:val="22"/>
              </w:rPr>
              <w:t>30</w:t>
            </w:r>
          </w:p>
        </w:tc>
        <w:tc>
          <w:tcPr>
            <w:tcW w:w="1164" w:type="dxa"/>
            <w:tcBorders>
              <w:top w:val="single" w:sz="12" w:space="0" w:color="000000"/>
              <w:bottom w:val="single" w:sz="8" w:space="0" w:color="000000"/>
            </w:tcBorders>
          </w:tcPr>
          <w:p>
            <w:pPr>
              <w:pStyle w:val="TableParagraph"/>
              <w:spacing w:line="250" w:lineRule="exact"/>
              <w:ind w:right="363"/>
              <w:jc w:val="right"/>
              <w:rPr>
                <w:sz w:val="22"/>
              </w:rPr>
            </w:pPr>
            <w:r>
              <w:rPr>
                <w:sz w:val="22"/>
              </w:rPr>
              <w:t>21.4</w:t>
            </w:r>
          </w:p>
        </w:tc>
      </w:tr>
      <w:tr>
        <w:trPr>
          <w:trHeight w:val="433" w:hRule="atLeast"/>
        </w:trPr>
        <w:tc>
          <w:tcPr>
            <w:tcW w:w="3907" w:type="dxa"/>
            <w:tcBorders>
              <w:top w:val="single" w:sz="8" w:space="0" w:color="000000"/>
              <w:bottom w:val="single" w:sz="8" w:space="0" w:color="000000"/>
            </w:tcBorders>
          </w:tcPr>
          <w:p>
            <w:pPr>
              <w:pStyle w:val="TableParagraph"/>
              <w:spacing w:line="253" w:lineRule="exact"/>
              <w:ind w:left="76"/>
              <w:rPr>
                <w:sz w:val="22"/>
              </w:rPr>
            </w:pPr>
            <w:r>
              <w:rPr>
                <w:sz w:val="22"/>
              </w:rPr>
              <w:t>Servikal ve lumbal disk patolojileri</w:t>
            </w:r>
          </w:p>
        </w:tc>
        <w:tc>
          <w:tcPr>
            <w:tcW w:w="1215" w:type="dxa"/>
            <w:tcBorders>
              <w:top w:val="single" w:sz="8" w:space="0" w:color="000000"/>
              <w:bottom w:val="single" w:sz="8" w:space="0" w:color="000000"/>
            </w:tcBorders>
          </w:tcPr>
          <w:p>
            <w:pPr>
              <w:pStyle w:val="TableParagraph"/>
              <w:spacing w:line="253" w:lineRule="exact"/>
              <w:ind w:left="598"/>
              <w:rPr>
                <w:sz w:val="22"/>
              </w:rPr>
            </w:pPr>
            <w:r>
              <w:rPr>
                <w:sz w:val="22"/>
              </w:rPr>
              <w:t>20</w:t>
            </w:r>
          </w:p>
        </w:tc>
        <w:tc>
          <w:tcPr>
            <w:tcW w:w="1164" w:type="dxa"/>
            <w:tcBorders>
              <w:top w:val="single" w:sz="8" w:space="0" w:color="000000"/>
              <w:bottom w:val="single" w:sz="8" w:space="0" w:color="000000"/>
            </w:tcBorders>
          </w:tcPr>
          <w:p>
            <w:pPr>
              <w:pStyle w:val="TableParagraph"/>
              <w:spacing w:line="253" w:lineRule="exact"/>
              <w:ind w:right="363"/>
              <w:jc w:val="right"/>
              <w:rPr>
                <w:sz w:val="22"/>
              </w:rPr>
            </w:pPr>
            <w:r>
              <w:rPr>
                <w:sz w:val="22"/>
              </w:rPr>
              <w:t>14.3</w:t>
            </w:r>
          </w:p>
        </w:tc>
      </w:tr>
      <w:tr>
        <w:trPr>
          <w:trHeight w:val="433" w:hRule="atLeast"/>
        </w:trPr>
        <w:tc>
          <w:tcPr>
            <w:tcW w:w="3907" w:type="dxa"/>
            <w:tcBorders>
              <w:top w:val="single" w:sz="8" w:space="0" w:color="000000"/>
              <w:bottom w:val="single" w:sz="8" w:space="0" w:color="000000"/>
            </w:tcBorders>
          </w:tcPr>
          <w:p>
            <w:pPr>
              <w:pStyle w:val="TableParagraph"/>
              <w:spacing w:line="253" w:lineRule="exact"/>
              <w:ind w:left="76"/>
              <w:rPr>
                <w:sz w:val="22"/>
              </w:rPr>
            </w:pPr>
            <w:r>
              <w:rPr>
                <w:sz w:val="22"/>
              </w:rPr>
              <w:t>Anevrizma</w:t>
            </w:r>
          </w:p>
        </w:tc>
        <w:tc>
          <w:tcPr>
            <w:tcW w:w="1215" w:type="dxa"/>
            <w:tcBorders>
              <w:top w:val="single" w:sz="8" w:space="0" w:color="000000"/>
              <w:bottom w:val="single" w:sz="8" w:space="0" w:color="000000"/>
            </w:tcBorders>
          </w:tcPr>
          <w:p>
            <w:pPr>
              <w:pStyle w:val="TableParagraph"/>
              <w:spacing w:line="253" w:lineRule="exact"/>
              <w:ind w:left="598"/>
              <w:rPr>
                <w:sz w:val="22"/>
              </w:rPr>
            </w:pPr>
            <w:r>
              <w:rPr>
                <w:sz w:val="22"/>
              </w:rPr>
              <w:t>15</w:t>
            </w:r>
          </w:p>
        </w:tc>
        <w:tc>
          <w:tcPr>
            <w:tcW w:w="1164" w:type="dxa"/>
            <w:tcBorders>
              <w:top w:val="single" w:sz="8" w:space="0" w:color="000000"/>
              <w:bottom w:val="single" w:sz="8" w:space="0" w:color="000000"/>
            </w:tcBorders>
          </w:tcPr>
          <w:p>
            <w:pPr>
              <w:pStyle w:val="TableParagraph"/>
              <w:spacing w:line="253" w:lineRule="exact"/>
              <w:ind w:right="363"/>
              <w:jc w:val="right"/>
              <w:rPr>
                <w:sz w:val="22"/>
              </w:rPr>
            </w:pPr>
            <w:r>
              <w:rPr>
                <w:sz w:val="22"/>
              </w:rPr>
              <w:t>10.7</w:t>
            </w:r>
          </w:p>
        </w:tc>
      </w:tr>
      <w:tr>
        <w:trPr>
          <w:trHeight w:val="433" w:hRule="atLeast"/>
        </w:trPr>
        <w:tc>
          <w:tcPr>
            <w:tcW w:w="3907" w:type="dxa"/>
            <w:tcBorders>
              <w:top w:val="single" w:sz="8" w:space="0" w:color="000000"/>
              <w:bottom w:val="single" w:sz="8" w:space="0" w:color="000000"/>
            </w:tcBorders>
          </w:tcPr>
          <w:p>
            <w:pPr>
              <w:pStyle w:val="TableParagraph"/>
              <w:spacing w:line="250" w:lineRule="exact"/>
              <w:ind w:left="76"/>
              <w:rPr>
                <w:sz w:val="22"/>
              </w:rPr>
            </w:pPr>
            <w:r>
              <w:rPr>
                <w:sz w:val="22"/>
              </w:rPr>
              <w:t>Hemipleji</w:t>
            </w:r>
          </w:p>
        </w:tc>
        <w:tc>
          <w:tcPr>
            <w:tcW w:w="1215" w:type="dxa"/>
            <w:tcBorders>
              <w:top w:val="single" w:sz="8" w:space="0" w:color="000000"/>
              <w:bottom w:val="single" w:sz="8" w:space="0" w:color="000000"/>
            </w:tcBorders>
          </w:tcPr>
          <w:p>
            <w:pPr>
              <w:pStyle w:val="TableParagraph"/>
              <w:spacing w:line="250" w:lineRule="exact"/>
              <w:ind w:left="598"/>
              <w:rPr>
                <w:sz w:val="22"/>
              </w:rPr>
            </w:pPr>
            <w:r>
              <w:rPr>
                <w:sz w:val="22"/>
              </w:rPr>
              <w:t>14</w:t>
            </w:r>
          </w:p>
        </w:tc>
        <w:tc>
          <w:tcPr>
            <w:tcW w:w="1164" w:type="dxa"/>
            <w:tcBorders>
              <w:top w:val="single" w:sz="8" w:space="0" w:color="000000"/>
              <w:bottom w:val="single" w:sz="8" w:space="0" w:color="000000"/>
            </w:tcBorders>
          </w:tcPr>
          <w:p>
            <w:pPr>
              <w:pStyle w:val="TableParagraph"/>
              <w:spacing w:line="250" w:lineRule="exact"/>
              <w:ind w:right="363"/>
              <w:jc w:val="right"/>
              <w:rPr>
                <w:sz w:val="22"/>
              </w:rPr>
            </w:pPr>
            <w:r>
              <w:rPr>
                <w:sz w:val="22"/>
              </w:rPr>
              <w:t>10.0</w:t>
            </w:r>
          </w:p>
        </w:tc>
      </w:tr>
      <w:tr>
        <w:trPr>
          <w:trHeight w:val="433" w:hRule="atLeast"/>
        </w:trPr>
        <w:tc>
          <w:tcPr>
            <w:tcW w:w="3907" w:type="dxa"/>
            <w:tcBorders>
              <w:top w:val="single" w:sz="8" w:space="0" w:color="000000"/>
              <w:bottom w:val="single" w:sz="8" w:space="0" w:color="000000"/>
            </w:tcBorders>
          </w:tcPr>
          <w:p>
            <w:pPr>
              <w:pStyle w:val="TableParagraph"/>
              <w:spacing w:line="250" w:lineRule="exact"/>
              <w:ind w:left="76"/>
              <w:rPr>
                <w:sz w:val="22"/>
              </w:rPr>
            </w:pPr>
            <w:r>
              <w:rPr>
                <w:sz w:val="22"/>
              </w:rPr>
              <w:t>Spinal kitle</w:t>
            </w:r>
          </w:p>
        </w:tc>
        <w:tc>
          <w:tcPr>
            <w:tcW w:w="1215" w:type="dxa"/>
            <w:tcBorders>
              <w:top w:val="single" w:sz="8" w:space="0" w:color="000000"/>
              <w:bottom w:val="single" w:sz="8" w:space="0" w:color="000000"/>
            </w:tcBorders>
          </w:tcPr>
          <w:p>
            <w:pPr>
              <w:pStyle w:val="TableParagraph"/>
              <w:spacing w:line="250" w:lineRule="exact"/>
              <w:ind w:left="598"/>
              <w:rPr>
                <w:sz w:val="22"/>
              </w:rPr>
            </w:pPr>
            <w:r>
              <w:rPr>
                <w:sz w:val="22"/>
              </w:rPr>
              <w:t>14</w:t>
            </w:r>
          </w:p>
        </w:tc>
        <w:tc>
          <w:tcPr>
            <w:tcW w:w="1164" w:type="dxa"/>
            <w:tcBorders>
              <w:top w:val="single" w:sz="8" w:space="0" w:color="000000"/>
              <w:bottom w:val="single" w:sz="8" w:space="0" w:color="000000"/>
            </w:tcBorders>
          </w:tcPr>
          <w:p>
            <w:pPr>
              <w:pStyle w:val="TableParagraph"/>
              <w:spacing w:line="250" w:lineRule="exact"/>
              <w:ind w:right="363"/>
              <w:jc w:val="right"/>
              <w:rPr>
                <w:sz w:val="22"/>
              </w:rPr>
            </w:pPr>
            <w:r>
              <w:rPr>
                <w:sz w:val="22"/>
              </w:rPr>
              <w:t>10.0</w:t>
            </w:r>
          </w:p>
        </w:tc>
      </w:tr>
      <w:tr>
        <w:trPr>
          <w:trHeight w:val="431" w:hRule="atLeast"/>
        </w:trPr>
        <w:tc>
          <w:tcPr>
            <w:tcW w:w="3907" w:type="dxa"/>
            <w:tcBorders>
              <w:top w:val="single" w:sz="8" w:space="0" w:color="000000"/>
              <w:bottom w:val="single" w:sz="8" w:space="0" w:color="000000"/>
            </w:tcBorders>
          </w:tcPr>
          <w:p>
            <w:pPr>
              <w:pStyle w:val="TableParagraph"/>
              <w:spacing w:line="251" w:lineRule="exact"/>
              <w:ind w:left="76"/>
              <w:rPr>
                <w:sz w:val="22"/>
              </w:rPr>
            </w:pPr>
            <w:r>
              <w:rPr>
                <w:sz w:val="22"/>
              </w:rPr>
              <w:t>Subdural hematom</w:t>
            </w:r>
          </w:p>
        </w:tc>
        <w:tc>
          <w:tcPr>
            <w:tcW w:w="1215" w:type="dxa"/>
            <w:tcBorders>
              <w:top w:val="single" w:sz="8" w:space="0" w:color="000000"/>
              <w:bottom w:val="single" w:sz="8" w:space="0" w:color="000000"/>
            </w:tcBorders>
          </w:tcPr>
          <w:p>
            <w:pPr>
              <w:pStyle w:val="TableParagraph"/>
              <w:spacing w:line="251" w:lineRule="exact"/>
              <w:ind w:left="598"/>
              <w:rPr>
                <w:sz w:val="22"/>
              </w:rPr>
            </w:pPr>
            <w:r>
              <w:rPr>
                <w:sz w:val="22"/>
              </w:rPr>
              <w:t>13</w:t>
            </w:r>
          </w:p>
        </w:tc>
        <w:tc>
          <w:tcPr>
            <w:tcW w:w="1164" w:type="dxa"/>
            <w:tcBorders>
              <w:top w:val="single" w:sz="8" w:space="0" w:color="000000"/>
              <w:bottom w:val="single" w:sz="8" w:space="0" w:color="000000"/>
            </w:tcBorders>
          </w:tcPr>
          <w:p>
            <w:pPr>
              <w:pStyle w:val="TableParagraph"/>
              <w:spacing w:line="251" w:lineRule="exact"/>
              <w:ind w:left="411" w:right="406"/>
              <w:jc w:val="center"/>
              <w:rPr>
                <w:sz w:val="22"/>
              </w:rPr>
            </w:pPr>
            <w:r>
              <w:rPr>
                <w:sz w:val="22"/>
              </w:rPr>
              <w:t>9.3</w:t>
            </w:r>
          </w:p>
        </w:tc>
      </w:tr>
      <w:tr>
        <w:trPr>
          <w:trHeight w:val="433" w:hRule="atLeast"/>
        </w:trPr>
        <w:tc>
          <w:tcPr>
            <w:tcW w:w="3907" w:type="dxa"/>
            <w:tcBorders>
              <w:top w:val="single" w:sz="8" w:space="0" w:color="000000"/>
              <w:bottom w:val="single" w:sz="8" w:space="0" w:color="000000"/>
            </w:tcBorders>
          </w:tcPr>
          <w:p>
            <w:pPr>
              <w:pStyle w:val="TableParagraph"/>
              <w:spacing w:line="253" w:lineRule="exact"/>
              <w:ind w:left="76"/>
              <w:rPr>
                <w:sz w:val="22"/>
              </w:rPr>
            </w:pPr>
            <w:r>
              <w:rPr>
                <w:sz w:val="22"/>
              </w:rPr>
              <w:t>Spinal kord yaralanması</w:t>
            </w:r>
          </w:p>
        </w:tc>
        <w:tc>
          <w:tcPr>
            <w:tcW w:w="1215" w:type="dxa"/>
            <w:tcBorders>
              <w:top w:val="single" w:sz="8" w:space="0" w:color="000000"/>
              <w:bottom w:val="single" w:sz="8" w:space="0" w:color="000000"/>
            </w:tcBorders>
          </w:tcPr>
          <w:p>
            <w:pPr>
              <w:pStyle w:val="TableParagraph"/>
              <w:spacing w:line="253" w:lineRule="exact"/>
              <w:ind w:left="598"/>
              <w:rPr>
                <w:sz w:val="22"/>
              </w:rPr>
            </w:pPr>
            <w:r>
              <w:rPr>
                <w:sz w:val="22"/>
              </w:rPr>
              <w:t>13</w:t>
            </w:r>
          </w:p>
        </w:tc>
        <w:tc>
          <w:tcPr>
            <w:tcW w:w="1164" w:type="dxa"/>
            <w:tcBorders>
              <w:top w:val="single" w:sz="8" w:space="0" w:color="000000"/>
              <w:bottom w:val="single" w:sz="8" w:space="0" w:color="000000"/>
            </w:tcBorders>
          </w:tcPr>
          <w:p>
            <w:pPr>
              <w:pStyle w:val="TableParagraph"/>
              <w:spacing w:line="253" w:lineRule="exact"/>
              <w:ind w:left="411" w:right="406"/>
              <w:jc w:val="center"/>
              <w:rPr>
                <w:sz w:val="22"/>
              </w:rPr>
            </w:pPr>
            <w:r>
              <w:rPr>
                <w:sz w:val="22"/>
              </w:rPr>
              <w:t>9.3</w:t>
            </w:r>
          </w:p>
        </w:tc>
      </w:tr>
      <w:tr>
        <w:trPr>
          <w:trHeight w:val="433" w:hRule="atLeast"/>
        </w:trPr>
        <w:tc>
          <w:tcPr>
            <w:tcW w:w="3907" w:type="dxa"/>
            <w:tcBorders>
              <w:top w:val="single" w:sz="8" w:space="0" w:color="000000"/>
              <w:bottom w:val="single" w:sz="8" w:space="0" w:color="000000"/>
            </w:tcBorders>
          </w:tcPr>
          <w:p>
            <w:pPr>
              <w:pStyle w:val="TableParagraph"/>
              <w:spacing w:line="250" w:lineRule="exact"/>
              <w:ind w:left="76"/>
              <w:rPr>
                <w:sz w:val="22"/>
              </w:rPr>
            </w:pPr>
            <w:r>
              <w:rPr>
                <w:sz w:val="22"/>
              </w:rPr>
              <w:t>Subaraknoid kanama</w:t>
            </w:r>
          </w:p>
        </w:tc>
        <w:tc>
          <w:tcPr>
            <w:tcW w:w="1215" w:type="dxa"/>
            <w:tcBorders>
              <w:top w:val="single" w:sz="8" w:space="0" w:color="000000"/>
              <w:bottom w:val="single" w:sz="8" w:space="0" w:color="000000"/>
            </w:tcBorders>
          </w:tcPr>
          <w:p>
            <w:pPr>
              <w:pStyle w:val="TableParagraph"/>
              <w:spacing w:line="250" w:lineRule="exact"/>
              <w:ind w:left="598"/>
              <w:rPr>
                <w:sz w:val="22"/>
              </w:rPr>
            </w:pPr>
            <w:r>
              <w:rPr>
                <w:sz w:val="22"/>
              </w:rPr>
              <w:t>11</w:t>
            </w:r>
          </w:p>
        </w:tc>
        <w:tc>
          <w:tcPr>
            <w:tcW w:w="1164" w:type="dxa"/>
            <w:tcBorders>
              <w:top w:val="single" w:sz="8" w:space="0" w:color="000000"/>
              <w:bottom w:val="single" w:sz="8" w:space="0" w:color="000000"/>
            </w:tcBorders>
          </w:tcPr>
          <w:p>
            <w:pPr>
              <w:pStyle w:val="TableParagraph"/>
              <w:spacing w:line="250" w:lineRule="exact"/>
              <w:ind w:left="411" w:right="406"/>
              <w:jc w:val="center"/>
              <w:rPr>
                <w:sz w:val="22"/>
              </w:rPr>
            </w:pPr>
            <w:r>
              <w:rPr>
                <w:sz w:val="22"/>
              </w:rPr>
              <w:t>7.9</w:t>
            </w:r>
          </w:p>
        </w:tc>
      </w:tr>
      <w:tr>
        <w:trPr>
          <w:trHeight w:val="433" w:hRule="atLeast"/>
        </w:trPr>
        <w:tc>
          <w:tcPr>
            <w:tcW w:w="3907" w:type="dxa"/>
            <w:tcBorders>
              <w:top w:val="single" w:sz="8" w:space="0" w:color="000000"/>
              <w:bottom w:val="single" w:sz="12" w:space="0" w:color="000000"/>
            </w:tcBorders>
          </w:tcPr>
          <w:p>
            <w:pPr>
              <w:pStyle w:val="TableParagraph"/>
              <w:spacing w:line="250" w:lineRule="exact"/>
              <w:ind w:left="76"/>
              <w:rPr>
                <w:sz w:val="22"/>
              </w:rPr>
            </w:pPr>
            <w:r>
              <w:rPr>
                <w:sz w:val="22"/>
              </w:rPr>
              <w:t>Diğer</w:t>
            </w:r>
          </w:p>
        </w:tc>
        <w:tc>
          <w:tcPr>
            <w:tcW w:w="1215" w:type="dxa"/>
            <w:tcBorders>
              <w:top w:val="single" w:sz="8" w:space="0" w:color="000000"/>
              <w:bottom w:val="single" w:sz="12" w:space="0" w:color="000000"/>
            </w:tcBorders>
          </w:tcPr>
          <w:p>
            <w:pPr>
              <w:pStyle w:val="TableParagraph"/>
              <w:spacing w:line="250" w:lineRule="exact"/>
              <w:ind w:left="230"/>
              <w:jc w:val="center"/>
              <w:rPr>
                <w:sz w:val="22"/>
              </w:rPr>
            </w:pPr>
            <w:r>
              <w:rPr>
                <w:w w:val="100"/>
                <w:sz w:val="22"/>
              </w:rPr>
              <w:t>2</w:t>
            </w:r>
          </w:p>
        </w:tc>
        <w:tc>
          <w:tcPr>
            <w:tcW w:w="1164" w:type="dxa"/>
            <w:tcBorders>
              <w:top w:val="single" w:sz="8" w:space="0" w:color="000000"/>
              <w:bottom w:val="single" w:sz="12" w:space="0" w:color="000000"/>
            </w:tcBorders>
          </w:tcPr>
          <w:p>
            <w:pPr>
              <w:pStyle w:val="TableParagraph"/>
              <w:spacing w:line="250" w:lineRule="exact"/>
              <w:ind w:left="411" w:right="406"/>
              <w:jc w:val="center"/>
              <w:rPr>
                <w:sz w:val="22"/>
              </w:rPr>
            </w:pPr>
            <w:r>
              <w:rPr>
                <w:sz w:val="22"/>
              </w:rPr>
              <w:t>1.4</w:t>
            </w:r>
          </w:p>
        </w:tc>
      </w:tr>
      <w:tr>
        <w:trPr>
          <w:trHeight w:val="433" w:hRule="atLeast"/>
        </w:trPr>
        <w:tc>
          <w:tcPr>
            <w:tcW w:w="3907" w:type="dxa"/>
            <w:tcBorders>
              <w:top w:val="single" w:sz="12" w:space="0" w:color="000000"/>
              <w:bottom w:val="single" w:sz="12" w:space="0" w:color="000000"/>
            </w:tcBorders>
          </w:tcPr>
          <w:p>
            <w:pPr>
              <w:pStyle w:val="TableParagraph"/>
              <w:spacing w:line="248" w:lineRule="exact"/>
              <w:ind w:left="76"/>
              <w:rPr>
                <w:b/>
                <w:sz w:val="22"/>
              </w:rPr>
            </w:pPr>
            <w:r>
              <w:rPr>
                <w:b/>
                <w:sz w:val="22"/>
              </w:rPr>
              <w:t>Total</w:t>
            </w:r>
          </w:p>
        </w:tc>
        <w:tc>
          <w:tcPr>
            <w:tcW w:w="1215" w:type="dxa"/>
            <w:tcBorders>
              <w:top w:val="single" w:sz="12" w:space="0" w:color="000000"/>
              <w:bottom w:val="single" w:sz="12" w:space="0" w:color="000000"/>
            </w:tcBorders>
          </w:tcPr>
          <w:p>
            <w:pPr>
              <w:pStyle w:val="TableParagraph"/>
              <w:spacing w:line="250" w:lineRule="exact"/>
              <w:ind w:left="538"/>
              <w:rPr>
                <w:sz w:val="22"/>
              </w:rPr>
            </w:pPr>
            <w:r>
              <w:rPr>
                <w:sz w:val="22"/>
              </w:rPr>
              <w:t>140</w:t>
            </w:r>
          </w:p>
        </w:tc>
        <w:tc>
          <w:tcPr>
            <w:tcW w:w="1164" w:type="dxa"/>
            <w:tcBorders>
              <w:top w:val="single" w:sz="12" w:space="0" w:color="000000"/>
              <w:bottom w:val="single" w:sz="12" w:space="0" w:color="000000"/>
            </w:tcBorders>
          </w:tcPr>
          <w:p>
            <w:pPr>
              <w:pStyle w:val="TableParagraph"/>
              <w:spacing w:line="250" w:lineRule="exact"/>
              <w:ind w:right="301"/>
              <w:jc w:val="right"/>
              <w:rPr>
                <w:sz w:val="22"/>
              </w:rPr>
            </w:pPr>
            <w:r>
              <w:rPr>
                <w:sz w:val="22"/>
              </w:rPr>
              <w:t>100.0</w:t>
            </w:r>
          </w:p>
        </w:tc>
      </w:tr>
    </w:tbl>
    <w:p>
      <w:pPr>
        <w:spacing w:after="0" w:line="250" w:lineRule="exact"/>
        <w:jc w:val="right"/>
        <w:rPr>
          <w:sz w:val="22"/>
        </w:rPr>
        <w:sectPr>
          <w:pgSz w:w="11910" w:h="16840"/>
          <w:pgMar w:header="749" w:footer="0" w:top="960" w:bottom="280" w:left="1020" w:right="460"/>
        </w:sectPr>
      </w:pPr>
    </w:p>
    <w:p>
      <w:pPr>
        <w:pStyle w:val="BodyText"/>
        <w:rPr>
          <w:sz w:val="20"/>
        </w:rPr>
      </w:pPr>
    </w:p>
    <w:p>
      <w:pPr>
        <w:pStyle w:val="BodyText"/>
        <w:spacing w:before="5"/>
        <w:rPr>
          <w:sz w:val="19"/>
        </w:rPr>
      </w:pPr>
    </w:p>
    <w:p>
      <w:pPr>
        <w:pStyle w:val="BodyText"/>
        <w:spacing w:line="357" w:lineRule="auto"/>
        <w:ind w:left="1248" w:right="727" w:firstLine="708"/>
        <w:jc w:val="both"/>
      </w:pPr>
      <w:r>
        <w:rPr/>
        <w:t>Bireylerde sigara kullanımı incelendiğinde; 88 (62,9) bireyin sigara kullanmadığı ve 51 (36,4) bireyin sigara kullandığı belirlenmiştir.</w:t>
      </w:r>
    </w:p>
    <w:p>
      <w:pPr>
        <w:pStyle w:val="BodyText"/>
        <w:spacing w:line="360" w:lineRule="auto" w:before="166"/>
        <w:ind w:left="1248" w:right="667" w:firstLine="708"/>
        <w:jc w:val="both"/>
      </w:pPr>
      <w:r>
        <w:rPr/>
        <w:t>Bireylerde ek sistemik başka hastalıkların varlığı incelendiğinde; 45 (%32,1) bireyde hipertansiyon, 31 (%22,1) bireyde diyabet hastalığı, 20 (%14,3) bireyde kalp hastalığı olduğu belirlenmiştir. Bireylerin çoğunluğunda sistemik başka hastalıkların olmadığı tespit edilmiştir (Tablo 4.1.3).</w:t>
      </w:r>
    </w:p>
    <w:p>
      <w:pPr>
        <w:pStyle w:val="BodyText"/>
        <w:rPr>
          <w:sz w:val="24"/>
        </w:rPr>
      </w:pPr>
    </w:p>
    <w:p>
      <w:pPr>
        <w:pStyle w:val="BodyText"/>
        <w:spacing w:before="155"/>
        <w:ind w:left="1248"/>
      </w:pPr>
      <w:bookmarkStart w:name="_bookmark61" w:id="110"/>
      <w:bookmarkEnd w:id="110"/>
      <w:r>
        <w:rPr/>
      </w:r>
      <w:r>
        <w:rPr>
          <w:b/>
        </w:rPr>
        <w:t>Tablo 4.1.3 </w:t>
      </w:r>
      <w:r>
        <w:rPr/>
        <w:t>Bireylerde ek hastalıkların varlığının incelenmesi</w:t>
      </w:r>
    </w:p>
    <w:p>
      <w:pPr>
        <w:pStyle w:val="BodyText"/>
        <w:rPr>
          <w:sz w:val="24"/>
        </w:rPr>
      </w:pPr>
    </w:p>
    <w:p>
      <w:pPr>
        <w:pStyle w:val="BodyText"/>
        <w:spacing w:before="2"/>
        <w:rPr>
          <w:sz w:val="20"/>
        </w:rPr>
      </w:pPr>
    </w:p>
    <w:p>
      <w:pPr>
        <w:pStyle w:val="Heading1"/>
        <w:tabs>
          <w:tab w:pos="4686" w:val="left" w:leader="none"/>
          <w:tab w:pos="9273" w:val="left" w:leader="none"/>
        </w:tabs>
        <w:rPr>
          <w:rFonts w:ascii="Times New Roman" w:hAnsi="Times New Roman"/>
          <w:b w:val="0"/>
        </w:rPr>
      </w:pPr>
      <w:r>
        <w:rPr/>
        <w:pict>
          <v:shape style="position:absolute;margin-left:107.660004pt;margin-top:-10.832117pt;width:404.55pt;height:218.85pt;mso-position-horizontal-relative:page;mso-position-vertical-relative:paragraph;z-index:25166540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40"/>
                    <w:gridCol w:w="1410"/>
                    <w:gridCol w:w="925"/>
                    <w:gridCol w:w="751"/>
                    <w:gridCol w:w="1762"/>
                  </w:tblGrid>
                  <w:tr>
                    <w:trPr>
                      <w:trHeight w:val="331" w:hRule="atLeast"/>
                    </w:trPr>
                    <w:tc>
                      <w:tcPr>
                        <w:tcW w:w="4650" w:type="dxa"/>
                        <w:gridSpan w:val="2"/>
                        <w:tcBorders>
                          <w:top w:val="single" w:sz="12" w:space="0" w:color="000000"/>
                        </w:tcBorders>
                      </w:tcPr>
                      <w:p>
                        <w:pPr>
                          <w:pStyle w:val="TableParagraph"/>
                          <w:spacing w:line="250" w:lineRule="exact"/>
                          <w:ind w:right="139"/>
                          <w:jc w:val="right"/>
                          <w:rPr>
                            <w:b/>
                            <w:sz w:val="22"/>
                          </w:rPr>
                        </w:pPr>
                        <w:r>
                          <w:rPr>
                            <w:b/>
                            <w:sz w:val="22"/>
                          </w:rPr>
                          <w:t>Var</w:t>
                        </w:r>
                      </w:p>
                    </w:tc>
                    <w:tc>
                      <w:tcPr>
                        <w:tcW w:w="3438" w:type="dxa"/>
                        <w:gridSpan w:val="3"/>
                        <w:tcBorders>
                          <w:top w:val="single" w:sz="12" w:space="0" w:color="000000"/>
                        </w:tcBorders>
                      </w:tcPr>
                      <w:p>
                        <w:pPr>
                          <w:pStyle w:val="TableParagraph"/>
                          <w:spacing w:line="250" w:lineRule="exact"/>
                          <w:ind w:left="1689" w:right="1305"/>
                          <w:jc w:val="center"/>
                          <w:rPr>
                            <w:b/>
                            <w:sz w:val="22"/>
                          </w:rPr>
                        </w:pPr>
                        <w:r>
                          <w:rPr>
                            <w:b/>
                            <w:sz w:val="22"/>
                          </w:rPr>
                          <w:t>Yok</w:t>
                        </w:r>
                      </w:p>
                    </w:tc>
                  </w:tr>
                  <w:tr>
                    <w:trPr>
                      <w:trHeight w:val="457" w:hRule="atLeast"/>
                    </w:trPr>
                    <w:tc>
                      <w:tcPr>
                        <w:tcW w:w="3240" w:type="dxa"/>
                        <w:tcBorders>
                          <w:bottom w:val="single" w:sz="12" w:space="0" w:color="000000"/>
                        </w:tcBorders>
                      </w:tcPr>
                      <w:p>
                        <w:pPr>
                          <w:pStyle w:val="TableParagraph"/>
                          <w:rPr>
                            <w:rFonts w:ascii="Times New Roman"/>
                            <w:sz w:val="22"/>
                          </w:rPr>
                        </w:pPr>
                      </w:p>
                    </w:tc>
                    <w:tc>
                      <w:tcPr>
                        <w:tcW w:w="1410" w:type="dxa"/>
                        <w:tcBorders>
                          <w:bottom w:val="single" w:sz="12" w:space="0" w:color="000000"/>
                        </w:tcBorders>
                      </w:tcPr>
                      <w:p>
                        <w:pPr>
                          <w:pStyle w:val="TableParagraph"/>
                          <w:spacing w:before="74"/>
                          <w:ind w:left="483"/>
                          <w:rPr>
                            <w:b/>
                            <w:sz w:val="22"/>
                          </w:rPr>
                        </w:pPr>
                        <w:r>
                          <w:rPr>
                            <w:b/>
                            <w:w w:val="100"/>
                            <w:sz w:val="22"/>
                          </w:rPr>
                          <w:t>n</w:t>
                        </w:r>
                      </w:p>
                    </w:tc>
                    <w:tc>
                      <w:tcPr>
                        <w:tcW w:w="925" w:type="dxa"/>
                        <w:tcBorders>
                          <w:bottom w:val="single" w:sz="12" w:space="0" w:color="000000"/>
                        </w:tcBorders>
                      </w:tcPr>
                      <w:p>
                        <w:pPr>
                          <w:pStyle w:val="TableParagraph"/>
                          <w:spacing w:before="74"/>
                          <w:ind w:left="206"/>
                          <w:rPr>
                            <w:b/>
                            <w:sz w:val="22"/>
                          </w:rPr>
                        </w:pPr>
                        <w:r>
                          <w:rPr>
                            <w:b/>
                            <w:w w:val="100"/>
                            <w:sz w:val="22"/>
                          </w:rPr>
                          <w:t>%</w:t>
                        </w:r>
                      </w:p>
                    </w:tc>
                    <w:tc>
                      <w:tcPr>
                        <w:tcW w:w="751" w:type="dxa"/>
                        <w:tcBorders>
                          <w:bottom w:val="single" w:sz="12" w:space="0" w:color="000000"/>
                        </w:tcBorders>
                      </w:tcPr>
                      <w:p>
                        <w:pPr>
                          <w:pStyle w:val="TableParagraph"/>
                          <w:spacing w:before="74"/>
                          <w:ind w:left="417"/>
                          <w:rPr>
                            <w:b/>
                            <w:sz w:val="22"/>
                          </w:rPr>
                        </w:pPr>
                        <w:r>
                          <w:rPr>
                            <w:b/>
                            <w:w w:val="100"/>
                            <w:sz w:val="22"/>
                          </w:rPr>
                          <w:t>n</w:t>
                        </w:r>
                      </w:p>
                    </w:tc>
                    <w:tc>
                      <w:tcPr>
                        <w:tcW w:w="1762" w:type="dxa"/>
                        <w:tcBorders>
                          <w:bottom w:val="single" w:sz="12" w:space="0" w:color="000000"/>
                        </w:tcBorders>
                      </w:tcPr>
                      <w:p>
                        <w:pPr>
                          <w:pStyle w:val="TableParagraph"/>
                          <w:spacing w:before="74"/>
                          <w:ind w:left="798"/>
                          <w:rPr>
                            <w:b/>
                            <w:sz w:val="22"/>
                          </w:rPr>
                        </w:pPr>
                        <w:r>
                          <w:rPr>
                            <w:b/>
                            <w:w w:val="100"/>
                            <w:sz w:val="22"/>
                          </w:rPr>
                          <w:t>%</w:t>
                        </w:r>
                      </w:p>
                    </w:tc>
                  </w:tr>
                  <w:tr>
                    <w:trPr>
                      <w:trHeight w:val="380" w:hRule="atLeast"/>
                    </w:trPr>
                    <w:tc>
                      <w:tcPr>
                        <w:tcW w:w="3240" w:type="dxa"/>
                        <w:tcBorders>
                          <w:top w:val="single" w:sz="12" w:space="0" w:color="000000"/>
                          <w:bottom w:val="single" w:sz="4" w:space="0" w:color="000000"/>
                        </w:tcBorders>
                      </w:tcPr>
                      <w:p>
                        <w:pPr>
                          <w:pStyle w:val="TableParagraph"/>
                          <w:spacing w:line="252" w:lineRule="exact"/>
                          <w:ind w:left="115"/>
                          <w:rPr>
                            <w:sz w:val="22"/>
                          </w:rPr>
                        </w:pPr>
                        <w:r>
                          <w:rPr>
                            <w:sz w:val="22"/>
                          </w:rPr>
                          <w:t>Hipertansiyon</w:t>
                        </w:r>
                      </w:p>
                    </w:tc>
                    <w:tc>
                      <w:tcPr>
                        <w:tcW w:w="1410" w:type="dxa"/>
                        <w:tcBorders>
                          <w:top w:val="single" w:sz="12" w:space="0" w:color="000000"/>
                          <w:bottom w:val="single" w:sz="4" w:space="0" w:color="000000"/>
                        </w:tcBorders>
                      </w:tcPr>
                      <w:p>
                        <w:pPr>
                          <w:pStyle w:val="TableParagraph"/>
                          <w:spacing w:line="252" w:lineRule="exact"/>
                          <w:ind w:left="421"/>
                          <w:rPr>
                            <w:sz w:val="22"/>
                          </w:rPr>
                        </w:pPr>
                        <w:r>
                          <w:rPr>
                            <w:sz w:val="22"/>
                          </w:rPr>
                          <w:t>45</w:t>
                        </w:r>
                      </w:p>
                    </w:tc>
                    <w:tc>
                      <w:tcPr>
                        <w:tcW w:w="925" w:type="dxa"/>
                        <w:tcBorders>
                          <w:top w:val="single" w:sz="12" w:space="0" w:color="000000"/>
                          <w:bottom w:val="single" w:sz="4" w:space="0" w:color="000000"/>
                        </w:tcBorders>
                      </w:tcPr>
                      <w:p>
                        <w:pPr>
                          <w:pStyle w:val="TableParagraph"/>
                          <w:spacing w:line="252" w:lineRule="exact"/>
                          <w:ind w:left="143"/>
                          <w:rPr>
                            <w:sz w:val="22"/>
                          </w:rPr>
                        </w:pPr>
                        <w:r>
                          <w:rPr>
                            <w:sz w:val="22"/>
                          </w:rPr>
                          <w:t>32.1</w:t>
                        </w:r>
                      </w:p>
                    </w:tc>
                    <w:tc>
                      <w:tcPr>
                        <w:tcW w:w="751" w:type="dxa"/>
                        <w:tcBorders>
                          <w:top w:val="single" w:sz="12" w:space="0" w:color="000000"/>
                          <w:bottom w:val="single" w:sz="4" w:space="0" w:color="000000"/>
                        </w:tcBorders>
                      </w:tcPr>
                      <w:p>
                        <w:pPr>
                          <w:pStyle w:val="TableParagraph"/>
                          <w:spacing w:line="252" w:lineRule="exact"/>
                          <w:ind w:left="354"/>
                          <w:rPr>
                            <w:sz w:val="22"/>
                          </w:rPr>
                        </w:pPr>
                        <w:r>
                          <w:rPr>
                            <w:sz w:val="22"/>
                          </w:rPr>
                          <w:t>95</w:t>
                        </w:r>
                      </w:p>
                    </w:tc>
                    <w:tc>
                      <w:tcPr>
                        <w:tcW w:w="1762" w:type="dxa"/>
                        <w:tcBorders>
                          <w:top w:val="single" w:sz="12" w:space="0" w:color="000000"/>
                          <w:bottom w:val="single" w:sz="4" w:space="0" w:color="000000"/>
                        </w:tcBorders>
                      </w:tcPr>
                      <w:p>
                        <w:pPr>
                          <w:pStyle w:val="TableParagraph"/>
                          <w:spacing w:line="252" w:lineRule="exact"/>
                          <w:ind w:left="736"/>
                          <w:rPr>
                            <w:sz w:val="22"/>
                          </w:rPr>
                        </w:pPr>
                        <w:r>
                          <w:rPr>
                            <w:sz w:val="22"/>
                          </w:rPr>
                          <w:t>67.9</w:t>
                        </w:r>
                      </w:p>
                    </w:tc>
                  </w:tr>
                  <w:tr>
                    <w:trPr>
                      <w:trHeight w:val="378" w:hRule="atLeast"/>
                    </w:trPr>
                    <w:tc>
                      <w:tcPr>
                        <w:tcW w:w="3240" w:type="dxa"/>
                        <w:tcBorders>
                          <w:top w:val="single" w:sz="4" w:space="0" w:color="000000"/>
                          <w:bottom w:val="single" w:sz="4" w:space="0" w:color="000000"/>
                        </w:tcBorders>
                      </w:tcPr>
                      <w:p>
                        <w:pPr>
                          <w:pStyle w:val="TableParagraph"/>
                          <w:spacing w:line="250" w:lineRule="exact"/>
                          <w:ind w:left="115"/>
                          <w:rPr>
                            <w:sz w:val="22"/>
                          </w:rPr>
                        </w:pPr>
                        <w:r>
                          <w:rPr>
                            <w:sz w:val="22"/>
                          </w:rPr>
                          <w:t>Diyabet</w:t>
                        </w:r>
                      </w:p>
                    </w:tc>
                    <w:tc>
                      <w:tcPr>
                        <w:tcW w:w="1410" w:type="dxa"/>
                        <w:tcBorders>
                          <w:top w:val="single" w:sz="4" w:space="0" w:color="000000"/>
                          <w:bottom w:val="single" w:sz="4" w:space="0" w:color="000000"/>
                        </w:tcBorders>
                      </w:tcPr>
                      <w:p>
                        <w:pPr>
                          <w:pStyle w:val="TableParagraph"/>
                          <w:spacing w:line="250" w:lineRule="exact"/>
                          <w:ind w:left="421"/>
                          <w:rPr>
                            <w:sz w:val="22"/>
                          </w:rPr>
                        </w:pPr>
                        <w:r>
                          <w:rPr>
                            <w:sz w:val="22"/>
                          </w:rPr>
                          <w:t>31</w:t>
                        </w:r>
                      </w:p>
                    </w:tc>
                    <w:tc>
                      <w:tcPr>
                        <w:tcW w:w="925" w:type="dxa"/>
                        <w:tcBorders>
                          <w:top w:val="single" w:sz="4" w:space="0" w:color="000000"/>
                          <w:bottom w:val="single" w:sz="4" w:space="0" w:color="000000"/>
                        </w:tcBorders>
                      </w:tcPr>
                      <w:p>
                        <w:pPr>
                          <w:pStyle w:val="TableParagraph"/>
                          <w:spacing w:line="250" w:lineRule="exact"/>
                          <w:ind w:left="143"/>
                          <w:rPr>
                            <w:sz w:val="22"/>
                          </w:rPr>
                        </w:pPr>
                        <w:r>
                          <w:rPr>
                            <w:sz w:val="22"/>
                          </w:rPr>
                          <w:t>22.1</w:t>
                        </w:r>
                      </w:p>
                    </w:tc>
                    <w:tc>
                      <w:tcPr>
                        <w:tcW w:w="751" w:type="dxa"/>
                        <w:tcBorders>
                          <w:top w:val="single" w:sz="4" w:space="0" w:color="000000"/>
                          <w:bottom w:val="single" w:sz="4" w:space="0" w:color="000000"/>
                        </w:tcBorders>
                      </w:tcPr>
                      <w:p>
                        <w:pPr>
                          <w:pStyle w:val="TableParagraph"/>
                          <w:spacing w:line="250" w:lineRule="exact"/>
                          <w:ind w:left="354"/>
                          <w:rPr>
                            <w:sz w:val="22"/>
                          </w:rPr>
                        </w:pPr>
                        <w:r>
                          <w:rPr>
                            <w:sz w:val="22"/>
                          </w:rPr>
                          <w:t>109</w:t>
                        </w:r>
                      </w:p>
                    </w:tc>
                    <w:tc>
                      <w:tcPr>
                        <w:tcW w:w="1762" w:type="dxa"/>
                        <w:tcBorders>
                          <w:top w:val="single" w:sz="4" w:space="0" w:color="000000"/>
                          <w:bottom w:val="single" w:sz="4" w:space="0" w:color="000000"/>
                        </w:tcBorders>
                      </w:tcPr>
                      <w:p>
                        <w:pPr>
                          <w:pStyle w:val="TableParagraph"/>
                          <w:spacing w:line="250" w:lineRule="exact"/>
                          <w:ind w:left="736"/>
                          <w:rPr>
                            <w:sz w:val="22"/>
                          </w:rPr>
                        </w:pPr>
                        <w:r>
                          <w:rPr>
                            <w:sz w:val="22"/>
                          </w:rPr>
                          <w:t>77.9</w:t>
                        </w:r>
                      </w:p>
                    </w:tc>
                  </w:tr>
                  <w:tr>
                    <w:trPr>
                      <w:trHeight w:val="381" w:hRule="atLeast"/>
                    </w:trPr>
                    <w:tc>
                      <w:tcPr>
                        <w:tcW w:w="3240" w:type="dxa"/>
                        <w:tcBorders>
                          <w:top w:val="single" w:sz="4" w:space="0" w:color="000000"/>
                          <w:bottom w:val="single" w:sz="4" w:space="0" w:color="000000"/>
                        </w:tcBorders>
                      </w:tcPr>
                      <w:p>
                        <w:pPr>
                          <w:pStyle w:val="TableParagraph"/>
                          <w:ind w:left="115"/>
                          <w:rPr>
                            <w:sz w:val="22"/>
                          </w:rPr>
                        </w:pPr>
                        <w:r>
                          <w:rPr>
                            <w:sz w:val="22"/>
                          </w:rPr>
                          <w:t>Kalp hastalığı</w:t>
                        </w:r>
                      </w:p>
                    </w:tc>
                    <w:tc>
                      <w:tcPr>
                        <w:tcW w:w="1410" w:type="dxa"/>
                        <w:tcBorders>
                          <w:top w:val="single" w:sz="4" w:space="0" w:color="000000"/>
                          <w:bottom w:val="single" w:sz="4" w:space="0" w:color="000000"/>
                        </w:tcBorders>
                      </w:tcPr>
                      <w:p>
                        <w:pPr>
                          <w:pStyle w:val="TableParagraph"/>
                          <w:ind w:left="421"/>
                          <w:rPr>
                            <w:sz w:val="22"/>
                          </w:rPr>
                        </w:pPr>
                        <w:r>
                          <w:rPr>
                            <w:sz w:val="22"/>
                          </w:rPr>
                          <w:t>20</w:t>
                        </w:r>
                      </w:p>
                    </w:tc>
                    <w:tc>
                      <w:tcPr>
                        <w:tcW w:w="925" w:type="dxa"/>
                        <w:tcBorders>
                          <w:top w:val="single" w:sz="4" w:space="0" w:color="000000"/>
                          <w:bottom w:val="single" w:sz="4" w:space="0" w:color="000000"/>
                        </w:tcBorders>
                      </w:tcPr>
                      <w:p>
                        <w:pPr>
                          <w:pStyle w:val="TableParagraph"/>
                          <w:ind w:left="143"/>
                          <w:rPr>
                            <w:sz w:val="22"/>
                          </w:rPr>
                        </w:pPr>
                        <w:r>
                          <w:rPr>
                            <w:sz w:val="22"/>
                          </w:rPr>
                          <w:t>14.3</w:t>
                        </w:r>
                      </w:p>
                    </w:tc>
                    <w:tc>
                      <w:tcPr>
                        <w:tcW w:w="751" w:type="dxa"/>
                        <w:tcBorders>
                          <w:top w:val="single" w:sz="4" w:space="0" w:color="000000"/>
                          <w:bottom w:val="single" w:sz="4" w:space="0" w:color="000000"/>
                        </w:tcBorders>
                      </w:tcPr>
                      <w:p>
                        <w:pPr>
                          <w:pStyle w:val="TableParagraph"/>
                          <w:ind w:left="354"/>
                          <w:rPr>
                            <w:sz w:val="22"/>
                          </w:rPr>
                        </w:pPr>
                        <w:r>
                          <w:rPr>
                            <w:sz w:val="22"/>
                          </w:rPr>
                          <w:t>120</w:t>
                        </w:r>
                      </w:p>
                    </w:tc>
                    <w:tc>
                      <w:tcPr>
                        <w:tcW w:w="1762" w:type="dxa"/>
                        <w:tcBorders>
                          <w:top w:val="single" w:sz="4" w:space="0" w:color="000000"/>
                          <w:bottom w:val="single" w:sz="4" w:space="0" w:color="000000"/>
                        </w:tcBorders>
                      </w:tcPr>
                      <w:p>
                        <w:pPr>
                          <w:pStyle w:val="TableParagraph"/>
                          <w:ind w:left="736"/>
                          <w:rPr>
                            <w:sz w:val="22"/>
                          </w:rPr>
                        </w:pPr>
                        <w:r>
                          <w:rPr>
                            <w:sz w:val="22"/>
                          </w:rPr>
                          <w:t>85.7</w:t>
                        </w:r>
                      </w:p>
                    </w:tc>
                  </w:tr>
                  <w:tr>
                    <w:trPr>
                      <w:trHeight w:val="378" w:hRule="atLeast"/>
                    </w:trPr>
                    <w:tc>
                      <w:tcPr>
                        <w:tcW w:w="3240" w:type="dxa"/>
                        <w:tcBorders>
                          <w:top w:val="single" w:sz="4" w:space="0" w:color="000000"/>
                          <w:bottom w:val="single" w:sz="4" w:space="0" w:color="000000"/>
                        </w:tcBorders>
                      </w:tcPr>
                      <w:p>
                        <w:pPr>
                          <w:pStyle w:val="TableParagraph"/>
                          <w:spacing w:line="250" w:lineRule="exact"/>
                          <w:ind w:left="115"/>
                          <w:rPr>
                            <w:sz w:val="22"/>
                          </w:rPr>
                        </w:pPr>
                        <w:r>
                          <w:rPr>
                            <w:sz w:val="22"/>
                          </w:rPr>
                          <w:t>Pulmoner hastalıklar</w:t>
                        </w:r>
                      </w:p>
                    </w:tc>
                    <w:tc>
                      <w:tcPr>
                        <w:tcW w:w="1410" w:type="dxa"/>
                        <w:tcBorders>
                          <w:top w:val="single" w:sz="4" w:space="0" w:color="000000"/>
                          <w:bottom w:val="single" w:sz="4" w:space="0" w:color="000000"/>
                        </w:tcBorders>
                      </w:tcPr>
                      <w:p>
                        <w:pPr>
                          <w:pStyle w:val="TableParagraph"/>
                          <w:spacing w:line="250" w:lineRule="exact"/>
                          <w:ind w:left="421"/>
                          <w:rPr>
                            <w:sz w:val="22"/>
                          </w:rPr>
                        </w:pPr>
                        <w:r>
                          <w:rPr>
                            <w:sz w:val="22"/>
                          </w:rPr>
                          <w:t>11</w:t>
                        </w:r>
                      </w:p>
                    </w:tc>
                    <w:tc>
                      <w:tcPr>
                        <w:tcW w:w="925" w:type="dxa"/>
                        <w:tcBorders>
                          <w:top w:val="single" w:sz="4" w:space="0" w:color="000000"/>
                          <w:bottom w:val="single" w:sz="4" w:space="0" w:color="000000"/>
                        </w:tcBorders>
                      </w:tcPr>
                      <w:p>
                        <w:pPr>
                          <w:pStyle w:val="TableParagraph"/>
                          <w:spacing w:line="250" w:lineRule="exact"/>
                          <w:ind w:left="143"/>
                          <w:rPr>
                            <w:sz w:val="22"/>
                          </w:rPr>
                        </w:pPr>
                        <w:r>
                          <w:rPr>
                            <w:sz w:val="22"/>
                          </w:rPr>
                          <w:t>7.9</w:t>
                        </w:r>
                      </w:p>
                    </w:tc>
                    <w:tc>
                      <w:tcPr>
                        <w:tcW w:w="751" w:type="dxa"/>
                        <w:tcBorders>
                          <w:top w:val="single" w:sz="4" w:space="0" w:color="000000"/>
                          <w:bottom w:val="single" w:sz="4" w:space="0" w:color="000000"/>
                        </w:tcBorders>
                      </w:tcPr>
                      <w:p>
                        <w:pPr>
                          <w:pStyle w:val="TableParagraph"/>
                          <w:spacing w:line="250" w:lineRule="exact"/>
                          <w:ind w:left="354"/>
                          <w:rPr>
                            <w:sz w:val="22"/>
                          </w:rPr>
                        </w:pPr>
                        <w:r>
                          <w:rPr>
                            <w:sz w:val="22"/>
                          </w:rPr>
                          <w:t>129</w:t>
                        </w:r>
                      </w:p>
                    </w:tc>
                    <w:tc>
                      <w:tcPr>
                        <w:tcW w:w="1762" w:type="dxa"/>
                        <w:tcBorders>
                          <w:top w:val="single" w:sz="4" w:space="0" w:color="000000"/>
                          <w:bottom w:val="single" w:sz="4" w:space="0" w:color="000000"/>
                        </w:tcBorders>
                      </w:tcPr>
                      <w:p>
                        <w:pPr>
                          <w:pStyle w:val="TableParagraph"/>
                          <w:spacing w:line="250" w:lineRule="exact"/>
                          <w:ind w:left="736"/>
                          <w:rPr>
                            <w:sz w:val="22"/>
                          </w:rPr>
                        </w:pPr>
                        <w:r>
                          <w:rPr>
                            <w:sz w:val="22"/>
                          </w:rPr>
                          <w:t>92.1</w:t>
                        </w:r>
                      </w:p>
                    </w:tc>
                  </w:tr>
                  <w:tr>
                    <w:trPr>
                      <w:trHeight w:val="378" w:hRule="atLeast"/>
                    </w:trPr>
                    <w:tc>
                      <w:tcPr>
                        <w:tcW w:w="3240" w:type="dxa"/>
                        <w:tcBorders>
                          <w:top w:val="single" w:sz="4" w:space="0" w:color="000000"/>
                          <w:bottom w:val="single" w:sz="4" w:space="0" w:color="000000"/>
                        </w:tcBorders>
                      </w:tcPr>
                      <w:p>
                        <w:pPr>
                          <w:pStyle w:val="TableParagraph"/>
                          <w:spacing w:line="250" w:lineRule="exact"/>
                          <w:ind w:left="115"/>
                          <w:rPr>
                            <w:sz w:val="22"/>
                          </w:rPr>
                        </w:pPr>
                        <w:r>
                          <w:rPr>
                            <w:sz w:val="22"/>
                          </w:rPr>
                          <w:t>Ortopedik travma</w:t>
                        </w:r>
                      </w:p>
                    </w:tc>
                    <w:tc>
                      <w:tcPr>
                        <w:tcW w:w="1410" w:type="dxa"/>
                        <w:tcBorders>
                          <w:top w:val="single" w:sz="4" w:space="0" w:color="000000"/>
                          <w:bottom w:val="single" w:sz="4" w:space="0" w:color="000000"/>
                        </w:tcBorders>
                      </w:tcPr>
                      <w:p>
                        <w:pPr>
                          <w:pStyle w:val="TableParagraph"/>
                          <w:spacing w:line="250" w:lineRule="exact"/>
                          <w:ind w:left="421"/>
                          <w:rPr>
                            <w:sz w:val="22"/>
                          </w:rPr>
                        </w:pPr>
                        <w:r>
                          <w:rPr>
                            <w:sz w:val="22"/>
                          </w:rPr>
                          <w:t>10</w:t>
                        </w:r>
                      </w:p>
                    </w:tc>
                    <w:tc>
                      <w:tcPr>
                        <w:tcW w:w="925" w:type="dxa"/>
                        <w:tcBorders>
                          <w:top w:val="single" w:sz="4" w:space="0" w:color="000000"/>
                          <w:bottom w:val="single" w:sz="4" w:space="0" w:color="000000"/>
                        </w:tcBorders>
                      </w:tcPr>
                      <w:p>
                        <w:pPr>
                          <w:pStyle w:val="TableParagraph"/>
                          <w:spacing w:line="250" w:lineRule="exact"/>
                          <w:ind w:left="143"/>
                          <w:rPr>
                            <w:sz w:val="22"/>
                          </w:rPr>
                        </w:pPr>
                        <w:r>
                          <w:rPr>
                            <w:sz w:val="22"/>
                          </w:rPr>
                          <w:t>7.1</w:t>
                        </w:r>
                      </w:p>
                    </w:tc>
                    <w:tc>
                      <w:tcPr>
                        <w:tcW w:w="751" w:type="dxa"/>
                        <w:tcBorders>
                          <w:top w:val="single" w:sz="4" w:space="0" w:color="000000"/>
                          <w:bottom w:val="single" w:sz="4" w:space="0" w:color="000000"/>
                        </w:tcBorders>
                      </w:tcPr>
                      <w:p>
                        <w:pPr>
                          <w:pStyle w:val="TableParagraph"/>
                          <w:spacing w:line="250" w:lineRule="exact"/>
                          <w:ind w:left="354"/>
                          <w:rPr>
                            <w:sz w:val="22"/>
                          </w:rPr>
                        </w:pPr>
                        <w:r>
                          <w:rPr>
                            <w:sz w:val="22"/>
                          </w:rPr>
                          <w:t>130</w:t>
                        </w:r>
                      </w:p>
                    </w:tc>
                    <w:tc>
                      <w:tcPr>
                        <w:tcW w:w="1762" w:type="dxa"/>
                        <w:tcBorders>
                          <w:top w:val="single" w:sz="4" w:space="0" w:color="000000"/>
                          <w:bottom w:val="single" w:sz="4" w:space="0" w:color="000000"/>
                        </w:tcBorders>
                      </w:tcPr>
                      <w:p>
                        <w:pPr>
                          <w:pStyle w:val="TableParagraph"/>
                          <w:spacing w:line="250" w:lineRule="exact"/>
                          <w:ind w:left="736"/>
                          <w:rPr>
                            <w:sz w:val="22"/>
                          </w:rPr>
                        </w:pPr>
                        <w:r>
                          <w:rPr>
                            <w:sz w:val="22"/>
                          </w:rPr>
                          <w:t>92.9</w:t>
                        </w:r>
                      </w:p>
                    </w:tc>
                  </w:tr>
                  <w:tr>
                    <w:trPr>
                      <w:trHeight w:val="378" w:hRule="atLeast"/>
                    </w:trPr>
                    <w:tc>
                      <w:tcPr>
                        <w:tcW w:w="3240" w:type="dxa"/>
                        <w:tcBorders>
                          <w:top w:val="single" w:sz="4" w:space="0" w:color="000000"/>
                          <w:bottom w:val="single" w:sz="4" w:space="0" w:color="000000"/>
                        </w:tcBorders>
                      </w:tcPr>
                      <w:p>
                        <w:pPr>
                          <w:pStyle w:val="TableParagraph"/>
                          <w:spacing w:line="250" w:lineRule="exact"/>
                          <w:ind w:left="115"/>
                          <w:rPr>
                            <w:sz w:val="22"/>
                          </w:rPr>
                        </w:pPr>
                        <w:r>
                          <w:rPr>
                            <w:sz w:val="22"/>
                          </w:rPr>
                          <w:t>Yüksek ateş</w:t>
                        </w:r>
                      </w:p>
                    </w:tc>
                    <w:tc>
                      <w:tcPr>
                        <w:tcW w:w="1410" w:type="dxa"/>
                        <w:tcBorders>
                          <w:top w:val="single" w:sz="4" w:space="0" w:color="000000"/>
                          <w:bottom w:val="single" w:sz="4" w:space="0" w:color="000000"/>
                        </w:tcBorders>
                      </w:tcPr>
                      <w:p>
                        <w:pPr>
                          <w:pStyle w:val="TableParagraph"/>
                          <w:spacing w:line="250" w:lineRule="exact"/>
                          <w:ind w:left="421"/>
                          <w:rPr>
                            <w:sz w:val="22"/>
                          </w:rPr>
                        </w:pPr>
                        <w:r>
                          <w:rPr>
                            <w:w w:val="100"/>
                            <w:sz w:val="22"/>
                          </w:rPr>
                          <w:t>6</w:t>
                        </w:r>
                      </w:p>
                    </w:tc>
                    <w:tc>
                      <w:tcPr>
                        <w:tcW w:w="925" w:type="dxa"/>
                        <w:tcBorders>
                          <w:top w:val="single" w:sz="4" w:space="0" w:color="000000"/>
                          <w:bottom w:val="single" w:sz="4" w:space="0" w:color="000000"/>
                        </w:tcBorders>
                      </w:tcPr>
                      <w:p>
                        <w:pPr>
                          <w:pStyle w:val="TableParagraph"/>
                          <w:spacing w:line="250" w:lineRule="exact"/>
                          <w:ind w:left="143"/>
                          <w:rPr>
                            <w:sz w:val="22"/>
                          </w:rPr>
                        </w:pPr>
                        <w:r>
                          <w:rPr>
                            <w:sz w:val="22"/>
                          </w:rPr>
                          <w:t>4.3</w:t>
                        </w:r>
                      </w:p>
                    </w:tc>
                    <w:tc>
                      <w:tcPr>
                        <w:tcW w:w="751" w:type="dxa"/>
                        <w:tcBorders>
                          <w:top w:val="single" w:sz="4" w:space="0" w:color="000000"/>
                          <w:bottom w:val="single" w:sz="4" w:space="0" w:color="000000"/>
                        </w:tcBorders>
                      </w:tcPr>
                      <w:p>
                        <w:pPr>
                          <w:pStyle w:val="TableParagraph"/>
                          <w:spacing w:line="250" w:lineRule="exact"/>
                          <w:ind w:left="354"/>
                          <w:rPr>
                            <w:sz w:val="22"/>
                          </w:rPr>
                        </w:pPr>
                        <w:r>
                          <w:rPr>
                            <w:sz w:val="22"/>
                          </w:rPr>
                          <w:t>134</w:t>
                        </w:r>
                      </w:p>
                    </w:tc>
                    <w:tc>
                      <w:tcPr>
                        <w:tcW w:w="1762" w:type="dxa"/>
                        <w:tcBorders>
                          <w:top w:val="single" w:sz="4" w:space="0" w:color="000000"/>
                          <w:bottom w:val="single" w:sz="4" w:space="0" w:color="000000"/>
                        </w:tcBorders>
                      </w:tcPr>
                      <w:p>
                        <w:pPr>
                          <w:pStyle w:val="TableParagraph"/>
                          <w:spacing w:line="250" w:lineRule="exact"/>
                          <w:ind w:left="736"/>
                          <w:rPr>
                            <w:sz w:val="22"/>
                          </w:rPr>
                        </w:pPr>
                        <w:r>
                          <w:rPr>
                            <w:sz w:val="22"/>
                          </w:rPr>
                          <w:t>95.7</w:t>
                        </w:r>
                      </w:p>
                    </w:tc>
                  </w:tr>
                  <w:tr>
                    <w:trPr>
                      <w:trHeight w:val="381" w:hRule="atLeast"/>
                    </w:trPr>
                    <w:tc>
                      <w:tcPr>
                        <w:tcW w:w="3240" w:type="dxa"/>
                        <w:tcBorders>
                          <w:top w:val="single" w:sz="4" w:space="0" w:color="000000"/>
                          <w:bottom w:val="single" w:sz="4" w:space="0" w:color="000000"/>
                        </w:tcBorders>
                      </w:tcPr>
                      <w:p>
                        <w:pPr>
                          <w:pStyle w:val="TableParagraph"/>
                          <w:ind w:left="115"/>
                          <w:rPr>
                            <w:sz w:val="22"/>
                          </w:rPr>
                        </w:pPr>
                        <w:r>
                          <w:rPr>
                            <w:sz w:val="22"/>
                          </w:rPr>
                          <w:t>Böbrek yetmezliği</w:t>
                        </w:r>
                      </w:p>
                    </w:tc>
                    <w:tc>
                      <w:tcPr>
                        <w:tcW w:w="1410" w:type="dxa"/>
                        <w:tcBorders>
                          <w:top w:val="single" w:sz="4" w:space="0" w:color="000000"/>
                          <w:bottom w:val="single" w:sz="4" w:space="0" w:color="000000"/>
                        </w:tcBorders>
                      </w:tcPr>
                      <w:p>
                        <w:pPr>
                          <w:pStyle w:val="TableParagraph"/>
                          <w:ind w:left="421"/>
                          <w:rPr>
                            <w:sz w:val="22"/>
                          </w:rPr>
                        </w:pPr>
                        <w:r>
                          <w:rPr>
                            <w:w w:val="100"/>
                            <w:sz w:val="22"/>
                          </w:rPr>
                          <w:t>5</w:t>
                        </w:r>
                      </w:p>
                    </w:tc>
                    <w:tc>
                      <w:tcPr>
                        <w:tcW w:w="925" w:type="dxa"/>
                        <w:tcBorders>
                          <w:top w:val="single" w:sz="4" w:space="0" w:color="000000"/>
                          <w:bottom w:val="single" w:sz="4" w:space="0" w:color="000000"/>
                        </w:tcBorders>
                      </w:tcPr>
                      <w:p>
                        <w:pPr>
                          <w:pStyle w:val="TableParagraph"/>
                          <w:ind w:left="143"/>
                          <w:rPr>
                            <w:sz w:val="22"/>
                          </w:rPr>
                        </w:pPr>
                        <w:r>
                          <w:rPr>
                            <w:sz w:val="22"/>
                          </w:rPr>
                          <w:t>3.6</w:t>
                        </w:r>
                      </w:p>
                    </w:tc>
                    <w:tc>
                      <w:tcPr>
                        <w:tcW w:w="751" w:type="dxa"/>
                        <w:tcBorders>
                          <w:top w:val="single" w:sz="4" w:space="0" w:color="000000"/>
                          <w:bottom w:val="single" w:sz="4" w:space="0" w:color="000000"/>
                        </w:tcBorders>
                      </w:tcPr>
                      <w:p>
                        <w:pPr>
                          <w:pStyle w:val="TableParagraph"/>
                          <w:ind w:left="354"/>
                          <w:rPr>
                            <w:sz w:val="22"/>
                          </w:rPr>
                        </w:pPr>
                        <w:r>
                          <w:rPr>
                            <w:sz w:val="22"/>
                          </w:rPr>
                          <w:t>135</w:t>
                        </w:r>
                      </w:p>
                    </w:tc>
                    <w:tc>
                      <w:tcPr>
                        <w:tcW w:w="1762" w:type="dxa"/>
                        <w:tcBorders>
                          <w:top w:val="single" w:sz="4" w:space="0" w:color="000000"/>
                          <w:bottom w:val="single" w:sz="4" w:space="0" w:color="000000"/>
                        </w:tcBorders>
                      </w:tcPr>
                      <w:p>
                        <w:pPr>
                          <w:pStyle w:val="TableParagraph"/>
                          <w:ind w:left="736"/>
                          <w:rPr>
                            <w:sz w:val="22"/>
                          </w:rPr>
                        </w:pPr>
                        <w:r>
                          <w:rPr>
                            <w:sz w:val="22"/>
                          </w:rPr>
                          <w:t>96.4</w:t>
                        </w:r>
                      </w:p>
                    </w:tc>
                  </w:tr>
                  <w:tr>
                    <w:trPr>
                      <w:trHeight w:val="379" w:hRule="atLeast"/>
                    </w:trPr>
                    <w:tc>
                      <w:tcPr>
                        <w:tcW w:w="3240" w:type="dxa"/>
                        <w:tcBorders>
                          <w:top w:val="single" w:sz="4" w:space="0" w:color="000000"/>
                          <w:bottom w:val="single" w:sz="4" w:space="0" w:color="000000"/>
                        </w:tcBorders>
                      </w:tcPr>
                      <w:p>
                        <w:pPr>
                          <w:pStyle w:val="TableParagraph"/>
                          <w:spacing w:line="250" w:lineRule="exact"/>
                          <w:ind w:left="115"/>
                          <w:rPr>
                            <w:sz w:val="22"/>
                          </w:rPr>
                        </w:pPr>
                        <w:r>
                          <w:rPr>
                            <w:sz w:val="22"/>
                          </w:rPr>
                          <w:t>Periferik dolaşım bozukluğu</w:t>
                        </w:r>
                      </w:p>
                    </w:tc>
                    <w:tc>
                      <w:tcPr>
                        <w:tcW w:w="1410" w:type="dxa"/>
                        <w:tcBorders>
                          <w:top w:val="single" w:sz="4" w:space="0" w:color="000000"/>
                          <w:bottom w:val="single" w:sz="4" w:space="0" w:color="000000"/>
                        </w:tcBorders>
                      </w:tcPr>
                      <w:p>
                        <w:pPr>
                          <w:pStyle w:val="TableParagraph"/>
                          <w:spacing w:line="250" w:lineRule="exact"/>
                          <w:ind w:left="421"/>
                          <w:rPr>
                            <w:sz w:val="22"/>
                          </w:rPr>
                        </w:pPr>
                        <w:r>
                          <w:rPr>
                            <w:w w:val="100"/>
                            <w:sz w:val="22"/>
                          </w:rPr>
                          <w:t>3</w:t>
                        </w:r>
                      </w:p>
                    </w:tc>
                    <w:tc>
                      <w:tcPr>
                        <w:tcW w:w="925" w:type="dxa"/>
                        <w:tcBorders>
                          <w:top w:val="single" w:sz="4" w:space="0" w:color="000000"/>
                          <w:bottom w:val="single" w:sz="4" w:space="0" w:color="000000"/>
                        </w:tcBorders>
                      </w:tcPr>
                      <w:p>
                        <w:pPr>
                          <w:pStyle w:val="TableParagraph"/>
                          <w:spacing w:line="250" w:lineRule="exact"/>
                          <w:ind w:left="143"/>
                          <w:rPr>
                            <w:sz w:val="22"/>
                          </w:rPr>
                        </w:pPr>
                        <w:r>
                          <w:rPr>
                            <w:sz w:val="22"/>
                          </w:rPr>
                          <w:t>2.1</w:t>
                        </w:r>
                      </w:p>
                    </w:tc>
                    <w:tc>
                      <w:tcPr>
                        <w:tcW w:w="751" w:type="dxa"/>
                        <w:tcBorders>
                          <w:top w:val="single" w:sz="4" w:space="0" w:color="000000"/>
                          <w:bottom w:val="single" w:sz="4" w:space="0" w:color="000000"/>
                        </w:tcBorders>
                      </w:tcPr>
                      <w:p>
                        <w:pPr>
                          <w:pStyle w:val="TableParagraph"/>
                          <w:spacing w:line="250" w:lineRule="exact"/>
                          <w:ind w:left="354"/>
                          <w:rPr>
                            <w:sz w:val="22"/>
                          </w:rPr>
                        </w:pPr>
                        <w:r>
                          <w:rPr>
                            <w:sz w:val="22"/>
                          </w:rPr>
                          <w:t>137</w:t>
                        </w:r>
                      </w:p>
                    </w:tc>
                    <w:tc>
                      <w:tcPr>
                        <w:tcW w:w="1762" w:type="dxa"/>
                        <w:tcBorders>
                          <w:top w:val="single" w:sz="4" w:space="0" w:color="000000"/>
                          <w:bottom w:val="single" w:sz="4" w:space="0" w:color="000000"/>
                        </w:tcBorders>
                      </w:tcPr>
                      <w:p>
                        <w:pPr>
                          <w:pStyle w:val="TableParagraph"/>
                          <w:spacing w:line="250" w:lineRule="exact"/>
                          <w:ind w:left="736"/>
                          <w:rPr>
                            <w:sz w:val="22"/>
                          </w:rPr>
                        </w:pPr>
                        <w:r>
                          <w:rPr>
                            <w:sz w:val="22"/>
                          </w:rPr>
                          <w:t>97.9</w:t>
                        </w:r>
                      </w:p>
                    </w:tc>
                  </w:tr>
                  <w:tr>
                    <w:trPr>
                      <w:trHeight w:val="380" w:hRule="atLeast"/>
                    </w:trPr>
                    <w:tc>
                      <w:tcPr>
                        <w:tcW w:w="3240" w:type="dxa"/>
                        <w:tcBorders>
                          <w:top w:val="single" w:sz="4" w:space="0" w:color="000000"/>
                          <w:bottom w:val="single" w:sz="12" w:space="0" w:color="000000"/>
                        </w:tcBorders>
                      </w:tcPr>
                      <w:p>
                        <w:pPr>
                          <w:pStyle w:val="TableParagraph"/>
                          <w:spacing w:line="250" w:lineRule="exact"/>
                          <w:ind w:left="115"/>
                          <w:rPr>
                            <w:sz w:val="22"/>
                          </w:rPr>
                        </w:pPr>
                        <w:r>
                          <w:rPr>
                            <w:sz w:val="22"/>
                          </w:rPr>
                          <w:t>Diğer</w:t>
                        </w:r>
                      </w:p>
                    </w:tc>
                    <w:tc>
                      <w:tcPr>
                        <w:tcW w:w="1410" w:type="dxa"/>
                        <w:tcBorders>
                          <w:top w:val="single" w:sz="4" w:space="0" w:color="000000"/>
                          <w:bottom w:val="single" w:sz="12" w:space="0" w:color="000000"/>
                        </w:tcBorders>
                      </w:tcPr>
                      <w:p>
                        <w:pPr>
                          <w:pStyle w:val="TableParagraph"/>
                          <w:spacing w:line="250" w:lineRule="exact"/>
                          <w:ind w:left="421"/>
                          <w:rPr>
                            <w:sz w:val="22"/>
                          </w:rPr>
                        </w:pPr>
                        <w:r>
                          <w:rPr>
                            <w:sz w:val="22"/>
                          </w:rPr>
                          <w:t>28</w:t>
                        </w:r>
                      </w:p>
                    </w:tc>
                    <w:tc>
                      <w:tcPr>
                        <w:tcW w:w="925" w:type="dxa"/>
                        <w:tcBorders>
                          <w:top w:val="single" w:sz="4" w:space="0" w:color="000000"/>
                          <w:bottom w:val="single" w:sz="12" w:space="0" w:color="000000"/>
                        </w:tcBorders>
                      </w:tcPr>
                      <w:p>
                        <w:pPr>
                          <w:pStyle w:val="TableParagraph"/>
                          <w:spacing w:line="250" w:lineRule="exact"/>
                          <w:ind w:left="143"/>
                          <w:rPr>
                            <w:sz w:val="22"/>
                          </w:rPr>
                        </w:pPr>
                        <w:r>
                          <w:rPr>
                            <w:sz w:val="22"/>
                          </w:rPr>
                          <w:t>20.0</w:t>
                        </w:r>
                      </w:p>
                    </w:tc>
                    <w:tc>
                      <w:tcPr>
                        <w:tcW w:w="751" w:type="dxa"/>
                        <w:tcBorders>
                          <w:top w:val="single" w:sz="4" w:space="0" w:color="000000"/>
                          <w:bottom w:val="single" w:sz="12" w:space="0" w:color="000000"/>
                        </w:tcBorders>
                      </w:tcPr>
                      <w:p>
                        <w:pPr>
                          <w:pStyle w:val="TableParagraph"/>
                          <w:spacing w:line="250" w:lineRule="exact"/>
                          <w:ind w:left="354"/>
                          <w:rPr>
                            <w:sz w:val="22"/>
                          </w:rPr>
                        </w:pPr>
                        <w:r>
                          <w:rPr>
                            <w:sz w:val="22"/>
                          </w:rPr>
                          <w:t>112</w:t>
                        </w:r>
                      </w:p>
                    </w:tc>
                    <w:tc>
                      <w:tcPr>
                        <w:tcW w:w="1762" w:type="dxa"/>
                        <w:tcBorders>
                          <w:top w:val="single" w:sz="4" w:space="0" w:color="000000"/>
                          <w:bottom w:val="single" w:sz="12" w:space="0" w:color="000000"/>
                        </w:tcBorders>
                      </w:tcPr>
                      <w:p>
                        <w:pPr>
                          <w:pStyle w:val="TableParagraph"/>
                          <w:spacing w:line="250" w:lineRule="exact"/>
                          <w:ind w:left="736"/>
                          <w:rPr>
                            <w:sz w:val="22"/>
                          </w:rPr>
                        </w:pPr>
                        <w:r>
                          <w:rPr>
                            <w:sz w:val="22"/>
                          </w:rPr>
                          <w:t>80.0</w:t>
                        </w:r>
                      </w:p>
                    </w:tc>
                  </w:tr>
                </w:tbl>
                <w:p>
                  <w:pPr>
                    <w:pStyle w:val="BodyText"/>
                  </w:pPr>
                </w:p>
              </w:txbxContent>
            </v:textbox>
            <w10:wrap type="none"/>
          </v:shape>
        </w:pict>
      </w:r>
      <w:r>
        <w:rPr/>
        <w:t>Ek</w:t>
      </w:r>
      <w:r>
        <w:rPr>
          <w:spacing w:val="-8"/>
        </w:rPr>
        <w:t> </w:t>
      </w:r>
      <w:r>
        <w:rPr/>
        <w:t>Hastalıklar</w:t>
        <w:tab/>
      </w:r>
      <w:r>
        <w:rPr>
          <w:rFonts w:ascii="Times New Roman" w:hAnsi="Times New Roman"/>
          <w:b w:val="0"/>
          <w:w w:val="100"/>
          <w:u w:val="thick"/>
        </w:rPr>
        <w:t> </w:t>
      </w:r>
      <w:r>
        <w:rPr>
          <w:rFonts w:ascii="Times New Roman" w:hAnsi="Times New Roman"/>
          <w:b w:val="0"/>
          <w:u w:val="thick"/>
        </w:rPr>
        <w:tab/>
      </w: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6"/>
        <w:rPr>
          <w:rFonts w:ascii="Times New Roman"/>
          <w:sz w:val="27"/>
        </w:rPr>
      </w:pPr>
    </w:p>
    <w:p>
      <w:pPr>
        <w:pStyle w:val="BodyText"/>
        <w:ind w:left="1956"/>
        <w:jc w:val="both"/>
      </w:pPr>
      <w:r>
        <w:rPr/>
        <w:t>Bireylerde beslenme durumu incelendiğinde; 20 (%14.3) bireyde rejim 1</w:t>
      </w:r>
    </w:p>
    <w:p>
      <w:pPr>
        <w:pStyle w:val="BodyText"/>
        <w:spacing w:line="357" w:lineRule="auto" w:before="126"/>
        <w:ind w:left="1248" w:right="669"/>
        <w:jc w:val="both"/>
      </w:pPr>
      <w:r>
        <w:rPr/>
        <w:drawing>
          <wp:anchor distT="0" distB="0" distL="0" distR="0" allowOverlap="1" layoutInCell="1" locked="0" behindDoc="0" simplePos="0" relativeHeight="251664384">
            <wp:simplePos x="0" y="0"/>
            <wp:positionH relativeFrom="page">
              <wp:posOffset>1988854</wp:posOffset>
            </wp:positionH>
            <wp:positionV relativeFrom="paragraph">
              <wp:posOffset>1191421</wp:posOffset>
            </wp:positionV>
            <wp:extent cx="3376648" cy="1737360"/>
            <wp:effectExtent l="0" t="0" r="0" b="0"/>
            <wp:wrapNone/>
            <wp:docPr id="21" name="image11.png"/>
            <wp:cNvGraphicFramePr>
              <a:graphicFrameLocks noChangeAspect="1"/>
            </wp:cNvGraphicFramePr>
            <a:graphic>
              <a:graphicData uri="http://schemas.openxmlformats.org/drawingml/2006/picture">
                <pic:pic>
                  <pic:nvPicPr>
                    <pic:cNvPr id="22" name="image11.png"/>
                    <pic:cNvPicPr/>
                  </pic:nvPicPr>
                  <pic:blipFill>
                    <a:blip r:embed="rId18" cstate="print"/>
                    <a:stretch>
                      <a:fillRect/>
                    </a:stretch>
                  </pic:blipFill>
                  <pic:spPr>
                    <a:xfrm>
                      <a:off x="0" y="0"/>
                      <a:ext cx="3376648" cy="1737360"/>
                    </a:xfrm>
                    <a:prstGeom prst="rect">
                      <a:avLst/>
                    </a:prstGeom>
                  </pic:spPr>
                </pic:pic>
              </a:graphicData>
            </a:graphic>
          </wp:anchor>
        </w:drawing>
      </w:r>
      <w:r>
        <w:rPr/>
        <w:t>beslenme, 23 (%16) bireyde rejim 2 beslenme, 77 (%55.0) bireyde rejim 3 tipi beslenme olduğu ve 20 (%14.3) bireyde ise serbest tip beslenme olduğu belirlenmiştir. (Şekil 4.1.2). Beslenme tipleri (Rejim 1, rejim 2, rejim 3 ) Ek 6’da</w:t>
      </w:r>
      <w:r>
        <w:rPr>
          <w:spacing w:val="-14"/>
        </w:rPr>
        <w:t> </w:t>
      </w:r>
      <w:r>
        <w:rPr/>
        <w:t>verilmiştir.</w:t>
      </w:r>
    </w:p>
    <w:p>
      <w:pPr>
        <w:pStyle w:val="BodyText"/>
        <w:spacing w:before="4"/>
        <w:rPr>
          <w:sz w:val="11"/>
        </w:rPr>
      </w:pPr>
      <w:r>
        <w:rPr/>
        <w:pict>
          <v:group style="position:absolute;margin-left:107.779999pt;margin-top:8.52814pt;width:331.8pt;height:182.1pt;mso-position-horizontal-relative:page;mso-position-vertical-relative:paragraph;z-index:-251653120;mso-wrap-distance-left:0;mso-wrap-distance-right:0" coordorigin="2156,171" coordsize="6636,3642">
            <v:rect style="position:absolute;left:2155;top:170;width:10;height:10" filled="true" fillcolor="#000000" stroked="false">
              <v:fill type="solid"/>
            </v:rect>
            <v:rect style="position:absolute;left:2155;top:170;width:10;height:10" filled="true" fillcolor="#000000" stroked="false">
              <v:fill type="solid"/>
            </v:rect>
            <v:line style="position:absolute" from="2165,175" to="8781,175" stroked="true" strokeweight=".47998pt" strokecolor="#000000">
              <v:stroke dashstyle="solid"/>
            </v:line>
            <v:rect style="position:absolute;left:8781;top:170;width:10;height:10" filled="true" fillcolor="#000000" stroked="false">
              <v:fill type="solid"/>
            </v:rect>
            <v:rect style="position:absolute;left:8781;top:170;width:10;height:10" filled="true" fillcolor="#000000" stroked="false">
              <v:fill type="solid"/>
            </v:rect>
            <v:line style="position:absolute" from="2160,180" to="2160,3802" stroked="true" strokeweight=".48pt" strokecolor="#000000">
              <v:stroke dashstyle="solid"/>
            </v:line>
            <v:rect style="position:absolute;left:2155;top:3802;width:10;height:10" filled="true" fillcolor="#000000" stroked="false">
              <v:fill type="solid"/>
            </v:rect>
            <v:rect style="position:absolute;left:2155;top:3802;width:10;height:10" filled="true" fillcolor="#000000" stroked="false">
              <v:fill type="solid"/>
            </v:rect>
            <v:line style="position:absolute" from="2165,3807" to="8781,3807" stroked="true" strokeweight=".47998pt" strokecolor="#000000">
              <v:stroke dashstyle="solid"/>
            </v:line>
            <v:line style="position:absolute" from="8786,180" to="8786,3802" stroked="true" strokeweight=".48001pt" strokecolor="#000000">
              <v:stroke dashstyle="solid"/>
            </v:line>
            <v:rect style="position:absolute;left:8781;top:3802;width:10;height:10" filled="true" fillcolor="#000000" stroked="false">
              <v:fill type="solid"/>
            </v:rect>
            <v:rect style="position:absolute;left:8781;top:3802;width:10;height:10" filled="true" fillcolor="#000000" stroked="false">
              <v:fill type="solid"/>
            </v:rect>
            <w10:wrap type="topAndBottom"/>
          </v:group>
        </w:pict>
      </w:r>
    </w:p>
    <w:p>
      <w:pPr>
        <w:spacing w:line="219" w:lineRule="exact" w:before="0"/>
        <w:ind w:left="1248" w:right="0" w:firstLine="0"/>
        <w:jc w:val="left"/>
        <w:rPr>
          <w:sz w:val="22"/>
        </w:rPr>
      </w:pPr>
      <w:bookmarkStart w:name="_bookmark62" w:id="111"/>
      <w:bookmarkEnd w:id="111"/>
      <w:r>
        <w:rPr/>
      </w:r>
      <w:r>
        <w:rPr>
          <w:b/>
          <w:sz w:val="22"/>
        </w:rPr>
        <w:t>Şekil 4.1.2 </w:t>
      </w:r>
      <w:r>
        <w:rPr>
          <w:sz w:val="22"/>
        </w:rPr>
        <w:t>Bireylerin beslenme durumlarının dağılımı</w:t>
      </w:r>
    </w:p>
    <w:p>
      <w:pPr>
        <w:spacing w:after="0" w:line="219" w:lineRule="exact"/>
        <w:jc w:val="left"/>
        <w:rPr>
          <w:sz w:val="22"/>
        </w:rPr>
        <w:sectPr>
          <w:pgSz w:w="11910" w:h="16840"/>
          <w:pgMar w:header="749" w:footer="0" w:top="960" w:bottom="280" w:left="1020" w:right="460"/>
        </w:sectPr>
      </w:pPr>
    </w:p>
    <w:p>
      <w:pPr>
        <w:pStyle w:val="BodyText"/>
        <w:rPr>
          <w:sz w:val="20"/>
        </w:rPr>
      </w:pPr>
    </w:p>
    <w:p>
      <w:pPr>
        <w:pStyle w:val="BodyText"/>
        <w:spacing w:before="5"/>
        <w:rPr>
          <w:sz w:val="19"/>
        </w:rPr>
      </w:pPr>
    </w:p>
    <w:p>
      <w:pPr>
        <w:pStyle w:val="BodyText"/>
        <w:spacing w:line="360" w:lineRule="auto"/>
        <w:ind w:left="1248" w:right="670" w:firstLine="708"/>
        <w:jc w:val="both"/>
      </w:pPr>
      <w:r>
        <w:rPr/>
        <w:t>Bireylerde bası yarası oluşumu ile ilgili risk faktörlerinden inkontinans varlığı incelendiğinde; 58 (%41.4) bireyde inkontinans olmadığı fakat 52 (%37.1) bireyde üriner ve fekal inkontinasın birlikte görüldüğü tespit edilmiştir (Tablo</w:t>
      </w:r>
      <w:r>
        <w:rPr>
          <w:spacing w:val="-13"/>
        </w:rPr>
        <w:t> </w:t>
      </w:r>
      <w:r>
        <w:rPr/>
        <w:t>4.1.4).</w:t>
      </w:r>
    </w:p>
    <w:p>
      <w:pPr>
        <w:pStyle w:val="BodyText"/>
        <w:rPr>
          <w:sz w:val="24"/>
        </w:rPr>
      </w:pPr>
    </w:p>
    <w:p>
      <w:pPr>
        <w:pStyle w:val="BodyText"/>
        <w:spacing w:before="6"/>
        <w:rPr>
          <w:sz w:val="27"/>
        </w:rPr>
      </w:pPr>
    </w:p>
    <w:p>
      <w:pPr>
        <w:spacing w:before="0"/>
        <w:ind w:left="1248" w:right="0" w:firstLine="0"/>
        <w:jc w:val="left"/>
        <w:rPr>
          <w:sz w:val="22"/>
        </w:rPr>
      </w:pPr>
      <w:bookmarkStart w:name="_bookmark63" w:id="112"/>
      <w:bookmarkEnd w:id="112"/>
      <w:r>
        <w:rPr/>
      </w:r>
      <w:r>
        <w:rPr>
          <w:b/>
          <w:sz w:val="22"/>
        </w:rPr>
        <w:t>Tablo 4.1.4 </w:t>
      </w:r>
      <w:r>
        <w:rPr>
          <w:sz w:val="22"/>
        </w:rPr>
        <w:t>Bireylerde inkontinans varlığının incelenmesi</w:t>
      </w:r>
    </w:p>
    <w:p>
      <w:pPr>
        <w:pStyle w:val="BodyText"/>
        <w:spacing w:before="5"/>
      </w:pPr>
    </w:p>
    <w:tbl>
      <w:tblPr>
        <w:tblW w:w="0" w:type="auto"/>
        <w:jc w:val="left"/>
        <w:tblInd w:w="1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43"/>
        <w:gridCol w:w="997"/>
        <w:gridCol w:w="1477"/>
      </w:tblGrid>
      <w:tr>
        <w:trPr>
          <w:trHeight w:val="524" w:hRule="atLeast"/>
        </w:trPr>
        <w:tc>
          <w:tcPr>
            <w:tcW w:w="3643" w:type="dxa"/>
            <w:tcBorders>
              <w:top w:val="single" w:sz="12" w:space="0" w:color="000000"/>
              <w:bottom w:val="single" w:sz="12" w:space="0" w:color="000000"/>
            </w:tcBorders>
          </w:tcPr>
          <w:p>
            <w:pPr>
              <w:pStyle w:val="TableParagraph"/>
              <w:spacing w:before="131"/>
              <w:ind w:left="177"/>
              <w:rPr>
                <w:b/>
                <w:sz w:val="22"/>
              </w:rPr>
            </w:pPr>
            <w:r>
              <w:rPr>
                <w:b/>
                <w:sz w:val="22"/>
              </w:rPr>
              <w:t>İnkontinans</w:t>
            </w:r>
          </w:p>
        </w:tc>
        <w:tc>
          <w:tcPr>
            <w:tcW w:w="997" w:type="dxa"/>
            <w:tcBorders>
              <w:top w:val="single" w:sz="12" w:space="0" w:color="000000"/>
              <w:bottom w:val="single" w:sz="12" w:space="0" w:color="000000"/>
            </w:tcBorders>
          </w:tcPr>
          <w:p>
            <w:pPr>
              <w:pStyle w:val="TableParagraph"/>
              <w:spacing w:before="131"/>
              <w:ind w:left="488"/>
              <w:rPr>
                <w:b/>
                <w:sz w:val="22"/>
              </w:rPr>
            </w:pPr>
            <w:r>
              <w:rPr>
                <w:b/>
                <w:w w:val="100"/>
                <w:sz w:val="22"/>
              </w:rPr>
              <w:t>n</w:t>
            </w:r>
          </w:p>
        </w:tc>
        <w:tc>
          <w:tcPr>
            <w:tcW w:w="1477" w:type="dxa"/>
            <w:tcBorders>
              <w:top w:val="single" w:sz="12" w:space="0" w:color="000000"/>
              <w:bottom w:val="single" w:sz="12" w:space="0" w:color="000000"/>
            </w:tcBorders>
          </w:tcPr>
          <w:p>
            <w:pPr>
              <w:pStyle w:val="TableParagraph"/>
              <w:spacing w:before="131"/>
              <w:ind w:left="451"/>
              <w:rPr>
                <w:b/>
                <w:sz w:val="22"/>
              </w:rPr>
            </w:pPr>
            <w:r>
              <w:rPr>
                <w:b/>
                <w:w w:val="100"/>
                <w:sz w:val="22"/>
              </w:rPr>
              <w:t>%</w:t>
            </w:r>
          </w:p>
        </w:tc>
      </w:tr>
      <w:tr>
        <w:trPr>
          <w:trHeight w:val="527" w:hRule="atLeast"/>
        </w:trPr>
        <w:tc>
          <w:tcPr>
            <w:tcW w:w="3643" w:type="dxa"/>
            <w:tcBorders>
              <w:top w:val="single" w:sz="12" w:space="0" w:color="000000"/>
              <w:bottom w:val="single" w:sz="4" w:space="0" w:color="000000"/>
            </w:tcBorders>
          </w:tcPr>
          <w:p>
            <w:pPr>
              <w:pStyle w:val="TableParagraph"/>
              <w:spacing w:line="252" w:lineRule="exact"/>
              <w:ind w:left="115"/>
              <w:rPr>
                <w:sz w:val="22"/>
              </w:rPr>
            </w:pPr>
            <w:r>
              <w:rPr>
                <w:sz w:val="22"/>
              </w:rPr>
              <w:t>Yok</w:t>
            </w:r>
          </w:p>
        </w:tc>
        <w:tc>
          <w:tcPr>
            <w:tcW w:w="997" w:type="dxa"/>
            <w:tcBorders>
              <w:top w:val="single" w:sz="12" w:space="0" w:color="000000"/>
              <w:bottom w:val="single" w:sz="4" w:space="0" w:color="000000"/>
            </w:tcBorders>
          </w:tcPr>
          <w:p>
            <w:pPr>
              <w:pStyle w:val="TableParagraph"/>
              <w:spacing w:line="252" w:lineRule="exact"/>
              <w:ind w:left="426"/>
              <w:rPr>
                <w:sz w:val="22"/>
              </w:rPr>
            </w:pPr>
            <w:r>
              <w:rPr>
                <w:sz w:val="22"/>
              </w:rPr>
              <w:t>58</w:t>
            </w:r>
          </w:p>
        </w:tc>
        <w:tc>
          <w:tcPr>
            <w:tcW w:w="1477" w:type="dxa"/>
            <w:tcBorders>
              <w:top w:val="single" w:sz="12" w:space="0" w:color="000000"/>
              <w:bottom w:val="single" w:sz="4" w:space="0" w:color="000000"/>
            </w:tcBorders>
          </w:tcPr>
          <w:p>
            <w:pPr>
              <w:pStyle w:val="TableParagraph"/>
              <w:spacing w:line="252" w:lineRule="exact"/>
              <w:ind w:left="326"/>
              <w:rPr>
                <w:sz w:val="22"/>
              </w:rPr>
            </w:pPr>
            <w:r>
              <w:rPr>
                <w:sz w:val="22"/>
              </w:rPr>
              <w:t>41.4</w:t>
            </w:r>
          </w:p>
        </w:tc>
      </w:tr>
      <w:tr>
        <w:trPr>
          <w:trHeight w:val="525" w:hRule="atLeast"/>
        </w:trPr>
        <w:tc>
          <w:tcPr>
            <w:tcW w:w="3643" w:type="dxa"/>
            <w:tcBorders>
              <w:top w:val="single" w:sz="4" w:space="0" w:color="000000"/>
              <w:bottom w:val="single" w:sz="4" w:space="0" w:color="000000"/>
            </w:tcBorders>
          </w:tcPr>
          <w:p>
            <w:pPr>
              <w:pStyle w:val="TableParagraph"/>
              <w:spacing w:line="250" w:lineRule="exact"/>
              <w:ind w:left="115"/>
              <w:rPr>
                <w:sz w:val="22"/>
              </w:rPr>
            </w:pPr>
            <w:r>
              <w:rPr>
                <w:sz w:val="22"/>
              </w:rPr>
              <w:t>Üriner inkontinans varlığı</w:t>
            </w:r>
          </w:p>
        </w:tc>
        <w:tc>
          <w:tcPr>
            <w:tcW w:w="997" w:type="dxa"/>
            <w:tcBorders>
              <w:top w:val="single" w:sz="4" w:space="0" w:color="000000"/>
              <w:bottom w:val="single" w:sz="4" w:space="0" w:color="000000"/>
            </w:tcBorders>
          </w:tcPr>
          <w:p>
            <w:pPr>
              <w:pStyle w:val="TableParagraph"/>
              <w:spacing w:line="250" w:lineRule="exact"/>
              <w:ind w:left="426"/>
              <w:rPr>
                <w:sz w:val="22"/>
              </w:rPr>
            </w:pPr>
            <w:r>
              <w:rPr>
                <w:sz w:val="22"/>
              </w:rPr>
              <w:t>29</w:t>
            </w:r>
          </w:p>
        </w:tc>
        <w:tc>
          <w:tcPr>
            <w:tcW w:w="1477" w:type="dxa"/>
            <w:tcBorders>
              <w:top w:val="single" w:sz="4" w:space="0" w:color="000000"/>
              <w:bottom w:val="single" w:sz="4" w:space="0" w:color="000000"/>
            </w:tcBorders>
          </w:tcPr>
          <w:p>
            <w:pPr>
              <w:pStyle w:val="TableParagraph"/>
              <w:spacing w:line="250" w:lineRule="exact"/>
              <w:ind w:left="326"/>
              <w:rPr>
                <w:sz w:val="22"/>
              </w:rPr>
            </w:pPr>
            <w:r>
              <w:rPr>
                <w:sz w:val="22"/>
              </w:rPr>
              <w:t>20.7</w:t>
            </w:r>
          </w:p>
        </w:tc>
      </w:tr>
      <w:tr>
        <w:trPr>
          <w:trHeight w:val="527" w:hRule="atLeast"/>
        </w:trPr>
        <w:tc>
          <w:tcPr>
            <w:tcW w:w="3643" w:type="dxa"/>
            <w:tcBorders>
              <w:top w:val="single" w:sz="4" w:space="0" w:color="000000"/>
              <w:bottom w:val="single" w:sz="4" w:space="0" w:color="000000"/>
            </w:tcBorders>
          </w:tcPr>
          <w:p>
            <w:pPr>
              <w:pStyle w:val="TableParagraph"/>
              <w:spacing w:line="250" w:lineRule="exact"/>
              <w:ind w:left="115"/>
              <w:rPr>
                <w:sz w:val="22"/>
              </w:rPr>
            </w:pPr>
            <w:r>
              <w:rPr>
                <w:sz w:val="22"/>
              </w:rPr>
              <w:t>Fekal inkontinas varlığı</w:t>
            </w:r>
          </w:p>
        </w:tc>
        <w:tc>
          <w:tcPr>
            <w:tcW w:w="997" w:type="dxa"/>
            <w:tcBorders>
              <w:top w:val="single" w:sz="4" w:space="0" w:color="000000"/>
              <w:bottom w:val="single" w:sz="4" w:space="0" w:color="000000"/>
            </w:tcBorders>
          </w:tcPr>
          <w:p>
            <w:pPr>
              <w:pStyle w:val="TableParagraph"/>
              <w:spacing w:line="250" w:lineRule="exact"/>
              <w:ind w:left="426"/>
              <w:rPr>
                <w:sz w:val="22"/>
              </w:rPr>
            </w:pPr>
            <w:r>
              <w:rPr>
                <w:w w:val="100"/>
                <w:sz w:val="22"/>
              </w:rPr>
              <w:t>1</w:t>
            </w:r>
          </w:p>
        </w:tc>
        <w:tc>
          <w:tcPr>
            <w:tcW w:w="1477" w:type="dxa"/>
            <w:tcBorders>
              <w:top w:val="single" w:sz="4" w:space="0" w:color="000000"/>
              <w:bottom w:val="single" w:sz="4" w:space="0" w:color="000000"/>
            </w:tcBorders>
          </w:tcPr>
          <w:p>
            <w:pPr>
              <w:pStyle w:val="TableParagraph"/>
              <w:spacing w:line="250" w:lineRule="exact"/>
              <w:ind w:left="326"/>
              <w:rPr>
                <w:sz w:val="22"/>
              </w:rPr>
            </w:pPr>
            <w:r>
              <w:rPr>
                <w:sz w:val="22"/>
              </w:rPr>
              <w:t>0.7</w:t>
            </w:r>
          </w:p>
        </w:tc>
      </w:tr>
      <w:tr>
        <w:trPr>
          <w:trHeight w:val="517" w:hRule="atLeast"/>
        </w:trPr>
        <w:tc>
          <w:tcPr>
            <w:tcW w:w="3643" w:type="dxa"/>
            <w:tcBorders>
              <w:top w:val="single" w:sz="4" w:space="0" w:color="000000"/>
              <w:bottom w:val="single" w:sz="12" w:space="0" w:color="000000"/>
            </w:tcBorders>
          </w:tcPr>
          <w:p>
            <w:pPr>
              <w:pStyle w:val="TableParagraph"/>
              <w:spacing w:line="250" w:lineRule="exact"/>
              <w:ind w:left="115"/>
              <w:rPr>
                <w:sz w:val="22"/>
              </w:rPr>
            </w:pPr>
            <w:r>
              <w:rPr>
                <w:sz w:val="22"/>
              </w:rPr>
              <w:t>Üriner + Fekal inkontinas varlığı</w:t>
            </w:r>
          </w:p>
        </w:tc>
        <w:tc>
          <w:tcPr>
            <w:tcW w:w="997" w:type="dxa"/>
            <w:tcBorders>
              <w:top w:val="single" w:sz="4" w:space="0" w:color="000000"/>
              <w:bottom w:val="single" w:sz="12" w:space="0" w:color="000000"/>
            </w:tcBorders>
          </w:tcPr>
          <w:p>
            <w:pPr>
              <w:pStyle w:val="TableParagraph"/>
              <w:spacing w:line="250" w:lineRule="exact"/>
              <w:ind w:left="426"/>
              <w:rPr>
                <w:sz w:val="22"/>
              </w:rPr>
            </w:pPr>
            <w:r>
              <w:rPr>
                <w:sz w:val="22"/>
              </w:rPr>
              <w:t>52</w:t>
            </w:r>
          </w:p>
        </w:tc>
        <w:tc>
          <w:tcPr>
            <w:tcW w:w="1477" w:type="dxa"/>
            <w:tcBorders>
              <w:top w:val="single" w:sz="4" w:space="0" w:color="000000"/>
              <w:bottom w:val="single" w:sz="12" w:space="0" w:color="000000"/>
            </w:tcBorders>
          </w:tcPr>
          <w:p>
            <w:pPr>
              <w:pStyle w:val="TableParagraph"/>
              <w:spacing w:line="250" w:lineRule="exact"/>
              <w:ind w:left="326"/>
              <w:rPr>
                <w:sz w:val="22"/>
              </w:rPr>
            </w:pPr>
            <w:r>
              <w:rPr>
                <w:sz w:val="22"/>
              </w:rPr>
              <w:t>37.1</w:t>
            </w:r>
          </w:p>
        </w:tc>
      </w:tr>
    </w:tbl>
    <w:p>
      <w:pPr>
        <w:pStyle w:val="BodyText"/>
        <w:rPr>
          <w:sz w:val="24"/>
        </w:rPr>
      </w:pPr>
    </w:p>
    <w:p>
      <w:pPr>
        <w:pStyle w:val="BodyText"/>
        <w:rPr>
          <w:sz w:val="24"/>
        </w:rPr>
      </w:pPr>
    </w:p>
    <w:p>
      <w:pPr>
        <w:pStyle w:val="BodyText"/>
        <w:spacing w:line="357" w:lineRule="auto" w:before="206"/>
        <w:ind w:left="1248" w:right="669" w:firstLine="708"/>
        <w:jc w:val="both"/>
      </w:pPr>
      <w:r>
        <w:rPr/>
        <w:t>Bireylerde bası yarası oluşumu ile ilgili risk faktörleri incelendiğinde; 105 (%75) bireyde havalı yatak kullanılmadığı, 96 (%68.6) bireyde pozisyon değişikliğinin yapıldığı ve 79 (%56.4) bireyde cilt bakımının yapıldığı belirlenmiştir (Tablo 4.1.5).</w:t>
      </w:r>
    </w:p>
    <w:p>
      <w:pPr>
        <w:pStyle w:val="BodyText"/>
        <w:rPr>
          <w:sz w:val="24"/>
        </w:rPr>
      </w:pPr>
    </w:p>
    <w:p>
      <w:pPr>
        <w:pStyle w:val="BodyText"/>
        <w:spacing w:before="10"/>
        <w:rPr>
          <w:sz w:val="34"/>
        </w:rPr>
      </w:pPr>
    </w:p>
    <w:p>
      <w:pPr>
        <w:pStyle w:val="BodyText"/>
        <w:ind w:left="1248"/>
      </w:pPr>
      <w:bookmarkStart w:name="_bookmark64" w:id="113"/>
      <w:bookmarkEnd w:id="113"/>
      <w:r>
        <w:rPr/>
      </w:r>
      <w:r>
        <w:rPr>
          <w:b/>
        </w:rPr>
        <w:t>Tablo 4.1.5 </w:t>
      </w:r>
      <w:r>
        <w:rPr/>
        <w:t>Bireylerde bası yarası oluşunu etkileyen risklerin incelenmesi</w:t>
      </w:r>
    </w:p>
    <w:p>
      <w:pPr>
        <w:pStyle w:val="BodyText"/>
        <w:spacing w:before="4" w:after="1"/>
      </w:pPr>
    </w:p>
    <w:p>
      <w:pPr>
        <w:pStyle w:val="BodyText"/>
        <w:spacing w:line="30" w:lineRule="exact"/>
        <w:ind w:left="1125"/>
        <w:rPr>
          <w:sz w:val="3"/>
        </w:rPr>
      </w:pPr>
      <w:r>
        <w:rPr>
          <w:position w:val="0"/>
          <w:sz w:val="3"/>
        </w:rPr>
        <w:pict>
          <v:group style="width:375.7pt;height:1.45pt;mso-position-horizontal-relative:char;mso-position-vertical-relative:line" coordorigin="0,0" coordsize="7514,29">
            <v:line style="position:absolute" from="0,14" to="4112,14" stroked="true" strokeweight="1.44pt" strokecolor="#000000">
              <v:stroke dashstyle="solid"/>
            </v:line>
            <v:rect style="position:absolute;left:4112;top:0;width:29;height:29" filled="true" fillcolor="#000000" stroked="false">
              <v:fill type="solid"/>
            </v:rect>
            <v:line style="position:absolute" from="4141,14" to="5867,14" stroked="true" strokeweight="1.44pt" strokecolor="#000000">
              <v:stroke dashstyle="solid"/>
            </v:line>
            <v:rect style="position:absolute;left:5867;top:0;width:29;height:29" filled="true" fillcolor="#000000" stroked="false">
              <v:fill type="solid"/>
            </v:rect>
            <v:line style="position:absolute" from="5896,14" to="7514,14" stroked="true" strokeweight="1.44pt" strokecolor="#000000">
              <v:stroke dashstyle="solid"/>
            </v:line>
          </v:group>
        </w:pict>
      </w:r>
      <w:r>
        <w:rPr>
          <w:position w:val="0"/>
          <w:sz w:val="3"/>
        </w:rPr>
      </w:r>
    </w:p>
    <w:p>
      <w:pPr>
        <w:spacing w:after="0" w:line="30" w:lineRule="exact"/>
        <w:rPr>
          <w:sz w:val="3"/>
        </w:rPr>
        <w:sectPr>
          <w:pgSz w:w="11910" w:h="16840"/>
          <w:pgMar w:header="749" w:footer="0" w:top="960" w:bottom="280" w:left="1020" w:right="460"/>
        </w:sectPr>
      </w:pPr>
    </w:p>
    <w:p>
      <w:pPr>
        <w:pStyle w:val="Heading1"/>
        <w:spacing w:before="206"/>
      </w:pPr>
      <w:r>
        <w:rPr/>
        <w:pict>
          <v:shape style="position:absolute;margin-left:107.660004pt;margin-top:20.017870pt;width:376.05pt;height:82.8pt;mso-position-horizontal-relative:page;mso-position-vertical-relative:paragraph;z-index:25166745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19"/>
                    <w:gridCol w:w="625"/>
                    <w:gridCol w:w="970"/>
                    <w:gridCol w:w="934"/>
                    <w:gridCol w:w="873"/>
                  </w:tblGrid>
                  <w:tr>
                    <w:trPr>
                      <w:trHeight w:val="390" w:hRule="atLeast"/>
                    </w:trPr>
                    <w:tc>
                      <w:tcPr>
                        <w:tcW w:w="4119" w:type="dxa"/>
                        <w:tcBorders>
                          <w:bottom w:val="single" w:sz="12" w:space="0" w:color="000000"/>
                        </w:tcBorders>
                      </w:tcPr>
                      <w:p>
                        <w:pPr>
                          <w:pStyle w:val="TableParagraph"/>
                          <w:rPr>
                            <w:rFonts w:ascii="Times New Roman"/>
                            <w:sz w:val="22"/>
                          </w:rPr>
                        </w:pPr>
                      </w:p>
                    </w:tc>
                    <w:tc>
                      <w:tcPr>
                        <w:tcW w:w="625" w:type="dxa"/>
                        <w:tcBorders>
                          <w:top w:val="single" w:sz="8" w:space="0" w:color="000000"/>
                          <w:bottom w:val="single" w:sz="12" w:space="0" w:color="000000"/>
                        </w:tcBorders>
                      </w:tcPr>
                      <w:p>
                        <w:pPr>
                          <w:pStyle w:val="TableParagraph"/>
                          <w:spacing w:before="7"/>
                          <w:ind w:right="317"/>
                          <w:jc w:val="right"/>
                          <w:rPr>
                            <w:b/>
                            <w:sz w:val="22"/>
                          </w:rPr>
                        </w:pPr>
                        <w:r>
                          <w:rPr>
                            <w:b/>
                            <w:w w:val="100"/>
                            <w:sz w:val="22"/>
                          </w:rPr>
                          <w:t>n</w:t>
                        </w:r>
                      </w:p>
                    </w:tc>
                    <w:tc>
                      <w:tcPr>
                        <w:tcW w:w="970" w:type="dxa"/>
                        <w:tcBorders>
                          <w:top w:val="single" w:sz="8" w:space="0" w:color="000000"/>
                          <w:bottom w:val="single" w:sz="12" w:space="0" w:color="000000"/>
                        </w:tcBorders>
                      </w:tcPr>
                      <w:p>
                        <w:pPr>
                          <w:pStyle w:val="TableParagraph"/>
                          <w:spacing w:before="7"/>
                          <w:ind w:left="21"/>
                          <w:jc w:val="center"/>
                          <w:rPr>
                            <w:b/>
                            <w:sz w:val="22"/>
                          </w:rPr>
                        </w:pPr>
                        <w:r>
                          <w:rPr>
                            <w:b/>
                            <w:w w:val="100"/>
                            <w:sz w:val="22"/>
                          </w:rPr>
                          <w:t>%</w:t>
                        </w:r>
                      </w:p>
                    </w:tc>
                    <w:tc>
                      <w:tcPr>
                        <w:tcW w:w="934" w:type="dxa"/>
                        <w:tcBorders>
                          <w:top w:val="single" w:sz="8" w:space="0" w:color="000000"/>
                          <w:bottom w:val="single" w:sz="12" w:space="0" w:color="000000"/>
                        </w:tcBorders>
                      </w:tcPr>
                      <w:p>
                        <w:pPr>
                          <w:pStyle w:val="TableParagraph"/>
                          <w:spacing w:before="7"/>
                          <w:ind w:right="10"/>
                          <w:jc w:val="center"/>
                          <w:rPr>
                            <w:b/>
                            <w:sz w:val="22"/>
                          </w:rPr>
                        </w:pPr>
                        <w:r>
                          <w:rPr>
                            <w:b/>
                            <w:w w:val="100"/>
                            <w:sz w:val="22"/>
                          </w:rPr>
                          <w:t>n</w:t>
                        </w:r>
                      </w:p>
                    </w:tc>
                    <w:tc>
                      <w:tcPr>
                        <w:tcW w:w="873" w:type="dxa"/>
                        <w:tcBorders>
                          <w:top w:val="single" w:sz="8" w:space="0" w:color="000000"/>
                          <w:bottom w:val="single" w:sz="12" w:space="0" w:color="000000"/>
                        </w:tcBorders>
                      </w:tcPr>
                      <w:p>
                        <w:pPr>
                          <w:pStyle w:val="TableParagraph"/>
                          <w:spacing w:before="7"/>
                          <w:ind w:left="171"/>
                          <w:jc w:val="center"/>
                          <w:rPr>
                            <w:b/>
                            <w:sz w:val="22"/>
                          </w:rPr>
                        </w:pPr>
                        <w:r>
                          <w:rPr>
                            <w:b/>
                            <w:w w:val="100"/>
                            <w:sz w:val="22"/>
                          </w:rPr>
                          <w:t>%</w:t>
                        </w:r>
                      </w:p>
                    </w:tc>
                  </w:tr>
                  <w:tr>
                    <w:trPr>
                      <w:trHeight w:val="378" w:hRule="atLeast"/>
                    </w:trPr>
                    <w:tc>
                      <w:tcPr>
                        <w:tcW w:w="4119" w:type="dxa"/>
                        <w:tcBorders>
                          <w:top w:val="single" w:sz="12" w:space="0" w:color="000000"/>
                          <w:bottom w:val="single" w:sz="4" w:space="0" w:color="000000"/>
                        </w:tcBorders>
                      </w:tcPr>
                      <w:p>
                        <w:pPr>
                          <w:pStyle w:val="TableParagraph"/>
                          <w:spacing w:line="250" w:lineRule="exact"/>
                          <w:ind w:left="115"/>
                          <w:rPr>
                            <w:sz w:val="22"/>
                          </w:rPr>
                        </w:pPr>
                        <w:r>
                          <w:rPr>
                            <w:sz w:val="22"/>
                          </w:rPr>
                          <w:t>Havalı yatak kullanımı</w:t>
                        </w:r>
                      </w:p>
                    </w:tc>
                    <w:tc>
                      <w:tcPr>
                        <w:tcW w:w="625" w:type="dxa"/>
                        <w:tcBorders>
                          <w:top w:val="single" w:sz="12" w:space="0" w:color="000000"/>
                          <w:bottom w:val="single" w:sz="4" w:space="0" w:color="000000"/>
                        </w:tcBorders>
                      </w:tcPr>
                      <w:p>
                        <w:pPr>
                          <w:pStyle w:val="TableParagraph"/>
                          <w:spacing w:line="250" w:lineRule="exact"/>
                          <w:ind w:right="269"/>
                          <w:jc w:val="right"/>
                          <w:rPr>
                            <w:sz w:val="22"/>
                          </w:rPr>
                        </w:pPr>
                        <w:r>
                          <w:rPr>
                            <w:sz w:val="22"/>
                          </w:rPr>
                          <w:t>34</w:t>
                        </w:r>
                      </w:p>
                    </w:tc>
                    <w:tc>
                      <w:tcPr>
                        <w:tcW w:w="970" w:type="dxa"/>
                        <w:tcBorders>
                          <w:top w:val="single" w:sz="12" w:space="0" w:color="000000"/>
                          <w:bottom w:val="single" w:sz="4" w:space="0" w:color="000000"/>
                        </w:tcBorders>
                      </w:tcPr>
                      <w:p>
                        <w:pPr>
                          <w:pStyle w:val="TableParagraph"/>
                          <w:spacing w:line="250" w:lineRule="exact"/>
                          <w:ind w:left="253" w:right="248"/>
                          <w:jc w:val="center"/>
                          <w:rPr>
                            <w:sz w:val="22"/>
                          </w:rPr>
                        </w:pPr>
                        <w:r>
                          <w:rPr>
                            <w:sz w:val="22"/>
                          </w:rPr>
                          <w:t>24.3</w:t>
                        </w:r>
                      </w:p>
                    </w:tc>
                    <w:tc>
                      <w:tcPr>
                        <w:tcW w:w="934" w:type="dxa"/>
                        <w:tcBorders>
                          <w:top w:val="single" w:sz="12" w:space="0" w:color="000000"/>
                          <w:bottom w:val="single" w:sz="4" w:space="0" w:color="000000"/>
                        </w:tcBorders>
                      </w:tcPr>
                      <w:p>
                        <w:pPr>
                          <w:pStyle w:val="TableParagraph"/>
                          <w:spacing w:line="250" w:lineRule="exact"/>
                          <w:ind w:left="268"/>
                          <w:rPr>
                            <w:sz w:val="22"/>
                          </w:rPr>
                        </w:pPr>
                        <w:r>
                          <w:rPr>
                            <w:sz w:val="22"/>
                          </w:rPr>
                          <w:t>105</w:t>
                        </w:r>
                      </w:p>
                    </w:tc>
                    <w:tc>
                      <w:tcPr>
                        <w:tcW w:w="873" w:type="dxa"/>
                        <w:tcBorders>
                          <w:top w:val="single" w:sz="12" w:space="0" w:color="000000"/>
                          <w:bottom w:val="single" w:sz="4" w:space="0" w:color="000000"/>
                        </w:tcBorders>
                      </w:tcPr>
                      <w:p>
                        <w:pPr>
                          <w:pStyle w:val="TableParagraph"/>
                          <w:spacing w:line="250" w:lineRule="exact"/>
                          <w:ind w:left="279" w:right="124"/>
                          <w:jc w:val="center"/>
                          <w:rPr>
                            <w:sz w:val="22"/>
                          </w:rPr>
                        </w:pPr>
                        <w:r>
                          <w:rPr>
                            <w:sz w:val="22"/>
                          </w:rPr>
                          <w:t>75.0</w:t>
                        </w:r>
                      </w:p>
                    </w:tc>
                  </w:tr>
                  <w:tr>
                    <w:trPr>
                      <w:trHeight w:val="381" w:hRule="atLeast"/>
                    </w:trPr>
                    <w:tc>
                      <w:tcPr>
                        <w:tcW w:w="4119" w:type="dxa"/>
                        <w:tcBorders>
                          <w:top w:val="single" w:sz="4" w:space="0" w:color="000000"/>
                          <w:bottom w:val="single" w:sz="4" w:space="0" w:color="000000"/>
                        </w:tcBorders>
                      </w:tcPr>
                      <w:p>
                        <w:pPr>
                          <w:pStyle w:val="TableParagraph"/>
                          <w:ind w:left="115"/>
                          <w:rPr>
                            <w:sz w:val="22"/>
                          </w:rPr>
                        </w:pPr>
                        <w:r>
                          <w:rPr>
                            <w:sz w:val="22"/>
                          </w:rPr>
                          <w:t>Pozisyon değişikliğinin yapılması</w:t>
                        </w:r>
                      </w:p>
                    </w:tc>
                    <w:tc>
                      <w:tcPr>
                        <w:tcW w:w="625" w:type="dxa"/>
                        <w:tcBorders>
                          <w:top w:val="single" w:sz="4" w:space="0" w:color="000000"/>
                          <w:bottom w:val="single" w:sz="4" w:space="0" w:color="000000"/>
                        </w:tcBorders>
                      </w:tcPr>
                      <w:p>
                        <w:pPr>
                          <w:pStyle w:val="TableParagraph"/>
                          <w:ind w:right="269"/>
                          <w:jc w:val="right"/>
                          <w:rPr>
                            <w:sz w:val="22"/>
                          </w:rPr>
                        </w:pPr>
                        <w:r>
                          <w:rPr>
                            <w:sz w:val="22"/>
                          </w:rPr>
                          <w:t>96</w:t>
                        </w:r>
                      </w:p>
                    </w:tc>
                    <w:tc>
                      <w:tcPr>
                        <w:tcW w:w="970" w:type="dxa"/>
                        <w:tcBorders>
                          <w:top w:val="single" w:sz="4" w:space="0" w:color="000000"/>
                          <w:bottom w:val="single" w:sz="4" w:space="0" w:color="000000"/>
                        </w:tcBorders>
                      </w:tcPr>
                      <w:p>
                        <w:pPr>
                          <w:pStyle w:val="TableParagraph"/>
                          <w:ind w:left="253" w:right="248"/>
                          <w:jc w:val="center"/>
                          <w:rPr>
                            <w:sz w:val="22"/>
                          </w:rPr>
                        </w:pPr>
                        <w:r>
                          <w:rPr>
                            <w:sz w:val="22"/>
                          </w:rPr>
                          <w:t>68.6</w:t>
                        </w:r>
                      </w:p>
                    </w:tc>
                    <w:tc>
                      <w:tcPr>
                        <w:tcW w:w="934" w:type="dxa"/>
                        <w:tcBorders>
                          <w:top w:val="single" w:sz="4" w:space="0" w:color="000000"/>
                          <w:bottom w:val="single" w:sz="4" w:space="0" w:color="000000"/>
                        </w:tcBorders>
                      </w:tcPr>
                      <w:p>
                        <w:pPr>
                          <w:pStyle w:val="TableParagraph"/>
                          <w:ind w:left="268"/>
                          <w:rPr>
                            <w:sz w:val="22"/>
                          </w:rPr>
                        </w:pPr>
                        <w:r>
                          <w:rPr>
                            <w:sz w:val="22"/>
                          </w:rPr>
                          <w:t>44</w:t>
                        </w:r>
                      </w:p>
                    </w:tc>
                    <w:tc>
                      <w:tcPr>
                        <w:tcW w:w="873" w:type="dxa"/>
                        <w:tcBorders>
                          <w:top w:val="single" w:sz="4" w:space="0" w:color="000000"/>
                          <w:bottom w:val="single" w:sz="4" w:space="0" w:color="000000"/>
                        </w:tcBorders>
                      </w:tcPr>
                      <w:p>
                        <w:pPr>
                          <w:pStyle w:val="TableParagraph"/>
                          <w:ind w:left="279" w:right="124"/>
                          <w:jc w:val="center"/>
                          <w:rPr>
                            <w:sz w:val="22"/>
                          </w:rPr>
                        </w:pPr>
                        <w:r>
                          <w:rPr>
                            <w:sz w:val="22"/>
                          </w:rPr>
                          <w:t>31.4</w:t>
                        </w:r>
                      </w:p>
                    </w:tc>
                  </w:tr>
                  <w:tr>
                    <w:trPr>
                      <w:trHeight w:val="380" w:hRule="atLeast"/>
                    </w:trPr>
                    <w:tc>
                      <w:tcPr>
                        <w:tcW w:w="4119" w:type="dxa"/>
                        <w:tcBorders>
                          <w:top w:val="single" w:sz="4" w:space="0" w:color="000000"/>
                          <w:bottom w:val="single" w:sz="18" w:space="0" w:color="000000"/>
                        </w:tcBorders>
                      </w:tcPr>
                      <w:p>
                        <w:pPr>
                          <w:pStyle w:val="TableParagraph"/>
                          <w:spacing w:line="250" w:lineRule="exact"/>
                          <w:ind w:left="115"/>
                          <w:rPr>
                            <w:sz w:val="22"/>
                          </w:rPr>
                        </w:pPr>
                        <w:r>
                          <w:rPr>
                            <w:sz w:val="22"/>
                          </w:rPr>
                          <w:t>Cilt bakımının yapılması</w:t>
                        </w:r>
                      </w:p>
                    </w:tc>
                    <w:tc>
                      <w:tcPr>
                        <w:tcW w:w="625" w:type="dxa"/>
                        <w:tcBorders>
                          <w:top w:val="single" w:sz="4" w:space="0" w:color="000000"/>
                          <w:bottom w:val="single" w:sz="18" w:space="0" w:color="000000"/>
                        </w:tcBorders>
                      </w:tcPr>
                      <w:p>
                        <w:pPr>
                          <w:pStyle w:val="TableParagraph"/>
                          <w:spacing w:line="250" w:lineRule="exact"/>
                          <w:ind w:right="269"/>
                          <w:jc w:val="right"/>
                          <w:rPr>
                            <w:sz w:val="22"/>
                          </w:rPr>
                        </w:pPr>
                        <w:r>
                          <w:rPr>
                            <w:sz w:val="22"/>
                          </w:rPr>
                          <w:t>79</w:t>
                        </w:r>
                      </w:p>
                    </w:tc>
                    <w:tc>
                      <w:tcPr>
                        <w:tcW w:w="970" w:type="dxa"/>
                        <w:tcBorders>
                          <w:top w:val="single" w:sz="4" w:space="0" w:color="000000"/>
                          <w:bottom w:val="single" w:sz="18" w:space="0" w:color="000000"/>
                        </w:tcBorders>
                      </w:tcPr>
                      <w:p>
                        <w:pPr>
                          <w:pStyle w:val="TableParagraph"/>
                          <w:spacing w:line="250" w:lineRule="exact"/>
                          <w:ind w:left="253" w:right="248"/>
                          <w:jc w:val="center"/>
                          <w:rPr>
                            <w:sz w:val="22"/>
                          </w:rPr>
                        </w:pPr>
                        <w:r>
                          <w:rPr>
                            <w:sz w:val="22"/>
                          </w:rPr>
                          <w:t>56.4</w:t>
                        </w:r>
                      </w:p>
                    </w:tc>
                    <w:tc>
                      <w:tcPr>
                        <w:tcW w:w="934" w:type="dxa"/>
                        <w:tcBorders>
                          <w:top w:val="single" w:sz="4" w:space="0" w:color="000000"/>
                          <w:bottom w:val="single" w:sz="18" w:space="0" w:color="000000"/>
                        </w:tcBorders>
                      </w:tcPr>
                      <w:p>
                        <w:pPr>
                          <w:pStyle w:val="TableParagraph"/>
                          <w:spacing w:line="250" w:lineRule="exact"/>
                          <w:ind w:left="268"/>
                          <w:rPr>
                            <w:sz w:val="22"/>
                          </w:rPr>
                        </w:pPr>
                        <w:r>
                          <w:rPr>
                            <w:sz w:val="22"/>
                          </w:rPr>
                          <w:t>61</w:t>
                        </w:r>
                      </w:p>
                    </w:tc>
                    <w:tc>
                      <w:tcPr>
                        <w:tcW w:w="873" w:type="dxa"/>
                        <w:tcBorders>
                          <w:top w:val="single" w:sz="4" w:space="0" w:color="000000"/>
                          <w:bottom w:val="single" w:sz="18" w:space="0" w:color="000000"/>
                        </w:tcBorders>
                      </w:tcPr>
                      <w:p>
                        <w:pPr>
                          <w:pStyle w:val="TableParagraph"/>
                          <w:spacing w:line="250" w:lineRule="exact"/>
                          <w:ind w:left="279" w:right="124"/>
                          <w:jc w:val="center"/>
                          <w:rPr>
                            <w:sz w:val="22"/>
                          </w:rPr>
                        </w:pPr>
                        <w:r>
                          <w:rPr>
                            <w:sz w:val="22"/>
                          </w:rPr>
                          <w:t>43.6</w:t>
                        </w:r>
                      </w:p>
                    </w:tc>
                  </w:tr>
                </w:tbl>
                <w:p>
                  <w:pPr>
                    <w:pStyle w:val="BodyText"/>
                  </w:pPr>
                </w:p>
              </w:txbxContent>
            </v:textbox>
            <w10:wrap type="none"/>
          </v:shape>
        </w:pict>
      </w:r>
      <w:r>
        <w:rPr/>
        <w:t>Değişkenler</w:t>
      </w:r>
    </w:p>
    <w:p>
      <w:pPr>
        <w:tabs>
          <w:tab w:pos="3065" w:val="left" w:leader="none"/>
        </w:tabs>
        <w:spacing w:line="250" w:lineRule="exact" w:before="0"/>
        <w:ind w:left="1248" w:right="0" w:firstLine="0"/>
        <w:jc w:val="left"/>
        <w:rPr>
          <w:b/>
          <w:sz w:val="22"/>
        </w:rPr>
      </w:pPr>
      <w:r>
        <w:rPr/>
        <w:br w:type="column"/>
      </w:r>
      <w:r>
        <w:rPr>
          <w:b/>
          <w:sz w:val="22"/>
        </w:rPr>
        <w:t>Var</w:t>
        <w:tab/>
        <w:t>Yok</w:t>
      </w:r>
    </w:p>
    <w:p>
      <w:pPr>
        <w:spacing w:after="0" w:line="250" w:lineRule="exact"/>
        <w:jc w:val="left"/>
        <w:rPr>
          <w:sz w:val="22"/>
        </w:rPr>
        <w:sectPr>
          <w:type w:val="continuous"/>
          <w:pgSz w:w="11910" w:h="16840"/>
          <w:pgMar w:top="1580" w:bottom="280" w:left="1020" w:right="460"/>
          <w:cols w:num="2" w:equalWidth="0">
            <w:col w:w="2539" w:space="1881"/>
            <w:col w:w="6010"/>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5"/>
        </w:rPr>
      </w:pPr>
    </w:p>
    <w:p>
      <w:pPr>
        <w:pStyle w:val="BodyText"/>
        <w:spacing w:line="357" w:lineRule="auto" w:before="94"/>
        <w:ind w:left="1248" w:right="669" w:firstLine="708"/>
        <w:jc w:val="both"/>
      </w:pPr>
      <w:r>
        <w:rPr/>
        <w:t>Bireylerde kas tonusu ile ilgili değişiklikler incelendiğinde; üst ekstremitede 93 (%66.4) bireyde kas tonusunun normal olduğu, 22 (%15.7) bireyde kas tonusunun arttığı ve 25 (%17.9) bireyde kas tonusunun azaldığı bulunmuştur (Tablo 4.1.6).</w:t>
      </w:r>
    </w:p>
    <w:p>
      <w:pPr>
        <w:pStyle w:val="BodyText"/>
        <w:spacing w:line="357" w:lineRule="auto" w:before="168"/>
        <w:ind w:left="1248" w:right="669" w:firstLine="708"/>
        <w:jc w:val="both"/>
      </w:pPr>
      <w:r>
        <w:rPr/>
        <w:t>Alt ekstremitede 92 (%65.7) bireyde kas tonusunun normal olduğu, 20 (%14.3) bireyde kas tonusunun arttığı ve 28 (%20) bireyde kas tonusunun azaldığı bulunmuştur (Tablo 4.1.6).</w:t>
      </w:r>
    </w:p>
    <w:p>
      <w:pPr>
        <w:spacing w:after="0" w:line="357" w:lineRule="auto"/>
        <w:jc w:val="both"/>
        <w:sectPr>
          <w:type w:val="continuous"/>
          <w:pgSz w:w="11910" w:h="16840"/>
          <w:pgMar w:top="1580" w:bottom="280" w:left="1020" w:right="460"/>
        </w:sectPr>
      </w:pPr>
    </w:p>
    <w:p>
      <w:pPr>
        <w:pStyle w:val="BodyText"/>
        <w:rPr>
          <w:sz w:val="20"/>
        </w:rPr>
      </w:pPr>
    </w:p>
    <w:p>
      <w:pPr>
        <w:pStyle w:val="BodyText"/>
        <w:spacing w:before="2"/>
        <w:rPr>
          <w:sz w:val="19"/>
        </w:rPr>
      </w:pPr>
    </w:p>
    <w:p>
      <w:pPr>
        <w:pStyle w:val="BodyText"/>
        <w:ind w:left="1248"/>
      </w:pPr>
      <w:bookmarkStart w:name="_bookmark65" w:id="114"/>
      <w:bookmarkEnd w:id="114"/>
      <w:r>
        <w:rPr/>
      </w:r>
      <w:r>
        <w:rPr>
          <w:b/>
        </w:rPr>
        <w:t>Tablo 4.1.6 </w:t>
      </w:r>
      <w:r>
        <w:rPr/>
        <w:t>Bireylerde kas tonusu değişikliklerinin incelenmesi</w:t>
      </w:r>
    </w:p>
    <w:p>
      <w:pPr>
        <w:pStyle w:val="BodyText"/>
        <w:spacing w:before="6"/>
      </w:pPr>
    </w:p>
    <w:tbl>
      <w:tblPr>
        <w:tblW w:w="0" w:type="auto"/>
        <w:jc w:val="left"/>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00"/>
        <w:gridCol w:w="1026"/>
        <w:gridCol w:w="1405"/>
        <w:gridCol w:w="818"/>
        <w:gridCol w:w="1243"/>
      </w:tblGrid>
      <w:tr>
        <w:trPr>
          <w:trHeight w:val="335" w:hRule="atLeast"/>
        </w:trPr>
        <w:tc>
          <w:tcPr>
            <w:tcW w:w="2000" w:type="dxa"/>
            <w:vMerge w:val="restart"/>
            <w:tcBorders>
              <w:top w:val="single" w:sz="12" w:space="0" w:color="000000"/>
              <w:bottom w:val="single" w:sz="12" w:space="0" w:color="000000"/>
            </w:tcBorders>
          </w:tcPr>
          <w:p>
            <w:pPr>
              <w:pStyle w:val="TableParagraph"/>
              <w:ind w:left="115" w:right="507"/>
              <w:rPr>
                <w:b/>
                <w:sz w:val="22"/>
              </w:rPr>
            </w:pPr>
            <w:r>
              <w:rPr>
                <w:b/>
                <w:sz w:val="22"/>
              </w:rPr>
              <w:t>Kas Tonus Değişiklikleri</w:t>
            </w:r>
          </w:p>
        </w:tc>
        <w:tc>
          <w:tcPr>
            <w:tcW w:w="2431" w:type="dxa"/>
            <w:gridSpan w:val="2"/>
            <w:tcBorders>
              <w:top w:val="single" w:sz="12" w:space="0" w:color="000000"/>
            </w:tcBorders>
          </w:tcPr>
          <w:p>
            <w:pPr>
              <w:pStyle w:val="TableParagraph"/>
              <w:spacing w:line="250" w:lineRule="exact"/>
              <w:ind w:left="525"/>
              <w:rPr>
                <w:b/>
                <w:sz w:val="22"/>
              </w:rPr>
            </w:pPr>
            <w:r>
              <w:rPr>
                <w:b/>
                <w:sz w:val="22"/>
              </w:rPr>
              <w:t>Üst Ekstremite</w:t>
            </w:r>
          </w:p>
        </w:tc>
        <w:tc>
          <w:tcPr>
            <w:tcW w:w="2061" w:type="dxa"/>
            <w:gridSpan w:val="2"/>
            <w:tcBorders>
              <w:top w:val="single" w:sz="12" w:space="0" w:color="000000"/>
            </w:tcBorders>
          </w:tcPr>
          <w:p>
            <w:pPr>
              <w:pStyle w:val="TableParagraph"/>
              <w:spacing w:line="250" w:lineRule="exact"/>
              <w:ind w:left="362"/>
              <w:rPr>
                <w:b/>
                <w:sz w:val="22"/>
              </w:rPr>
            </w:pPr>
            <w:r>
              <w:rPr>
                <w:b/>
                <w:sz w:val="22"/>
              </w:rPr>
              <w:t>Alt Ekstremite</w:t>
            </w:r>
          </w:p>
        </w:tc>
      </w:tr>
      <w:tr>
        <w:trPr>
          <w:trHeight w:val="418" w:hRule="atLeast"/>
        </w:trPr>
        <w:tc>
          <w:tcPr>
            <w:tcW w:w="2000" w:type="dxa"/>
            <w:vMerge/>
            <w:tcBorders>
              <w:top w:val="nil"/>
              <w:bottom w:val="single" w:sz="12" w:space="0" w:color="000000"/>
            </w:tcBorders>
          </w:tcPr>
          <w:p>
            <w:pPr>
              <w:rPr>
                <w:sz w:val="2"/>
                <w:szCs w:val="2"/>
              </w:rPr>
            </w:pPr>
          </w:p>
        </w:tc>
        <w:tc>
          <w:tcPr>
            <w:tcW w:w="1026" w:type="dxa"/>
            <w:tcBorders>
              <w:bottom w:val="single" w:sz="12" w:space="0" w:color="000000"/>
            </w:tcBorders>
          </w:tcPr>
          <w:p>
            <w:pPr>
              <w:pStyle w:val="TableParagraph"/>
              <w:tabs>
                <w:tab w:pos="4541" w:val="left" w:leader="none"/>
              </w:tabs>
              <w:spacing w:line="108" w:lineRule="exact"/>
              <w:ind w:left="417" w:right="-3528"/>
              <w:rPr>
                <w:rFonts w:ascii="Times New Roman"/>
                <w:sz w:val="22"/>
              </w:rPr>
            </w:pPr>
            <w:r>
              <w:rPr>
                <w:rFonts w:ascii="Times New Roman"/>
                <w:w w:val="100"/>
                <w:sz w:val="22"/>
                <w:u w:val="single"/>
              </w:rPr>
              <w:t> </w:t>
            </w:r>
            <w:r>
              <w:rPr>
                <w:rFonts w:ascii="Times New Roman"/>
                <w:sz w:val="22"/>
                <w:u w:val="single"/>
              </w:rPr>
              <w:tab/>
            </w:r>
          </w:p>
          <w:p>
            <w:pPr>
              <w:pStyle w:val="TableParagraph"/>
              <w:spacing w:line="223" w:lineRule="exact"/>
              <w:ind w:left="525"/>
              <w:rPr>
                <w:b/>
                <w:sz w:val="22"/>
              </w:rPr>
            </w:pPr>
            <w:r>
              <w:rPr>
                <w:b/>
                <w:w w:val="100"/>
                <w:sz w:val="22"/>
              </w:rPr>
              <w:t>n</w:t>
            </w:r>
          </w:p>
        </w:tc>
        <w:tc>
          <w:tcPr>
            <w:tcW w:w="1405" w:type="dxa"/>
            <w:tcBorders>
              <w:bottom w:val="single" w:sz="12" w:space="0" w:color="000000"/>
            </w:tcBorders>
          </w:tcPr>
          <w:p>
            <w:pPr>
              <w:pStyle w:val="TableParagraph"/>
              <w:spacing w:before="78"/>
              <w:ind w:left="255"/>
              <w:rPr>
                <w:b/>
                <w:sz w:val="22"/>
              </w:rPr>
            </w:pPr>
            <w:r>
              <w:rPr>
                <w:b/>
                <w:w w:val="100"/>
                <w:sz w:val="22"/>
              </w:rPr>
              <w:t>%</w:t>
            </w:r>
          </w:p>
        </w:tc>
        <w:tc>
          <w:tcPr>
            <w:tcW w:w="818" w:type="dxa"/>
            <w:tcBorders>
              <w:bottom w:val="single" w:sz="12" w:space="0" w:color="000000"/>
            </w:tcBorders>
          </w:tcPr>
          <w:p>
            <w:pPr>
              <w:pStyle w:val="TableParagraph"/>
              <w:spacing w:before="78"/>
              <w:ind w:left="362"/>
              <w:rPr>
                <w:b/>
                <w:sz w:val="22"/>
              </w:rPr>
            </w:pPr>
            <w:r>
              <w:rPr>
                <w:b/>
                <w:w w:val="100"/>
                <w:sz w:val="22"/>
              </w:rPr>
              <w:t>n</w:t>
            </w:r>
          </w:p>
        </w:tc>
        <w:tc>
          <w:tcPr>
            <w:tcW w:w="1243" w:type="dxa"/>
            <w:tcBorders>
              <w:bottom w:val="single" w:sz="12" w:space="0" w:color="000000"/>
            </w:tcBorders>
          </w:tcPr>
          <w:p>
            <w:pPr>
              <w:pStyle w:val="TableParagraph"/>
              <w:spacing w:before="78"/>
              <w:ind w:left="209"/>
              <w:rPr>
                <w:b/>
                <w:sz w:val="22"/>
              </w:rPr>
            </w:pPr>
            <w:r>
              <w:rPr>
                <w:b/>
                <w:w w:val="100"/>
                <w:sz w:val="22"/>
              </w:rPr>
              <w:t>%</w:t>
            </w:r>
          </w:p>
        </w:tc>
      </w:tr>
      <w:tr>
        <w:trPr>
          <w:trHeight w:val="493" w:hRule="atLeast"/>
        </w:trPr>
        <w:tc>
          <w:tcPr>
            <w:tcW w:w="2000" w:type="dxa"/>
            <w:tcBorders>
              <w:top w:val="single" w:sz="12" w:space="0" w:color="000000"/>
              <w:bottom w:val="single" w:sz="4" w:space="0" w:color="000000"/>
            </w:tcBorders>
          </w:tcPr>
          <w:p>
            <w:pPr>
              <w:pStyle w:val="TableParagraph"/>
              <w:spacing w:line="250" w:lineRule="exact"/>
              <w:ind w:left="115"/>
              <w:rPr>
                <w:sz w:val="22"/>
              </w:rPr>
            </w:pPr>
            <w:r>
              <w:rPr>
                <w:sz w:val="22"/>
              </w:rPr>
              <w:t>Normal</w:t>
            </w:r>
          </w:p>
        </w:tc>
        <w:tc>
          <w:tcPr>
            <w:tcW w:w="1026" w:type="dxa"/>
            <w:tcBorders>
              <w:top w:val="single" w:sz="12" w:space="0" w:color="000000"/>
              <w:bottom w:val="single" w:sz="4" w:space="0" w:color="000000"/>
            </w:tcBorders>
          </w:tcPr>
          <w:p>
            <w:pPr>
              <w:pStyle w:val="TableParagraph"/>
              <w:spacing w:line="250" w:lineRule="exact"/>
              <w:ind w:right="253"/>
              <w:jc w:val="right"/>
              <w:rPr>
                <w:sz w:val="22"/>
              </w:rPr>
            </w:pPr>
            <w:r>
              <w:rPr>
                <w:sz w:val="22"/>
              </w:rPr>
              <w:t>93</w:t>
            </w:r>
          </w:p>
        </w:tc>
        <w:tc>
          <w:tcPr>
            <w:tcW w:w="1405" w:type="dxa"/>
            <w:tcBorders>
              <w:top w:val="single" w:sz="12" w:space="0" w:color="000000"/>
              <w:bottom w:val="single" w:sz="4" w:space="0" w:color="000000"/>
            </w:tcBorders>
          </w:tcPr>
          <w:p>
            <w:pPr>
              <w:pStyle w:val="TableParagraph"/>
              <w:spacing w:line="250" w:lineRule="exact"/>
              <w:ind w:left="255"/>
              <w:rPr>
                <w:sz w:val="22"/>
              </w:rPr>
            </w:pPr>
            <w:r>
              <w:rPr>
                <w:sz w:val="22"/>
              </w:rPr>
              <w:t>66,4</w:t>
            </w:r>
          </w:p>
        </w:tc>
        <w:tc>
          <w:tcPr>
            <w:tcW w:w="818" w:type="dxa"/>
            <w:tcBorders>
              <w:top w:val="single" w:sz="12" w:space="0" w:color="000000"/>
              <w:bottom w:val="single" w:sz="4" w:space="0" w:color="000000"/>
            </w:tcBorders>
          </w:tcPr>
          <w:p>
            <w:pPr>
              <w:pStyle w:val="TableParagraph"/>
              <w:spacing w:line="250" w:lineRule="exact"/>
              <w:ind w:left="362"/>
              <w:rPr>
                <w:sz w:val="22"/>
              </w:rPr>
            </w:pPr>
            <w:r>
              <w:rPr>
                <w:sz w:val="22"/>
              </w:rPr>
              <w:t>92</w:t>
            </w:r>
          </w:p>
        </w:tc>
        <w:tc>
          <w:tcPr>
            <w:tcW w:w="1243" w:type="dxa"/>
            <w:tcBorders>
              <w:top w:val="single" w:sz="12" w:space="0" w:color="000000"/>
              <w:bottom w:val="single" w:sz="4" w:space="0" w:color="000000"/>
            </w:tcBorders>
          </w:tcPr>
          <w:p>
            <w:pPr>
              <w:pStyle w:val="TableParagraph"/>
              <w:spacing w:line="250" w:lineRule="exact"/>
              <w:ind w:left="209"/>
              <w:rPr>
                <w:sz w:val="22"/>
              </w:rPr>
            </w:pPr>
            <w:r>
              <w:rPr>
                <w:sz w:val="22"/>
              </w:rPr>
              <w:t>65,7</w:t>
            </w:r>
          </w:p>
        </w:tc>
      </w:tr>
      <w:tr>
        <w:trPr>
          <w:trHeight w:val="491" w:hRule="atLeast"/>
        </w:trPr>
        <w:tc>
          <w:tcPr>
            <w:tcW w:w="2000" w:type="dxa"/>
            <w:tcBorders>
              <w:top w:val="single" w:sz="4" w:space="0" w:color="000000"/>
              <w:bottom w:val="single" w:sz="4" w:space="0" w:color="000000"/>
            </w:tcBorders>
          </w:tcPr>
          <w:p>
            <w:pPr>
              <w:pStyle w:val="TableParagraph"/>
              <w:spacing w:line="250" w:lineRule="exact"/>
              <w:ind w:left="115"/>
              <w:rPr>
                <w:sz w:val="22"/>
              </w:rPr>
            </w:pPr>
            <w:r>
              <w:rPr>
                <w:sz w:val="22"/>
              </w:rPr>
              <w:t>Artmış</w:t>
            </w:r>
          </w:p>
        </w:tc>
        <w:tc>
          <w:tcPr>
            <w:tcW w:w="1026" w:type="dxa"/>
            <w:tcBorders>
              <w:top w:val="single" w:sz="4" w:space="0" w:color="000000"/>
              <w:bottom w:val="single" w:sz="4" w:space="0" w:color="000000"/>
            </w:tcBorders>
          </w:tcPr>
          <w:p>
            <w:pPr>
              <w:pStyle w:val="TableParagraph"/>
              <w:spacing w:line="250" w:lineRule="exact"/>
              <w:ind w:right="253"/>
              <w:jc w:val="right"/>
              <w:rPr>
                <w:sz w:val="22"/>
              </w:rPr>
            </w:pPr>
            <w:r>
              <w:rPr>
                <w:sz w:val="22"/>
              </w:rPr>
              <w:t>22</w:t>
            </w:r>
          </w:p>
        </w:tc>
        <w:tc>
          <w:tcPr>
            <w:tcW w:w="1405" w:type="dxa"/>
            <w:tcBorders>
              <w:top w:val="single" w:sz="4" w:space="0" w:color="000000"/>
              <w:bottom w:val="single" w:sz="4" w:space="0" w:color="000000"/>
            </w:tcBorders>
          </w:tcPr>
          <w:p>
            <w:pPr>
              <w:pStyle w:val="TableParagraph"/>
              <w:spacing w:line="250" w:lineRule="exact"/>
              <w:ind w:left="255"/>
              <w:rPr>
                <w:sz w:val="22"/>
              </w:rPr>
            </w:pPr>
            <w:r>
              <w:rPr>
                <w:sz w:val="22"/>
              </w:rPr>
              <w:t>15,7</w:t>
            </w:r>
          </w:p>
        </w:tc>
        <w:tc>
          <w:tcPr>
            <w:tcW w:w="818" w:type="dxa"/>
            <w:tcBorders>
              <w:top w:val="single" w:sz="4" w:space="0" w:color="000000"/>
              <w:bottom w:val="single" w:sz="4" w:space="0" w:color="000000"/>
            </w:tcBorders>
          </w:tcPr>
          <w:p>
            <w:pPr>
              <w:pStyle w:val="TableParagraph"/>
              <w:spacing w:line="250" w:lineRule="exact"/>
              <w:ind w:left="362"/>
              <w:rPr>
                <w:sz w:val="22"/>
              </w:rPr>
            </w:pPr>
            <w:r>
              <w:rPr>
                <w:sz w:val="22"/>
              </w:rPr>
              <w:t>20</w:t>
            </w:r>
          </w:p>
        </w:tc>
        <w:tc>
          <w:tcPr>
            <w:tcW w:w="1243" w:type="dxa"/>
            <w:tcBorders>
              <w:top w:val="single" w:sz="4" w:space="0" w:color="000000"/>
              <w:bottom w:val="single" w:sz="4" w:space="0" w:color="000000"/>
            </w:tcBorders>
          </w:tcPr>
          <w:p>
            <w:pPr>
              <w:pStyle w:val="TableParagraph"/>
              <w:spacing w:line="250" w:lineRule="exact"/>
              <w:ind w:left="209"/>
              <w:rPr>
                <w:sz w:val="22"/>
              </w:rPr>
            </w:pPr>
            <w:r>
              <w:rPr>
                <w:sz w:val="22"/>
              </w:rPr>
              <w:t>14,3</w:t>
            </w:r>
          </w:p>
        </w:tc>
      </w:tr>
      <w:tr>
        <w:trPr>
          <w:trHeight w:val="493" w:hRule="atLeast"/>
        </w:trPr>
        <w:tc>
          <w:tcPr>
            <w:tcW w:w="2000" w:type="dxa"/>
            <w:tcBorders>
              <w:top w:val="single" w:sz="4" w:space="0" w:color="000000"/>
              <w:bottom w:val="single" w:sz="12" w:space="0" w:color="000000"/>
            </w:tcBorders>
          </w:tcPr>
          <w:p>
            <w:pPr>
              <w:pStyle w:val="TableParagraph"/>
              <w:ind w:left="115"/>
              <w:rPr>
                <w:sz w:val="22"/>
              </w:rPr>
            </w:pPr>
            <w:r>
              <w:rPr>
                <w:sz w:val="22"/>
              </w:rPr>
              <w:t>Azalmış</w:t>
            </w:r>
          </w:p>
        </w:tc>
        <w:tc>
          <w:tcPr>
            <w:tcW w:w="1026" w:type="dxa"/>
            <w:tcBorders>
              <w:top w:val="single" w:sz="4" w:space="0" w:color="000000"/>
              <w:bottom w:val="single" w:sz="12" w:space="0" w:color="000000"/>
            </w:tcBorders>
          </w:tcPr>
          <w:p>
            <w:pPr>
              <w:pStyle w:val="TableParagraph"/>
              <w:ind w:right="253"/>
              <w:jc w:val="right"/>
              <w:rPr>
                <w:sz w:val="22"/>
              </w:rPr>
            </w:pPr>
            <w:r>
              <w:rPr>
                <w:sz w:val="22"/>
              </w:rPr>
              <w:t>25</w:t>
            </w:r>
          </w:p>
        </w:tc>
        <w:tc>
          <w:tcPr>
            <w:tcW w:w="1405" w:type="dxa"/>
            <w:tcBorders>
              <w:top w:val="single" w:sz="4" w:space="0" w:color="000000"/>
              <w:bottom w:val="single" w:sz="12" w:space="0" w:color="000000"/>
            </w:tcBorders>
          </w:tcPr>
          <w:p>
            <w:pPr>
              <w:pStyle w:val="TableParagraph"/>
              <w:ind w:left="255"/>
              <w:rPr>
                <w:sz w:val="22"/>
              </w:rPr>
            </w:pPr>
            <w:r>
              <w:rPr>
                <w:sz w:val="22"/>
              </w:rPr>
              <w:t>17,9</w:t>
            </w:r>
          </w:p>
        </w:tc>
        <w:tc>
          <w:tcPr>
            <w:tcW w:w="818" w:type="dxa"/>
            <w:tcBorders>
              <w:top w:val="single" w:sz="4" w:space="0" w:color="000000"/>
              <w:bottom w:val="single" w:sz="12" w:space="0" w:color="000000"/>
            </w:tcBorders>
          </w:tcPr>
          <w:p>
            <w:pPr>
              <w:pStyle w:val="TableParagraph"/>
              <w:ind w:left="362"/>
              <w:rPr>
                <w:sz w:val="22"/>
              </w:rPr>
            </w:pPr>
            <w:r>
              <w:rPr>
                <w:sz w:val="22"/>
              </w:rPr>
              <w:t>28</w:t>
            </w:r>
          </w:p>
        </w:tc>
        <w:tc>
          <w:tcPr>
            <w:tcW w:w="1243" w:type="dxa"/>
            <w:tcBorders>
              <w:top w:val="single" w:sz="4" w:space="0" w:color="000000"/>
              <w:bottom w:val="single" w:sz="12" w:space="0" w:color="000000"/>
            </w:tcBorders>
          </w:tcPr>
          <w:p>
            <w:pPr>
              <w:pStyle w:val="TableParagraph"/>
              <w:ind w:left="209"/>
              <w:rPr>
                <w:sz w:val="22"/>
              </w:rPr>
            </w:pPr>
            <w:r>
              <w:rPr>
                <w:sz w:val="22"/>
              </w:rPr>
              <w:t>20,0</w:t>
            </w:r>
          </w:p>
        </w:tc>
      </w:tr>
    </w:tbl>
    <w:p>
      <w:pPr>
        <w:pStyle w:val="BodyText"/>
        <w:rPr>
          <w:sz w:val="24"/>
        </w:rPr>
      </w:pPr>
    </w:p>
    <w:p>
      <w:pPr>
        <w:pStyle w:val="BodyText"/>
        <w:rPr>
          <w:sz w:val="24"/>
        </w:rPr>
      </w:pPr>
    </w:p>
    <w:p>
      <w:pPr>
        <w:pStyle w:val="BodyText"/>
        <w:spacing w:line="357" w:lineRule="auto" w:before="207"/>
        <w:ind w:left="1248" w:right="669" w:firstLine="708"/>
        <w:jc w:val="both"/>
      </w:pPr>
      <w:r>
        <w:rPr/>
        <w:t>Bireylerde normal eklem hareket genişlikleri ile ilgili değerlendirmeler sonucunda üst ekstremite ve alt ekstremitede eklemlerin çoğunda eklem hareket genişliklerinin tam olduğu gözlemlenmiştir (Tablo</w:t>
      </w:r>
      <w:r>
        <w:rPr>
          <w:spacing w:val="-6"/>
        </w:rPr>
        <w:t> </w:t>
      </w:r>
      <w:r>
        <w:rPr/>
        <w:t>4.1.7).</w:t>
      </w:r>
    </w:p>
    <w:p>
      <w:pPr>
        <w:pStyle w:val="BodyText"/>
        <w:rPr>
          <w:sz w:val="24"/>
        </w:rPr>
      </w:pPr>
    </w:p>
    <w:p>
      <w:pPr>
        <w:pStyle w:val="BodyText"/>
        <w:rPr>
          <w:sz w:val="24"/>
        </w:rPr>
      </w:pPr>
    </w:p>
    <w:p>
      <w:pPr>
        <w:pStyle w:val="BodyText"/>
        <w:spacing w:before="151"/>
        <w:ind w:left="1248"/>
      </w:pPr>
      <w:bookmarkStart w:name="_bookmark66" w:id="115"/>
      <w:bookmarkEnd w:id="115"/>
      <w:r>
        <w:rPr/>
      </w:r>
      <w:r>
        <w:rPr>
          <w:b/>
        </w:rPr>
        <w:t>Tablo 4.1.7 </w:t>
      </w:r>
      <w:r>
        <w:rPr/>
        <w:t>Bireylerde pasif normal eklem hareket genişliğinin incelenmesi</w:t>
      </w:r>
    </w:p>
    <w:p>
      <w:pPr>
        <w:pStyle w:val="BodyText"/>
        <w:rPr>
          <w:sz w:val="19"/>
        </w:rPr>
      </w:pPr>
      <w:r>
        <w:rPr/>
        <w:pict>
          <v:group style="position:absolute;margin-left:100.940002pt;margin-top:12.905064pt;width:434.3pt;height:1.45pt;mso-position-horizontal-relative:page;mso-position-vertical-relative:paragraph;z-index:-251648000;mso-wrap-distance-left:0;mso-wrap-distance-right:0" coordorigin="2019,258" coordsize="8686,29">
            <v:line style="position:absolute" from="2019,273" to="4446,273" stroked="true" strokeweight="1.44pt" strokecolor="#000000">
              <v:stroke dashstyle="solid"/>
            </v:line>
            <v:rect style="position:absolute;left:4445;top:258;width:29;height:29" filled="true" fillcolor="#000000" stroked="false">
              <v:fill type="solid"/>
            </v:rect>
            <v:line style="position:absolute" from="4475,273" to="7691,273" stroked="true" strokeweight="1.44pt" strokecolor="#000000">
              <v:stroke dashstyle="solid"/>
            </v:line>
            <v:rect style="position:absolute;left:7691;top:258;width:29;height:29" filled="true" fillcolor="#000000" stroked="false">
              <v:fill type="solid"/>
            </v:rect>
            <v:line style="position:absolute" from="7720,273" to="10704,273" stroked="true" strokeweight="1.44pt" strokecolor="#000000">
              <v:stroke dashstyle="solid"/>
            </v:line>
            <w10:wrap type="topAndBottom"/>
          </v:group>
        </w:pict>
      </w:r>
    </w:p>
    <w:p>
      <w:pPr>
        <w:pStyle w:val="Heading1"/>
        <w:tabs>
          <w:tab w:pos="7393" w:val="left" w:leader="none"/>
        </w:tabs>
        <w:spacing w:line="221" w:lineRule="exact"/>
        <w:ind w:left="4330"/>
      </w:pPr>
      <w:r>
        <w:rPr/>
        <w:t>Sağ</w:t>
      </w:r>
      <w:r>
        <w:rPr>
          <w:spacing w:val="-2"/>
        </w:rPr>
        <w:t> </w:t>
      </w:r>
      <w:r>
        <w:rPr/>
        <w:t>Taraf</w:t>
        <w:tab/>
        <w:t>Sol</w:t>
      </w:r>
      <w:r>
        <w:rPr>
          <w:spacing w:val="2"/>
        </w:rPr>
        <w:t> </w:t>
      </w:r>
      <w:r>
        <w:rPr/>
        <w:t>Taraf</w:t>
      </w:r>
    </w:p>
    <w:p>
      <w:pPr>
        <w:pStyle w:val="BodyText"/>
        <w:spacing w:before="8"/>
        <w:rPr>
          <w:b/>
          <w:sz w:val="17"/>
        </w:rPr>
      </w:pPr>
      <w:r>
        <w:rPr/>
        <w:pict>
          <v:group style="position:absolute;margin-left:222.289993pt;margin-top:12.188959pt;width:312.95pt;height:1pt;mso-position-horizontal-relative:page;mso-position-vertical-relative:paragraph;z-index:-251646976;mso-wrap-distance-left:0;mso-wrap-distance-right:0" coordorigin="4446,244" coordsize="6259,20">
            <v:line style="position:absolute" from="4446,253" to="5989,253" stroked="true" strokeweight=".95999pt" strokecolor="#000000">
              <v:stroke dashstyle="solid"/>
            </v:line>
            <v:rect style="position:absolute;left:5989;top:243;width:20;height:20" filled="true" fillcolor="#000000" stroked="false">
              <v:fill type="solid"/>
            </v:rect>
            <v:line style="position:absolute" from="6009,253" to="7691,253" stroked="true" strokeweight=".95999pt" strokecolor="#000000">
              <v:stroke dashstyle="solid"/>
            </v:line>
            <v:rect style="position:absolute;left:7691;top:243;width:20;height:20" filled="true" fillcolor="#000000" stroked="false">
              <v:fill type="solid"/>
            </v:rect>
            <v:line style="position:absolute" from="7710,253" to="8829,253" stroked="true" strokeweight=".95999pt" strokecolor="#000000">
              <v:stroke dashstyle="solid"/>
            </v:line>
            <v:rect style="position:absolute;left:8829;top:243;width:20;height:20" filled="true" fillcolor="#000000" stroked="false">
              <v:fill type="solid"/>
            </v:rect>
            <v:line style="position:absolute" from="8848,253" to="10704,253" stroked="true" strokeweight=".95999pt" strokecolor="#000000">
              <v:stroke dashstyle="solid"/>
            </v:line>
            <w10:wrap type="topAndBottom"/>
          </v:group>
        </w:pict>
      </w:r>
    </w:p>
    <w:p>
      <w:pPr>
        <w:tabs>
          <w:tab w:pos="5262" w:val="left" w:leader="none"/>
          <w:tab w:pos="7014" w:val="left" w:leader="none"/>
          <w:tab w:pos="8478" w:val="left" w:leader="none"/>
        </w:tabs>
        <w:spacing w:line="217" w:lineRule="exact" w:before="0"/>
        <w:ind w:left="3718" w:right="0" w:firstLine="0"/>
        <w:jc w:val="left"/>
        <w:rPr>
          <w:b/>
          <w:sz w:val="22"/>
        </w:rPr>
      </w:pPr>
      <w:r>
        <w:rPr>
          <w:b/>
          <w:sz w:val="22"/>
        </w:rPr>
        <w:t>Tam</w:t>
        <w:tab/>
        <w:t>Kısıtlı</w:t>
        <w:tab/>
        <w:t>Tam</w:t>
        <w:tab/>
        <w:t>Kısıtlı</w:t>
      </w:r>
    </w:p>
    <w:p>
      <w:pPr>
        <w:tabs>
          <w:tab w:pos="3425" w:val="left" w:leader="none"/>
          <w:tab w:pos="9739" w:val="left" w:leader="none"/>
        </w:tabs>
        <w:spacing w:line="249" w:lineRule="exact" w:before="0" w:after="20"/>
        <w:ind w:left="1106" w:right="0" w:firstLine="0"/>
        <w:jc w:val="left"/>
        <w:rPr>
          <w:b/>
          <w:sz w:val="22"/>
        </w:rPr>
      </w:pPr>
      <w:r>
        <w:rPr>
          <w:b/>
          <w:sz w:val="22"/>
        </w:rPr>
        <w:t>Eklemler</w:t>
        <w:tab/>
      </w:r>
      <w:r>
        <w:rPr>
          <w:b/>
          <w:w w:val="100"/>
          <w:sz w:val="22"/>
          <w:u w:val="single"/>
        </w:rPr>
        <w:t> </w:t>
      </w:r>
      <w:r>
        <w:rPr>
          <w:b/>
          <w:sz w:val="22"/>
          <w:u w:val="single"/>
        </w:rPr>
        <w:tab/>
      </w:r>
    </w:p>
    <w:tbl>
      <w:tblPr>
        <w:tblW w:w="0" w:type="auto"/>
        <w:jc w:val="left"/>
        <w:tblInd w:w="9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17"/>
        <w:gridCol w:w="862"/>
        <w:gridCol w:w="803"/>
        <w:gridCol w:w="687"/>
        <w:gridCol w:w="943"/>
        <w:gridCol w:w="819"/>
        <w:gridCol w:w="880"/>
        <w:gridCol w:w="687"/>
        <w:gridCol w:w="798"/>
      </w:tblGrid>
      <w:tr>
        <w:trPr>
          <w:trHeight w:val="492" w:hRule="atLeast"/>
        </w:trPr>
        <w:tc>
          <w:tcPr>
            <w:tcW w:w="2217" w:type="dxa"/>
            <w:tcBorders>
              <w:bottom w:val="single" w:sz="12" w:space="0" w:color="000000"/>
            </w:tcBorders>
          </w:tcPr>
          <w:p>
            <w:pPr>
              <w:pStyle w:val="TableParagraph"/>
              <w:rPr>
                <w:rFonts w:ascii="Times New Roman"/>
                <w:sz w:val="22"/>
              </w:rPr>
            </w:pPr>
          </w:p>
        </w:tc>
        <w:tc>
          <w:tcPr>
            <w:tcW w:w="862" w:type="dxa"/>
            <w:tcBorders>
              <w:bottom w:val="single" w:sz="12" w:space="0" w:color="000000"/>
            </w:tcBorders>
          </w:tcPr>
          <w:p>
            <w:pPr>
              <w:pStyle w:val="TableParagraph"/>
              <w:spacing w:line="247" w:lineRule="exact"/>
              <w:ind w:left="332"/>
              <w:rPr>
                <w:b/>
                <w:sz w:val="22"/>
              </w:rPr>
            </w:pPr>
            <w:r>
              <w:rPr>
                <w:b/>
                <w:w w:val="100"/>
                <w:sz w:val="22"/>
              </w:rPr>
              <w:t>n</w:t>
            </w:r>
          </w:p>
        </w:tc>
        <w:tc>
          <w:tcPr>
            <w:tcW w:w="803" w:type="dxa"/>
            <w:tcBorders>
              <w:bottom w:val="single" w:sz="12" w:space="0" w:color="000000"/>
            </w:tcBorders>
          </w:tcPr>
          <w:p>
            <w:pPr>
              <w:pStyle w:val="TableParagraph"/>
              <w:spacing w:line="247" w:lineRule="exact"/>
              <w:ind w:left="161"/>
              <w:rPr>
                <w:b/>
                <w:sz w:val="22"/>
              </w:rPr>
            </w:pPr>
            <w:r>
              <w:rPr>
                <w:b/>
                <w:w w:val="100"/>
                <w:sz w:val="22"/>
              </w:rPr>
              <w:t>%</w:t>
            </w:r>
          </w:p>
        </w:tc>
        <w:tc>
          <w:tcPr>
            <w:tcW w:w="687" w:type="dxa"/>
            <w:tcBorders>
              <w:bottom w:val="single" w:sz="12" w:space="0" w:color="000000"/>
            </w:tcBorders>
          </w:tcPr>
          <w:p>
            <w:pPr>
              <w:pStyle w:val="TableParagraph"/>
              <w:spacing w:line="247" w:lineRule="exact"/>
              <w:ind w:left="211"/>
              <w:rPr>
                <w:b/>
                <w:sz w:val="22"/>
              </w:rPr>
            </w:pPr>
            <w:r>
              <w:rPr>
                <w:b/>
                <w:w w:val="100"/>
                <w:sz w:val="22"/>
              </w:rPr>
              <w:t>n</w:t>
            </w:r>
          </w:p>
        </w:tc>
        <w:tc>
          <w:tcPr>
            <w:tcW w:w="943" w:type="dxa"/>
            <w:tcBorders>
              <w:bottom w:val="single" w:sz="12" w:space="0" w:color="000000"/>
            </w:tcBorders>
          </w:tcPr>
          <w:p>
            <w:pPr>
              <w:pStyle w:val="TableParagraph"/>
              <w:spacing w:line="247" w:lineRule="exact"/>
              <w:ind w:left="231"/>
              <w:rPr>
                <w:b/>
                <w:sz w:val="22"/>
              </w:rPr>
            </w:pPr>
            <w:r>
              <w:rPr>
                <w:b/>
                <w:w w:val="100"/>
                <w:sz w:val="22"/>
              </w:rPr>
              <w:t>%</w:t>
            </w:r>
          </w:p>
        </w:tc>
        <w:tc>
          <w:tcPr>
            <w:tcW w:w="819" w:type="dxa"/>
            <w:tcBorders>
              <w:bottom w:val="single" w:sz="12" w:space="0" w:color="000000"/>
            </w:tcBorders>
          </w:tcPr>
          <w:p>
            <w:pPr>
              <w:pStyle w:val="TableParagraph"/>
              <w:spacing w:line="247" w:lineRule="exact"/>
              <w:ind w:left="283"/>
              <w:rPr>
                <w:b/>
                <w:sz w:val="22"/>
              </w:rPr>
            </w:pPr>
            <w:r>
              <w:rPr>
                <w:b/>
                <w:w w:val="100"/>
                <w:sz w:val="22"/>
              </w:rPr>
              <w:t>n</w:t>
            </w:r>
          </w:p>
        </w:tc>
        <w:tc>
          <w:tcPr>
            <w:tcW w:w="880" w:type="dxa"/>
            <w:tcBorders>
              <w:bottom w:val="single" w:sz="12" w:space="0" w:color="000000"/>
            </w:tcBorders>
          </w:tcPr>
          <w:p>
            <w:pPr>
              <w:pStyle w:val="TableParagraph"/>
              <w:spacing w:line="247" w:lineRule="exact"/>
              <w:ind w:left="172"/>
              <w:rPr>
                <w:b/>
                <w:sz w:val="22"/>
              </w:rPr>
            </w:pPr>
            <w:r>
              <w:rPr>
                <w:b/>
                <w:w w:val="100"/>
                <w:sz w:val="22"/>
              </w:rPr>
              <w:t>%</w:t>
            </w:r>
          </w:p>
        </w:tc>
        <w:tc>
          <w:tcPr>
            <w:tcW w:w="687" w:type="dxa"/>
            <w:tcBorders>
              <w:bottom w:val="single" w:sz="12" w:space="0" w:color="000000"/>
            </w:tcBorders>
          </w:tcPr>
          <w:p>
            <w:pPr>
              <w:pStyle w:val="TableParagraph"/>
              <w:spacing w:line="247" w:lineRule="exact"/>
              <w:ind w:left="283"/>
              <w:rPr>
                <w:b/>
                <w:sz w:val="22"/>
              </w:rPr>
            </w:pPr>
            <w:r>
              <w:rPr>
                <w:b/>
                <w:w w:val="100"/>
                <w:sz w:val="22"/>
              </w:rPr>
              <w:t>n</w:t>
            </w:r>
          </w:p>
        </w:tc>
        <w:tc>
          <w:tcPr>
            <w:tcW w:w="798" w:type="dxa"/>
            <w:tcBorders>
              <w:bottom w:val="single" w:sz="12" w:space="0" w:color="000000"/>
            </w:tcBorders>
          </w:tcPr>
          <w:p>
            <w:pPr>
              <w:pStyle w:val="TableParagraph"/>
              <w:spacing w:line="247" w:lineRule="exact"/>
              <w:ind w:left="165"/>
              <w:rPr>
                <w:b/>
                <w:sz w:val="22"/>
              </w:rPr>
            </w:pPr>
            <w:r>
              <w:rPr>
                <w:b/>
                <w:w w:val="100"/>
                <w:sz w:val="22"/>
              </w:rPr>
              <w:t>%</w:t>
            </w:r>
          </w:p>
        </w:tc>
      </w:tr>
      <w:tr>
        <w:trPr>
          <w:trHeight w:val="507" w:hRule="atLeast"/>
        </w:trPr>
        <w:tc>
          <w:tcPr>
            <w:tcW w:w="2217" w:type="dxa"/>
            <w:tcBorders>
              <w:top w:val="single" w:sz="12" w:space="0" w:color="000000"/>
              <w:bottom w:val="single" w:sz="4" w:space="0" w:color="000000"/>
            </w:tcBorders>
          </w:tcPr>
          <w:p>
            <w:pPr>
              <w:pStyle w:val="TableParagraph"/>
              <w:spacing w:line="250" w:lineRule="exact"/>
              <w:ind w:left="122"/>
              <w:rPr>
                <w:sz w:val="22"/>
              </w:rPr>
            </w:pPr>
            <w:r>
              <w:rPr>
                <w:sz w:val="22"/>
              </w:rPr>
              <w:t>Omuz eklemi</w:t>
            </w:r>
          </w:p>
        </w:tc>
        <w:tc>
          <w:tcPr>
            <w:tcW w:w="862" w:type="dxa"/>
            <w:tcBorders>
              <w:top w:val="single" w:sz="12" w:space="0" w:color="000000"/>
              <w:bottom w:val="single" w:sz="4" w:space="0" w:color="000000"/>
            </w:tcBorders>
          </w:tcPr>
          <w:p>
            <w:pPr>
              <w:pStyle w:val="TableParagraph"/>
              <w:spacing w:line="250" w:lineRule="exact"/>
              <w:ind w:left="332"/>
              <w:rPr>
                <w:sz w:val="22"/>
              </w:rPr>
            </w:pPr>
            <w:r>
              <w:rPr>
                <w:sz w:val="22"/>
              </w:rPr>
              <w:t>111</w:t>
            </w:r>
          </w:p>
        </w:tc>
        <w:tc>
          <w:tcPr>
            <w:tcW w:w="803" w:type="dxa"/>
            <w:tcBorders>
              <w:top w:val="single" w:sz="12" w:space="0" w:color="000000"/>
              <w:bottom w:val="single" w:sz="4" w:space="0" w:color="000000"/>
            </w:tcBorders>
          </w:tcPr>
          <w:p>
            <w:pPr>
              <w:pStyle w:val="TableParagraph"/>
              <w:spacing w:line="250" w:lineRule="exact"/>
              <w:ind w:left="161"/>
              <w:rPr>
                <w:sz w:val="22"/>
              </w:rPr>
            </w:pPr>
            <w:r>
              <w:rPr>
                <w:sz w:val="22"/>
              </w:rPr>
              <w:t>79.3</w:t>
            </w:r>
          </w:p>
        </w:tc>
        <w:tc>
          <w:tcPr>
            <w:tcW w:w="687" w:type="dxa"/>
            <w:tcBorders>
              <w:top w:val="single" w:sz="12" w:space="0" w:color="000000"/>
              <w:bottom w:val="single" w:sz="4" w:space="0" w:color="000000"/>
            </w:tcBorders>
          </w:tcPr>
          <w:p>
            <w:pPr>
              <w:pStyle w:val="TableParagraph"/>
              <w:spacing w:line="250" w:lineRule="exact"/>
              <w:ind w:left="211"/>
              <w:rPr>
                <w:sz w:val="22"/>
              </w:rPr>
            </w:pPr>
            <w:r>
              <w:rPr>
                <w:sz w:val="22"/>
              </w:rPr>
              <w:t>29</w:t>
            </w:r>
          </w:p>
        </w:tc>
        <w:tc>
          <w:tcPr>
            <w:tcW w:w="943" w:type="dxa"/>
            <w:tcBorders>
              <w:top w:val="single" w:sz="12" w:space="0" w:color="000000"/>
              <w:bottom w:val="single" w:sz="4" w:space="0" w:color="000000"/>
            </w:tcBorders>
          </w:tcPr>
          <w:p>
            <w:pPr>
              <w:pStyle w:val="TableParagraph"/>
              <w:spacing w:line="250" w:lineRule="exact"/>
              <w:ind w:left="231"/>
              <w:rPr>
                <w:sz w:val="22"/>
              </w:rPr>
            </w:pPr>
            <w:r>
              <w:rPr>
                <w:sz w:val="22"/>
              </w:rPr>
              <w:t>20.7</w:t>
            </w:r>
          </w:p>
        </w:tc>
        <w:tc>
          <w:tcPr>
            <w:tcW w:w="819" w:type="dxa"/>
            <w:tcBorders>
              <w:top w:val="single" w:sz="12" w:space="0" w:color="000000"/>
              <w:bottom w:val="single" w:sz="4" w:space="0" w:color="000000"/>
            </w:tcBorders>
          </w:tcPr>
          <w:p>
            <w:pPr>
              <w:pStyle w:val="TableParagraph"/>
              <w:spacing w:line="250" w:lineRule="exact"/>
              <w:ind w:left="283"/>
              <w:rPr>
                <w:sz w:val="22"/>
              </w:rPr>
            </w:pPr>
            <w:r>
              <w:rPr>
                <w:sz w:val="22"/>
              </w:rPr>
              <w:t>111</w:t>
            </w:r>
          </w:p>
        </w:tc>
        <w:tc>
          <w:tcPr>
            <w:tcW w:w="880" w:type="dxa"/>
            <w:tcBorders>
              <w:top w:val="single" w:sz="12" w:space="0" w:color="000000"/>
              <w:bottom w:val="single" w:sz="4" w:space="0" w:color="000000"/>
            </w:tcBorders>
          </w:tcPr>
          <w:p>
            <w:pPr>
              <w:pStyle w:val="TableParagraph"/>
              <w:spacing w:line="250" w:lineRule="exact"/>
              <w:ind w:left="172"/>
              <w:rPr>
                <w:sz w:val="22"/>
              </w:rPr>
            </w:pPr>
            <w:r>
              <w:rPr>
                <w:sz w:val="22"/>
              </w:rPr>
              <w:t>79.3</w:t>
            </w:r>
          </w:p>
        </w:tc>
        <w:tc>
          <w:tcPr>
            <w:tcW w:w="687" w:type="dxa"/>
            <w:tcBorders>
              <w:top w:val="single" w:sz="12" w:space="0" w:color="000000"/>
              <w:bottom w:val="single" w:sz="4" w:space="0" w:color="000000"/>
            </w:tcBorders>
          </w:tcPr>
          <w:p>
            <w:pPr>
              <w:pStyle w:val="TableParagraph"/>
              <w:spacing w:line="250" w:lineRule="exact"/>
              <w:ind w:left="283"/>
              <w:rPr>
                <w:sz w:val="22"/>
              </w:rPr>
            </w:pPr>
            <w:r>
              <w:rPr>
                <w:sz w:val="22"/>
              </w:rPr>
              <w:t>29</w:t>
            </w:r>
          </w:p>
        </w:tc>
        <w:tc>
          <w:tcPr>
            <w:tcW w:w="798" w:type="dxa"/>
            <w:tcBorders>
              <w:top w:val="single" w:sz="12" w:space="0" w:color="000000"/>
              <w:bottom w:val="single" w:sz="4" w:space="0" w:color="000000"/>
            </w:tcBorders>
          </w:tcPr>
          <w:p>
            <w:pPr>
              <w:pStyle w:val="TableParagraph"/>
              <w:spacing w:line="250" w:lineRule="exact"/>
              <w:ind w:left="165"/>
              <w:rPr>
                <w:sz w:val="22"/>
              </w:rPr>
            </w:pPr>
            <w:r>
              <w:rPr>
                <w:sz w:val="22"/>
              </w:rPr>
              <w:t>20.7</w:t>
            </w:r>
          </w:p>
        </w:tc>
      </w:tr>
      <w:tr>
        <w:trPr>
          <w:trHeight w:val="508" w:hRule="atLeast"/>
        </w:trPr>
        <w:tc>
          <w:tcPr>
            <w:tcW w:w="2217" w:type="dxa"/>
            <w:tcBorders>
              <w:top w:val="single" w:sz="4" w:space="0" w:color="000000"/>
              <w:bottom w:val="single" w:sz="4" w:space="0" w:color="000000"/>
            </w:tcBorders>
          </w:tcPr>
          <w:p>
            <w:pPr>
              <w:pStyle w:val="TableParagraph"/>
              <w:spacing w:line="250" w:lineRule="exact"/>
              <w:ind w:left="122"/>
              <w:rPr>
                <w:sz w:val="22"/>
              </w:rPr>
            </w:pPr>
            <w:r>
              <w:rPr>
                <w:sz w:val="22"/>
              </w:rPr>
              <w:t>Dirsek eklemi</w:t>
            </w:r>
          </w:p>
        </w:tc>
        <w:tc>
          <w:tcPr>
            <w:tcW w:w="862" w:type="dxa"/>
            <w:tcBorders>
              <w:top w:val="single" w:sz="4" w:space="0" w:color="000000"/>
              <w:bottom w:val="single" w:sz="4" w:space="0" w:color="000000"/>
            </w:tcBorders>
          </w:tcPr>
          <w:p>
            <w:pPr>
              <w:pStyle w:val="TableParagraph"/>
              <w:spacing w:line="250" w:lineRule="exact"/>
              <w:ind w:left="332"/>
              <w:rPr>
                <w:sz w:val="22"/>
              </w:rPr>
            </w:pPr>
            <w:r>
              <w:rPr>
                <w:sz w:val="22"/>
              </w:rPr>
              <w:t>121</w:t>
            </w:r>
          </w:p>
        </w:tc>
        <w:tc>
          <w:tcPr>
            <w:tcW w:w="803" w:type="dxa"/>
            <w:tcBorders>
              <w:top w:val="single" w:sz="4" w:space="0" w:color="000000"/>
              <w:bottom w:val="single" w:sz="4" w:space="0" w:color="000000"/>
            </w:tcBorders>
          </w:tcPr>
          <w:p>
            <w:pPr>
              <w:pStyle w:val="TableParagraph"/>
              <w:spacing w:line="250" w:lineRule="exact"/>
              <w:ind w:left="161"/>
              <w:rPr>
                <w:sz w:val="22"/>
              </w:rPr>
            </w:pPr>
            <w:r>
              <w:rPr>
                <w:sz w:val="22"/>
              </w:rPr>
              <w:t>86.4</w:t>
            </w:r>
          </w:p>
        </w:tc>
        <w:tc>
          <w:tcPr>
            <w:tcW w:w="687" w:type="dxa"/>
            <w:tcBorders>
              <w:top w:val="single" w:sz="4" w:space="0" w:color="000000"/>
              <w:bottom w:val="single" w:sz="4" w:space="0" w:color="000000"/>
            </w:tcBorders>
          </w:tcPr>
          <w:p>
            <w:pPr>
              <w:pStyle w:val="TableParagraph"/>
              <w:spacing w:line="250" w:lineRule="exact"/>
              <w:ind w:left="211"/>
              <w:rPr>
                <w:sz w:val="22"/>
              </w:rPr>
            </w:pPr>
            <w:r>
              <w:rPr>
                <w:sz w:val="22"/>
              </w:rPr>
              <w:t>19</w:t>
            </w:r>
          </w:p>
        </w:tc>
        <w:tc>
          <w:tcPr>
            <w:tcW w:w="943" w:type="dxa"/>
            <w:tcBorders>
              <w:top w:val="single" w:sz="4" w:space="0" w:color="000000"/>
              <w:bottom w:val="single" w:sz="4" w:space="0" w:color="000000"/>
            </w:tcBorders>
          </w:tcPr>
          <w:p>
            <w:pPr>
              <w:pStyle w:val="TableParagraph"/>
              <w:spacing w:line="250" w:lineRule="exact"/>
              <w:ind w:left="231"/>
              <w:rPr>
                <w:sz w:val="22"/>
              </w:rPr>
            </w:pPr>
            <w:r>
              <w:rPr>
                <w:sz w:val="22"/>
              </w:rPr>
              <w:t>13.6</w:t>
            </w:r>
          </w:p>
        </w:tc>
        <w:tc>
          <w:tcPr>
            <w:tcW w:w="819" w:type="dxa"/>
            <w:tcBorders>
              <w:top w:val="single" w:sz="4" w:space="0" w:color="000000"/>
              <w:bottom w:val="single" w:sz="4" w:space="0" w:color="000000"/>
            </w:tcBorders>
          </w:tcPr>
          <w:p>
            <w:pPr>
              <w:pStyle w:val="TableParagraph"/>
              <w:spacing w:line="250" w:lineRule="exact"/>
              <w:ind w:left="283"/>
              <w:rPr>
                <w:sz w:val="22"/>
              </w:rPr>
            </w:pPr>
            <w:r>
              <w:rPr>
                <w:sz w:val="22"/>
              </w:rPr>
              <w:t>118</w:t>
            </w:r>
          </w:p>
        </w:tc>
        <w:tc>
          <w:tcPr>
            <w:tcW w:w="880" w:type="dxa"/>
            <w:tcBorders>
              <w:top w:val="single" w:sz="4" w:space="0" w:color="000000"/>
              <w:bottom w:val="single" w:sz="4" w:space="0" w:color="000000"/>
            </w:tcBorders>
          </w:tcPr>
          <w:p>
            <w:pPr>
              <w:pStyle w:val="TableParagraph"/>
              <w:spacing w:line="250" w:lineRule="exact"/>
              <w:ind w:left="172"/>
              <w:rPr>
                <w:sz w:val="22"/>
              </w:rPr>
            </w:pPr>
            <w:r>
              <w:rPr>
                <w:sz w:val="22"/>
              </w:rPr>
              <w:t>84.3</w:t>
            </w:r>
          </w:p>
        </w:tc>
        <w:tc>
          <w:tcPr>
            <w:tcW w:w="687" w:type="dxa"/>
            <w:tcBorders>
              <w:top w:val="single" w:sz="4" w:space="0" w:color="000000"/>
              <w:bottom w:val="single" w:sz="4" w:space="0" w:color="000000"/>
            </w:tcBorders>
          </w:tcPr>
          <w:p>
            <w:pPr>
              <w:pStyle w:val="TableParagraph"/>
              <w:spacing w:line="250" w:lineRule="exact"/>
              <w:ind w:left="283"/>
              <w:rPr>
                <w:sz w:val="22"/>
              </w:rPr>
            </w:pPr>
            <w:r>
              <w:rPr>
                <w:sz w:val="22"/>
              </w:rPr>
              <w:t>22</w:t>
            </w:r>
          </w:p>
        </w:tc>
        <w:tc>
          <w:tcPr>
            <w:tcW w:w="798" w:type="dxa"/>
            <w:tcBorders>
              <w:top w:val="single" w:sz="4" w:space="0" w:color="000000"/>
              <w:bottom w:val="single" w:sz="4" w:space="0" w:color="000000"/>
            </w:tcBorders>
          </w:tcPr>
          <w:p>
            <w:pPr>
              <w:pStyle w:val="TableParagraph"/>
              <w:spacing w:line="250" w:lineRule="exact"/>
              <w:ind w:left="165"/>
              <w:rPr>
                <w:sz w:val="22"/>
              </w:rPr>
            </w:pPr>
            <w:r>
              <w:rPr>
                <w:sz w:val="22"/>
              </w:rPr>
              <w:t>15.7</w:t>
            </w:r>
          </w:p>
        </w:tc>
      </w:tr>
      <w:tr>
        <w:trPr>
          <w:trHeight w:val="510" w:hRule="atLeast"/>
        </w:trPr>
        <w:tc>
          <w:tcPr>
            <w:tcW w:w="2217" w:type="dxa"/>
            <w:tcBorders>
              <w:top w:val="single" w:sz="4" w:space="0" w:color="000000"/>
              <w:bottom w:val="single" w:sz="4" w:space="0" w:color="000000"/>
            </w:tcBorders>
          </w:tcPr>
          <w:p>
            <w:pPr>
              <w:pStyle w:val="TableParagraph"/>
              <w:ind w:left="122"/>
              <w:rPr>
                <w:sz w:val="22"/>
              </w:rPr>
            </w:pPr>
            <w:r>
              <w:rPr>
                <w:sz w:val="22"/>
              </w:rPr>
              <w:t>El bileği eklemi</w:t>
            </w:r>
          </w:p>
        </w:tc>
        <w:tc>
          <w:tcPr>
            <w:tcW w:w="862" w:type="dxa"/>
            <w:tcBorders>
              <w:top w:val="single" w:sz="4" w:space="0" w:color="000000"/>
              <w:bottom w:val="single" w:sz="4" w:space="0" w:color="000000"/>
            </w:tcBorders>
          </w:tcPr>
          <w:p>
            <w:pPr>
              <w:pStyle w:val="TableParagraph"/>
              <w:ind w:left="332"/>
              <w:rPr>
                <w:sz w:val="22"/>
              </w:rPr>
            </w:pPr>
            <w:r>
              <w:rPr>
                <w:sz w:val="22"/>
              </w:rPr>
              <w:t>118</w:t>
            </w:r>
          </w:p>
        </w:tc>
        <w:tc>
          <w:tcPr>
            <w:tcW w:w="803" w:type="dxa"/>
            <w:tcBorders>
              <w:top w:val="single" w:sz="4" w:space="0" w:color="000000"/>
              <w:bottom w:val="single" w:sz="4" w:space="0" w:color="000000"/>
            </w:tcBorders>
          </w:tcPr>
          <w:p>
            <w:pPr>
              <w:pStyle w:val="TableParagraph"/>
              <w:ind w:left="161"/>
              <w:rPr>
                <w:sz w:val="22"/>
              </w:rPr>
            </w:pPr>
            <w:r>
              <w:rPr>
                <w:sz w:val="22"/>
              </w:rPr>
              <w:t>84.3</w:t>
            </w:r>
          </w:p>
        </w:tc>
        <w:tc>
          <w:tcPr>
            <w:tcW w:w="687" w:type="dxa"/>
            <w:tcBorders>
              <w:top w:val="single" w:sz="4" w:space="0" w:color="000000"/>
              <w:bottom w:val="single" w:sz="4" w:space="0" w:color="000000"/>
            </w:tcBorders>
          </w:tcPr>
          <w:p>
            <w:pPr>
              <w:pStyle w:val="TableParagraph"/>
              <w:ind w:left="211"/>
              <w:rPr>
                <w:sz w:val="22"/>
              </w:rPr>
            </w:pPr>
            <w:r>
              <w:rPr>
                <w:sz w:val="22"/>
              </w:rPr>
              <w:t>22</w:t>
            </w:r>
          </w:p>
        </w:tc>
        <w:tc>
          <w:tcPr>
            <w:tcW w:w="943" w:type="dxa"/>
            <w:tcBorders>
              <w:top w:val="single" w:sz="4" w:space="0" w:color="000000"/>
              <w:bottom w:val="single" w:sz="4" w:space="0" w:color="000000"/>
            </w:tcBorders>
          </w:tcPr>
          <w:p>
            <w:pPr>
              <w:pStyle w:val="TableParagraph"/>
              <w:ind w:left="231"/>
              <w:rPr>
                <w:sz w:val="22"/>
              </w:rPr>
            </w:pPr>
            <w:r>
              <w:rPr>
                <w:sz w:val="22"/>
              </w:rPr>
              <w:t>15.7</w:t>
            </w:r>
          </w:p>
        </w:tc>
        <w:tc>
          <w:tcPr>
            <w:tcW w:w="819" w:type="dxa"/>
            <w:tcBorders>
              <w:top w:val="single" w:sz="4" w:space="0" w:color="000000"/>
              <w:bottom w:val="single" w:sz="4" w:space="0" w:color="000000"/>
            </w:tcBorders>
          </w:tcPr>
          <w:p>
            <w:pPr>
              <w:pStyle w:val="TableParagraph"/>
              <w:ind w:left="283"/>
              <w:rPr>
                <w:sz w:val="22"/>
              </w:rPr>
            </w:pPr>
            <w:r>
              <w:rPr>
                <w:sz w:val="22"/>
              </w:rPr>
              <w:t>119</w:t>
            </w:r>
          </w:p>
        </w:tc>
        <w:tc>
          <w:tcPr>
            <w:tcW w:w="880" w:type="dxa"/>
            <w:tcBorders>
              <w:top w:val="single" w:sz="4" w:space="0" w:color="000000"/>
              <w:bottom w:val="single" w:sz="4" w:space="0" w:color="000000"/>
            </w:tcBorders>
          </w:tcPr>
          <w:p>
            <w:pPr>
              <w:pStyle w:val="TableParagraph"/>
              <w:ind w:left="172"/>
              <w:rPr>
                <w:sz w:val="22"/>
              </w:rPr>
            </w:pPr>
            <w:r>
              <w:rPr>
                <w:sz w:val="22"/>
              </w:rPr>
              <w:t>85.0</w:t>
            </w:r>
          </w:p>
        </w:tc>
        <w:tc>
          <w:tcPr>
            <w:tcW w:w="687" w:type="dxa"/>
            <w:tcBorders>
              <w:top w:val="single" w:sz="4" w:space="0" w:color="000000"/>
              <w:bottom w:val="single" w:sz="4" w:space="0" w:color="000000"/>
            </w:tcBorders>
          </w:tcPr>
          <w:p>
            <w:pPr>
              <w:pStyle w:val="TableParagraph"/>
              <w:ind w:left="283"/>
              <w:rPr>
                <w:sz w:val="22"/>
              </w:rPr>
            </w:pPr>
            <w:r>
              <w:rPr>
                <w:sz w:val="22"/>
              </w:rPr>
              <w:t>21</w:t>
            </w:r>
          </w:p>
        </w:tc>
        <w:tc>
          <w:tcPr>
            <w:tcW w:w="798" w:type="dxa"/>
            <w:tcBorders>
              <w:top w:val="single" w:sz="4" w:space="0" w:color="000000"/>
              <w:bottom w:val="single" w:sz="4" w:space="0" w:color="000000"/>
            </w:tcBorders>
          </w:tcPr>
          <w:p>
            <w:pPr>
              <w:pStyle w:val="TableParagraph"/>
              <w:ind w:left="165"/>
              <w:rPr>
                <w:sz w:val="22"/>
              </w:rPr>
            </w:pPr>
            <w:r>
              <w:rPr>
                <w:sz w:val="22"/>
              </w:rPr>
              <w:t>15.0</w:t>
            </w:r>
          </w:p>
        </w:tc>
      </w:tr>
      <w:tr>
        <w:trPr>
          <w:trHeight w:val="508" w:hRule="atLeast"/>
        </w:trPr>
        <w:tc>
          <w:tcPr>
            <w:tcW w:w="2217" w:type="dxa"/>
            <w:tcBorders>
              <w:top w:val="single" w:sz="4" w:space="0" w:color="000000"/>
              <w:bottom w:val="single" w:sz="4" w:space="0" w:color="000000"/>
            </w:tcBorders>
          </w:tcPr>
          <w:p>
            <w:pPr>
              <w:pStyle w:val="TableParagraph"/>
              <w:spacing w:line="250" w:lineRule="exact"/>
              <w:ind w:left="122"/>
              <w:rPr>
                <w:sz w:val="22"/>
              </w:rPr>
            </w:pPr>
            <w:r>
              <w:rPr>
                <w:sz w:val="22"/>
              </w:rPr>
              <w:t>Kalça eklemi</w:t>
            </w:r>
          </w:p>
        </w:tc>
        <w:tc>
          <w:tcPr>
            <w:tcW w:w="862" w:type="dxa"/>
            <w:tcBorders>
              <w:top w:val="single" w:sz="4" w:space="0" w:color="000000"/>
              <w:bottom w:val="single" w:sz="4" w:space="0" w:color="000000"/>
            </w:tcBorders>
          </w:tcPr>
          <w:p>
            <w:pPr>
              <w:pStyle w:val="TableParagraph"/>
              <w:spacing w:line="250" w:lineRule="exact"/>
              <w:ind w:left="332"/>
              <w:rPr>
                <w:sz w:val="22"/>
              </w:rPr>
            </w:pPr>
            <w:r>
              <w:rPr>
                <w:sz w:val="22"/>
              </w:rPr>
              <w:t>106</w:t>
            </w:r>
          </w:p>
        </w:tc>
        <w:tc>
          <w:tcPr>
            <w:tcW w:w="803" w:type="dxa"/>
            <w:tcBorders>
              <w:top w:val="single" w:sz="4" w:space="0" w:color="000000"/>
              <w:bottom w:val="single" w:sz="4" w:space="0" w:color="000000"/>
            </w:tcBorders>
          </w:tcPr>
          <w:p>
            <w:pPr>
              <w:pStyle w:val="TableParagraph"/>
              <w:spacing w:line="250" w:lineRule="exact"/>
              <w:ind w:left="161"/>
              <w:rPr>
                <w:sz w:val="22"/>
              </w:rPr>
            </w:pPr>
            <w:r>
              <w:rPr>
                <w:sz w:val="22"/>
              </w:rPr>
              <w:t>75.7</w:t>
            </w:r>
          </w:p>
        </w:tc>
        <w:tc>
          <w:tcPr>
            <w:tcW w:w="687" w:type="dxa"/>
            <w:tcBorders>
              <w:top w:val="single" w:sz="4" w:space="0" w:color="000000"/>
              <w:bottom w:val="single" w:sz="4" w:space="0" w:color="000000"/>
            </w:tcBorders>
          </w:tcPr>
          <w:p>
            <w:pPr>
              <w:pStyle w:val="TableParagraph"/>
              <w:spacing w:line="250" w:lineRule="exact"/>
              <w:ind w:left="211"/>
              <w:rPr>
                <w:sz w:val="22"/>
              </w:rPr>
            </w:pPr>
            <w:r>
              <w:rPr>
                <w:sz w:val="22"/>
              </w:rPr>
              <w:t>34</w:t>
            </w:r>
          </w:p>
        </w:tc>
        <w:tc>
          <w:tcPr>
            <w:tcW w:w="943" w:type="dxa"/>
            <w:tcBorders>
              <w:top w:val="single" w:sz="4" w:space="0" w:color="000000"/>
              <w:bottom w:val="single" w:sz="4" w:space="0" w:color="000000"/>
            </w:tcBorders>
          </w:tcPr>
          <w:p>
            <w:pPr>
              <w:pStyle w:val="TableParagraph"/>
              <w:spacing w:line="250" w:lineRule="exact"/>
              <w:ind w:left="231"/>
              <w:rPr>
                <w:sz w:val="22"/>
              </w:rPr>
            </w:pPr>
            <w:r>
              <w:rPr>
                <w:sz w:val="22"/>
              </w:rPr>
              <w:t>24.3</w:t>
            </w:r>
          </w:p>
        </w:tc>
        <w:tc>
          <w:tcPr>
            <w:tcW w:w="819" w:type="dxa"/>
            <w:tcBorders>
              <w:top w:val="single" w:sz="4" w:space="0" w:color="000000"/>
              <w:bottom w:val="single" w:sz="4" w:space="0" w:color="000000"/>
            </w:tcBorders>
          </w:tcPr>
          <w:p>
            <w:pPr>
              <w:pStyle w:val="TableParagraph"/>
              <w:spacing w:line="250" w:lineRule="exact"/>
              <w:ind w:left="283"/>
              <w:rPr>
                <w:sz w:val="22"/>
              </w:rPr>
            </w:pPr>
            <w:r>
              <w:rPr>
                <w:sz w:val="22"/>
              </w:rPr>
              <w:t>102</w:t>
            </w:r>
          </w:p>
        </w:tc>
        <w:tc>
          <w:tcPr>
            <w:tcW w:w="880" w:type="dxa"/>
            <w:tcBorders>
              <w:top w:val="single" w:sz="4" w:space="0" w:color="000000"/>
              <w:bottom w:val="single" w:sz="4" w:space="0" w:color="000000"/>
            </w:tcBorders>
          </w:tcPr>
          <w:p>
            <w:pPr>
              <w:pStyle w:val="TableParagraph"/>
              <w:spacing w:line="250" w:lineRule="exact"/>
              <w:ind w:left="172"/>
              <w:rPr>
                <w:sz w:val="22"/>
              </w:rPr>
            </w:pPr>
            <w:r>
              <w:rPr>
                <w:sz w:val="22"/>
              </w:rPr>
              <w:t>72.9</w:t>
            </w:r>
          </w:p>
        </w:tc>
        <w:tc>
          <w:tcPr>
            <w:tcW w:w="687" w:type="dxa"/>
            <w:tcBorders>
              <w:top w:val="single" w:sz="4" w:space="0" w:color="000000"/>
              <w:bottom w:val="single" w:sz="4" w:space="0" w:color="000000"/>
            </w:tcBorders>
          </w:tcPr>
          <w:p>
            <w:pPr>
              <w:pStyle w:val="TableParagraph"/>
              <w:spacing w:line="250" w:lineRule="exact"/>
              <w:ind w:left="283"/>
              <w:rPr>
                <w:sz w:val="22"/>
              </w:rPr>
            </w:pPr>
            <w:r>
              <w:rPr>
                <w:sz w:val="22"/>
              </w:rPr>
              <w:t>38</w:t>
            </w:r>
          </w:p>
        </w:tc>
        <w:tc>
          <w:tcPr>
            <w:tcW w:w="798" w:type="dxa"/>
            <w:tcBorders>
              <w:top w:val="single" w:sz="4" w:space="0" w:color="000000"/>
              <w:bottom w:val="single" w:sz="4" w:space="0" w:color="000000"/>
            </w:tcBorders>
          </w:tcPr>
          <w:p>
            <w:pPr>
              <w:pStyle w:val="TableParagraph"/>
              <w:spacing w:line="250" w:lineRule="exact"/>
              <w:ind w:left="165"/>
              <w:rPr>
                <w:sz w:val="22"/>
              </w:rPr>
            </w:pPr>
            <w:r>
              <w:rPr>
                <w:sz w:val="22"/>
              </w:rPr>
              <w:t>27.1</w:t>
            </w:r>
          </w:p>
        </w:tc>
      </w:tr>
      <w:tr>
        <w:trPr>
          <w:trHeight w:val="508" w:hRule="atLeast"/>
        </w:trPr>
        <w:tc>
          <w:tcPr>
            <w:tcW w:w="2217" w:type="dxa"/>
            <w:tcBorders>
              <w:top w:val="single" w:sz="4" w:space="0" w:color="000000"/>
              <w:bottom w:val="single" w:sz="4" w:space="0" w:color="000000"/>
            </w:tcBorders>
          </w:tcPr>
          <w:p>
            <w:pPr>
              <w:pStyle w:val="TableParagraph"/>
              <w:spacing w:line="250" w:lineRule="exact"/>
              <w:ind w:left="122"/>
              <w:rPr>
                <w:sz w:val="22"/>
              </w:rPr>
            </w:pPr>
            <w:r>
              <w:rPr>
                <w:sz w:val="22"/>
              </w:rPr>
              <w:t>Diz eklemi</w:t>
            </w:r>
          </w:p>
        </w:tc>
        <w:tc>
          <w:tcPr>
            <w:tcW w:w="862" w:type="dxa"/>
            <w:tcBorders>
              <w:top w:val="single" w:sz="4" w:space="0" w:color="000000"/>
              <w:bottom w:val="single" w:sz="4" w:space="0" w:color="000000"/>
            </w:tcBorders>
          </w:tcPr>
          <w:p>
            <w:pPr>
              <w:pStyle w:val="TableParagraph"/>
              <w:spacing w:line="250" w:lineRule="exact"/>
              <w:ind w:left="332"/>
              <w:rPr>
                <w:sz w:val="22"/>
              </w:rPr>
            </w:pPr>
            <w:r>
              <w:rPr>
                <w:sz w:val="22"/>
              </w:rPr>
              <w:t>107</w:t>
            </w:r>
          </w:p>
        </w:tc>
        <w:tc>
          <w:tcPr>
            <w:tcW w:w="803" w:type="dxa"/>
            <w:tcBorders>
              <w:top w:val="single" w:sz="4" w:space="0" w:color="000000"/>
              <w:bottom w:val="single" w:sz="4" w:space="0" w:color="000000"/>
            </w:tcBorders>
          </w:tcPr>
          <w:p>
            <w:pPr>
              <w:pStyle w:val="TableParagraph"/>
              <w:spacing w:line="250" w:lineRule="exact"/>
              <w:ind w:left="161"/>
              <w:rPr>
                <w:sz w:val="22"/>
              </w:rPr>
            </w:pPr>
            <w:r>
              <w:rPr>
                <w:sz w:val="22"/>
              </w:rPr>
              <w:t>76.4</w:t>
            </w:r>
          </w:p>
        </w:tc>
        <w:tc>
          <w:tcPr>
            <w:tcW w:w="687" w:type="dxa"/>
            <w:tcBorders>
              <w:top w:val="single" w:sz="4" w:space="0" w:color="000000"/>
              <w:bottom w:val="single" w:sz="4" w:space="0" w:color="000000"/>
            </w:tcBorders>
          </w:tcPr>
          <w:p>
            <w:pPr>
              <w:pStyle w:val="TableParagraph"/>
              <w:spacing w:line="250" w:lineRule="exact"/>
              <w:ind w:left="211"/>
              <w:rPr>
                <w:sz w:val="22"/>
              </w:rPr>
            </w:pPr>
            <w:r>
              <w:rPr>
                <w:sz w:val="22"/>
              </w:rPr>
              <w:t>33</w:t>
            </w:r>
          </w:p>
        </w:tc>
        <w:tc>
          <w:tcPr>
            <w:tcW w:w="943" w:type="dxa"/>
            <w:tcBorders>
              <w:top w:val="single" w:sz="4" w:space="0" w:color="000000"/>
              <w:bottom w:val="single" w:sz="4" w:space="0" w:color="000000"/>
            </w:tcBorders>
          </w:tcPr>
          <w:p>
            <w:pPr>
              <w:pStyle w:val="TableParagraph"/>
              <w:spacing w:line="250" w:lineRule="exact"/>
              <w:ind w:left="231"/>
              <w:rPr>
                <w:sz w:val="22"/>
              </w:rPr>
            </w:pPr>
            <w:r>
              <w:rPr>
                <w:sz w:val="22"/>
              </w:rPr>
              <w:t>23.6</w:t>
            </w:r>
          </w:p>
        </w:tc>
        <w:tc>
          <w:tcPr>
            <w:tcW w:w="819" w:type="dxa"/>
            <w:tcBorders>
              <w:top w:val="single" w:sz="4" w:space="0" w:color="000000"/>
              <w:bottom w:val="single" w:sz="4" w:space="0" w:color="000000"/>
            </w:tcBorders>
          </w:tcPr>
          <w:p>
            <w:pPr>
              <w:pStyle w:val="TableParagraph"/>
              <w:spacing w:line="250" w:lineRule="exact"/>
              <w:ind w:left="283"/>
              <w:rPr>
                <w:sz w:val="22"/>
              </w:rPr>
            </w:pPr>
            <w:r>
              <w:rPr>
                <w:sz w:val="22"/>
              </w:rPr>
              <w:t>106</w:t>
            </w:r>
          </w:p>
        </w:tc>
        <w:tc>
          <w:tcPr>
            <w:tcW w:w="880" w:type="dxa"/>
            <w:tcBorders>
              <w:top w:val="single" w:sz="4" w:space="0" w:color="000000"/>
              <w:bottom w:val="single" w:sz="4" w:space="0" w:color="000000"/>
            </w:tcBorders>
          </w:tcPr>
          <w:p>
            <w:pPr>
              <w:pStyle w:val="TableParagraph"/>
              <w:spacing w:line="250" w:lineRule="exact"/>
              <w:ind w:left="172"/>
              <w:rPr>
                <w:sz w:val="22"/>
              </w:rPr>
            </w:pPr>
            <w:r>
              <w:rPr>
                <w:sz w:val="22"/>
              </w:rPr>
              <w:t>75.7</w:t>
            </w:r>
          </w:p>
        </w:tc>
        <w:tc>
          <w:tcPr>
            <w:tcW w:w="687" w:type="dxa"/>
            <w:tcBorders>
              <w:top w:val="single" w:sz="4" w:space="0" w:color="000000"/>
              <w:bottom w:val="single" w:sz="4" w:space="0" w:color="000000"/>
            </w:tcBorders>
          </w:tcPr>
          <w:p>
            <w:pPr>
              <w:pStyle w:val="TableParagraph"/>
              <w:spacing w:line="250" w:lineRule="exact"/>
              <w:ind w:left="283"/>
              <w:rPr>
                <w:sz w:val="22"/>
              </w:rPr>
            </w:pPr>
            <w:r>
              <w:rPr>
                <w:sz w:val="22"/>
              </w:rPr>
              <w:t>34</w:t>
            </w:r>
          </w:p>
        </w:tc>
        <w:tc>
          <w:tcPr>
            <w:tcW w:w="798" w:type="dxa"/>
            <w:tcBorders>
              <w:top w:val="single" w:sz="4" w:space="0" w:color="000000"/>
              <w:bottom w:val="single" w:sz="4" w:space="0" w:color="000000"/>
            </w:tcBorders>
          </w:tcPr>
          <w:p>
            <w:pPr>
              <w:pStyle w:val="TableParagraph"/>
              <w:spacing w:line="250" w:lineRule="exact"/>
              <w:ind w:left="165"/>
              <w:rPr>
                <w:sz w:val="22"/>
              </w:rPr>
            </w:pPr>
            <w:r>
              <w:rPr>
                <w:sz w:val="22"/>
              </w:rPr>
              <w:t>24.3</w:t>
            </w:r>
          </w:p>
        </w:tc>
      </w:tr>
      <w:tr>
        <w:trPr>
          <w:trHeight w:val="250" w:hRule="atLeast"/>
        </w:trPr>
        <w:tc>
          <w:tcPr>
            <w:tcW w:w="2217" w:type="dxa"/>
            <w:tcBorders>
              <w:top w:val="single" w:sz="4" w:space="0" w:color="000000"/>
            </w:tcBorders>
          </w:tcPr>
          <w:p>
            <w:pPr>
              <w:pStyle w:val="TableParagraph"/>
              <w:spacing w:line="231" w:lineRule="exact"/>
              <w:ind w:left="122"/>
              <w:rPr>
                <w:sz w:val="22"/>
              </w:rPr>
            </w:pPr>
            <w:r>
              <w:rPr>
                <w:sz w:val="22"/>
              </w:rPr>
              <w:t>Ayak bileği eklemi</w:t>
            </w:r>
          </w:p>
        </w:tc>
        <w:tc>
          <w:tcPr>
            <w:tcW w:w="862" w:type="dxa"/>
            <w:tcBorders>
              <w:top w:val="single" w:sz="4" w:space="0" w:color="000000"/>
            </w:tcBorders>
          </w:tcPr>
          <w:p>
            <w:pPr>
              <w:pStyle w:val="TableParagraph"/>
              <w:spacing w:line="231" w:lineRule="exact"/>
              <w:ind w:left="332"/>
              <w:rPr>
                <w:sz w:val="22"/>
              </w:rPr>
            </w:pPr>
            <w:r>
              <w:rPr>
                <w:sz w:val="22"/>
              </w:rPr>
              <w:t>105</w:t>
            </w:r>
          </w:p>
        </w:tc>
        <w:tc>
          <w:tcPr>
            <w:tcW w:w="803" w:type="dxa"/>
            <w:tcBorders>
              <w:top w:val="single" w:sz="4" w:space="0" w:color="000000"/>
            </w:tcBorders>
          </w:tcPr>
          <w:p>
            <w:pPr>
              <w:pStyle w:val="TableParagraph"/>
              <w:spacing w:line="231" w:lineRule="exact"/>
              <w:ind w:left="161"/>
              <w:rPr>
                <w:sz w:val="22"/>
              </w:rPr>
            </w:pPr>
            <w:r>
              <w:rPr>
                <w:sz w:val="22"/>
              </w:rPr>
              <w:t>75.0</w:t>
            </w:r>
          </w:p>
        </w:tc>
        <w:tc>
          <w:tcPr>
            <w:tcW w:w="687" w:type="dxa"/>
            <w:tcBorders>
              <w:top w:val="single" w:sz="4" w:space="0" w:color="000000"/>
            </w:tcBorders>
          </w:tcPr>
          <w:p>
            <w:pPr>
              <w:pStyle w:val="TableParagraph"/>
              <w:spacing w:line="231" w:lineRule="exact"/>
              <w:ind w:left="211"/>
              <w:rPr>
                <w:sz w:val="22"/>
              </w:rPr>
            </w:pPr>
            <w:r>
              <w:rPr>
                <w:sz w:val="22"/>
              </w:rPr>
              <w:t>35</w:t>
            </w:r>
          </w:p>
        </w:tc>
        <w:tc>
          <w:tcPr>
            <w:tcW w:w="943" w:type="dxa"/>
            <w:tcBorders>
              <w:top w:val="single" w:sz="4" w:space="0" w:color="000000"/>
            </w:tcBorders>
          </w:tcPr>
          <w:p>
            <w:pPr>
              <w:pStyle w:val="TableParagraph"/>
              <w:spacing w:line="231" w:lineRule="exact"/>
              <w:ind w:left="231"/>
              <w:rPr>
                <w:sz w:val="22"/>
              </w:rPr>
            </w:pPr>
            <w:r>
              <w:rPr>
                <w:sz w:val="22"/>
              </w:rPr>
              <w:t>25.0</w:t>
            </w:r>
          </w:p>
        </w:tc>
        <w:tc>
          <w:tcPr>
            <w:tcW w:w="819" w:type="dxa"/>
            <w:tcBorders>
              <w:top w:val="single" w:sz="4" w:space="0" w:color="000000"/>
            </w:tcBorders>
          </w:tcPr>
          <w:p>
            <w:pPr>
              <w:pStyle w:val="TableParagraph"/>
              <w:spacing w:line="231" w:lineRule="exact"/>
              <w:ind w:left="283"/>
              <w:rPr>
                <w:sz w:val="22"/>
              </w:rPr>
            </w:pPr>
            <w:r>
              <w:rPr>
                <w:sz w:val="22"/>
              </w:rPr>
              <w:t>102</w:t>
            </w:r>
          </w:p>
        </w:tc>
        <w:tc>
          <w:tcPr>
            <w:tcW w:w="880" w:type="dxa"/>
            <w:tcBorders>
              <w:top w:val="single" w:sz="4" w:space="0" w:color="000000"/>
            </w:tcBorders>
          </w:tcPr>
          <w:p>
            <w:pPr>
              <w:pStyle w:val="TableParagraph"/>
              <w:spacing w:line="231" w:lineRule="exact"/>
              <w:ind w:left="172"/>
              <w:rPr>
                <w:sz w:val="22"/>
              </w:rPr>
            </w:pPr>
            <w:r>
              <w:rPr>
                <w:sz w:val="22"/>
              </w:rPr>
              <w:t>72.9</w:t>
            </w:r>
          </w:p>
        </w:tc>
        <w:tc>
          <w:tcPr>
            <w:tcW w:w="687" w:type="dxa"/>
            <w:tcBorders>
              <w:top w:val="single" w:sz="4" w:space="0" w:color="000000"/>
            </w:tcBorders>
          </w:tcPr>
          <w:p>
            <w:pPr>
              <w:pStyle w:val="TableParagraph"/>
              <w:spacing w:line="231" w:lineRule="exact"/>
              <w:ind w:left="283"/>
              <w:rPr>
                <w:sz w:val="22"/>
              </w:rPr>
            </w:pPr>
            <w:r>
              <w:rPr>
                <w:sz w:val="22"/>
              </w:rPr>
              <w:t>38</w:t>
            </w:r>
          </w:p>
        </w:tc>
        <w:tc>
          <w:tcPr>
            <w:tcW w:w="798" w:type="dxa"/>
            <w:tcBorders>
              <w:top w:val="single" w:sz="4" w:space="0" w:color="000000"/>
            </w:tcBorders>
          </w:tcPr>
          <w:p>
            <w:pPr>
              <w:pStyle w:val="TableParagraph"/>
              <w:spacing w:line="231" w:lineRule="exact"/>
              <w:ind w:left="165"/>
              <w:rPr>
                <w:sz w:val="22"/>
              </w:rPr>
            </w:pPr>
            <w:r>
              <w:rPr>
                <w:sz w:val="22"/>
              </w:rPr>
              <w:t>27.1</w:t>
            </w:r>
          </w:p>
        </w:tc>
      </w:tr>
    </w:tbl>
    <w:p>
      <w:pPr>
        <w:pStyle w:val="BodyText"/>
        <w:spacing w:before="7"/>
        <w:rPr>
          <w:b/>
          <w:sz w:val="20"/>
        </w:rPr>
      </w:pPr>
      <w:r>
        <w:rPr/>
        <w:pict>
          <v:group style="position:absolute;margin-left:100.220001pt;margin-top:13.860469pt;width:433.2pt;height:1.45pt;mso-position-horizontal-relative:page;mso-position-vertical-relative:paragraph;z-index:-251645952;mso-wrap-distance-left:0;mso-wrap-distance-right:0" coordorigin="2004,277" coordsize="8664,29">
            <v:line style="position:absolute" from="2004,292" to="4446,292" stroked="true" strokeweight="1.44pt" strokecolor="#000000">
              <v:stroke dashstyle="solid"/>
            </v:line>
            <v:rect style="position:absolute;left:4431;top:277;width:29;height:29" filled="true" fillcolor="#000000" stroked="false">
              <v:fill type="solid"/>
            </v:rect>
            <v:line style="position:absolute" from="4460,292" to="5137,292" stroked="true" strokeweight="1.44pt" strokecolor="#000000">
              <v:stroke dashstyle="solid"/>
            </v:line>
            <v:rect style="position:absolute;left:5122;top:277;width:29;height:29" filled="true" fillcolor="#000000" stroked="false">
              <v:fill type="solid"/>
            </v:rect>
            <v:line style="position:absolute" from="5151,292" to="5989,292" stroked="true" strokeweight="1.44pt" strokecolor="#000000">
              <v:stroke dashstyle="solid"/>
            </v:line>
            <v:rect style="position:absolute;left:5975;top:277;width:29;height:29" filled="true" fillcolor="#000000" stroked="false">
              <v:fill type="solid"/>
            </v:rect>
            <v:line style="position:absolute" from="6004,292" to="6697,292" stroked="true" strokeweight="1.44pt" strokecolor="#000000">
              <v:stroke dashstyle="solid"/>
            </v:line>
            <v:rect style="position:absolute;left:6683;top:277;width:29;height:29" filled="true" fillcolor="#000000" stroked="false">
              <v:fill type="solid"/>
            </v:rect>
            <v:line style="position:absolute" from="6712,292" to="7691,292" stroked="true" strokeweight="1.44pt" strokecolor="#000000">
              <v:stroke dashstyle="solid"/>
            </v:line>
            <v:rect style="position:absolute;left:7676;top:277;width:29;height:29" filled="true" fillcolor="#000000" stroked="false">
              <v:fill type="solid"/>
            </v:rect>
            <v:line style="position:absolute" from="7705,292" to="8399,292" stroked="true" strokeweight="1.44pt" strokecolor="#000000">
              <v:stroke dashstyle="solid"/>
            </v:line>
            <v:rect style="position:absolute;left:8385;top:277;width:29;height:29" filled="true" fillcolor="#000000" stroked="false">
              <v:fill type="solid"/>
            </v:rect>
            <v:line style="position:absolute" from="8414,292" to="9393,292" stroked="true" strokeweight="1.44pt" strokecolor="#000000">
              <v:stroke dashstyle="solid"/>
            </v:line>
            <v:rect style="position:absolute;left:9378;top:277;width:29;height:29" filled="true" fillcolor="#000000" stroked="false">
              <v:fill type="solid"/>
            </v:rect>
            <v:line style="position:absolute" from="9408,292" to="9960,292" stroked="true" strokeweight="1.44pt" strokecolor="#000000">
              <v:stroke dashstyle="solid"/>
            </v:line>
            <v:rect style="position:absolute;left:9945;top:277;width:29;height:29" filled="true" fillcolor="#000000" stroked="false">
              <v:fill type="solid"/>
            </v:rect>
            <v:line style="position:absolute" from="9974,292" to="10668,292" stroked="true" strokeweight="1.44pt" strokecolor="#000000">
              <v:stroke dashstyle="solid"/>
            </v:line>
            <w10:wrap type="topAndBottom"/>
          </v:group>
        </w:pict>
      </w:r>
    </w:p>
    <w:p>
      <w:pPr>
        <w:pStyle w:val="BodyText"/>
        <w:rPr>
          <w:b/>
          <w:sz w:val="24"/>
        </w:rPr>
      </w:pPr>
    </w:p>
    <w:p>
      <w:pPr>
        <w:pStyle w:val="BodyText"/>
        <w:spacing w:line="360" w:lineRule="auto" w:before="206"/>
        <w:ind w:left="1248" w:right="667" w:firstLine="708"/>
        <w:jc w:val="both"/>
      </w:pPr>
      <w:r>
        <w:rPr/>
        <w:t>Çalışmaya alınan bireylerin serum albümin düzeyi ortalaması 14.99±13.78, serum hemoglobin düzeyi ortamlama değeri 11.22±1.85 bulunmuştur. Glaskow koma skoru ortalaması 12.83±3.62 olarak, Hodkinson mental testi ortalaması 5.78±3.71 olarak, Barthel günlük yaşam aktiviteleri testi ortalaması 6.18±5.92 olarak tespit edilmiştir. Northon bası yarası risk değerlendirme ortalaması 12.56±4.60 olarak ve hasta pozisyon değiştirme saat ortalaması 1.41±1.11 bulunmuştur (Tablo 4.1.8).</w:t>
      </w:r>
    </w:p>
    <w:p>
      <w:pPr>
        <w:spacing w:after="0" w:line="360" w:lineRule="auto"/>
        <w:jc w:val="both"/>
        <w:sectPr>
          <w:pgSz w:w="11910" w:h="16840"/>
          <w:pgMar w:header="749" w:footer="0" w:top="960" w:bottom="280" w:left="1020" w:right="460"/>
        </w:sectPr>
      </w:pPr>
    </w:p>
    <w:p>
      <w:pPr>
        <w:pStyle w:val="BodyText"/>
        <w:rPr>
          <w:sz w:val="20"/>
        </w:rPr>
      </w:pPr>
    </w:p>
    <w:p>
      <w:pPr>
        <w:pStyle w:val="BodyText"/>
        <w:spacing w:before="2"/>
        <w:rPr>
          <w:sz w:val="19"/>
        </w:rPr>
      </w:pPr>
    </w:p>
    <w:p>
      <w:pPr>
        <w:pStyle w:val="BodyText"/>
        <w:ind w:left="1248"/>
      </w:pPr>
      <w:bookmarkStart w:name="_bookmark69" w:id="116"/>
      <w:bookmarkEnd w:id="116"/>
      <w:r>
        <w:rPr/>
      </w:r>
      <w:bookmarkStart w:name="_bookmark67" w:id="117"/>
      <w:bookmarkEnd w:id="117"/>
      <w:r>
        <w:rPr/>
      </w:r>
      <w:r>
        <w:rPr>
          <w:b/>
        </w:rPr>
        <w:t>Tablo 4.1.8 </w:t>
      </w:r>
      <w:r>
        <w:rPr/>
        <w:t>Bireylerin bası yarası riski ile ilişkili faktörlerin ortalamaları</w:t>
      </w:r>
    </w:p>
    <w:p>
      <w:pPr>
        <w:pStyle w:val="BodyText"/>
        <w:spacing w:before="7"/>
        <w:rPr>
          <w:sz w:val="24"/>
        </w:rPr>
      </w:pPr>
    </w:p>
    <w:tbl>
      <w:tblPr>
        <w:tblW w:w="0" w:type="auto"/>
        <w:jc w:val="left"/>
        <w:tblInd w:w="126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977"/>
        <w:gridCol w:w="2555"/>
        <w:gridCol w:w="1983"/>
      </w:tblGrid>
      <w:tr>
        <w:trPr>
          <w:trHeight w:val="433" w:hRule="atLeast"/>
        </w:trPr>
        <w:tc>
          <w:tcPr>
            <w:tcW w:w="2977" w:type="dxa"/>
          </w:tcPr>
          <w:p>
            <w:pPr>
              <w:pStyle w:val="TableParagraph"/>
              <w:spacing w:line="248" w:lineRule="exact"/>
              <w:ind w:left="107"/>
              <w:rPr>
                <w:b/>
                <w:sz w:val="22"/>
              </w:rPr>
            </w:pPr>
            <w:r>
              <w:rPr>
                <w:b/>
                <w:sz w:val="22"/>
              </w:rPr>
              <w:t>Değişkenler</w:t>
            </w:r>
          </w:p>
        </w:tc>
        <w:tc>
          <w:tcPr>
            <w:tcW w:w="2555" w:type="dxa"/>
          </w:tcPr>
          <w:p>
            <w:pPr>
              <w:pStyle w:val="TableParagraph"/>
              <w:spacing w:line="248" w:lineRule="exact"/>
              <w:ind w:left="106"/>
              <w:rPr>
                <w:b/>
                <w:sz w:val="22"/>
              </w:rPr>
            </w:pPr>
            <w:r>
              <w:rPr>
                <w:b/>
                <w:sz w:val="22"/>
              </w:rPr>
              <w:t>Normal Değerler</w:t>
            </w:r>
          </w:p>
        </w:tc>
        <w:tc>
          <w:tcPr>
            <w:tcW w:w="1983" w:type="dxa"/>
          </w:tcPr>
          <w:p>
            <w:pPr>
              <w:pStyle w:val="TableParagraph"/>
              <w:spacing w:line="248" w:lineRule="exact"/>
              <w:ind w:left="357" w:right="330"/>
              <w:jc w:val="center"/>
              <w:rPr>
                <w:b/>
                <w:sz w:val="22"/>
              </w:rPr>
            </w:pPr>
            <w:r>
              <w:rPr>
                <w:b/>
                <w:sz w:val="22"/>
              </w:rPr>
              <w:t>X±SS</w:t>
            </w:r>
          </w:p>
        </w:tc>
      </w:tr>
      <w:tr>
        <w:trPr>
          <w:trHeight w:val="318" w:hRule="atLeast"/>
        </w:trPr>
        <w:tc>
          <w:tcPr>
            <w:tcW w:w="2977" w:type="dxa"/>
            <w:tcBorders>
              <w:bottom w:val="single" w:sz="8" w:space="0" w:color="000000"/>
            </w:tcBorders>
          </w:tcPr>
          <w:p>
            <w:pPr>
              <w:pStyle w:val="TableParagraph"/>
              <w:spacing w:line="234" w:lineRule="exact" w:before="64"/>
              <w:ind w:left="167"/>
              <w:rPr>
                <w:sz w:val="22"/>
              </w:rPr>
            </w:pPr>
            <w:r>
              <w:rPr>
                <w:sz w:val="22"/>
              </w:rPr>
              <w:t>Serum Albümin Düzeyi</w:t>
            </w:r>
          </w:p>
        </w:tc>
        <w:tc>
          <w:tcPr>
            <w:tcW w:w="2555" w:type="dxa"/>
            <w:tcBorders>
              <w:bottom w:val="single" w:sz="8" w:space="0" w:color="000000"/>
            </w:tcBorders>
          </w:tcPr>
          <w:p>
            <w:pPr>
              <w:pStyle w:val="TableParagraph"/>
              <w:spacing w:line="234" w:lineRule="exact" w:before="64"/>
              <w:ind w:left="106"/>
              <w:rPr>
                <w:sz w:val="22"/>
              </w:rPr>
            </w:pPr>
            <w:r>
              <w:rPr>
                <w:sz w:val="22"/>
              </w:rPr>
              <w:t>E/K: 3.5 / 5.2 g/ dL</w:t>
            </w:r>
          </w:p>
        </w:tc>
        <w:tc>
          <w:tcPr>
            <w:tcW w:w="1983" w:type="dxa"/>
            <w:tcBorders>
              <w:bottom w:val="single" w:sz="8" w:space="0" w:color="000000"/>
            </w:tcBorders>
          </w:tcPr>
          <w:p>
            <w:pPr>
              <w:pStyle w:val="TableParagraph"/>
              <w:spacing w:line="234" w:lineRule="exact" w:before="64"/>
              <w:ind w:left="361" w:right="330"/>
              <w:jc w:val="center"/>
              <w:rPr>
                <w:sz w:val="22"/>
              </w:rPr>
            </w:pPr>
            <w:r>
              <w:rPr>
                <w:sz w:val="22"/>
              </w:rPr>
              <w:t>14.99±13.78</w:t>
            </w:r>
          </w:p>
        </w:tc>
      </w:tr>
      <w:tr>
        <w:trPr>
          <w:trHeight w:val="320" w:hRule="atLeast"/>
        </w:trPr>
        <w:tc>
          <w:tcPr>
            <w:tcW w:w="2977" w:type="dxa"/>
            <w:tcBorders>
              <w:top w:val="single" w:sz="8" w:space="0" w:color="000000"/>
              <w:bottom w:val="single" w:sz="8" w:space="0" w:color="000000"/>
            </w:tcBorders>
          </w:tcPr>
          <w:p>
            <w:pPr>
              <w:pStyle w:val="TableParagraph"/>
              <w:spacing w:line="234" w:lineRule="exact" w:before="67"/>
              <w:ind w:left="167"/>
              <w:rPr>
                <w:sz w:val="22"/>
              </w:rPr>
            </w:pPr>
            <w:r>
              <w:rPr>
                <w:sz w:val="22"/>
              </w:rPr>
              <w:t>Serum Hemoglobin Düzeyi</w:t>
            </w:r>
          </w:p>
        </w:tc>
        <w:tc>
          <w:tcPr>
            <w:tcW w:w="2555" w:type="dxa"/>
            <w:tcBorders>
              <w:top w:val="single" w:sz="8" w:space="0" w:color="000000"/>
              <w:bottom w:val="single" w:sz="8" w:space="0" w:color="000000"/>
            </w:tcBorders>
          </w:tcPr>
          <w:p>
            <w:pPr>
              <w:pStyle w:val="TableParagraph"/>
              <w:spacing w:line="234" w:lineRule="exact" w:before="67"/>
              <w:ind w:left="106"/>
              <w:rPr>
                <w:sz w:val="22"/>
              </w:rPr>
            </w:pPr>
            <w:r>
              <w:rPr>
                <w:sz w:val="22"/>
              </w:rPr>
              <w:t>E/K:13.8- 17.2/12-15.6</w:t>
            </w:r>
          </w:p>
        </w:tc>
        <w:tc>
          <w:tcPr>
            <w:tcW w:w="1983" w:type="dxa"/>
            <w:tcBorders>
              <w:top w:val="single" w:sz="8" w:space="0" w:color="000000"/>
              <w:bottom w:val="single" w:sz="8" w:space="0" w:color="000000"/>
            </w:tcBorders>
          </w:tcPr>
          <w:p>
            <w:pPr>
              <w:pStyle w:val="TableParagraph"/>
              <w:spacing w:line="234" w:lineRule="exact" w:before="67"/>
              <w:ind w:left="304" w:right="330"/>
              <w:jc w:val="center"/>
              <w:rPr>
                <w:sz w:val="22"/>
              </w:rPr>
            </w:pPr>
            <w:r>
              <w:rPr>
                <w:sz w:val="22"/>
              </w:rPr>
              <w:t>11.22±1.85</w:t>
            </w:r>
          </w:p>
        </w:tc>
      </w:tr>
      <w:tr>
        <w:trPr>
          <w:trHeight w:val="320" w:hRule="atLeast"/>
        </w:trPr>
        <w:tc>
          <w:tcPr>
            <w:tcW w:w="2977" w:type="dxa"/>
            <w:tcBorders>
              <w:top w:val="single" w:sz="8" w:space="0" w:color="000000"/>
              <w:bottom w:val="single" w:sz="8" w:space="0" w:color="000000"/>
            </w:tcBorders>
          </w:tcPr>
          <w:p>
            <w:pPr>
              <w:pStyle w:val="TableParagraph"/>
              <w:spacing w:line="236" w:lineRule="exact" w:before="64"/>
              <w:ind w:left="167"/>
              <w:rPr>
                <w:sz w:val="22"/>
              </w:rPr>
            </w:pPr>
            <w:r>
              <w:rPr>
                <w:sz w:val="22"/>
              </w:rPr>
              <w:t>Glaskow Koma Skoru</w:t>
            </w:r>
          </w:p>
        </w:tc>
        <w:tc>
          <w:tcPr>
            <w:tcW w:w="2555" w:type="dxa"/>
            <w:tcBorders>
              <w:top w:val="single" w:sz="8" w:space="0" w:color="000000"/>
              <w:bottom w:val="single" w:sz="8" w:space="0" w:color="000000"/>
            </w:tcBorders>
          </w:tcPr>
          <w:p>
            <w:pPr>
              <w:pStyle w:val="TableParagraph"/>
              <w:spacing w:line="236" w:lineRule="exact" w:before="64"/>
              <w:ind w:left="414"/>
              <w:rPr>
                <w:sz w:val="22"/>
              </w:rPr>
            </w:pPr>
            <w:r>
              <w:rPr>
                <w:sz w:val="22"/>
              </w:rPr>
              <w:t>3-15</w:t>
            </w:r>
          </w:p>
        </w:tc>
        <w:tc>
          <w:tcPr>
            <w:tcW w:w="1983" w:type="dxa"/>
            <w:tcBorders>
              <w:top w:val="single" w:sz="8" w:space="0" w:color="000000"/>
              <w:bottom w:val="single" w:sz="8" w:space="0" w:color="000000"/>
            </w:tcBorders>
          </w:tcPr>
          <w:p>
            <w:pPr>
              <w:pStyle w:val="TableParagraph"/>
              <w:spacing w:line="236" w:lineRule="exact" w:before="64"/>
              <w:ind w:left="304" w:right="330"/>
              <w:jc w:val="center"/>
              <w:rPr>
                <w:sz w:val="22"/>
              </w:rPr>
            </w:pPr>
            <w:r>
              <w:rPr>
                <w:sz w:val="22"/>
              </w:rPr>
              <w:t>12.83±3.62</w:t>
            </w:r>
          </w:p>
        </w:tc>
      </w:tr>
      <w:tr>
        <w:trPr>
          <w:trHeight w:val="318" w:hRule="atLeast"/>
        </w:trPr>
        <w:tc>
          <w:tcPr>
            <w:tcW w:w="2977" w:type="dxa"/>
            <w:tcBorders>
              <w:top w:val="single" w:sz="8" w:space="0" w:color="000000"/>
              <w:bottom w:val="single" w:sz="8" w:space="0" w:color="000000"/>
            </w:tcBorders>
          </w:tcPr>
          <w:p>
            <w:pPr>
              <w:pStyle w:val="TableParagraph"/>
              <w:spacing w:line="234" w:lineRule="exact" w:before="64"/>
              <w:ind w:left="167"/>
              <w:rPr>
                <w:sz w:val="22"/>
              </w:rPr>
            </w:pPr>
            <w:r>
              <w:rPr>
                <w:sz w:val="22"/>
              </w:rPr>
              <w:t>Hodkinson Mental Testi</w:t>
            </w:r>
          </w:p>
        </w:tc>
        <w:tc>
          <w:tcPr>
            <w:tcW w:w="2555" w:type="dxa"/>
            <w:tcBorders>
              <w:top w:val="single" w:sz="8" w:space="0" w:color="000000"/>
              <w:bottom w:val="single" w:sz="8" w:space="0" w:color="000000"/>
            </w:tcBorders>
          </w:tcPr>
          <w:p>
            <w:pPr>
              <w:pStyle w:val="TableParagraph"/>
              <w:spacing w:line="234" w:lineRule="exact" w:before="64"/>
              <w:ind w:left="414"/>
              <w:rPr>
                <w:sz w:val="22"/>
              </w:rPr>
            </w:pPr>
            <w:r>
              <w:rPr>
                <w:sz w:val="22"/>
              </w:rPr>
              <w:t>0-10</w:t>
            </w:r>
          </w:p>
        </w:tc>
        <w:tc>
          <w:tcPr>
            <w:tcW w:w="1983" w:type="dxa"/>
            <w:tcBorders>
              <w:top w:val="single" w:sz="8" w:space="0" w:color="000000"/>
              <w:bottom w:val="single" w:sz="8" w:space="0" w:color="000000"/>
            </w:tcBorders>
          </w:tcPr>
          <w:p>
            <w:pPr>
              <w:pStyle w:val="TableParagraph"/>
              <w:spacing w:line="234" w:lineRule="exact" w:before="64"/>
              <w:ind w:left="302" w:right="330"/>
              <w:jc w:val="center"/>
              <w:rPr>
                <w:sz w:val="22"/>
              </w:rPr>
            </w:pPr>
            <w:r>
              <w:rPr>
                <w:sz w:val="22"/>
              </w:rPr>
              <w:t>5.78±3.71</w:t>
            </w:r>
          </w:p>
        </w:tc>
      </w:tr>
      <w:tr>
        <w:trPr>
          <w:trHeight w:val="639" w:hRule="atLeast"/>
        </w:trPr>
        <w:tc>
          <w:tcPr>
            <w:tcW w:w="2977" w:type="dxa"/>
            <w:tcBorders>
              <w:top w:val="single" w:sz="8" w:space="0" w:color="000000"/>
              <w:bottom w:val="single" w:sz="8" w:space="0" w:color="000000"/>
            </w:tcBorders>
          </w:tcPr>
          <w:p>
            <w:pPr>
              <w:pStyle w:val="TableParagraph"/>
              <w:spacing w:line="320" w:lineRule="atLeast"/>
              <w:ind w:left="167" w:right="558"/>
              <w:rPr>
                <w:sz w:val="22"/>
              </w:rPr>
            </w:pPr>
            <w:r>
              <w:rPr>
                <w:sz w:val="22"/>
              </w:rPr>
              <w:t>Barthel Günlük Yaşam Aktivitesi Testi</w:t>
            </w:r>
          </w:p>
        </w:tc>
        <w:tc>
          <w:tcPr>
            <w:tcW w:w="2555" w:type="dxa"/>
            <w:tcBorders>
              <w:top w:val="single" w:sz="8" w:space="0" w:color="000000"/>
              <w:bottom w:val="single" w:sz="8" w:space="0" w:color="000000"/>
            </w:tcBorders>
          </w:tcPr>
          <w:p>
            <w:pPr>
              <w:pStyle w:val="TableParagraph"/>
              <w:spacing w:before="6"/>
              <w:rPr>
                <w:sz w:val="19"/>
              </w:rPr>
            </w:pPr>
          </w:p>
          <w:p>
            <w:pPr>
              <w:pStyle w:val="TableParagraph"/>
              <w:ind w:left="414"/>
              <w:rPr>
                <w:sz w:val="22"/>
              </w:rPr>
            </w:pPr>
            <w:r>
              <w:rPr>
                <w:sz w:val="22"/>
              </w:rPr>
              <w:t>0-20</w:t>
            </w:r>
          </w:p>
        </w:tc>
        <w:tc>
          <w:tcPr>
            <w:tcW w:w="1983" w:type="dxa"/>
            <w:tcBorders>
              <w:top w:val="single" w:sz="8" w:space="0" w:color="000000"/>
              <w:bottom w:val="single" w:sz="8" w:space="0" w:color="000000"/>
            </w:tcBorders>
          </w:tcPr>
          <w:p>
            <w:pPr>
              <w:pStyle w:val="TableParagraph"/>
              <w:spacing w:before="6"/>
              <w:rPr>
                <w:sz w:val="19"/>
              </w:rPr>
            </w:pPr>
          </w:p>
          <w:p>
            <w:pPr>
              <w:pStyle w:val="TableParagraph"/>
              <w:ind w:left="302" w:right="330"/>
              <w:jc w:val="center"/>
              <w:rPr>
                <w:sz w:val="22"/>
              </w:rPr>
            </w:pPr>
            <w:r>
              <w:rPr>
                <w:sz w:val="22"/>
              </w:rPr>
              <w:t>6.18±5.92</w:t>
            </w:r>
          </w:p>
        </w:tc>
      </w:tr>
      <w:tr>
        <w:trPr>
          <w:trHeight w:val="320" w:hRule="atLeast"/>
        </w:trPr>
        <w:tc>
          <w:tcPr>
            <w:tcW w:w="2977" w:type="dxa"/>
            <w:tcBorders>
              <w:top w:val="single" w:sz="8" w:space="0" w:color="000000"/>
              <w:bottom w:val="single" w:sz="8" w:space="0" w:color="000000"/>
            </w:tcBorders>
          </w:tcPr>
          <w:p>
            <w:pPr>
              <w:pStyle w:val="TableParagraph"/>
              <w:spacing w:line="234" w:lineRule="exact" w:before="67"/>
              <w:ind w:left="167"/>
              <w:rPr>
                <w:sz w:val="22"/>
              </w:rPr>
            </w:pPr>
            <w:r>
              <w:rPr>
                <w:sz w:val="22"/>
              </w:rPr>
              <w:t>Norton Bası Yarası Riski</w:t>
            </w:r>
          </w:p>
        </w:tc>
        <w:tc>
          <w:tcPr>
            <w:tcW w:w="2555" w:type="dxa"/>
            <w:tcBorders>
              <w:top w:val="single" w:sz="8" w:space="0" w:color="000000"/>
              <w:bottom w:val="single" w:sz="8" w:space="0" w:color="000000"/>
            </w:tcBorders>
          </w:tcPr>
          <w:p>
            <w:pPr>
              <w:pStyle w:val="TableParagraph"/>
              <w:spacing w:line="234" w:lineRule="exact" w:before="67"/>
              <w:ind w:left="414"/>
              <w:rPr>
                <w:sz w:val="22"/>
              </w:rPr>
            </w:pPr>
            <w:r>
              <w:rPr>
                <w:sz w:val="22"/>
              </w:rPr>
              <w:t>5-18</w:t>
            </w:r>
          </w:p>
        </w:tc>
        <w:tc>
          <w:tcPr>
            <w:tcW w:w="1983" w:type="dxa"/>
            <w:tcBorders>
              <w:top w:val="single" w:sz="8" w:space="0" w:color="000000"/>
              <w:bottom w:val="single" w:sz="8" w:space="0" w:color="000000"/>
            </w:tcBorders>
          </w:tcPr>
          <w:p>
            <w:pPr>
              <w:pStyle w:val="TableParagraph"/>
              <w:spacing w:line="234" w:lineRule="exact" w:before="67"/>
              <w:ind w:left="304" w:right="330"/>
              <w:jc w:val="center"/>
              <w:rPr>
                <w:sz w:val="22"/>
              </w:rPr>
            </w:pPr>
            <w:r>
              <w:rPr>
                <w:sz w:val="22"/>
              </w:rPr>
              <w:t>12.56±4.60</w:t>
            </w:r>
          </w:p>
        </w:tc>
      </w:tr>
      <w:tr>
        <w:trPr>
          <w:trHeight w:val="318" w:hRule="atLeast"/>
        </w:trPr>
        <w:tc>
          <w:tcPr>
            <w:tcW w:w="2977" w:type="dxa"/>
            <w:tcBorders>
              <w:top w:val="single" w:sz="8" w:space="0" w:color="000000"/>
            </w:tcBorders>
          </w:tcPr>
          <w:p>
            <w:pPr>
              <w:pStyle w:val="TableParagraph"/>
              <w:spacing w:line="234" w:lineRule="exact" w:before="64"/>
              <w:ind w:left="167"/>
              <w:rPr>
                <w:sz w:val="22"/>
              </w:rPr>
            </w:pPr>
            <w:r>
              <w:rPr>
                <w:sz w:val="22"/>
              </w:rPr>
              <w:t>Pozisyon Değiştirme (saat)</w:t>
            </w:r>
          </w:p>
        </w:tc>
        <w:tc>
          <w:tcPr>
            <w:tcW w:w="2555" w:type="dxa"/>
            <w:tcBorders>
              <w:top w:val="single" w:sz="8" w:space="0" w:color="000000"/>
            </w:tcBorders>
          </w:tcPr>
          <w:p>
            <w:pPr>
              <w:pStyle w:val="TableParagraph"/>
              <w:rPr>
                <w:rFonts w:ascii="Times New Roman"/>
                <w:sz w:val="22"/>
              </w:rPr>
            </w:pPr>
          </w:p>
        </w:tc>
        <w:tc>
          <w:tcPr>
            <w:tcW w:w="1983" w:type="dxa"/>
            <w:tcBorders>
              <w:top w:val="single" w:sz="8" w:space="0" w:color="000000"/>
            </w:tcBorders>
          </w:tcPr>
          <w:p>
            <w:pPr>
              <w:pStyle w:val="TableParagraph"/>
              <w:spacing w:line="234" w:lineRule="exact" w:before="64"/>
              <w:ind w:left="302" w:right="330"/>
              <w:jc w:val="center"/>
              <w:rPr>
                <w:sz w:val="22"/>
              </w:rPr>
            </w:pPr>
            <w:r>
              <w:rPr>
                <w:sz w:val="22"/>
              </w:rPr>
              <w:t>1.41±1.11</w:t>
            </w:r>
          </w:p>
        </w:tc>
      </w:tr>
    </w:tbl>
    <w:p>
      <w:pPr>
        <w:pStyle w:val="BodyText"/>
        <w:rPr>
          <w:sz w:val="24"/>
        </w:rPr>
      </w:pPr>
    </w:p>
    <w:p>
      <w:pPr>
        <w:pStyle w:val="BodyText"/>
        <w:spacing w:before="10"/>
        <w:rPr>
          <w:sz w:val="24"/>
        </w:rPr>
      </w:pPr>
    </w:p>
    <w:p>
      <w:pPr>
        <w:pStyle w:val="BodyText"/>
        <w:spacing w:line="360" w:lineRule="auto"/>
        <w:ind w:left="1248" w:right="668" w:firstLine="708"/>
        <w:jc w:val="both"/>
      </w:pPr>
      <w:r>
        <w:rPr/>
        <w:t>Bireylerde Norton Bası yarası risk derecelendirmesi incelendiğinde; 13 (%9.3) bireyde düşük derecede risk olduğu, 53 (%37.9) bireyde orta derecede risk olduğu tespit edilmiştir. 31 (%22.1) bireyde yüksek derecede risk olduğu ve 43 (%30.7) bireyde çok yüksek derecede risk olduğu belirlenmiştir (Tablo 4.1.9) (Şekil 4.1.3).</w:t>
      </w:r>
    </w:p>
    <w:p>
      <w:pPr>
        <w:pStyle w:val="BodyText"/>
        <w:spacing w:before="7"/>
        <w:rPr>
          <w:sz w:val="35"/>
        </w:rPr>
      </w:pPr>
    </w:p>
    <w:p>
      <w:pPr>
        <w:pStyle w:val="BodyText"/>
        <w:ind w:left="1248"/>
      </w:pPr>
      <w:r>
        <w:rPr/>
        <w:drawing>
          <wp:anchor distT="0" distB="0" distL="0" distR="0" allowOverlap="1" layoutInCell="1" locked="0" behindDoc="0" simplePos="0" relativeHeight="251672576">
            <wp:simplePos x="0" y="0"/>
            <wp:positionH relativeFrom="page">
              <wp:posOffset>2693003</wp:posOffset>
            </wp:positionH>
            <wp:positionV relativeFrom="paragraph">
              <wp:posOffset>2205122</wp:posOffset>
            </wp:positionV>
            <wp:extent cx="1832899" cy="1834895"/>
            <wp:effectExtent l="0" t="0" r="0" b="0"/>
            <wp:wrapNone/>
            <wp:docPr id="23" name="image12.png"/>
            <wp:cNvGraphicFramePr>
              <a:graphicFrameLocks noChangeAspect="1"/>
            </wp:cNvGraphicFramePr>
            <a:graphic>
              <a:graphicData uri="http://schemas.openxmlformats.org/drawingml/2006/picture">
                <pic:pic>
                  <pic:nvPicPr>
                    <pic:cNvPr id="24" name="image12.png"/>
                    <pic:cNvPicPr/>
                  </pic:nvPicPr>
                  <pic:blipFill>
                    <a:blip r:embed="rId19" cstate="print"/>
                    <a:stretch>
                      <a:fillRect/>
                    </a:stretch>
                  </pic:blipFill>
                  <pic:spPr>
                    <a:xfrm>
                      <a:off x="0" y="0"/>
                      <a:ext cx="1832899" cy="1834895"/>
                    </a:xfrm>
                    <a:prstGeom prst="rect">
                      <a:avLst/>
                    </a:prstGeom>
                  </pic:spPr>
                </pic:pic>
              </a:graphicData>
            </a:graphic>
          </wp:anchor>
        </w:drawing>
      </w:r>
      <w:bookmarkStart w:name="_bookmark68" w:id="118"/>
      <w:bookmarkEnd w:id="118"/>
      <w:r>
        <w:rPr/>
      </w:r>
      <w:r>
        <w:rPr>
          <w:b/>
        </w:rPr>
        <w:t>Tablo 4.1.9 </w:t>
      </w:r>
      <w:r>
        <w:rPr/>
        <w:t>Bireylerde Norton bası yarası risk derecelendirmesi dağılımı</w:t>
      </w:r>
    </w:p>
    <w:p>
      <w:pPr>
        <w:pStyle w:val="BodyText"/>
        <w:spacing w:before="5"/>
      </w:pPr>
    </w:p>
    <w:tbl>
      <w:tblPr>
        <w:tblW w:w="0" w:type="auto"/>
        <w:jc w:val="left"/>
        <w:tblInd w:w="1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47"/>
        <w:gridCol w:w="1210"/>
        <w:gridCol w:w="1659"/>
      </w:tblGrid>
      <w:tr>
        <w:trPr>
          <w:trHeight w:val="505" w:hRule="atLeast"/>
        </w:trPr>
        <w:tc>
          <w:tcPr>
            <w:tcW w:w="3147" w:type="dxa"/>
            <w:tcBorders>
              <w:top w:val="single" w:sz="12" w:space="0" w:color="000000"/>
              <w:bottom w:val="single" w:sz="12" w:space="0" w:color="000000"/>
            </w:tcBorders>
          </w:tcPr>
          <w:p>
            <w:pPr>
              <w:pStyle w:val="TableParagraph"/>
              <w:spacing w:line="248" w:lineRule="exact"/>
              <w:ind w:left="115"/>
              <w:rPr>
                <w:b/>
                <w:sz w:val="22"/>
              </w:rPr>
            </w:pPr>
            <w:r>
              <w:rPr>
                <w:b/>
                <w:sz w:val="22"/>
              </w:rPr>
              <w:t>Norton Bası Yarası Risk</w:t>
            </w:r>
          </w:p>
          <w:p>
            <w:pPr>
              <w:pStyle w:val="TableParagraph"/>
              <w:spacing w:line="236" w:lineRule="exact" w:before="1"/>
              <w:ind w:left="115"/>
              <w:rPr>
                <w:b/>
                <w:sz w:val="22"/>
              </w:rPr>
            </w:pPr>
            <w:r>
              <w:rPr>
                <w:b/>
                <w:sz w:val="22"/>
              </w:rPr>
              <w:t>Derecelendirmesi</w:t>
            </w:r>
          </w:p>
        </w:tc>
        <w:tc>
          <w:tcPr>
            <w:tcW w:w="1210" w:type="dxa"/>
            <w:tcBorders>
              <w:top w:val="single" w:sz="12" w:space="0" w:color="000000"/>
              <w:bottom w:val="single" w:sz="12" w:space="0" w:color="000000"/>
            </w:tcBorders>
          </w:tcPr>
          <w:p>
            <w:pPr>
              <w:pStyle w:val="TableParagraph"/>
              <w:spacing w:line="248" w:lineRule="exact"/>
              <w:ind w:right="496"/>
              <w:jc w:val="right"/>
              <w:rPr>
                <w:b/>
                <w:sz w:val="22"/>
              </w:rPr>
            </w:pPr>
            <w:r>
              <w:rPr>
                <w:b/>
                <w:w w:val="100"/>
                <w:sz w:val="22"/>
              </w:rPr>
              <w:t>n</w:t>
            </w:r>
          </w:p>
        </w:tc>
        <w:tc>
          <w:tcPr>
            <w:tcW w:w="1659" w:type="dxa"/>
            <w:tcBorders>
              <w:top w:val="single" w:sz="12" w:space="0" w:color="000000"/>
              <w:bottom w:val="single" w:sz="12" w:space="0" w:color="000000"/>
            </w:tcBorders>
          </w:tcPr>
          <w:p>
            <w:pPr>
              <w:pStyle w:val="TableParagraph"/>
              <w:spacing w:line="248" w:lineRule="exact"/>
              <w:ind w:left="516"/>
              <w:rPr>
                <w:b/>
                <w:sz w:val="22"/>
              </w:rPr>
            </w:pPr>
            <w:r>
              <w:rPr>
                <w:b/>
                <w:w w:val="100"/>
                <w:sz w:val="22"/>
              </w:rPr>
              <w:t>%</w:t>
            </w:r>
          </w:p>
        </w:tc>
      </w:tr>
      <w:tr>
        <w:trPr>
          <w:trHeight w:val="340" w:hRule="atLeast"/>
        </w:trPr>
        <w:tc>
          <w:tcPr>
            <w:tcW w:w="3147" w:type="dxa"/>
            <w:tcBorders>
              <w:top w:val="single" w:sz="12" w:space="0" w:color="000000"/>
              <w:bottom w:val="single" w:sz="4" w:space="0" w:color="000000"/>
            </w:tcBorders>
          </w:tcPr>
          <w:p>
            <w:pPr>
              <w:pStyle w:val="TableParagraph"/>
              <w:ind w:left="115"/>
              <w:rPr>
                <w:sz w:val="22"/>
              </w:rPr>
            </w:pPr>
            <w:r>
              <w:rPr>
                <w:sz w:val="22"/>
              </w:rPr>
              <w:t>Düşük risk</w:t>
            </w:r>
          </w:p>
        </w:tc>
        <w:tc>
          <w:tcPr>
            <w:tcW w:w="1210" w:type="dxa"/>
            <w:tcBorders>
              <w:top w:val="single" w:sz="12" w:space="0" w:color="000000"/>
              <w:bottom w:val="single" w:sz="4" w:space="0" w:color="000000"/>
            </w:tcBorders>
          </w:tcPr>
          <w:p>
            <w:pPr>
              <w:pStyle w:val="TableParagraph"/>
              <w:ind w:right="449"/>
              <w:jc w:val="right"/>
              <w:rPr>
                <w:sz w:val="22"/>
              </w:rPr>
            </w:pPr>
            <w:r>
              <w:rPr>
                <w:sz w:val="22"/>
              </w:rPr>
              <w:t>13</w:t>
            </w:r>
          </w:p>
        </w:tc>
        <w:tc>
          <w:tcPr>
            <w:tcW w:w="1659" w:type="dxa"/>
            <w:tcBorders>
              <w:top w:val="single" w:sz="12" w:space="0" w:color="000000"/>
              <w:bottom w:val="single" w:sz="4" w:space="0" w:color="000000"/>
            </w:tcBorders>
          </w:tcPr>
          <w:p>
            <w:pPr>
              <w:pStyle w:val="TableParagraph"/>
              <w:ind w:left="453"/>
              <w:rPr>
                <w:sz w:val="22"/>
              </w:rPr>
            </w:pPr>
            <w:r>
              <w:rPr>
                <w:sz w:val="22"/>
              </w:rPr>
              <w:t>9.3</w:t>
            </w:r>
          </w:p>
        </w:tc>
      </w:tr>
      <w:tr>
        <w:trPr>
          <w:trHeight w:val="340" w:hRule="atLeast"/>
        </w:trPr>
        <w:tc>
          <w:tcPr>
            <w:tcW w:w="3147" w:type="dxa"/>
            <w:tcBorders>
              <w:top w:val="single" w:sz="4" w:space="0" w:color="000000"/>
              <w:bottom w:val="single" w:sz="4" w:space="0" w:color="000000"/>
            </w:tcBorders>
          </w:tcPr>
          <w:p>
            <w:pPr>
              <w:pStyle w:val="TableParagraph"/>
              <w:ind w:left="115"/>
              <w:rPr>
                <w:sz w:val="22"/>
              </w:rPr>
            </w:pPr>
            <w:r>
              <w:rPr>
                <w:sz w:val="22"/>
              </w:rPr>
              <w:t>Orta derecede risk</w:t>
            </w:r>
          </w:p>
        </w:tc>
        <w:tc>
          <w:tcPr>
            <w:tcW w:w="1210" w:type="dxa"/>
            <w:tcBorders>
              <w:top w:val="single" w:sz="4" w:space="0" w:color="000000"/>
              <w:bottom w:val="single" w:sz="4" w:space="0" w:color="000000"/>
            </w:tcBorders>
          </w:tcPr>
          <w:p>
            <w:pPr>
              <w:pStyle w:val="TableParagraph"/>
              <w:ind w:right="449"/>
              <w:jc w:val="right"/>
              <w:rPr>
                <w:sz w:val="22"/>
              </w:rPr>
            </w:pPr>
            <w:r>
              <w:rPr>
                <w:sz w:val="22"/>
              </w:rPr>
              <w:t>53</w:t>
            </w:r>
          </w:p>
        </w:tc>
        <w:tc>
          <w:tcPr>
            <w:tcW w:w="1659" w:type="dxa"/>
            <w:tcBorders>
              <w:top w:val="single" w:sz="4" w:space="0" w:color="000000"/>
              <w:bottom w:val="single" w:sz="4" w:space="0" w:color="000000"/>
            </w:tcBorders>
          </w:tcPr>
          <w:p>
            <w:pPr>
              <w:pStyle w:val="TableParagraph"/>
              <w:ind w:left="453"/>
              <w:rPr>
                <w:sz w:val="22"/>
              </w:rPr>
            </w:pPr>
            <w:r>
              <w:rPr>
                <w:sz w:val="22"/>
              </w:rPr>
              <w:t>37.9</w:t>
            </w:r>
          </w:p>
        </w:tc>
      </w:tr>
      <w:tr>
        <w:trPr>
          <w:trHeight w:val="340" w:hRule="atLeast"/>
        </w:trPr>
        <w:tc>
          <w:tcPr>
            <w:tcW w:w="3147" w:type="dxa"/>
            <w:tcBorders>
              <w:top w:val="single" w:sz="4" w:space="0" w:color="000000"/>
              <w:bottom w:val="single" w:sz="4" w:space="0" w:color="000000"/>
            </w:tcBorders>
          </w:tcPr>
          <w:p>
            <w:pPr>
              <w:pStyle w:val="TableParagraph"/>
              <w:spacing w:line="250" w:lineRule="exact"/>
              <w:ind w:left="115"/>
              <w:rPr>
                <w:sz w:val="22"/>
              </w:rPr>
            </w:pPr>
            <w:r>
              <w:rPr>
                <w:sz w:val="22"/>
              </w:rPr>
              <w:t>Yüksek derecede risk</w:t>
            </w:r>
          </w:p>
        </w:tc>
        <w:tc>
          <w:tcPr>
            <w:tcW w:w="1210" w:type="dxa"/>
            <w:tcBorders>
              <w:top w:val="single" w:sz="4" w:space="0" w:color="000000"/>
              <w:bottom w:val="single" w:sz="4" w:space="0" w:color="000000"/>
            </w:tcBorders>
          </w:tcPr>
          <w:p>
            <w:pPr>
              <w:pStyle w:val="TableParagraph"/>
              <w:spacing w:line="250" w:lineRule="exact"/>
              <w:ind w:right="449"/>
              <w:jc w:val="right"/>
              <w:rPr>
                <w:sz w:val="22"/>
              </w:rPr>
            </w:pPr>
            <w:r>
              <w:rPr>
                <w:sz w:val="22"/>
              </w:rPr>
              <w:t>31</w:t>
            </w:r>
          </w:p>
        </w:tc>
        <w:tc>
          <w:tcPr>
            <w:tcW w:w="1659" w:type="dxa"/>
            <w:tcBorders>
              <w:top w:val="single" w:sz="4" w:space="0" w:color="000000"/>
              <w:bottom w:val="single" w:sz="4" w:space="0" w:color="000000"/>
            </w:tcBorders>
          </w:tcPr>
          <w:p>
            <w:pPr>
              <w:pStyle w:val="TableParagraph"/>
              <w:spacing w:line="250" w:lineRule="exact"/>
              <w:ind w:left="453"/>
              <w:rPr>
                <w:sz w:val="22"/>
              </w:rPr>
            </w:pPr>
            <w:r>
              <w:rPr>
                <w:sz w:val="22"/>
              </w:rPr>
              <w:t>22.1</w:t>
            </w:r>
          </w:p>
        </w:tc>
      </w:tr>
      <w:tr>
        <w:trPr>
          <w:trHeight w:val="340" w:hRule="atLeast"/>
        </w:trPr>
        <w:tc>
          <w:tcPr>
            <w:tcW w:w="3147" w:type="dxa"/>
            <w:tcBorders>
              <w:top w:val="single" w:sz="4" w:space="0" w:color="000000"/>
              <w:bottom w:val="single" w:sz="12" w:space="0" w:color="000000"/>
            </w:tcBorders>
          </w:tcPr>
          <w:p>
            <w:pPr>
              <w:pStyle w:val="TableParagraph"/>
              <w:spacing w:line="250" w:lineRule="exact"/>
              <w:ind w:left="115"/>
              <w:rPr>
                <w:sz w:val="22"/>
              </w:rPr>
            </w:pPr>
            <w:r>
              <w:rPr>
                <w:sz w:val="22"/>
              </w:rPr>
              <w:t>Çok yüksek derecede risk</w:t>
            </w:r>
          </w:p>
        </w:tc>
        <w:tc>
          <w:tcPr>
            <w:tcW w:w="1210" w:type="dxa"/>
            <w:tcBorders>
              <w:top w:val="single" w:sz="4" w:space="0" w:color="000000"/>
              <w:bottom w:val="single" w:sz="12" w:space="0" w:color="000000"/>
            </w:tcBorders>
          </w:tcPr>
          <w:p>
            <w:pPr>
              <w:pStyle w:val="TableParagraph"/>
              <w:spacing w:line="250" w:lineRule="exact"/>
              <w:ind w:right="449"/>
              <w:jc w:val="right"/>
              <w:rPr>
                <w:sz w:val="22"/>
              </w:rPr>
            </w:pPr>
            <w:r>
              <w:rPr>
                <w:sz w:val="22"/>
              </w:rPr>
              <w:t>43</w:t>
            </w:r>
          </w:p>
        </w:tc>
        <w:tc>
          <w:tcPr>
            <w:tcW w:w="1659" w:type="dxa"/>
            <w:tcBorders>
              <w:top w:val="single" w:sz="4" w:space="0" w:color="000000"/>
              <w:bottom w:val="single" w:sz="12" w:space="0" w:color="000000"/>
            </w:tcBorders>
          </w:tcPr>
          <w:p>
            <w:pPr>
              <w:pStyle w:val="TableParagraph"/>
              <w:spacing w:line="250" w:lineRule="exact"/>
              <w:ind w:left="453"/>
              <w:rPr>
                <w:sz w:val="22"/>
              </w:rPr>
            </w:pPr>
            <w:r>
              <w:rPr>
                <w:sz w:val="22"/>
              </w:rPr>
              <w:t>30.7</w:t>
            </w:r>
          </w:p>
        </w:tc>
      </w:tr>
    </w:tbl>
    <w:p>
      <w:pPr>
        <w:pStyle w:val="BodyText"/>
        <w:rPr>
          <w:sz w:val="20"/>
        </w:rPr>
      </w:pPr>
    </w:p>
    <w:p>
      <w:pPr>
        <w:pStyle w:val="BodyText"/>
        <w:rPr>
          <w:sz w:val="21"/>
        </w:rPr>
      </w:pPr>
      <w:r>
        <w:rPr/>
        <w:pict>
          <v:group style="position:absolute;margin-left:134.419998pt;margin-top:14.300997pt;width:298.2pt;height:191.95pt;mso-position-horizontal-relative:page;mso-position-vertical-relative:paragraph;z-index:-251644928;mso-wrap-distance-left:0;mso-wrap-distance-right:0" coordorigin="2688,286" coordsize="5964,3839">
            <v:line style="position:absolute" from="2698,291" to="8642,291" stroked="true" strokeweight=".47998pt" strokecolor="#000000">
              <v:stroke dashstyle="solid"/>
            </v:line>
            <v:line style="position:absolute" from="2693,286" to="2693,4115" stroked="true" strokeweight=".48001pt" strokecolor="#000000">
              <v:stroke dashstyle="solid"/>
            </v:line>
            <v:rect style="position:absolute;left:2688;top:4114;width:10;height:10" filled="true" fillcolor="#000000" stroked="false">
              <v:fill type="solid"/>
            </v:rect>
            <v:rect style="position:absolute;left:2688;top:4114;width:10;height:10" filled="true" fillcolor="#000000" stroked="false">
              <v:fill type="solid"/>
            </v:rect>
            <v:line style="position:absolute" from="2698,4119" to="8642,4119" stroked="true" strokeweight=".47998pt" strokecolor="#000000">
              <v:stroke dashstyle="solid"/>
            </v:line>
            <v:line style="position:absolute" from="8647,286" to="8647,4115" stroked="true" strokeweight=".47998pt" strokecolor="#000000">
              <v:stroke dashstyle="solid"/>
            </v:line>
            <v:rect style="position:absolute;left:8642;top:4114;width:10;height:10" filled="true" fillcolor="#000000" stroked="false">
              <v:fill type="solid"/>
            </v:rect>
            <v:rect style="position:absolute;left:8642;top:4114;width:10;height:10" filled="true" fillcolor="#000000" stroked="false">
              <v:fill type="solid"/>
            </v:rect>
            <w10:wrap type="topAndBottom"/>
          </v:group>
        </w:pict>
      </w:r>
    </w:p>
    <w:p>
      <w:pPr>
        <w:pStyle w:val="BodyText"/>
        <w:spacing w:before="40"/>
        <w:ind w:left="1248"/>
      </w:pPr>
      <w:r>
        <w:rPr>
          <w:b/>
        </w:rPr>
        <w:t>Şekil 4.1.3 </w:t>
      </w:r>
      <w:r>
        <w:rPr/>
        <w:t>Norton bası yarası risk derecelendirmesi dağılımı</w:t>
      </w:r>
    </w:p>
    <w:p>
      <w:pPr>
        <w:spacing w:after="0"/>
        <w:sectPr>
          <w:pgSz w:w="11910" w:h="16840"/>
          <w:pgMar w:header="749" w:footer="0" w:top="960" w:bottom="280" w:left="1020" w:right="460"/>
        </w:sectPr>
      </w:pPr>
    </w:p>
    <w:p>
      <w:pPr>
        <w:pStyle w:val="BodyText"/>
        <w:rPr>
          <w:sz w:val="20"/>
        </w:rPr>
      </w:pPr>
    </w:p>
    <w:p>
      <w:pPr>
        <w:pStyle w:val="BodyText"/>
        <w:rPr>
          <w:sz w:val="20"/>
        </w:rPr>
      </w:pPr>
    </w:p>
    <w:p>
      <w:pPr>
        <w:pStyle w:val="BodyText"/>
        <w:spacing w:before="1"/>
        <w:rPr>
          <w:sz w:val="24"/>
        </w:rPr>
      </w:pPr>
    </w:p>
    <w:p>
      <w:pPr>
        <w:pStyle w:val="Heading1"/>
        <w:spacing w:line="362" w:lineRule="auto" w:before="94"/>
        <w:ind w:right="712"/>
      </w:pPr>
      <w:bookmarkStart w:name="_bookmark70" w:id="119"/>
      <w:bookmarkEnd w:id="119"/>
      <w:r>
        <w:rPr>
          <w:b w:val="0"/>
        </w:rPr>
      </w:r>
      <w:r>
        <w:rPr/>
        <w:t>4.2. Bası Yarası Risk Oluşumunu Etkileyen Faktörler Arasındaki İlişkilerin İncelenmesi</w:t>
      </w:r>
    </w:p>
    <w:p>
      <w:pPr>
        <w:pStyle w:val="BodyText"/>
        <w:spacing w:before="10"/>
        <w:rPr>
          <w:b/>
          <w:sz w:val="32"/>
        </w:rPr>
      </w:pPr>
    </w:p>
    <w:p>
      <w:pPr>
        <w:pStyle w:val="BodyText"/>
        <w:spacing w:line="360" w:lineRule="auto"/>
        <w:ind w:left="1248" w:right="668" w:firstLine="708"/>
        <w:jc w:val="both"/>
      </w:pPr>
      <w:r>
        <w:rPr/>
        <w:t>Bireylerde Norton bası yarası risk puanı ile bası yarası oluşumunu etkileyen diğer faktörler arasındaki ilişki incelendiğinde; Norton bası yarası risk puanı ile hastanede kalış süresi arasında negatif yönlü istatistiksel olarak anlamlı bir ilişki bulunmuştur (r=-0.296, p=0.000). Norton bası yarası risk puanı ile serum hemoglobin düzeyi arasında (r=0.278, p=0.001), GKS puanı arasında (r=0.733, p=0.000), Hodkinson mental test puanı arasında (r=0.689, p=0.000) ve Barthel GYA testi puanı arasında (r=0.753, p=0.000) pozitif yönlü istatistiksel olarak anlamlı bir ilişki bulunmuştur (Tablo</w:t>
      </w:r>
      <w:r>
        <w:rPr>
          <w:spacing w:val="-2"/>
        </w:rPr>
        <w:t> </w:t>
      </w:r>
      <w:r>
        <w:rPr/>
        <w:t>4.2.1).</w:t>
      </w:r>
    </w:p>
    <w:p>
      <w:pPr>
        <w:pStyle w:val="BodyText"/>
        <w:spacing w:line="360" w:lineRule="auto" w:before="159"/>
        <w:ind w:left="1248" w:right="673" w:firstLine="708"/>
        <w:jc w:val="both"/>
      </w:pPr>
      <w:r>
        <w:rPr/>
        <w:t>Bireylerde Norton bası yarası risk puanı ile bası yarası oluşumunu etkileyen diğer faktörler arasındaki ilişki incelendiğinde; Norton bası yarası risk puanı ile VKİ arasında ve serum albümin düzeyi arasında istatistiksel olarak anlamlı bir ilişki bulunmamıştır (Tablo 4.2.1).</w:t>
      </w:r>
    </w:p>
    <w:p>
      <w:pPr>
        <w:pStyle w:val="BodyText"/>
        <w:rPr>
          <w:sz w:val="24"/>
        </w:rPr>
      </w:pPr>
    </w:p>
    <w:p>
      <w:pPr>
        <w:pStyle w:val="BodyText"/>
        <w:rPr>
          <w:sz w:val="24"/>
        </w:rPr>
      </w:pPr>
    </w:p>
    <w:p>
      <w:pPr>
        <w:pStyle w:val="BodyText"/>
        <w:rPr>
          <w:sz w:val="24"/>
        </w:rPr>
      </w:pPr>
    </w:p>
    <w:p>
      <w:pPr>
        <w:pStyle w:val="BodyText"/>
        <w:spacing w:before="10"/>
        <w:rPr>
          <w:sz w:val="26"/>
        </w:rPr>
      </w:pPr>
    </w:p>
    <w:p>
      <w:pPr>
        <w:pStyle w:val="BodyText"/>
        <w:spacing w:line="244" w:lineRule="auto"/>
        <w:ind w:left="1248" w:right="712"/>
      </w:pPr>
      <w:bookmarkStart w:name="_bookmark71" w:id="120"/>
      <w:bookmarkEnd w:id="120"/>
      <w:r>
        <w:rPr/>
      </w:r>
      <w:r>
        <w:rPr>
          <w:b/>
        </w:rPr>
        <w:t>Tablo 4.2.1 </w:t>
      </w:r>
      <w:r>
        <w:rPr/>
        <w:t>Bası yarası risk oluşumunu etkileyen faktörler arasındaki ilişkinin incelenmesi</w:t>
      </w:r>
    </w:p>
    <w:p>
      <w:pPr>
        <w:pStyle w:val="BodyText"/>
        <w:spacing w:before="6"/>
        <w:rPr>
          <w:sz w:val="21"/>
        </w:rPr>
      </w:pPr>
    </w:p>
    <w:tbl>
      <w:tblPr>
        <w:tblW w:w="0" w:type="auto"/>
        <w:jc w:val="left"/>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72"/>
        <w:gridCol w:w="1018"/>
        <w:gridCol w:w="1327"/>
        <w:gridCol w:w="1095"/>
        <w:gridCol w:w="1489"/>
        <w:gridCol w:w="1017"/>
        <w:gridCol w:w="1352"/>
        <w:gridCol w:w="1017"/>
      </w:tblGrid>
      <w:tr>
        <w:trPr>
          <w:trHeight w:val="1033" w:hRule="atLeast"/>
        </w:trPr>
        <w:tc>
          <w:tcPr>
            <w:tcW w:w="1472" w:type="dxa"/>
            <w:tcBorders>
              <w:top w:val="single" w:sz="12" w:space="0" w:color="000000"/>
              <w:bottom w:val="single" w:sz="4" w:space="0" w:color="000000"/>
            </w:tcBorders>
          </w:tcPr>
          <w:p>
            <w:pPr>
              <w:pStyle w:val="TableParagraph"/>
              <w:rPr>
                <w:sz w:val="24"/>
              </w:rPr>
            </w:pPr>
          </w:p>
          <w:p>
            <w:pPr>
              <w:pStyle w:val="TableParagraph"/>
              <w:rPr>
                <w:sz w:val="24"/>
              </w:rPr>
            </w:pPr>
          </w:p>
          <w:p>
            <w:pPr>
              <w:pStyle w:val="TableParagraph"/>
              <w:spacing w:before="4"/>
              <w:rPr>
                <w:sz w:val="19"/>
              </w:rPr>
            </w:pPr>
          </w:p>
          <w:p>
            <w:pPr>
              <w:pStyle w:val="TableParagraph"/>
              <w:spacing w:line="239" w:lineRule="exact"/>
              <w:ind w:left="115"/>
              <w:rPr>
                <w:b/>
                <w:sz w:val="22"/>
              </w:rPr>
            </w:pPr>
            <w:r>
              <w:rPr>
                <w:b/>
                <w:sz w:val="22"/>
              </w:rPr>
              <w:t>Değişkenler</w:t>
            </w:r>
          </w:p>
        </w:tc>
        <w:tc>
          <w:tcPr>
            <w:tcW w:w="1018" w:type="dxa"/>
            <w:tcBorders>
              <w:top w:val="single" w:sz="12" w:space="0" w:color="000000"/>
              <w:bottom w:val="single" w:sz="4" w:space="0" w:color="000000"/>
            </w:tcBorders>
          </w:tcPr>
          <w:p>
            <w:pPr>
              <w:pStyle w:val="TableParagraph"/>
              <w:rPr>
                <w:sz w:val="24"/>
              </w:rPr>
            </w:pPr>
          </w:p>
          <w:p>
            <w:pPr>
              <w:pStyle w:val="TableParagraph"/>
              <w:rPr>
                <w:sz w:val="24"/>
              </w:rPr>
            </w:pPr>
          </w:p>
          <w:p>
            <w:pPr>
              <w:pStyle w:val="TableParagraph"/>
              <w:spacing w:before="4"/>
              <w:rPr>
                <w:sz w:val="19"/>
              </w:rPr>
            </w:pPr>
          </w:p>
          <w:p>
            <w:pPr>
              <w:pStyle w:val="TableParagraph"/>
              <w:spacing w:line="239" w:lineRule="exact"/>
              <w:ind w:left="323"/>
              <w:rPr>
                <w:b/>
                <w:sz w:val="22"/>
              </w:rPr>
            </w:pPr>
            <w:r>
              <w:rPr>
                <w:b/>
                <w:sz w:val="22"/>
              </w:rPr>
              <w:t>VKİ</w:t>
            </w:r>
          </w:p>
        </w:tc>
        <w:tc>
          <w:tcPr>
            <w:tcW w:w="1327" w:type="dxa"/>
            <w:tcBorders>
              <w:top w:val="single" w:sz="12" w:space="0" w:color="000000"/>
              <w:bottom w:val="single" w:sz="4" w:space="0" w:color="000000"/>
            </w:tcBorders>
          </w:tcPr>
          <w:p>
            <w:pPr>
              <w:pStyle w:val="TableParagraph"/>
              <w:spacing w:before="10"/>
              <w:rPr>
                <w:sz w:val="23"/>
              </w:rPr>
            </w:pPr>
          </w:p>
          <w:p>
            <w:pPr>
              <w:pStyle w:val="TableParagraph"/>
              <w:spacing w:line="252" w:lineRule="exact" w:before="1"/>
              <w:ind w:left="107" w:right="104"/>
              <w:jc w:val="center"/>
              <w:rPr>
                <w:b/>
                <w:sz w:val="22"/>
              </w:rPr>
            </w:pPr>
            <w:r>
              <w:rPr>
                <w:b/>
                <w:sz w:val="22"/>
              </w:rPr>
              <w:t>Hastanede Kalış Süresi</w:t>
            </w:r>
          </w:p>
        </w:tc>
        <w:tc>
          <w:tcPr>
            <w:tcW w:w="1095" w:type="dxa"/>
            <w:tcBorders>
              <w:top w:val="single" w:sz="12" w:space="0" w:color="000000"/>
              <w:bottom w:val="single" w:sz="4" w:space="0" w:color="000000"/>
            </w:tcBorders>
          </w:tcPr>
          <w:p>
            <w:pPr>
              <w:pStyle w:val="TableParagraph"/>
              <w:spacing w:before="10"/>
              <w:rPr>
                <w:sz w:val="23"/>
              </w:rPr>
            </w:pPr>
          </w:p>
          <w:p>
            <w:pPr>
              <w:pStyle w:val="TableParagraph"/>
              <w:spacing w:line="252" w:lineRule="exact" w:before="1"/>
              <w:ind w:left="107" w:right="104" w:hanging="2"/>
              <w:jc w:val="center"/>
              <w:rPr>
                <w:b/>
                <w:sz w:val="22"/>
              </w:rPr>
            </w:pPr>
            <w:r>
              <w:rPr>
                <w:b/>
                <w:sz w:val="22"/>
              </w:rPr>
              <w:t>Serum Albümin Düzeyi</w:t>
            </w:r>
          </w:p>
        </w:tc>
        <w:tc>
          <w:tcPr>
            <w:tcW w:w="1489" w:type="dxa"/>
            <w:tcBorders>
              <w:top w:val="single" w:sz="12" w:space="0" w:color="000000"/>
              <w:bottom w:val="single" w:sz="4" w:space="0" w:color="000000"/>
            </w:tcBorders>
          </w:tcPr>
          <w:p>
            <w:pPr>
              <w:pStyle w:val="TableParagraph"/>
              <w:spacing w:before="10"/>
              <w:rPr>
                <w:sz w:val="23"/>
              </w:rPr>
            </w:pPr>
          </w:p>
          <w:p>
            <w:pPr>
              <w:pStyle w:val="TableParagraph"/>
              <w:spacing w:line="252" w:lineRule="exact" w:before="1"/>
              <w:ind w:left="109" w:right="103" w:hanging="3"/>
              <w:jc w:val="center"/>
              <w:rPr>
                <w:b/>
                <w:sz w:val="22"/>
              </w:rPr>
            </w:pPr>
            <w:r>
              <w:rPr>
                <w:b/>
                <w:sz w:val="22"/>
              </w:rPr>
              <w:t>Serum Hemoglobin Düzeyi</w:t>
            </w:r>
          </w:p>
        </w:tc>
        <w:tc>
          <w:tcPr>
            <w:tcW w:w="1017" w:type="dxa"/>
            <w:tcBorders>
              <w:top w:val="single" w:sz="12" w:space="0" w:color="000000"/>
              <w:bottom w:val="single" w:sz="4" w:space="0" w:color="000000"/>
            </w:tcBorders>
          </w:tcPr>
          <w:p>
            <w:pPr>
              <w:pStyle w:val="TableParagraph"/>
              <w:rPr>
                <w:sz w:val="24"/>
              </w:rPr>
            </w:pPr>
          </w:p>
          <w:p>
            <w:pPr>
              <w:pStyle w:val="TableParagraph"/>
              <w:rPr>
                <w:sz w:val="24"/>
              </w:rPr>
            </w:pPr>
          </w:p>
          <w:p>
            <w:pPr>
              <w:pStyle w:val="TableParagraph"/>
              <w:spacing w:before="4"/>
              <w:rPr>
                <w:sz w:val="19"/>
              </w:rPr>
            </w:pPr>
          </w:p>
          <w:p>
            <w:pPr>
              <w:pStyle w:val="TableParagraph"/>
              <w:spacing w:line="239" w:lineRule="exact"/>
              <w:ind w:left="270"/>
              <w:rPr>
                <w:b/>
                <w:sz w:val="22"/>
              </w:rPr>
            </w:pPr>
            <w:r>
              <w:rPr>
                <w:b/>
                <w:sz w:val="22"/>
              </w:rPr>
              <w:t>GKS</w:t>
            </w:r>
          </w:p>
        </w:tc>
        <w:tc>
          <w:tcPr>
            <w:tcW w:w="1352" w:type="dxa"/>
            <w:tcBorders>
              <w:top w:val="single" w:sz="12" w:space="0" w:color="000000"/>
              <w:bottom w:val="single" w:sz="4" w:space="0" w:color="000000"/>
            </w:tcBorders>
          </w:tcPr>
          <w:p>
            <w:pPr>
              <w:pStyle w:val="TableParagraph"/>
              <w:spacing w:before="10"/>
              <w:rPr>
                <w:sz w:val="23"/>
              </w:rPr>
            </w:pPr>
          </w:p>
          <w:p>
            <w:pPr>
              <w:pStyle w:val="TableParagraph"/>
              <w:spacing w:line="252" w:lineRule="exact" w:before="1"/>
              <w:ind w:left="109" w:right="102"/>
              <w:jc w:val="center"/>
              <w:rPr>
                <w:b/>
                <w:sz w:val="22"/>
              </w:rPr>
            </w:pPr>
            <w:r>
              <w:rPr>
                <w:b/>
                <w:sz w:val="22"/>
              </w:rPr>
              <w:t>Hodkinson Mental Test</w:t>
            </w:r>
          </w:p>
        </w:tc>
        <w:tc>
          <w:tcPr>
            <w:tcW w:w="1017" w:type="dxa"/>
            <w:tcBorders>
              <w:top w:val="single" w:sz="12" w:space="0" w:color="000000"/>
              <w:bottom w:val="single" w:sz="4" w:space="0" w:color="000000"/>
            </w:tcBorders>
          </w:tcPr>
          <w:p>
            <w:pPr>
              <w:pStyle w:val="TableParagraph"/>
              <w:spacing w:before="6"/>
              <w:rPr>
                <w:sz w:val="23"/>
              </w:rPr>
            </w:pPr>
          </w:p>
          <w:p>
            <w:pPr>
              <w:pStyle w:val="TableParagraph"/>
              <w:ind w:left="275" w:right="106" w:hanging="142"/>
              <w:rPr>
                <w:b/>
                <w:sz w:val="22"/>
              </w:rPr>
            </w:pPr>
            <w:r>
              <w:rPr>
                <w:b/>
                <w:sz w:val="22"/>
              </w:rPr>
              <w:t>Barthel GYA</w:t>
            </w:r>
          </w:p>
          <w:p>
            <w:pPr>
              <w:pStyle w:val="TableParagraph"/>
              <w:spacing w:line="237" w:lineRule="exact"/>
              <w:ind w:left="255"/>
              <w:rPr>
                <w:b/>
                <w:sz w:val="22"/>
              </w:rPr>
            </w:pPr>
            <w:r>
              <w:rPr>
                <w:b/>
                <w:sz w:val="22"/>
              </w:rPr>
              <w:t>Testi</w:t>
            </w:r>
          </w:p>
        </w:tc>
      </w:tr>
      <w:tr>
        <w:trPr>
          <w:trHeight w:val="1170" w:hRule="atLeast"/>
        </w:trPr>
        <w:tc>
          <w:tcPr>
            <w:tcW w:w="1472" w:type="dxa"/>
            <w:tcBorders>
              <w:top w:val="single" w:sz="4" w:space="0" w:color="000000"/>
              <w:bottom w:val="single" w:sz="12" w:space="0" w:color="000000"/>
            </w:tcBorders>
          </w:tcPr>
          <w:p>
            <w:pPr>
              <w:pStyle w:val="TableParagraph"/>
              <w:spacing w:before="201"/>
              <w:ind w:left="115" w:right="105"/>
              <w:jc w:val="both"/>
              <w:rPr>
                <w:b/>
                <w:sz w:val="22"/>
              </w:rPr>
            </w:pPr>
            <w:r>
              <w:rPr>
                <w:b/>
                <w:sz w:val="22"/>
              </w:rPr>
              <w:t>Norton Bası Yarası Risk Puanı</w:t>
            </w:r>
          </w:p>
        </w:tc>
        <w:tc>
          <w:tcPr>
            <w:tcW w:w="1018" w:type="dxa"/>
            <w:tcBorders>
              <w:top w:val="single" w:sz="4" w:space="0" w:color="000000"/>
              <w:bottom w:val="single" w:sz="12" w:space="0" w:color="000000"/>
            </w:tcBorders>
          </w:tcPr>
          <w:p>
            <w:pPr>
              <w:pStyle w:val="TableParagraph"/>
              <w:spacing w:before="9"/>
              <w:rPr>
                <w:sz w:val="28"/>
              </w:rPr>
            </w:pPr>
          </w:p>
          <w:p>
            <w:pPr>
              <w:pStyle w:val="TableParagraph"/>
              <w:ind w:left="107" w:right="89"/>
              <w:rPr>
                <w:sz w:val="22"/>
              </w:rPr>
            </w:pPr>
            <w:r>
              <w:rPr>
                <w:sz w:val="22"/>
              </w:rPr>
              <w:t>r=0.630 p=0.457</w:t>
            </w:r>
          </w:p>
        </w:tc>
        <w:tc>
          <w:tcPr>
            <w:tcW w:w="1327" w:type="dxa"/>
            <w:tcBorders>
              <w:top w:val="single" w:sz="4" w:space="0" w:color="000000"/>
              <w:bottom w:val="single" w:sz="12" w:space="0" w:color="000000"/>
            </w:tcBorders>
          </w:tcPr>
          <w:p>
            <w:pPr>
              <w:pStyle w:val="TableParagraph"/>
              <w:spacing w:before="9"/>
              <w:rPr>
                <w:sz w:val="28"/>
              </w:rPr>
            </w:pPr>
          </w:p>
          <w:p>
            <w:pPr>
              <w:pStyle w:val="TableParagraph"/>
              <w:ind w:left="107" w:right="374"/>
              <w:rPr>
                <w:sz w:val="22"/>
              </w:rPr>
            </w:pPr>
            <w:r>
              <w:rPr>
                <w:sz w:val="22"/>
              </w:rPr>
              <w:t>r=-0.296 p=0.000</w:t>
            </w:r>
          </w:p>
        </w:tc>
        <w:tc>
          <w:tcPr>
            <w:tcW w:w="1095" w:type="dxa"/>
            <w:tcBorders>
              <w:top w:val="single" w:sz="4" w:space="0" w:color="000000"/>
              <w:bottom w:val="single" w:sz="12" w:space="0" w:color="000000"/>
            </w:tcBorders>
          </w:tcPr>
          <w:p>
            <w:pPr>
              <w:pStyle w:val="TableParagraph"/>
              <w:spacing w:before="9"/>
              <w:rPr>
                <w:sz w:val="28"/>
              </w:rPr>
            </w:pPr>
          </w:p>
          <w:p>
            <w:pPr>
              <w:pStyle w:val="TableParagraph"/>
              <w:ind w:left="107" w:right="142"/>
              <w:rPr>
                <w:sz w:val="22"/>
              </w:rPr>
            </w:pPr>
            <w:r>
              <w:rPr>
                <w:sz w:val="22"/>
              </w:rPr>
              <w:t>r=-0.042 p=0.620</w:t>
            </w:r>
          </w:p>
        </w:tc>
        <w:tc>
          <w:tcPr>
            <w:tcW w:w="1489" w:type="dxa"/>
            <w:tcBorders>
              <w:top w:val="single" w:sz="4" w:space="0" w:color="000000"/>
              <w:bottom w:val="single" w:sz="12" w:space="0" w:color="000000"/>
            </w:tcBorders>
          </w:tcPr>
          <w:p>
            <w:pPr>
              <w:pStyle w:val="TableParagraph"/>
              <w:spacing w:before="9"/>
              <w:rPr>
                <w:sz w:val="28"/>
              </w:rPr>
            </w:pPr>
          </w:p>
          <w:p>
            <w:pPr>
              <w:pStyle w:val="TableParagraph"/>
              <w:ind w:left="109" w:right="558"/>
              <w:rPr>
                <w:sz w:val="22"/>
              </w:rPr>
            </w:pPr>
            <w:r>
              <w:rPr>
                <w:sz w:val="22"/>
              </w:rPr>
              <w:t>r=0.278 p=0.001</w:t>
            </w:r>
          </w:p>
        </w:tc>
        <w:tc>
          <w:tcPr>
            <w:tcW w:w="1017" w:type="dxa"/>
            <w:tcBorders>
              <w:top w:val="single" w:sz="4" w:space="0" w:color="000000"/>
              <w:bottom w:val="single" w:sz="12" w:space="0" w:color="000000"/>
            </w:tcBorders>
          </w:tcPr>
          <w:p>
            <w:pPr>
              <w:pStyle w:val="TableParagraph"/>
              <w:spacing w:before="9"/>
              <w:rPr>
                <w:sz w:val="28"/>
              </w:rPr>
            </w:pPr>
          </w:p>
          <w:p>
            <w:pPr>
              <w:pStyle w:val="TableParagraph"/>
              <w:ind w:left="109" w:right="86"/>
              <w:rPr>
                <w:sz w:val="22"/>
              </w:rPr>
            </w:pPr>
            <w:r>
              <w:rPr>
                <w:sz w:val="22"/>
              </w:rPr>
              <w:t>r=0.733 p=0.000</w:t>
            </w:r>
          </w:p>
        </w:tc>
        <w:tc>
          <w:tcPr>
            <w:tcW w:w="1352" w:type="dxa"/>
            <w:tcBorders>
              <w:top w:val="single" w:sz="4" w:space="0" w:color="000000"/>
              <w:bottom w:val="single" w:sz="12" w:space="0" w:color="000000"/>
            </w:tcBorders>
          </w:tcPr>
          <w:p>
            <w:pPr>
              <w:pStyle w:val="TableParagraph"/>
              <w:spacing w:before="9"/>
              <w:rPr>
                <w:sz w:val="28"/>
              </w:rPr>
            </w:pPr>
          </w:p>
          <w:p>
            <w:pPr>
              <w:pStyle w:val="TableParagraph"/>
              <w:ind w:left="109" w:right="421"/>
              <w:rPr>
                <w:sz w:val="22"/>
              </w:rPr>
            </w:pPr>
            <w:r>
              <w:rPr>
                <w:sz w:val="22"/>
              </w:rPr>
              <w:t>r=0.689 p=0.000</w:t>
            </w:r>
          </w:p>
        </w:tc>
        <w:tc>
          <w:tcPr>
            <w:tcW w:w="1017" w:type="dxa"/>
            <w:tcBorders>
              <w:top w:val="single" w:sz="4" w:space="0" w:color="000000"/>
              <w:bottom w:val="single" w:sz="12" w:space="0" w:color="000000"/>
            </w:tcBorders>
          </w:tcPr>
          <w:p>
            <w:pPr>
              <w:pStyle w:val="TableParagraph"/>
              <w:spacing w:before="9"/>
              <w:rPr>
                <w:sz w:val="28"/>
              </w:rPr>
            </w:pPr>
          </w:p>
          <w:p>
            <w:pPr>
              <w:pStyle w:val="TableParagraph"/>
              <w:ind w:left="111" w:right="84"/>
              <w:rPr>
                <w:sz w:val="22"/>
              </w:rPr>
            </w:pPr>
            <w:r>
              <w:rPr>
                <w:sz w:val="22"/>
              </w:rPr>
              <w:t>r=0.753 p=0.000</w:t>
            </w:r>
          </w:p>
        </w:tc>
      </w:tr>
    </w:tbl>
    <w:p>
      <w:pPr>
        <w:spacing w:before="0"/>
        <w:ind w:left="682" w:right="0" w:firstLine="0"/>
        <w:jc w:val="left"/>
        <w:rPr>
          <w:sz w:val="20"/>
        </w:rPr>
      </w:pPr>
      <w:r>
        <w:rPr>
          <w:sz w:val="20"/>
        </w:rPr>
        <w:t>p: Spearman’s Korelasyon Analizi</w:t>
      </w:r>
    </w:p>
    <w:p>
      <w:pPr>
        <w:spacing w:after="0"/>
        <w:jc w:val="left"/>
        <w:rPr>
          <w:sz w:val="20"/>
        </w:rPr>
        <w:sectPr>
          <w:pgSz w:w="11910" w:h="16840"/>
          <w:pgMar w:header="749" w:footer="0" w:top="960" w:bottom="280" w:left="1020" w:right="460"/>
        </w:sectPr>
      </w:pPr>
    </w:p>
    <w:p>
      <w:pPr>
        <w:pStyle w:val="BodyText"/>
        <w:rPr>
          <w:sz w:val="20"/>
        </w:rPr>
      </w:pPr>
    </w:p>
    <w:p>
      <w:pPr>
        <w:pStyle w:val="BodyText"/>
        <w:spacing w:before="5"/>
        <w:rPr>
          <w:sz w:val="19"/>
        </w:rPr>
      </w:pPr>
    </w:p>
    <w:p>
      <w:pPr>
        <w:pStyle w:val="BodyText"/>
        <w:spacing w:line="360" w:lineRule="auto"/>
        <w:ind w:left="1248" w:right="669" w:firstLine="708"/>
        <w:jc w:val="both"/>
      </w:pPr>
      <w:r>
        <w:rPr/>
        <w:t>Bireylerde Norton bası yarası risk puanı derecelendirmesi ile yüksek ateş varlığı arasında (p=0.039), inkontinans varlığı arasında (p=0.000), havalı yatak kullanımı arasında (p=0.0001), kas tonusu değişikliğinin varlığı arasında (p=0.000) ve eklem limitasyonlarının varlığı arasında (p&lt;0.05) istatistiksel olarak anlamlı bir ilişki bulunmuştur (Tablo 4.2.2).</w:t>
      </w:r>
    </w:p>
    <w:p>
      <w:pPr>
        <w:pStyle w:val="BodyText"/>
        <w:rPr>
          <w:sz w:val="24"/>
        </w:rPr>
      </w:pPr>
    </w:p>
    <w:p>
      <w:pPr>
        <w:pStyle w:val="BodyText"/>
        <w:rPr>
          <w:sz w:val="24"/>
        </w:rPr>
      </w:pPr>
    </w:p>
    <w:p>
      <w:pPr>
        <w:pStyle w:val="BodyText"/>
        <w:rPr>
          <w:sz w:val="24"/>
        </w:rPr>
      </w:pPr>
    </w:p>
    <w:p>
      <w:pPr>
        <w:pStyle w:val="BodyText"/>
        <w:spacing w:line="244" w:lineRule="auto" w:before="138"/>
        <w:ind w:left="1248" w:right="712"/>
      </w:pPr>
      <w:bookmarkStart w:name="_bookmark72" w:id="121"/>
      <w:bookmarkEnd w:id="121"/>
      <w:r>
        <w:rPr/>
      </w:r>
      <w:r>
        <w:rPr>
          <w:b/>
        </w:rPr>
        <w:t>Tablo 4.2.2 </w:t>
      </w:r>
      <w:r>
        <w:rPr/>
        <w:t>Bası yarası risk derecelendirme puanı ile bası yarası oluşumunu etkileyen faktörler arasındaki ilişkilerin incelenmesi</w:t>
      </w:r>
    </w:p>
    <w:p>
      <w:pPr>
        <w:pStyle w:val="BodyText"/>
        <w:spacing w:before="11"/>
      </w:pPr>
    </w:p>
    <w:tbl>
      <w:tblPr>
        <w:tblW w:w="0" w:type="auto"/>
        <w:jc w:val="left"/>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47"/>
        <w:gridCol w:w="4701"/>
      </w:tblGrid>
      <w:tr>
        <w:trPr>
          <w:trHeight w:val="568" w:hRule="atLeast"/>
        </w:trPr>
        <w:tc>
          <w:tcPr>
            <w:tcW w:w="3247" w:type="dxa"/>
            <w:tcBorders>
              <w:top w:val="single" w:sz="12" w:space="0" w:color="000000"/>
              <w:bottom w:val="single" w:sz="12" w:space="0" w:color="000000"/>
            </w:tcBorders>
          </w:tcPr>
          <w:p>
            <w:pPr>
              <w:pStyle w:val="TableParagraph"/>
              <w:spacing w:before="153"/>
              <w:ind w:left="115"/>
              <w:rPr>
                <w:b/>
                <w:sz w:val="22"/>
              </w:rPr>
            </w:pPr>
            <w:r>
              <w:rPr>
                <w:b/>
                <w:sz w:val="22"/>
              </w:rPr>
              <w:t>Değişkenler</w:t>
            </w:r>
          </w:p>
        </w:tc>
        <w:tc>
          <w:tcPr>
            <w:tcW w:w="4701" w:type="dxa"/>
            <w:tcBorders>
              <w:top w:val="single" w:sz="12" w:space="0" w:color="000000"/>
              <w:bottom w:val="single" w:sz="12" w:space="0" w:color="000000"/>
            </w:tcBorders>
          </w:tcPr>
          <w:p>
            <w:pPr>
              <w:pStyle w:val="TableParagraph"/>
              <w:spacing w:before="153"/>
              <w:ind w:left="102" w:right="168"/>
              <w:jc w:val="center"/>
              <w:rPr>
                <w:b/>
                <w:sz w:val="22"/>
              </w:rPr>
            </w:pPr>
            <w:r>
              <w:rPr>
                <w:b/>
                <w:sz w:val="22"/>
              </w:rPr>
              <w:t>Norton Bası Yarası Risk Derecelendirmesi</w:t>
            </w:r>
          </w:p>
        </w:tc>
      </w:tr>
      <w:tr>
        <w:trPr>
          <w:trHeight w:val="719" w:hRule="atLeast"/>
        </w:trPr>
        <w:tc>
          <w:tcPr>
            <w:tcW w:w="3247" w:type="dxa"/>
            <w:tcBorders>
              <w:top w:val="single" w:sz="12" w:space="0" w:color="000000"/>
              <w:bottom w:val="single" w:sz="4" w:space="0" w:color="000000"/>
            </w:tcBorders>
          </w:tcPr>
          <w:p>
            <w:pPr>
              <w:pStyle w:val="TableParagraph"/>
              <w:spacing w:before="11"/>
              <w:rPr>
                <w:sz w:val="19"/>
              </w:rPr>
            </w:pPr>
          </w:p>
          <w:p>
            <w:pPr>
              <w:pStyle w:val="TableParagraph"/>
              <w:ind w:left="115"/>
              <w:rPr>
                <w:sz w:val="22"/>
              </w:rPr>
            </w:pPr>
            <w:r>
              <w:rPr>
                <w:sz w:val="22"/>
              </w:rPr>
              <w:t>Yüksek ateş varlığı</w:t>
            </w:r>
          </w:p>
        </w:tc>
        <w:tc>
          <w:tcPr>
            <w:tcW w:w="4701" w:type="dxa"/>
            <w:tcBorders>
              <w:top w:val="single" w:sz="12" w:space="0" w:color="000000"/>
              <w:bottom w:val="single" w:sz="4" w:space="0" w:color="000000"/>
            </w:tcBorders>
          </w:tcPr>
          <w:p>
            <w:pPr>
              <w:pStyle w:val="TableParagraph"/>
              <w:spacing w:before="8"/>
              <w:rPr>
                <w:sz w:val="19"/>
              </w:rPr>
            </w:pPr>
          </w:p>
          <w:p>
            <w:pPr>
              <w:pStyle w:val="TableParagraph"/>
              <w:spacing w:before="1"/>
              <w:ind w:left="102" w:right="87"/>
              <w:jc w:val="center"/>
              <w:rPr>
                <w:b/>
                <w:sz w:val="22"/>
              </w:rPr>
            </w:pPr>
            <w:r>
              <w:rPr>
                <w:b/>
                <w:sz w:val="22"/>
              </w:rPr>
              <w:t>p=0,039</w:t>
            </w:r>
          </w:p>
        </w:tc>
      </w:tr>
      <w:tr>
        <w:trPr>
          <w:trHeight w:val="717" w:hRule="atLeast"/>
        </w:trPr>
        <w:tc>
          <w:tcPr>
            <w:tcW w:w="3247" w:type="dxa"/>
            <w:tcBorders>
              <w:top w:val="single" w:sz="4" w:space="0" w:color="000000"/>
              <w:bottom w:val="single" w:sz="4" w:space="0" w:color="000000"/>
            </w:tcBorders>
          </w:tcPr>
          <w:p>
            <w:pPr>
              <w:pStyle w:val="TableParagraph"/>
              <w:rPr>
                <w:sz w:val="20"/>
              </w:rPr>
            </w:pPr>
          </w:p>
          <w:p>
            <w:pPr>
              <w:pStyle w:val="TableParagraph"/>
              <w:ind w:left="115"/>
              <w:rPr>
                <w:sz w:val="22"/>
              </w:rPr>
            </w:pPr>
            <w:r>
              <w:rPr>
                <w:sz w:val="22"/>
              </w:rPr>
              <w:t>Sigara kullanımı</w:t>
            </w:r>
          </w:p>
        </w:tc>
        <w:tc>
          <w:tcPr>
            <w:tcW w:w="4701" w:type="dxa"/>
            <w:tcBorders>
              <w:top w:val="single" w:sz="4" w:space="0" w:color="000000"/>
              <w:bottom w:val="single" w:sz="4" w:space="0" w:color="000000"/>
            </w:tcBorders>
          </w:tcPr>
          <w:p>
            <w:pPr>
              <w:pStyle w:val="TableParagraph"/>
              <w:rPr>
                <w:sz w:val="20"/>
              </w:rPr>
            </w:pPr>
          </w:p>
          <w:p>
            <w:pPr>
              <w:pStyle w:val="TableParagraph"/>
              <w:ind w:left="102" w:right="90"/>
              <w:jc w:val="center"/>
              <w:rPr>
                <w:sz w:val="22"/>
              </w:rPr>
            </w:pPr>
            <w:r>
              <w:rPr>
                <w:sz w:val="22"/>
              </w:rPr>
              <w:t>p=0,623</w:t>
            </w:r>
          </w:p>
        </w:tc>
      </w:tr>
      <w:tr>
        <w:trPr>
          <w:trHeight w:val="717" w:hRule="atLeast"/>
        </w:trPr>
        <w:tc>
          <w:tcPr>
            <w:tcW w:w="3247" w:type="dxa"/>
            <w:tcBorders>
              <w:top w:val="single" w:sz="4" w:space="0" w:color="000000"/>
              <w:bottom w:val="single" w:sz="4" w:space="0" w:color="000000"/>
            </w:tcBorders>
          </w:tcPr>
          <w:p>
            <w:pPr>
              <w:pStyle w:val="TableParagraph"/>
              <w:rPr>
                <w:sz w:val="20"/>
              </w:rPr>
            </w:pPr>
          </w:p>
          <w:p>
            <w:pPr>
              <w:pStyle w:val="TableParagraph"/>
              <w:ind w:left="115"/>
              <w:rPr>
                <w:sz w:val="22"/>
              </w:rPr>
            </w:pPr>
            <w:r>
              <w:rPr>
                <w:sz w:val="22"/>
              </w:rPr>
              <w:t>Ek hastalık varlığı</w:t>
            </w:r>
          </w:p>
        </w:tc>
        <w:tc>
          <w:tcPr>
            <w:tcW w:w="4701" w:type="dxa"/>
            <w:tcBorders>
              <w:top w:val="single" w:sz="4" w:space="0" w:color="000000"/>
              <w:bottom w:val="single" w:sz="4" w:space="0" w:color="000000"/>
            </w:tcBorders>
          </w:tcPr>
          <w:p>
            <w:pPr>
              <w:pStyle w:val="TableParagraph"/>
              <w:spacing w:before="103"/>
              <w:ind w:left="102" w:right="87"/>
              <w:jc w:val="center"/>
              <w:rPr>
                <w:sz w:val="22"/>
              </w:rPr>
            </w:pPr>
            <w:r>
              <w:rPr>
                <w:sz w:val="22"/>
              </w:rPr>
              <w:t>p&gt;0,05</w:t>
            </w:r>
          </w:p>
        </w:tc>
      </w:tr>
      <w:tr>
        <w:trPr>
          <w:trHeight w:val="719" w:hRule="atLeast"/>
        </w:trPr>
        <w:tc>
          <w:tcPr>
            <w:tcW w:w="3247" w:type="dxa"/>
            <w:tcBorders>
              <w:top w:val="single" w:sz="4" w:space="0" w:color="000000"/>
              <w:bottom w:val="single" w:sz="4" w:space="0" w:color="000000"/>
            </w:tcBorders>
          </w:tcPr>
          <w:p>
            <w:pPr>
              <w:pStyle w:val="TableParagraph"/>
              <w:rPr>
                <w:sz w:val="20"/>
              </w:rPr>
            </w:pPr>
          </w:p>
          <w:p>
            <w:pPr>
              <w:pStyle w:val="TableParagraph"/>
              <w:ind w:left="115"/>
              <w:rPr>
                <w:sz w:val="22"/>
              </w:rPr>
            </w:pPr>
            <w:r>
              <w:rPr>
                <w:sz w:val="22"/>
              </w:rPr>
              <w:t>İnkontinans varlığı</w:t>
            </w:r>
          </w:p>
        </w:tc>
        <w:tc>
          <w:tcPr>
            <w:tcW w:w="4701" w:type="dxa"/>
            <w:tcBorders>
              <w:top w:val="single" w:sz="4" w:space="0" w:color="000000"/>
              <w:bottom w:val="single" w:sz="4" w:space="0" w:color="000000"/>
            </w:tcBorders>
          </w:tcPr>
          <w:p>
            <w:pPr>
              <w:pStyle w:val="TableParagraph"/>
              <w:spacing w:before="9"/>
              <w:rPr>
                <w:sz w:val="19"/>
              </w:rPr>
            </w:pPr>
          </w:p>
          <w:p>
            <w:pPr>
              <w:pStyle w:val="TableParagraph"/>
              <w:ind w:left="102" w:right="87"/>
              <w:jc w:val="center"/>
              <w:rPr>
                <w:b/>
                <w:sz w:val="22"/>
              </w:rPr>
            </w:pPr>
            <w:r>
              <w:rPr>
                <w:b/>
                <w:sz w:val="22"/>
              </w:rPr>
              <w:t>p=0,000</w:t>
            </w:r>
          </w:p>
        </w:tc>
      </w:tr>
      <w:tr>
        <w:trPr>
          <w:trHeight w:val="717" w:hRule="atLeast"/>
        </w:trPr>
        <w:tc>
          <w:tcPr>
            <w:tcW w:w="3247" w:type="dxa"/>
            <w:tcBorders>
              <w:top w:val="single" w:sz="4" w:space="0" w:color="000000"/>
              <w:bottom w:val="single" w:sz="4" w:space="0" w:color="000000"/>
            </w:tcBorders>
          </w:tcPr>
          <w:p>
            <w:pPr>
              <w:pStyle w:val="TableParagraph"/>
              <w:rPr>
                <w:sz w:val="20"/>
              </w:rPr>
            </w:pPr>
          </w:p>
          <w:p>
            <w:pPr>
              <w:pStyle w:val="TableParagraph"/>
              <w:ind w:left="115"/>
              <w:rPr>
                <w:sz w:val="22"/>
              </w:rPr>
            </w:pPr>
            <w:r>
              <w:rPr>
                <w:sz w:val="22"/>
              </w:rPr>
              <w:t>Havalı yatak kullanılmaması</w:t>
            </w:r>
          </w:p>
        </w:tc>
        <w:tc>
          <w:tcPr>
            <w:tcW w:w="4701" w:type="dxa"/>
            <w:tcBorders>
              <w:top w:val="single" w:sz="4" w:space="0" w:color="000000"/>
              <w:bottom w:val="single" w:sz="4" w:space="0" w:color="000000"/>
            </w:tcBorders>
          </w:tcPr>
          <w:p>
            <w:pPr>
              <w:pStyle w:val="TableParagraph"/>
              <w:spacing w:before="9"/>
              <w:rPr>
                <w:sz w:val="19"/>
              </w:rPr>
            </w:pPr>
          </w:p>
          <w:p>
            <w:pPr>
              <w:pStyle w:val="TableParagraph"/>
              <w:ind w:left="102" w:right="87"/>
              <w:jc w:val="center"/>
              <w:rPr>
                <w:b/>
                <w:sz w:val="22"/>
              </w:rPr>
            </w:pPr>
            <w:r>
              <w:rPr>
                <w:b/>
                <w:sz w:val="22"/>
              </w:rPr>
              <w:t>p=0,000</w:t>
            </w:r>
          </w:p>
        </w:tc>
      </w:tr>
      <w:tr>
        <w:trPr>
          <w:trHeight w:val="717" w:hRule="atLeast"/>
        </w:trPr>
        <w:tc>
          <w:tcPr>
            <w:tcW w:w="3247" w:type="dxa"/>
            <w:tcBorders>
              <w:top w:val="single" w:sz="4" w:space="0" w:color="000000"/>
              <w:bottom w:val="single" w:sz="4" w:space="0" w:color="000000"/>
            </w:tcBorders>
          </w:tcPr>
          <w:p>
            <w:pPr>
              <w:pStyle w:val="TableParagraph"/>
              <w:spacing w:before="103"/>
              <w:ind w:left="115" w:right="910"/>
              <w:rPr>
                <w:sz w:val="22"/>
              </w:rPr>
            </w:pPr>
            <w:r>
              <w:rPr>
                <w:sz w:val="22"/>
              </w:rPr>
              <w:t>Pozisyon değişikliğinin yapılması</w:t>
            </w:r>
          </w:p>
        </w:tc>
        <w:tc>
          <w:tcPr>
            <w:tcW w:w="4701" w:type="dxa"/>
            <w:tcBorders>
              <w:top w:val="single" w:sz="4" w:space="0" w:color="000000"/>
              <w:bottom w:val="single" w:sz="4" w:space="0" w:color="000000"/>
            </w:tcBorders>
          </w:tcPr>
          <w:p>
            <w:pPr>
              <w:pStyle w:val="TableParagraph"/>
              <w:rPr>
                <w:sz w:val="20"/>
              </w:rPr>
            </w:pPr>
          </w:p>
          <w:p>
            <w:pPr>
              <w:pStyle w:val="TableParagraph"/>
              <w:ind w:left="102" w:right="90"/>
              <w:jc w:val="center"/>
              <w:rPr>
                <w:sz w:val="22"/>
              </w:rPr>
            </w:pPr>
            <w:r>
              <w:rPr>
                <w:sz w:val="22"/>
              </w:rPr>
              <w:t>p=0,286</w:t>
            </w:r>
          </w:p>
        </w:tc>
      </w:tr>
      <w:tr>
        <w:trPr>
          <w:trHeight w:val="719" w:hRule="atLeast"/>
        </w:trPr>
        <w:tc>
          <w:tcPr>
            <w:tcW w:w="3247" w:type="dxa"/>
            <w:tcBorders>
              <w:top w:val="single" w:sz="4" w:space="0" w:color="000000"/>
              <w:bottom w:val="single" w:sz="4" w:space="0" w:color="000000"/>
            </w:tcBorders>
          </w:tcPr>
          <w:p>
            <w:pPr>
              <w:pStyle w:val="TableParagraph"/>
              <w:rPr>
                <w:sz w:val="20"/>
              </w:rPr>
            </w:pPr>
          </w:p>
          <w:p>
            <w:pPr>
              <w:pStyle w:val="TableParagraph"/>
              <w:ind w:left="115"/>
              <w:rPr>
                <w:sz w:val="22"/>
              </w:rPr>
            </w:pPr>
            <w:r>
              <w:rPr>
                <w:sz w:val="22"/>
              </w:rPr>
              <w:t>Cilt bakımının yapılması varlığı</w:t>
            </w:r>
          </w:p>
        </w:tc>
        <w:tc>
          <w:tcPr>
            <w:tcW w:w="4701" w:type="dxa"/>
            <w:tcBorders>
              <w:top w:val="single" w:sz="4" w:space="0" w:color="000000"/>
              <w:bottom w:val="single" w:sz="4" w:space="0" w:color="000000"/>
            </w:tcBorders>
          </w:tcPr>
          <w:p>
            <w:pPr>
              <w:pStyle w:val="TableParagraph"/>
              <w:rPr>
                <w:sz w:val="20"/>
              </w:rPr>
            </w:pPr>
          </w:p>
          <w:p>
            <w:pPr>
              <w:pStyle w:val="TableParagraph"/>
              <w:ind w:left="102" w:right="90"/>
              <w:jc w:val="center"/>
              <w:rPr>
                <w:sz w:val="22"/>
              </w:rPr>
            </w:pPr>
            <w:r>
              <w:rPr>
                <w:sz w:val="22"/>
              </w:rPr>
              <w:t>p=0,069</w:t>
            </w:r>
          </w:p>
        </w:tc>
      </w:tr>
      <w:tr>
        <w:trPr>
          <w:trHeight w:val="717" w:hRule="atLeast"/>
        </w:trPr>
        <w:tc>
          <w:tcPr>
            <w:tcW w:w="3247" w:type="dxa"/>
            <w:tcBorders>
              <w:top w:val="single" w:sz="4" w:space="0" w:color="000000"/>
              <w:bottom w:val="single" w:sz="4" w:space="0" w:color="000000"/>
            </w:tcBorders>
          </w:tcPr>
          <w:p>
            <w:pPr>
              <w:pStyle w:val="TableParagraph"/>
              <w:rPr>
                <w:sz w:val="20"/>
              </w:rPr>
            </w:pPr>
          </w:p>
          <w:p>
            <w:pPr>
              <w:pStyle w:val="TableParagraph"/>
              <w:ind w:left="115"/>
              <w:rPr>
                <w:sz w:val="22"/>
              </w:rPr>
            </w:pPr>
            <w:r>
              <w:rPr>
                <w:sz w:val="22"/>
              </w:rPr>
              <w:t>Kas tonus değişikliğinin varlığı</w:t>
            </w:r>
          </w:p>
        </w:tc>
        <w:tc>
          <w:tcPr>
            <w:tcW w:w="4701" w:type="dxa"/>
            <w:tcBorders>
              <w:top w:val="single" w:sz="4" w:space="0" w:color="000000"/>
              <w:bottom w:val="single" w:sz="4" w:space="0" w:color="000000"/>
            </w:tcBorders>
          </w:tcPr>
          <w:p>
            <w:pPr>
              <w:pStyle w:val="TableParagraph"/>
              <w:spacing w:before="9"/>
              <w:rPr>
                <w:sz w:val="19"/>
              </w:rPr>
            </w:pPr>
          </w:p>
          <w:p>
            <w:pPr>
              <w:pStyle w:val="TableParagraph"/>
              <w:ind w:left="102" w:right="87"/>
              <w:jc w:val="center"/>
              <w:rPr>
                <w:b/>
                <w:sz w:val="22"/>
              </w:rPr>
            </w:pPr>
            <w:r>
              <w:rPr>
                <w:b/>
                <w:sz w:val="22"/>
              </w:rPr>
              <w:t>p=0,000</w:t>
            </w:r>
          </w:p>
        </w:tc>
      </w:tr>
      <w:tr>
        <w:trPr>
          <w:trHeight w:val="719" w:hRule="atLeast"/>
        </w:trPr>
        <w:tc>
          <w:tcPr>
            <w:tcW w:w="3247" w:type="dxa"/>
            <w:tcBorders>
              <w:top w:val="single" w:sz="4" w:space="0" w:color="000000"/>
              <w:bottom w:val="single" w:sz="12" w:space="0" w:color="000000"/>
            </w:tcBorders>
          </w:tcPr>
          <w:p>
            <w:pPr>
              <w:pStyle w:val="TableParagraph"/>
              <w:rPr>
                <w:sz w:val="20"/>
              </w:rPr>
            </w:pPr>
          </w:p>
          <w:p>
            <w:pPr>
              <w:pStyle w:val="TableParagraph"/>
              <w:ind w:left="115"/>
              <w:rPr>
                <w:sz w:val="22"/>
              </w:rPr>
            </w:pPr>
            <w:r>
              <w:rPr>
                <w:sz w:val="22"/>
              </w:rPr>
              <w:t>Eklem limitasyonların varlığı</w:t>
            </w:r>
          </w:p>
        </w:tc>
        <w:tc>
          <w:tcPr>
            <w:tcW w:w="4701" w:type="dxa"/>
            <w:tcBorders>
              <w:top w:val="single" w:sz="4" w:space="0" w:color="000000"/>
              <w:bottom w:val="single" w:sz="12" w:space="0" w:color="000000"/>
            </w:tcBorders>
          </w:tcPr>
          <w:p>
            <w:pPr>
              <w:pStyle w:val="TableParagraph"/>
              <w:spacing w:before="103"/>
              <w:ind w:left="102" w:right="87"/>
              <w:jc w:val="center"/>
              <w:rPr>
                <w:sz w:val="22"/>
              </w:rPr>
            </w:pPr>
            <w:r>
              <w:rPr>
                <w:sz w:val="22"/>
              </w:rPr>
              <w:t>p&lt;0,05</w:t>
            </w:r>
          </w:p>
        </w:tc>
      </w:tr>
    </w:tbl>
    <w:p>
      <w:pPr>
        <w:spacing w:before="0"/>
        <w:ind w:left="1236" w:right="0" w:firstLine="0"/>
        <w:jc w:val="left"/>
        <w:rPr>
          <w:sz w:val="20"/>
        </w:rPr>
      </w:pPr>
      <w:r>
        <w:rPr>
          <w:sz w:val="20"/>
        </w:rPr>
        <w:t>p: Pearson Ki Kare Testi</w:t>
      </w:r>
    </w:p>
    <w:p>
      <w:pPr>
        <w:spacing w:after="0"/>
        <w:jc w:val="left"/>
        <w:rPr>
          <w:sz w:val="20"/>
        </w:rPr>
        <w:sectPr>
          <w:pgSz w:w="11910" w:h="16840"/>
          <w:pgMar w:header="749" w:footer="0" w:top="960" w:bottom="280" w:left="1020" w:right="4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6"/>
        </w:rPr>
      </w:pPr>
    </w:p>
    <w:p>
      <w:pPr>
        <w:pStyle w:val="Heading1"/>
        <w:numPr>
          <w:ilvl w:val="0"/>
          <w:numId w:val="11"/>
        </w:numPr>
        <w:tabs>
          <w:tab w:pos="1496" w:val="left" w:leader="none"/>
        </w:tabs>
        <w:spacing w:line="240" w:lineRule="auto" w:before="94" w:after="0"/>
        <w:ind w:left="1495" w:right="0" w:hanging="248"/>
        <w:jc w:val="left"/>
      </w:pPr>
      <w:bookmarkStart w:name="_bookmark73" w:id="122"/>
      <w:bookmarkEnd w:id="122"/>
      <w:r>
        <w:rPr>
          <w:b w:val="0"/>
        </w:rPr>
      </w:r>
      <w:bookmarkStart w:name="_bookmark73" w:id="123"/>
      <w:bookmarkEnd w:id="123"/>
      <w:r>
        <w:rPr/>
        <w:t>T</w:t>
      </w:r>
      <w:r>
        <w:rPr/>
        <w:t>ARTIŞMA</w:t>
      </w:r>
    </w:p>
    <w:p>
      <w:pPr>
        <w:pStyle w:val="BodyText"/>
        <w:rPr>
          <w:b/>
          <w:sz w:val="24"/>
        </w:rPr>
      </w:pPr>
    </w:p>
    <w:p>
      <w:pPr>
        <w:pStyle w:val="BodyText"/>
        <w:rPr>
          <w:b/>
          <w:sz w:val="24"/>
        </w:rPr>
      </w:pPr>
    </w:p>
    <w:p>
      <w:pPr>
        <w:pStyle w:val="BodyText"/>
        <w:spacing w:before="1"/>
        <w:rPr>
          <w:b/>
          <w:sz w:val="29"/>
        </w:rPr>
      </w:pPr>
    </w:p>
    <w:p>
      <w:pPr>
        <w:pStyle w:val="BodyText"/>
        <w:spacing w:line="360" w:lineRule="auto" w:before="1"/>
        <w:ind w:left="1248" w:right="668" w:firstLine="708"/>
        <w:jc w:val="both"/>
      </w:pPr>
      <w:r>
        <w:rPr/>
        <w:t>Nörolojik bir tanıya bağlı olarak yatarak tedavi gören ve bir başkasının veya başkalarının yardımı ile yatak dışı transferi gerçekleştirilen hastalar arasında bası yarası risk oranını belirlemek ve bası yarasına neden olabilecek risk faktörlerini tespit etmek amacıyla gerçekleştirdiğimiz çalışmamızda; vücut sıcaklığının yüksek olmasının, inkontinans varlığının, havalı yatak kullanımının olmamasının ve kas tonusunda meydana gelen değişikliğin bası yarası riskini artırdığı görülmüştür. Ayrıca hastanede kalış süresinin uzaması, serum hemoglobin düzeyinin düşüklüğü, bilinç durumunun kötü olması, kognitif fonsiyonların bozukluğu ve günlük yaşam aktivitelerindeki bağımsızlık düzeyinin düşük olmasının bası yarası açısından risk oluşturduğu tespit edilmiştir.</w:t>
      </w:r>
    </w:p>
    <w:p>
      <w:pPr>
        <w:pStyle w:val="BodyText"/>
        <w:spacing w:before="10"/>
        <w:rPr>
          <w:sz w:val="20"/>
        </w:rPr>
      </w:pPr>
    </w:p>
    <w:p>
      <w:pPr>
        <w:pStyle w:val="BodyText"/>
        <w:spacing w:line="360" w:lineRule="auto"/>
        <w:ind w:left="1248" w:right="674" w:firstLine="708"/>
        <w:jc w:val="both"/>
      </w:pPr>
      <w:r>
        <w:rPr/>
        <w:t>Horn ve ark. ambulasyonu kısıtlı hastalarda bası yarası oluşma riskini arttıran önemli faktörlerden birinin de VKİ olduğunu ve VKİ 25 kg/m</w:t>
      </w:r>
      <w:r>
        <w:rPr>
          <w:vertAlign w:val="superscript"/>
        </w:rPr>
        <w:t>2</w:t>
      </w:r>
      <w:r>
        <w:rPr>
          <w:vertAlign w:val="baseline"/>
        </w:rPr>
        <w:t>’nin altında olan hastaların bası yarası oluşumu açısından risk altında olduklarını belirtmişlerdir (Horn vd 2002). Hengstermann ve ark. çalışmalarında hastanede yatarak tedavi gören, dekübit ülseri olan 484 yaşlı hastada VKİ’nin düşük olduğunu bulmuşlardır (Hengstermann vd 2007). Benzer şekilde Bardak ve ark. spinal kord yaralanmalı 90 hastada bası yarası sıklığını ve risk faktörlerini inceledikleri çalışmalarında bası yarası olan hastaların VKİ’nin daha düşük olduğunu tespit etmişlerdir (Bardak vd 2010). Bizim çalışmamızda hastaların VKİ’nin normal olduğu tespit edilmiştir.</w:t>
      </w:r>
    </w:p>
    <w:p>
      <w:pPr>
        <w:pStyle w:val="BodyText"/>
        <w:spacing w:line="360" w:lineRule="auto" w:before="162"/>
        <w:ind w:left="1248" w:right="668" w:firstLine="708"/>
        <w:jc w:val="both"/>
      </w:pPr>
      <w:r>
        <w:rPr/>
        <w:t>İncelenen bazı çalışmalarda bası yarası görülme risk faktörlerinin oldukça değişken olduğu görülmekte ve bu risk faktörlerinden birisinin de sigara olduğu düşünülmektedir. Sigaranın fizyolojik etkileri nedeniyle doku oksijenizasyonunu bozduğu, endotel hasarına neden olduğu bilinmektedir (Nassaji vd 2014). Bulut 2019 yılında yaptığı çalışmada iç hastalıkları yoğun bakım ünitesinde yatan yaşlı hastalarda basınç yarası gelişimini etkileyen faktörler adlı çalışmasında 65 yaş üstü 140 hastayı incelemiştir. Yaşlı hastalarda bası yarası oluşma süresini 4-10 gün arası bulmuş, sigara içen hastaların %36’ında, sigara içmeyenlerin %19.1’inde bası yarası geliştiğini gözlemlemiştir. Ancak istatistiksel olarak aralarında anlamlı bir fark bulamamıştır (Bulut</w:t>
      </w:r>
    </w:p>
    <w:p>
      <w:pPr>
        <w:spacing w:after="0" w:line="360" w:lineRule="auto"/>
        <w:jc w:val="both"/>
        <w:sectPr>
          <w:pgSz w:w="11910" w:h="16840"/>
          <w:pgMar w:header="749" w:footer="0" w:top="960" w:bottom="280" w:left="1020" w:right="460"/>
        </w:sectPr>
      </w:pPr>
    </w:p>
    <w:p>
      <w:pPr>
        <w:pStyle w:val="BodyText"/>
        <w:rPr>
          <w:sz w:val="20"/>
        </w:rPr>
      </w:pPr>
    </w:p>
    <w:p>
      <w:pPr>
        <w:pStyle w:val="BodyText"/>
        <w:spacing w:before="5"/>
        <w:rPr>
          <w:sz w:val="19"/>
        </w:rPr>
      </w:pPr>
    </w:p>
    <w:p>
      <w:pPr>
        <w:pStyle w:val="BodyText"/>
        <w:spacing w:line="357" w:lineRule="auto"/>
        <w:ind w:left="1248" w:right="675"/>
        <w:jc w:val="both"/>
      </w:pPr>
      <w:r>
        <w:rPr/>
        <w:t>2019). 2016 yılında yapılan diğer bir çalışmada Borghardt ve arkadaşları sigara içenlerin %18’inde bası yarası geliştiğini bildirmişlerdir (Borghardt vd 2016).</w:t>
      </w:r>
    </w:p>
    <w:p>
      <w:pPr>
        <w:pStyle w:val="BodyText"/>
        <w:spacing w:line="360" w:lineRule="auto" w:before="166"/>
        <w:ind w:left="1248" w:right="673" w:firstLine="708"/>
        <w:jc w:val="both"/>
      </w:pPr>
      <w:r>
        <w:rPr/>
        <w:t>Nassaji ve ark. çalışmalarında sigara kullanımı ile bası yarası gelişme riski arasında istatistiksel olarak anlamlı bir ilişki olduğunu saptamıştır. Çalışmada tıbbi cerrahi yoğun bakım ünitelerine başvuran yetişkin erkek hastaların uygun olanları sigara içme durumuna göre gruplandırılmış, 160 sigara içen ve 192 sigara içmeyen hasta grubundan, sigara içen 62 hastada, sigara içmeyen 28 hastada bası yarası gelişimi gözlenmiştir. Ayrıca sigara içme paket yılı sayısı, ülser gelişimi ile anlamlı bir ilişki göstermiştir (Nassaji vd 2014). Bizim çalışmamızdaki bireyelerin %36’ında sigara içme alışkanlığı bulunurken, %64’ünde sigara içme alışkanlığı bulunmamaktadır. Sigara içen grupta bası yarası gelişme riski daha fazla</w:t>
      </w:r>
      <w:r>
        <w:rPr>
          <w:spacing w:val="-23"/>
        </w:rPr>
        <w:t> </w:t>
      </w:r>
      <w:r>
        <w:rPr/>
        <w:t>bulunmuştur.</w:t>
      </w:r>
    </w:p>
    <w:p>
      <w:pPr>
        <w:pStyle w:val="BodyText"/>
        <w:spacing w:line="360" w:lineRule="auto" w:before="161"/>
        <w:ind w:left="1248" w:right="669" w:firstLine="708"/>
        <w:jc w:val="both"/>
      </w:pPr>
      <w:r>
        <w:rPr/>
        <w:t>Nörolojik hastalığa sahip bir diğer grupta yapılan çalışmada bası yarasında sigara içme ve sigara bırakmanın yara iyileşmesine etkisi incelenmiş, sigara içmeye devam eden grubun yara sayısı ve büyüklüğünde artış bulunmuştur (Lane vd 2016). Bu çalışmanın sonuçları, nörolojik hastalığı olmayan hastalar üzerinde yapılan önceki çalışmalarla tutarlıdır. Örneğin, McDaniel ve Browning, yara iyileşmesinin zayıf doku oksijenasyonu, toksik bileşiklerin varlığı, infiltrasyondaki değişiklikler, proliferatif ve kronik yara iyileşmesinin yeniden şekillenme aşamaları dahil olmak üzere çoklu seviyelere olumsuz etkisine dair kapsamlı bir şekilde rapor etmiştir. Raporda ayrıca sigara içen kişilerde basınç yaralanması gelişiminde bir artış olasılığı da yer almaktadır. Daha önceki çalışmalar da sigara içenlerin başarısız olan daha fazla ameliyat geçirdiğini göstermiştir (Niazi vd 1997, Krause vd 2001, Suriadi vd 2007, Suriadi vd 2008, Cakmak vd 2009, Saunders ve Krause 2010, Keys vd</w:t>
      </w:r>
      <w:r>
        <w:rPr>
          <w:spacing w:val="1"/>
        </w:rPr>
        <w:t> </w:t>
      </w:r>
      <w:r>
        <w:rPr/>
        <w:t>2010).</w:t>
      </w:r>
    </w:p>
    <w:p>
      <w:pPr>
        <w:pStyle w:val="BodyText"/>
        <w:spacing w:line="360" w:lineRule="auto" w:before="160"/>
        <w:ind w:left="1248" w:right="665" w:firstLine="708"/>
        <w:jc w:val="both"/>
      </w:pPr>
      <w:r>
        <w:rPr/>
        <w:t>Bununla birlikte, daha önce yapılan bazı araştırmalar sigara içiminin bası yarası gelişimi ile korelasyonu olmadığını bildirmiştir (Lloyd ve Baker 1986, Jiricka vd 1995, Noble vd 2003, Rabadi ve Vincent 2011). Rodriguez ve ark.'nın çalışmasında, sigara kullanımı ile bası yarası gelişimi arasında bir ilişki bulunmamıştır (Rodriquez vd 1994). Sigara ile bası yarası arasındaki ilişkiyi onaylamayan bu çalışmaların çoğu yoğun bakım ünitesinde olmayan hastalar üzerinde yapılmıştır. Bizim çalışmamızda da benzer şekilde sigara kullananlarda bası yarası oluşma riskinin fazla olduğu</w:t>
      </w:r>
      <w:r>
        <w:rPr>
          <w:spacing w:val="-26"/>
        </w:rPr>
        <w:t> </w:t>
      </w:r>
      <w:r>
        <w:rPr/>
        <w:t>görülmüştür.</w:t>
      </w:r>
    </w:p>
    <w:p>
      <w:pPr>
        <w:pStyle w:val="BodyText"/>
        <w:spacing w:line="360" w:lineRule="auto" w:before="160"/>
        <w:ind w:left="1248" w:right="668" w:firstLine="708"/>
        <w:jc w:val="both"/>
      </w:pPr>
      <w:r>
        <w:rPr/>
        <w:t>Yatarak tedavi gören nörolojik hastalarda sıklıkla görülen idrar ve fekal inkontinas, vücut sıcaklığının artması, kas tonusunda meydana gelen değişiklikler </w:t>
      </w:r>
      <w:r>
        <w:rPr>
          <w:spacing w:val="-3"/>
        </w:rPr>
        <w:t>ve </w:t>
      </w:r>
      <w:r>
        <w:rPr/>
        <w:t>havalı yatak kullanılmamasının bası yarası gelişme riskini arttırmaktadır (Girgin  ve Erarı 2007). Kıraner ve ark. çalışmalarında yoğun bakım ünitesinde bası yarası oluşmuş 113 hastayı incelemişler ve bu hastalarda havalı yatak kullanılmadığı</w:t>
      </w:r>
      <w:r>
        <w:rPr>
          <w:spacing w:val="30"/>
        </w:rPr>
        <w:t> </w:t>
      </w:r>
      <w:r>
        <w:rPr/>
        <w:t>ve</w:t>
      </w:r>
    </w:p>
    <w:p>
      <w:pPr>
        <w:spacing w:after="0" w:line="360" w:lineRule="auto"/>
        <w:jc w:val="both"/>
        <w:sectPr>
          <w:pgSz w:w="11910" w:h="16840"/>
          <w:pgMar w:header="749" w:footer="0" w:top="960" w:bottom="280" w:left="1020" w:right="460"/>
        </w:sectPr>
      </w:pPr>
    </w:p>
    <w:p>
      <w:pPr>
        <w:pStyle w:val="BodyText"/>
        <w:rPr>
          <w:sz w:val="20"/>
        </w:rPr>
      </w:pPr>
    </w:p>
    <w:p>
      <w:pPr>
        <w:pStyle w:val="BodyText"/>
        <w:spacing w:before="5"/>
        <w:rPr>
          <w:sz w:val="19"/>
        </w:rPr>
      </w:pPr>
    </w:p>
    <w:p>
      <w:pPr>
        <w:pStyle w:val="BodyText"/>
        <w:spacing w:line="360" w:lineRule="auto"/>
        <w:ind w:left="1248" w:right="668"/>
        <w:jc w:val="both"/>
      </w:pPr>
      <w:r>
        <w:rPr/>
        <w:t>%91’inde 2 saatte bir pozisyon değişikliği yapılmadığını kaydetmişlerdir (Kıraner vd 2016). Esen ve ark. yoğun bakımda takip edilen hastalarda havalı yatak kullanımının bası yarası oluşma riskini azaltacağını belirtmişlerdir (Esen vd 2016). Benzer şekilde bizim çalışmamızda da hastaların %75’inin havalı yatak kullanmadığı ve bu durumun bası yarası oluşma riskini arttırdığı tespit edilmiştir.</w:t>
      </w:r>
    </w:p>
    <w:p>
      <w:pPr>
        <w:pStyle w:val="BodyText"/>
        <w:rPr>
          <w:sz w:val="21"/>
        </w:rPr>
      </w:pPr>
    </w:p>
    <w:p>
      <w:pPr>
        <w:pStyle w:val="BodyText"/>
        <w:spacing w:line="360" w:lineRule="auto"/>
        <w:ind w:left="1248" w:right="668" w:firstLine="708"/>
        <w:jc w:val="both"/>
      </w:pPr>
      <w:r>
        <w:rPr/>
        <w:t>Yatarak tedavi gören hastalarda inkontinans varlığı, yüksek ateş ve kas tonusunda meydana gelen bozulmalar bası yarası riskini arttırmaktadır (Xiao-Lin ve Fan-Jie 2015, Jacqueline vd 2018). Lachenbruch ve ark. 2013-2014 yılında yapılan Uluslararası Bası Yarası Prevelansı Anketi’ne göre 176,689 hastada inkontinans prevelansını araştırmışlardır. Üriner ve/veya fekal inkontinans olan hastalarda bası yarası sıklığının ve şiddetinin daha fazla olduğunu saptamışlardır (Lachenbruch vd 2016). Hastanın vücut sıcaklığının artması da bası yarası oluşma riskini artırmaktadır (Fu Shaw vd 2014). Bizim çalışmamızda da kas tonusundaki değişiklikler, yüksek ateş ve üriner/fekal inkontinans olan hastalarda bası yarası riski daha yüksek olarak saptanmıştır.</w:t>
      </w:r>
    </w:p>
    <w:p>
      <w:pPr>
        <w:pStyle w:val="BodyText"/>
        <w:spacing w:before="10"/>
        <w:rPr>
          <w:sz w:val="20"/>
        </w:rPr>
      </w:pPr>
    </w:p>
    <w:p>
      <w:pPr>
        <w:pStyle w:val="BodyText"/>
        <w:spacing w:line="360" w:lineRule="auto"/>
        <w:ind w:left="1248" w:right="666" w:firstLine="708"/>
        <w:jc w:val="both"/>
      </w:pPr>
      <w:r>
        <w:rPr/>
        <w:t>Literatürde yatarak tedavi gören nörolojik hastalarda enfeksiyon, travma  ve/veya geçirilen cerrahi nedeniyle metabolizmada değişikliklerin meydana geldiği belirtilmeltedir. Çalışmalarda düşük hemoglobin ve albümin düzeyinin bası yarası oluşma riskini arttırdığı gösterilmiştir (Dealy 1992, Wells 1994). Nixon ve ark. serum hemoglobin düzeyinin düşük olmasının dekübit ülseri olmayan hastalarda yara açılması açısından risk oluşturduğunu belirtmişlerdir (Nixon vd 2006). Terekeci ve ark. yoğun bakımda tedavisi devam eden bası yarası olan ve olmayan hastaların serum hemoglobin düzeylerini incelemişlerdir. Çalışmalarının sonucunda literatürün aksine bası yarası olan hastaların da hemoglobin düzeyinin normal düzeyde olduğunu bulmuşlardır (Terekeci vd 2009). Reed ve ark. düşük albümin düzeyleri interstisyel ödeme neden olduğu için yara iyileşmesini olumsuz etkilediğini belirtmişlerdir (Reed vd 2003). Ersoy ve ark. çalışmalarında albümin seviyesi ≤2,5 g/dL olan hastalarda bası yarası gelişme riskinin oldukça yüksek olduğunu, albümin seviyesi düştükçe bası  yarası gelişme riskinin arttığını vurgulamışlardır. Bizim çalışmamızda serum albümin düzeyi ile bası yarası riski açısından ilişki bulunmazken, serum hemoglobin düzeyinin azalmasının bası yarası oluşma riskini arttırdığı tespit</w:t>
      </w:r>
      <w:r>
        <w:rPr>
          <w:spacing w:val="-7"/>
        </w:rPr>
        <w:t> </w:t>
      </w:r>
      <w:r>
        <w:rPr/>
        <w:t>edilmiştir.</w:t>
      </w:r>
    </w:p>
    <w:p>
      <w:pPr>
        <w:pStyle w:val="BodyText"/>
        <w:spacing w:line="360" w:lineRule="auto" w:before="2"/>
        <w:ind w:left="1248" w:right="668" w:firstLine="708"/>
        <w:jc w:val="both"/>
      </w:pPr>
      <w:r>
        <w:rPr/>
        <w:t>Nörolojik hastalarda yoğun bakımda veya serviste yatış süresi uzaması ve mobilizasyonun yapılamaması bası yarası oluşma riskini arttırmaktadır (Doley 2012, Aslan ve van Giersbergen 2016). Ersoy ve ark. yoğun bakım hastalarında bası yarası gelişiminde rol oynayabilecek risk faktörlerini araştırdıkları çalışmalarında 72 saat ve</w:t>
      </w:r>
    </w:p>
    <w:p>
      <w:pPr>
        <w:spacing w:after="0" w:line="360" w:lineRule="auto"/>
        <w:jc w:val="both"/>
        <w:sectPr>
          <w:pgSz w:w="11910" w:h="16840"/>
          <w:pgMar w:header="749" w:footer="0" w:top="960" w:bottom="280" w:left="1020" w:right="460"/>
        </w:sectPr>
      </w:pPr>
    </w:p>
    <w:p>
      <w:pPr>
        <w:pStyle w:val="BodyText"/>
        <w:rPr>
          <w:sz w:val="20"/>
        </w:rPr>
      </w:pPr>
    </w:p>
    <w:p>
      <w:pPr>
        <w:pStyle w:val="BodyText"/>
        <w:spacing w:before="5"/>
        <w:rPr>
          <w:sz w:val="19"/>
        </w:rPr>
      </w:pPr>
    </w:p>
    <w:p>
      <w:pPr>
        <w:pStyle w:val="BodyText"/>
        <w:spacing w:line="360" w:lineRule="auto"/>
        <w:ind w:left="1248" w:right="668"/>
        <w:jc w:val="both"/>
      </w:pPr>
      <w:r>
        <w:rPr/>
        <w:t>daha uzun süredir yoğun bakımda yatan 103 hastada yatış süresi daha uzun olanlarda dekübit ülserinin oluşmaya başladığını kaydetmişlerdir (Ersoy vd 2013). Benzer  şekilde, nöroloji yoğun bakım ünitesinde takip edilen 46 inmeli hasta üzerinde yapılan bir çalışmada bası yarası olan hastaların bası yarası olmayanlara göre hastanede yatış süresinin daha uzun olduğu görülmüştür (Tokgöz ve Demir 2010). Bizim çalışmamızda da literatüre paralel sonuçlar elde edilmiştir. Bası yarası olmayan hastalarda hastanede yatış süresi uzadıkça bası yarası oluşma riskinin arttığı</w:t>
      </w:r>
      <w:r>
        <w:rPr>
          <w:spacing w:val="-10"/>
        </w:rPr>
        <w:t> </w:t>
      </w:r>
      <w:r>
        <w:rPr/>
        <w:t>saptanmıştır.</w:t>
      </w:r>
    </w:p>
    <w:p>
      <w:pPr>
        <w:pStyle w:val="BodyText"/>
        <w:spacing w:line="360" w:lineRule="auto" w:before="162"/>
        <w:ind w:left="1248" w:right="666" w:firstLine="708"/>
        <w:jc w:val="both"/>
      </w:pPr>
      <w:r>
        <w:rPr/>
        <w:t>Bireyler duyusal algı ve bilinç durumlarının basınç ağrısını algılama ve tepki vermesi sayesinde uyurken bile poziyonlarını değiştirmektedir. Bu koruyucu mekanizma nörolojik hastalıklarda, uzun süreli anestezi veya sedasyon alan hastalarda bozulmaktadır (Agrawal ve Chauhan 2012). Dhandapani ve arkadaşlarının 2014 yılındaki yaptıkları çalışma da bu durumu destekler niteliktedir. Glaskow Koma Skoru</w:t>
      </w:r>
      <w:r>
        <w:rPr>
          <w:spacing w:val="-31"/>
        </w:rPr>
        <w:t> </w:t>
      </w:r>
      <w:r>
        <w:rPr/>
        <w:t>4-</w:t>
      </w:r>
    </w:p>
    <w:p>
      <w:pPr>
        <w:pStyle w:val="BodyText"/>
        <w:spacing w:line="360" w:lineRule="auto"/>
        <w:ind w:left="1248" w:right="667"/>
        <w:jc w:val="both"/>
      </w:pPr>
      <w:r>
        <w:rPr/>
        <w:t>8 arasında olan 89 travmatik beyin hasarı tanılı hastayı 21 gün boyunca haftalık değişimlerle takip ettikleri çalışmalarında daha kötü Glaskow Koma Skoruna sahip hastaların ciddi duyusal ve motor bozukluğunun olduğunu ve bası yarası gelişme olasılığının muhtemel olduğunu bulmuşlardır (Dhandapani vd 2014). Jaul ve Menczel’in 2015 yılında yaptığı çalışmada da sakral bölgede bası yarası olan hastaların anlamlı derecede düşük fiziksel ve bilişsel fonksiyon puanlarına sahip olduklarını göstermektedir. Çalışmaya göre düşük bilinç düzeyi ve şiddetli bilişsel bozulma gibi hastalıklar bası yaralı hastalarda yaygındı (Jaul ve Menczel 2015). Çalışmalar kognitif fonksiyonlardaki bozulmanın bası yarası için bir risk faktörü olduğunu göstermektedir.</w:t>
      </w:r>
    </w:p>
    <w:p>
      <w:pPr>
        <w:pStyle w:val="BodyText"/>
        <w:spacing w:line="360" w:lineRule="auto" w:before="160"/>
        <w:ind w:left="1248" w:right="668" w:firstLine="708"/>
        <w:jc w:val="both"/>
      </w:pPr>
      <w:r>
        <w:rPr/>
        <w:t>2017 yılında Ham ve arkadaşlarının yaptığı bir diğer çalışmada ise 254 travma hastası alınmış ve ilk 48 saat içinde oluşan bası yarası, düşük Glasgow Koma Skalası skoru ile ilişkilendirilmiştir (Ham vd 2017). Bu durumu destekleyen daha birçok çalışma bulunmaktadır (Coleman vd 2013, Haesler 2014, Jaul ve Margalit 2015). Bizim çalışmamızda daha önceki çalışmaları desteklemektedir. Bireylerdeki bilinç durumunun kötüleşmesi bası yarası oluşma olasılığını arttırmaktadır.</w:t>
      </w:r>
    </w:p>
    <w:p>
      <w:pPr>
        <w:pStyle w:val="BodyText"/>
        <w:spacing w:line="360" w:lineRule="auto" w:before="160"/>
        <w:ind w:left="1248" w:right="671" w:firstLine="708"/>
        <w:jc w:val="both"/>
      </w:pPr>
      <w:r>
        <w:rPr/>
        <w:t>Bası yarası gelişme risk faktörlerinden birisi de mental durumdur. Shahin ve arkadaşları yaptıkları çalışmada mental durumun bireylerin uyaran algılarını etkilediği ve hareket yeteneklerini sınırlandırdığı, böylece de bası yarası riskini artırdığını göstermektedir (Shahin vd 2010). Aydın ve Mucuk’un yaptığı çalışmada ise ilaç kullanımı açısından diğer çalışmalarla arasında fark olmazken kendi çalışmalarındaki grubun mental durumlarının daha iyi olması ile benzer çalışmalara göre bası yarası risk analiz puanlarının daha düşük çıktığını söylemektedir (Aydın ve Mucuk, 2015). 2016 yılında</w:t>
      </w:r>
      <w:r>
        <w:rPr>
          <w:spacing w:val="14"/>
        </w:rPr>
        <w:t> </w:t>
      </w:r>
      <w:r>
        <w:rPr/>
        <w:t>Fávaro</w:t>
      </w:r>
      <w:r>
        <w:rPr>
          <w:rFonts w:ascii="Cambria Math" w:hAnsi="Cambria Math"/>
        </w:rPr>
        <w:t>‐</w:t>
      </w:r>
      <w:r>
        <w:rPr/>
        <w:t>Moreira</w:t>
      </w:r>
      <w:r>
        <w:rPr>
          <w:spacing w:val="15"/>
        </w:rPr>
        <w:t> </w:t>
      </w:r>
      <w:r>
        <w:rPr/>
        <w:t>ve</w:t>
      </w:r>
      <w:r>
        <w:rPr>
          <w:spacing w:val="14"/>
        </w:rPr>
        <w:t> </w:t>
      </w:r>
      <w:r>
        <w:rPr/>
        <w:t>arkadaşlarının</w:t>
      </w:r>
      <w:r>
        <w:rPr>
          <w:spacing w:val="17"/>
        </w:rPr>
        <w:t> </w:t>
      </w:r>
      <w:r>
        <w:rPr/>
        <w:t>yaptığı</w:t>
      </w:r>
      <w:r>
        <w:rPr>
          <w:spacing w:val="14"/>
        </w:rPr>
        <w:t> </w:t>
      </w:r>
      <w:r>
        <w:rPr/>
        <w:t>çalışmada</w:t>
      </w:r>
      <w:r>
        <w:rPr>
          <w:spacing w:val="14"/>
        </w:rPr>
        <w:t> </w:t>
      </w:r>
      <w:r>
        <w:rPr/>
        <w:t>ise</w:t>
      </w:r>
      <w:r>
        <w:rPr>
          <w:spacing w:val="15"/>
        </w:rPr>
        <w:t> </w:t>
      </w:r>
      <w:r>
        <w:rPr/>
        <w:t>bası</w:t>
      </w:r>
      <w:r>
        <w:rPr>
          <w:spacing w:val="14"/>
        </w:rPr>
        <w:t> </w:t>
      </w:r>
      <w:r>
        <w:rPr/>
        <w:t>yarası</w:t>
      </w:r>
      <w:r>
        <w:rPr>
          <w:spacing w:val="13"/>
        </w:rPr>
        <w:t> </w:t>
      </w:r>
      <w:r>
        <w:rPr/>
        <w:t>risk</w:t>
      </w:r>
      <w:r>
        <w:rPr>
          <w:spacing w:val="18"/>
        </w:rPr>
        <w:t> </w:t>
      </w:r>
      <w:r>
        <w:rPr/>
        <w:t>analizi</w:t>
      </w:r>
    </w:p>
    <w:p>
      <w:pPr>
        <w:spacing w:after="0" w:line="360" w:lineRule="auto"/>
        <w:jc w:val="both"/>
        <w:sectPr>
          <w:pgSz w:w="11910" w:h="16840"/>
          <w:pgMar w:header="749" w:footer="0" w:top="960" w:bottom="280" w:left="1020" w:right="460"/>
        </w:sectPr>
      </w:pPr>
    </w:p>
    <w:p>
      <w:pPr>
        <w:pStyle w:val="BodyText"/>
        <w:rPr>
          <w:sz w:val="20"/>
        </w:rPr>
      </w:pPr>
    </w:p>
    <w:p>
      <w:pPr>
        <w:pStyle w:val="BodyText"/>
        <w:spacing w:before="5"/>
        <w:rPr>
          <w:sz w:val="19"/>
        </w:rPr>
      </w:pPr>
    </w:p>
    <w:p>
      <w:pPr>
        <w:pStyle w:val="BodyText"/>
        <w:spacing w:line="360" w:lineRule="auto"/>
        <w:ind w:left="1248" w:right="670"/>
        <w:jc w:val="both"/>
      </w:pPr>
      <w:r>
        <w:rPr/>
        <w:t>değerlendirmesi yapılmış, değerlendirmeye fiziksel işleyiş ve mental durum eklenmiş, bunlardaki yetersizliğin bası yarası zincirini oluşturduğu söylenmiştir (Fávaro</w:t>
      </w:r>
      <w:r>
        <w:rPr>
          <w:rFonts w:ascii="Cambria Math" w:hAnsi="Cambria Math"/>
        </w:rPr>
        <w:t>‐</w:t>
      </w:r>
      <w:r>
        <w:rPr/>
        <w:t>Moreira vd 2016). Benzer sonuç Vanderwee ve arkadaşlarının 2009 yılı çalışmasında da bulunmuştur (Vanderwee vd 2009). Bizim çalışmamızda da bası yarası oluşma riski ile mental durumun ilişkili olduğu görülmüştür. Çalışmamıza göre mental durum ne kadar iyi olursa bası yarası riski o kadar</w:t>
      </w:r>
      <w:r>
        <w:rPr>
          <w:spacing w:val="-10"/>
        </w:rPr>
        <w:t> </w:t>
      </w:r>
      <w:r>
        <w:rPr/>
        <w:t>azalmaktadır.</w:t>
      </w:r>
    </w:p>
    <w:p>
      <w:pPr>
        <w:pStyle w:val="BodyText"/>
        <w:spacing w:line="360" w:lineRule="auto" w:before="162"/>
        <w:ind w:left="1248" w:right="666" w:firstLine="708"/>
        <w:jc w:val="both"/>
      </w:pPr>
      <w:r>
        <w:rPr/>
        <w:t>Bası yaralarının medikal boyutunun yanısıra psikososyal boyutu da bulunmaktadır. Bireyin hissettiği ağrı, yara bakımının yeterince yapılamaması günlük yaşam aktivitelerini olumsuz etkileyerek, sosyal izolasyona neden olur daha da önemlisi bireyin kendi kişisel bakımını ve ihtiyaçlarını gidermesinde zorluklara neden olur (Akın ve Karan 2011). 2015 yılında Aydın ve Mucuk’un yaptığı çalışmada bası yaraları, günlük yaşam aktiviteleri ve risk faktörlerinin belirlendiği 188 bireyin değerlendirilerek yapıldığı çalışmada günlük yaşam aktiviteleri ve Braden risk değerlendirme ölçeği skorları arasında güçlü pozitif bir korelasyon bulunmuştur. Günlük yaşam aktivitelerinde bağımlı olan bireyler bası yaraları gelişimi için yüksek risk altında bulunmuştur (Aydın ve Mucuk, 2015). Bu durumun tam tersini söylemekte mümkündür. Bireylerin bası yarası gelişmi günlük yaşam aktivitelerinde bağımlılığa neden olmaktadır. Günlük yaşam aktivitelerinde bağımlılık düzeyinde olma ile bası yarası arasında anlamlı bir ilişki olduğunu gösteren diğer çalışmalarda da benzer sonuçlar bulunmuştur (İnan 2009, Kwong vd 2009). Hasta aktivitesinin ve mobilite seviyesinin azalması bası yarası riskini artırır ve bireyleri günlük yaşamda bağımlı hale getirir (Fávaro</w:t>
      </w:r>
      <w:r>
        <w:rPr>
          <w:rFonts w:ascii="Cambria Math" w:hAnsi="Cambria Math"/>
        </w:rPr>
        <w:t>‐</w:t>
      </w:r>
      <w:r>
        <w:rPr/>
        <w:t>Moreira vd</w:t>
      </w:r>
      <w:r>
        <w:rPr>
          <w:spacing w:val="-1"/>
        </w:rPr>
        <w:t> </w:t>
      </w:r>
      <w:r>
        <w:rPr/>
        <w:t>2016).</w:t>
      </w:r>
    </w:p>
    <w:p>
      <w:pPr>
        <w:pStyle w:val="BodyText"/>
        <w:spacing w:line="360" w:lineRule="auto" w:before="159"/>
        <w:ind w:left="1248" w:right="682" w:firstLine="708"/>
        <w:jc w:val="both"/>
      </w:pPr>
      <w:r>
        <w:rPr/>
        <w:t>Çalışmamızın sonucunda elde ettiğimiz bulgular, çalışmamızın hazırlık evresinde kurduğumuz hipotezlerimizin tümünü destekler niteliktedir.</w:t>
      </w:r>
    </w:p>
    <w:p>
      <w:pPr>
        <w:spacing w:after="0" w:line="360" w:lineRule="auto"/>
        <w:jc w:val="both"/>
        <w:sectPr>
          <w:pgSz w:w="11910" w:h="16840"/>
          <w:pgMar w:header="749" w:footer="0" w:top="960" w:bottom="280" w:left="1020" w:right="4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6"/>
        </w:rPr>
      </w:pPr>
    </w:p>
    <w:p>
      <w:pPr>
        <w:pStyle w:val="Heading1"/>
        <w:numPr>
          <w:ilvl w:val="0"/>
          <w:numId w:val="11"/>
        </w:numPr>
        <w:tabs>
          <w:tab w:pos="1496" w:val="left" w:leader="none"/>
        </w:tabs>
        <w:spacing w:line="240" w:lineRule="auto" w:before="94" w:after="0"/>
        <w:ind w:left="1495" w:right="0" w:hanging="248"/>
        <w:jc w:val="left"/>
      </w:pPr>
      <w:bookmarkStart w:name="_bookmark74" w:id="124"/>
      <w:bookmarkEnd w:id="124"/>
      <w:r>
        <w:rPr>
          <w:b w:val="0"/>
        </w:rPr>
      </w:r>
      <w:bookmarkStart w:name="_bookmark74" w:id="125"/>
      <w:bookmarkEnd w:id="125"/>
      <w:r>
        <w:rPr/>
        <w:t>S</w:t>
      </w:r>
      <w:r>
        <w:rPr/>
        <w:t>ONUÇLAR</w:t>
      </w:r>
    </w:p>
    <w:p>
      <w:pPr>
        <w:pStyle w:val="BodyText"/>
        <w:rPr>
          <w:b/>
          <w:sz w:val="24"/>
        </w:rPr>
      </w:pPr>
    </w:p>
    <w:p>
      <w:pPr>
        <w:pStyle w:val="BodyText"/>
        <w:rPr>
          <w:b/>
          <w:sz w:val="24"/>
        </w:rPr>
      </w:pPr>
    </w:p>
    <w:p>
      <w:pPr>
        <w:pStyle w:val="BodyText"/>
        <w:spacing w:before="1"/>
        <w:rPr>
          <w:b/>
          <w:sz w:val="29"/>
        </w:rPr>
      </w:pPr>
    </w:p>
    <w:p>
      <w:pPr>
        <w:pStyle w:val="BodyText"/>
        <w:spacing w:line="360" w:lineRule="auto" w:before="1"/>
        <w:ind w:left="1248" w:right="712" w:firstLine="566"/>
      </w:pPr>
      <w:r>
        <w:rPr/>
        <w:t>Bu çalışmalardan elde ettiğimiz veriler incelendiğinde çalışmadan elde edilen sonuçlar şunlardır:</w:t>
      </w:r>
    </w:p>
    <w:p>
      <w:pPr>
        <w:pStyle w:val="BodyText"/>
        <w:spacing w:before="9"/>
        <w:rPr>
          <w:sz w:val="20"/>
        </w:rPr>
      </w:pPr>
    </w:p>
    <w:p>
      <w:pPr>
        <w:pStyle w:val="ListParagraph"/>
        <w:numPr>
          <w:ilvl w:val="0"/>
          <w:numId w:val="12"/>
        </w:numPr>
        <w:tabs>
          <w:tab w:pos="2062" w:val="left" w:leader="none"/>
        </w:tabs>
        <w:spacing w:line="240" w:lineRule="auto" w:before="1" w:after="0"/>
        <w:ind w:left="2062" w:right="0" w:hanging="248"/>
        <w:jc w:val="left"/>
        <w:rPr>
          <w:sz w:val="22"/>
        </w:rPr>
      </w:pPr>
      <w:r>
        <w:rPr>
          <w:sz w:val="22"/>
        </w:rPr>
        <w:t>Nörolojik bir tanıyla yatarak tedavi gören hastalarda bası yarası riski</w:t>
      </w:r>
      <w:r>
        <w:rPr>
          <w:spacing w:val="-21"/>
          <w:sz w:val="22"/>
        </w:rPr>
        <w:t> </w:t>
      </w:r>
      <w:r>
        <w:rPr>
          <w:sz w:val="22"/>
        </w:rPr>
        <w:t>yüksektir.</w:t>
      </w:r>
    </w:p>
    <w:p>
      <w:pPr>
        <w:pStyle w:val="BodyText"/>
        <w:rPr>
          <w:sz w:val="32"/>
        </w:rPr>
      </w:pPr>
    </w:p>
    <w:p>
      <w:pPr>
        <w:pStyle w:val="ListParagraph"/>
        <w:numPr>
          <w:ilvl w:val="0"/>
          <w:numId w:val="12"/>
        </w:numPr>
        <w:tabs>
          <w:tab w:pos="2096" w:val="left" w:leader="none"/>
        </w:tabs>
        <w:spacing w:line="360" w:lineRule="auto" w:before="0" w:after="0"/>
        <w:ind w:left="1248" w:right="672" w:firstLine="566"/>
        <w:jc w:val="both"/>
        <w:rPr>
          <w:sz w:val="22"/>
        </w:rPr>
      </w:pPr>
      <w:r>
        <w:rPr>
          <w:sz w:val="22"/>
        </w:rPr>
        <w:t>Nörolojik hastalarda inkontinans varlığı, havalı yatak kullanılmaması, yüksek ateş ve kas tonusunda meydana gelen değişiklikler bası yarası oluşumuna zemin hazırlar.</w:t>
      </w:r>
    </w:p>
    <w:p>
      <w:pPr>
        <w:pStyle w:val="BodyText"/>
        <w:spacing w:before="9"/>
        <w:rPr>
          <w:sz w:val="20"/>
        </w:rPr>
      </w:pPr>
    </w:p>
    <w:p>
      <w:pPr>
        <w:pStyle w:val="ListParagraph"/>
        <w:numPr>
          <w:ilvl w:val="0"/>
          <w:numId w:val="12"/>
        </w:numPr>
        <w:tabs>
          <w:tab w:pos="2178" w:val="left" w:leader="none"/>
        </w:tabs>
        <w:spacing w:line="360" w:lineRule="auto" w:before="0" w:after="0"/>
        <w:ind w:left="1248" w:right="668" w:firstLine="566"/>
        <w:jc w:val="both"/>
        <w:rPr>
          <w:sz w:val="22"/>
        </w:rPr>
      </w:pPr>
      <w:r>
        <w:rPr>
          <w:sz w:val="22"/>
        </w:rPr>
        <w:t>Nörolojik hastalarda bilinç düzeyi azaldıkça bası yarası görülme riski artmaktadır.</w:t>
      </w:r>
    </w:p>
    <w:p>
      <w:pPr>
        <w:pStyle w:val="BodyText"/>
        <w:spacing w:before="10"/>
        <w:rPr>
          <w:sz w:val="20"/>
        </w:rPr>
      </w:pPr>
    </w:p>
    <w:p>
      <w:pPr>
        <w:pStyle w:val="ListParagraph"/>
        <w:numPr>
          <w:ilvl w:val="0"/>
          <w:numId w:val="12"/>
        </w:numPr>
        <w:tabs>
          <w:tab w:pos="2192" w:val="left" w:leader="none"/>
        </w:tabs>
        <w:spacing w:line="360" w:lineRule="auto" w:before="0" w:after="0"/>
        <w:ind w:left="1248" w:right="668" w:firstLine="566"/>
        <w:jc w:val="both"/>
        <w:rPr>
          <w:sz w:val="22"/>
        </w:rPr>
      </w:pPr>
      <w:r>
        <w:rPr>
          <w:sz w:val="22"/>
        </w:rPr>
        <w:t>Nörolojik hastalarda kognitif fonksiyonlar azalması bası yarası riskini arttırmaktadır.</w:t>
      </w:r>
    </w:p>
    <w:p>
      <w:pPr>
        <w:pStyle w:val="BodyText"/>
        <w:spacing w:before="10"/>
        <w:rPr>
          <w:sz w:val="20"/>
        </w:rPr>
      </w:pPr>
    </w:p>
    <w:p>
      <w:pPr>
        <w:pStyle w:val="ListParagraph"/>
        <w:numPr>
          <w:ilvl w:val="0"/>
          <w:numId w:val="12"/>
        </w:numPr>
        <w:tabs>
          <w:tab w:pos="2189" w:val="left" w:leader="none"/>
        </w:tabs>
        <w:spacing w:line="360" w:lineRule="auto" w:before="0" w:after="0"/>
        <w:ind w:left="1248" w:right="673" w:firstLine="566"/>
        <w:jc w:val="both"/>
        <w:rPr>
          <w:sz w:val="22"/>
        </w:rPr>
      </w:pPr>
      <w:r>
        <w:rPr>
          <w:sz w:val="22"/>
        </w:rPr>
        <w:t>Nörolojik hastalarda günlük yaşam aktivitelerindeki bağımsızlık düzeyi azaldıkça bası yarası riski</w:t>
      </w:r>
      <w:r>
        <w:rPr>
          <w:spacing w:val="-5"/>
          <w:sz w:val="22"/>
        </w:rPr>
        <w:t> </w:t>
      </w:r>
      <w:r>
        <w:rPr>
          <w:sz w:val="22"/>
        </w:rPr>
        <w:t>artmaktadır.</w:t>
      </w:r>
    </w:p>
    <w:p>
      <w:pPr>
        <w:pStyle w:val="BodyText"/>
        <w:rPr>
          <w:sz w:val="21"/>
        </w:rPr>
      </w:pPr>
    </w:p>
    <w:p>
      <w:pPr>
        <w:pStyle w:val="ListParagraph"/>
        <w:numPr>
          <w:ilvl w:val="0"/>
          <w:numId w:val="12"/>
        </w:numPr>
        <w:tabs>
          <w:tab w:pos="2204" w:val="left" w:leader="none"/>
        </w:tabs>
        <w:spacing w:line="360" w:lineRule="auto" w:before="0" w:after="0"/>
        <w:ind w:left="1248" w:right="675" w:firstLine="566"/>
        <w:jc w:val="both"/>
        <w:rPr>
          <w:sz w:val="22"/>
        </w:rPr>
      </w:pPr>
      <w:r>
        <w:rPr>
          <w:sz w:val="22"/>
        </w:rPr>
        <w:t>Çalışmadan elde edilen sonuçlar; nörolojik hastalarla çalışan sağlık personellerinin bası yarası oluşumuna neden olabilecek faktörleri hakkında bilgilendirilmesini sağlayacaktır. Ayrıca risk faktörlerinin belirlenmesi hastaya, hasta yakınlarına ve sağlık personellerine bası yarasını önleme konusunda yol</w:t>
      </w:r>
      <w:r>
        <w:rPr>
          <w:spacing w:val="-40"/>
          <w:sz w:val="22"/>
        </w:rPr>
        <w:t> </w:t>
      </w:r>
      <w:r>
        <w:rPr>
          <w:sz w:val="22"/>
        </w:rPr>
        <w:t>gösterecektir.</w:t>
      </w:r>
    </w:p>
    <w:p>
      <w:pPr>
        <w:spacing w:after="0" w:line="360" w:lineRule="auto"/>
        <w:jc w:val="both"/>
        <w:rPr>
          <w:sz w:val="22"/>
        </w:rPr>
        <w:sectPr>
          <w:pgSz w:w="11910" w:h="16840"/>
          <w:pgMar w:header="749" w:footer="0" w:top="960" w:bottom="280" w:left="1020" w:right="4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6"/>
        </w:rPr>
      </w:pPr>
    </w:p>
    <w:p>
      <w:pPr>
        <w:pStyle w:val="Heading1"/>
        <w:numPr>
          <w:ilvl w:val="0"/>
          <w:numId w:val="12"/>
        </w:numPr>
        <w:tabs>
          <w:tab w:pos="1496" w:val="left" w:leader="none"/>
        </w:tabs>
        <w:spacing w:line="240" w:lineRule="auto" w:before="94" w:after="0"/>
        <w:ind w:left="1495" w:right="0" w:hanging="248"/>
        <w:jc w:val="left"/>
      </w:pPr>
      <w:bookmarkStart w:name="_bookmark75" w:id="126"/>
      <w:bookmarkEnd w:id="126"/>
      <w:r>
        <w:rPr>
          <w:b w:val="0"/>
        </w:rPr>
      </w:r>
      <w:bookmarkStart w:name="_bookmark75" w:id="127"/>
      <w:bookmarkEnd w:id="127"/>
      <w:r>
        <w:rPr/>
        <w:t>K</w:t>
      </w:r>
      <w:r>
        <w:rPr/>
        <w:t>AYNAKLAR</w:t>
      </w:r>
    </w:p>
    <w:p>
      <w:pPr>
        <w:pStyle w:val="BodyText"/>
        <w:rPr>
          <w:b/>
          <w:sz w:val="24"/>
        </w:rPr>
      </w:pPr>
    </w:p>
    <w:p>
      <w:pPr>
        <w:pStyle w:val="BodyText"/>
        <w:rPr>
          <w:b/>
          <w:sz w:val="24"/>
        </w:rPr>
      </w:pPr>
    </w:p>
    <w:p>
      <w:pPr>
        <w:pStyle w:val="BodyText"/>
        <w:spacing w:before="1"/>
        <w:rPr>
          <w:b/>
          <w:sz w:val="29"/>
        </w:rPr>
      </w:pPr>
    </w:p>
    <w:p>
      <w:pPr>
        <w:spacing w:before="1"/>
        <w:ind w:left="1248" w:right="674" w:firstLine="0"/>
        <w:jc w:val="both"/>
        <w:rPr>
          <w:sz w:val="22"/>
        </w:rPr>
      </w:pPr>
      <w:r>
        <w:rPr>
          <w:sz w:val="22"/>
        </w:rPr>
        <w:t>Acaroğlu R, Şendir M. Pressure ulcer prevention and management strategies in Turkey. </w:t>
      </w:r>
      <w:r>
        <w:rPr>
          <w:b/>
          <w:i/>
          <w:sz w:val="22"/>
        </w:rPr>
        <w:t>Wound Ostomy Continence Nurs </w:t>
      </w:r>
      <w:r>
        <w:rPr>
          <w:sz w:val="22"/>
        </w:rPr>
        <w:t>2005; 32(4):</w:t>
      </w:r>
      <w:r>
        <w:rPr>
          <w:spacing w:val="-10"/>
          <w:sz w:val="22"/>
        </w:rPr>
        <w:t> </w:t>
      </w:r>
      <w:r>
        <w:rPr>
          <w:sz w:val="22"/>
        </w:rPr>
        <w:t>230-237.</w:t>
      </w:r>
    </w:p>
    <w:p>
      <w:pPr>
        <w:pStyle w:val="BodyText"/>
        <w:spacing w:before="11"/>
        <w:rPr>
          <w:sz w:val="21"/>
        </w:rPr>
      </w:pPr>
    </w:p>
    <w:p>
      <w:pPr>
        <w:spacing w:before="0"/>
        <w:ind w:left="1248" w:right="669" w:firstLine="0"/>
        <w:jc w:val="both"/>
        <w:rPr>
          <w:sz w:val="22"/>
        </w:rPr>
      </w:pPr>
      <w:r>
        <w:rPr>
          <w:sz w:val="22"/>
        </w:rPr>
        <w:t>Agrawal K, Chauhan N. Pressure ulcers: back to the basics. </w:t>
      </w:r>
      <w:r>
        <w:rPr>
          <w:b/>
          <w:i/>
          <w:sz w:val="22"/>
        </w:rPr>
        <w:t>Indian J Plast Surg </w:t>
      </w:r>
      <w:r>
        <w:rPr>
          <w:sz w:val="22"/>
        </w:rPr>
        <w:t>2012; 45(2): 244-54.</w:t>
      </w:r>
    </w:p>
    <w:p>
      <w:pPr>
        <w:pStyle w:val="BodyText"/>
        <w:spacing w:before="2"/>
      </w:pPr>
    </w:p>
    <w:p>
      <w:pPr>
        <w:spacing w:before="0"/>
        <w:ind w:left="1248" w:right="669" w:firstLine="0"/>
        <w:jc w:val="both"/>
        <w:rPr>
          <w:sz w:val="22"/>
        </w:rPr>
      </w:pPr>
      <w:r>
        <w:rPr>
          <w:sz w:val="22"/>
        </w:rPr>
        <w:t>Akca NK, Aydın G, Gumus K. Pressure ulcers and their associated factors in nursing home in mates. </w:t>
      </w:r>
      <w:r>
        <w:rPr>
          <w:b/>
          <w:i/>
          <w:sz w:val="22"/>
        </w:rPr>
        <w:t>Journal of the College of Physicans and Surgeons Pakistan </w:t>
      </w:r>
      <w:r>
        <w:rPr>
          <w:sz w:val="22"/>
        </w:rPr>
        <w:t>2015; 25(1): 27-30.</w:t>
      </w:r>
    </w:p>
    <w:p>
      <w:pPr>
        <w:pStyle w:val="BodyText"/>
        <w:spacing w:before="10"/>
        <w:rPr>
          <w:sz w:val="21"/>
        </w:rPr>
      </w:pPr>
    </w:p>
    <w:p>
      <w:pPr>
        <w:spacing w:before="0"/>
        <w:ind w:left="1248" w:right="670" w:firstLine="0"/>
        <w:jc w:val="both"/>
        <w:rPr>
          <w:sz w:val="22"/>
        </w:rPr>
      </w:pPr>
      <w:r>
        <w:rPr>
          <w:sz w:val="22"/>
        </w:rPr>
        <w:t>Akın S, Karan MA. Bası yaraları. Systematic Review. </w:t>
      </w:r>
      <w:r>
        <w:rPr>
          <w:b/>
          <w:i/>
          <w:sz w:val="22"/>
        </w:rPr>
        <w:t>İç hastalıkları Dergisi </w:t>
      </w:r>
      <w:r>
        <w:rPr>
          <w:sz w:val="22"/>
        </w:rPr>
        <w:t>2011; 18: 83-90.</w:t>
      </w:r>
    </w:p>
    <w:p>
      <w:pPr>
        <w:pStyle w:val="BodyText"/>
        <w:spacing w:before="2"/>
      </w:pPr>
    </w:p>
    <w:p>
      <w:pPr>
        <w:spacing w:before="0"/>
        <w:ind w:left="1248" w:right="666" w:firstLine="0"/>
        <w:jc w:val="both"/>
        <w:rPr>
          <w:sz w:val="22"/>
        </w:rPr>
      </w:pPr>
      <w:r>
        <w:rPr>
          <w:sz w:val="22"/>
        </w:rPr>
        <w:t>Aljezawi M, Tubaishat A. Nosocomial Pressure ulcer risk factors in a relatively young adult population. </w:t>
      </w:r>
      <w:r>
        <w:rPr>
          <w:b/>
          <w:i/>
          <w:sz w:val="22"/>
        </w:rPr>
        <w:t>Journal of the Dermatology Nurses’ Association </w:t>
      </w:r>
      <w:r>
        <w:rPr>
          <w:sz w:val="22"/>
        </w:rPr>
        <w:t>2014; 6(5):244- 250.</w:t>
      </w:r>
    </w:p>
    <w:p>
      <w:pPr>
        <w:pStyle w:val="BodyText"/>
        <w:spacing w:before="10"/>
        <w:rPr>
          <w:sz w:val="21"/>
        </w:rPr>
      </w:pPr>
    </w:p>
    <w:p>
      <w:pPr>
        <w:pStyle w:val="BodyText"/>
        <w:ind w:left="1248"/>
        <w:jc w:val="both"/>
      </w:pPr>
      <w:r>
        <w:rPr/>
        <w:t>Anders J, Heinemann A, Leffmann C, Leutenegger M, Pröfener F, von Renteln-Kruse</w:t>
      </w:r>
    </w:p>
    <w:p>
      <w:pPr>
        <w:pStyle w:val="BodyText"/>
        <w:spacing w:before="2"/>
        <w:ind w:left="1248"/>
      </w:pPr>
      <w:r>
        <w:rPr/>
        <w:t>W. Decubitus ulcers: Pathophysiology and primary prevention. </w:t>
      </w:r>
      <w:r>
        <w:rPr>
          <w:b/>
          <w:i/>
        </w:rPr>
        <w:t>Dtsch ArzteblInt </w:t>
      </w:r>
      <w:r>
        <w:rPr/>
        <w:t>2010; 107(21): 371–382.</w:t>
      </w:r>
    </w:p>
    <w:p>
      <w:pPr>
        <w:pStyle w:val="BodyText"/>
        <w:spacing w:before="1"/>
      </w:pPr>
    </w:p>
    <w:p>
      <w:pPr>
        <w:spacing w:line="237" w:lineRule="auto" w:before="0"/>
        <w:ind w:left="1248" w:right="677" w:firstLine="0"/>
        <w:jc w:val="both"/>
        <w:rPr>
          <w:sz w:val="22"/>
        </w:rPr>
      </w:pPr>
      <w:r>
        <w:rPr>
          <w:color w:val="212121"/>
          <w:sz w:val="22"/>
        </w:rPr>
        <w:t>Aslan A, van Giersbergen MY. Nurses' attitudes towards pressure ulcer prevention in Turkey. </w:t>
      </w:r>
      <w:r>
        <w:rPr>
          <w:b/>
          <w:i/>
          <w:color w:val="212121"/>
          <w:sz w:val="22"/>
        </w:rPr>
        <w:t>Journal of Tissue Viability </w:t>
      </w:r>
      <w:r>
        <w:rPr>
          <w:color w:val="212121"/>
          <w:sz w:val="22"/>
        </w:rPr>
        <w:t>2016; 25(1): 66-73.</w:t>
      </w:r>
    </w:p>
    <w:p>
      <w:pPr>
        <w:pStyle w:val="BodyText"/>
        <w:spacing w:before="2"/>
      </w:pPr>
    </w:p>
    <w:p>
      <w:pPr>
        <w:pStyle w:val="BodyText"/>
        <w:spacing w:before="1"/>
        <w:ind w:left="1248" w:right="669"/>
        <w:jc w:val="both"/>
      </w:pPr>
      <w:r>
        <w:rPr/>
        <w:t>Aydın A, Kaplan S. Bası ülseri tarama ve risk değerlendirme çalışması</w:t>
      </w:r>
      <w:r>
        <w:rPr>
          <w:i/>
        </w:rPr>
        <w:t>. </w:t>
      </w:r>
      <w:r>
        <w:rPr>
          <w:b/>
          <w:i/>
        </w:rPr>
        <w:t>Yoğun Bakım </w:t>
      </w:r>
      <w:r>
        <w:rPr>
          <w:b/>
          <w:i/>
        </w:rPr>
        <w:t>Dergisi</w:t>
      </w:r>
      <w:r>
        <w:rPr/>
        <w:t>, 2007; 7(3): 403.</w:t>
      </w:r>
    </w:p>
    <w:p>
      <w:pPr>
        <w:pStyle w:val="BodyText"/>
        <w:spacing w:before="10"/>
        <w:rPr>
          <w:sz w:val="21"/>
        </w:rPr>
      </w:pPr>
    </w:p>
    <w:p>
      <w:pPr>
        <w:pStyle w:val="BodyText"/>
        <w:spacing w:before="1"/>
        <w:ind w:left="1248" w:right="680"/>
        <w:jc w:val="both"/>
      </w:pPr>
      <w:r>
        <w:rPr/>
        <w:t>Aydın G, Mucuk S. The evaluation of daily living activities, pressure sores and risk factors. </w:t>
      </w:r>
      <w:r>
        <w:rPr>
          <w:b/>
          <w:i/>
        </w:rPr>
        <w:t>Rehabilitation Nursing </w:t>
      </w:r>
      <w:r>
        <w:rPr/>
        <w:t>2015; </w:t>
      </w:r>
      <w:r>
        <w:rPr>
          <w:i/>
        </w:rPr>
        <w:t>40</w:t>
      </w:r>
      <w:r>
        <w:rPr/>
        <w:t>(2): 84-91.</w:t>
      </w:r>
    </w:p>
    <w:p>
      <w:pPr>
        <w:pStyle w:val="BodyText"/>
        <w:spacing w:before="11"/>
        <w:rPr>
          <w:sz w:val="21"/>
        </w:rPr>
      </w:pPr>
    </w:p>
    <w:p>
      <w:pPr>
        <w:pStyle w:val="BodyText"/>
        <w:ind w:left="1248" w:right="673"/>
        <w:jc w:val="both"/>
      </w:pPr>
      <w:r>
        <w:rPr/>
        <w:t>Banu H. Bir Cerrahi Yoğun bakım ünitesinde bası yarası görülme sıklığı ve bası yarası gelişimini etkileyen risk faktörlerinin irdelenmesi. </w:t>
      </w:r>
      <w:r>
        <w:rPr>
          <w:b/>
          <w:i/>
        </w:rPr>
        <w:t>Haliç Üniversitesi </w:t>
      </w:r>
      <w:r>
        <w:rPr/>
        <w:t>Sağlık Bilimleri Ensititüsü Yüksek Lisans Tezi 2008, İstanbul.</w:t>
      </w:r>
    </w:p>
    <w:p>
      <w:pPr>
        <w:pStyle w:val="BodyText"/>
        <w:spacing w:before="1"/>
      </w:pPr>
    </w:p>
    <w:p>
      <w:pPr>
        <w:spacing w:before="0"/>
        <w:ind w:left="1248" w:right="668" w:firstLine="0"/>
        <w:jc w:val="both"/>
        <w:rPr>
          <w:sz w:val="22"/>
        </w:rPr>
      </w:pPr>
      <w:r>
        <w:rPr>
          <w:color w:val="212121"/>
          <w:sz w:val="22"/>
        </w:rPr>
        <w:t>Bardak AN, Erhan B, Gündüz B, Seyyah Ö, Borşçı SH. Omurilik yaralanmalı hastalarda bası yarası sıklığı ve risk faktörlerinin değerlendirilmesi. </w:t>
      </w:r>
      <w:r>
        <w:rPr>
          <w:b/>
          <w:i/>
          <w:color w:val="212121"/>
          <w:sz w:val="22"/>
        </w:rPr>
        <w:t>Turkiye Fiziksel Tip ve </w:t>
      </w:r>
      <w:r>
        <w:rPr>
          <w:b/>
          <w:i/>
          <w:color w:val="212121"/>
          <w:sz w:val="22"/>
        </w:rPr>
        <w:t>Rehabilitasyon Dergisi </w:t>
      </w:r>
      <w:r>
        <w:rPr>
          <w:color w:val="212121"/>
          <w:sz w:val="22"/>
        </w:rPr>
        <w:t>2010; </w:t>
      </w:r>
      <w:r>
        <w:rPr>
          <w:i/>
          <w:color w:val="212121"/>
          <w:sz w:val="22"/>
        </w:rPr>
        <w:t>56</w:t>
      </w:r>
      <w:r>
        <w:rPr>
          <w:color w:val="212121"/>
          <w:sz w:val="22"/>
        </w:rPr>
        <w:t>(1).</w:t>
      </w:r>
    </w:p>
    <w:p>
      <w:pPr>
        <w:pStyle w:val="BodyText"/>
        <w:spacing w:before="1"/>
      </w:pPr>
    </w:p>
    <w:p>
      <w:pPr>
        <w:spacing w:before="0"/>
        <w:ind w:left="1248" w:right="677" w:firstLine="0"/>
        <w:jc w:val="both"/>
        <w:rPr>
          <w:sz w:val="22"/>
        </w:rPr>
      </w:pPr>
      <w:r>
        <w:rPr>
          <w:sz w:val="22"/>
        </w:rPr>
        <w:t>Bergstorm N. Bası Yaraları, Fiziksel Tıp ve Rehabilitasyon Pratik El kitabı, Ed. Şendur ÖF, </w:t>
      </w:r>
      <w:r>
        <w:rPr>
          <w:b/>
          <w:i/>
          <w:sz w:val="22"/>
        </w:rPr>
        <w:t>Güneş Tıp Kitabevi, 2. Baskı, </w:t>
      </w:r>
      <w:r>
        <w:rPr>
          <w:sz w:val="22"/>
        </w:rPr>
        <w:t>İstanbul, 2008, s.465-480.</w:t>
      </w:r>
    </w:p>
    <w:p>
      <w:pPr>
        <w:spacing w:after="0"/>
        <w:jc w:val="both"/>
        <w:rPr>
          <w:sz w:val="22"/>
        </w:rPr>
        <w:sectPr>
          <w:pgSz w:w="11910" w:h="16840"/>
          <w:pgMar w:header="749" w:footer="0" w:top="960" w:bottom="280" w:left="1020" w:right="460"/>
        </w:sectPr>
      </w:pPr>
    </w:p>
    <w:p>
      <w:pPr>
        <w:pStyle w:val="BodyText"/>
        <w:rPr>
          <w:sz w:val="20"/>
        </w:rPr>
      </w:pPr>
    </w:p>
    <w:p>
      <w:pPr>
        <w:pStyle w:val="BodyText"/>
        <w:spacing w:before="5"/>
        <w:rPr>
          <w:sz w:val="19"/>
        </w:rPr>
      </w:pPr>
    </w:p>
    <w:p>
      <w:pPr>
        <w:pStyle w:val="BodyText"/>
        <w:ind w:left="1248" w:right="668"/>
        <w:jc w:val="both"/>
      </w:pPr>
      <w:r>
        <w:rPr/>
        <w:t>Bergstrom N, Braden B, Kemp M, Champagne M, Ruby E. Predicting pressure ulcer risk. A multisite study of the predictive validity of the Braden scale. </w:t>
      </w:r>
      <w:r>
        <w:rPr>
          <w:b/>
          <w:i/>
        </w:rPr>
        <w:t>Nursing Research </w:t>
      </w:r>
      <w:r>
        <w:rPr/>
        <w:t>1998; 47(5): 261–269.</w:t>
      </w:r>
    </w:p>
    <w:p>
      <w:pPr>
        <w:pStyle w:val="BodyText"/>
        <w:spacing w:before="1"/>
      </w:pPr>
    </w:p>
    <w:p>
      <w:pPr>
        <w:pStyle w:val="BodyText"/>
        <w:ind w:left="1248" w:right="672"/>
        <w:jc w:val="both"/>
      </w:pPr>
      <w:r>
        <w:rPr/>
        <w:t>Berker E. Dekübitüs Ülserleri (Bası Yaraları), Fiziksel Tıp ve Rehabilitasyon, Ed. Diniz F, Ketenci A, </w:t>
      </w:r>
      <w:r>
        <w:rPr>
          <w:b/>
          <w:i/>
        </w:rPr>
        <w:t>Nobel Tıp Kitabevi</w:t>
      </w:r>
      <w:r>
        <w:rPr/>
        <w:t>, İstanbul, 2000, s.219-225.</w:t>
      </w:r>
    </w:p>
    <w:p>
      <w:pPr>
        <w:pStyle w:val="BodyText"/>
        <w:spacing w:before="11"/>
        <w:rPr>
          <w:sz w:val="21"/>
        </w:rPr>
      </w:pPr>
    </w:p>
    <w:p>
      <w:pPr>
        <w:pStyle w:val="BodyText"/>
        <w:ind w:left="1248" w:right="674"/>
        <w:jc w:val="both"/>
      </w:pPr>
      <w:r>
        <w:rPr/>
        <w:t>Bhattacharya S, Mishra RK. Pressure ulcers: Current understanding and newer modalities of treatment. </w:t>
      </w:r>
      <w:hyperlink r:id="rId20">
        <w:r>
          <w:rPr>
            <w:b/>
            <w:i/>
          </w:rPr>
          <w:t>Indian J Plast Surg </w:t>
        </w:r>
      </w:hyperlink>
      <w:r>
        <w:rPr/>
        <w:t>2015; 48(1): 4-16.</w:t>
      </w:r>
    </w:p>
    <w:p>
      <w:pPr>
        <w:pStyle w:val="BodyText"/>
        <w:spacing w:before="11"/>
        <w:rPr>
          <w:sz w:val="21"/>
        </w:rPr>
      </w:pPr>
    </w:p>
    <w:p>
      <w:pPr>
        <w:spacing w:before="0"/>
        <w:ind w:left="1248" w:right="0" w:firstLine="0"/>
        <w:jc w:val="both"/>
        <w:rPr>
          <w:sz w:val="22"/>
        </w:rPr>
      </w:pPr>
      <w:r>
        <w:rPr>
          <w:sz w:val="22"/>
        </w:rPr>
        <w:t>Bliss MR. Hyperaemia. </w:t>
      </w:r>
      <w:r>
        <w:rPr>
          <w:b/>
          <w:i/>
          <w:sz w:val="22"/>
        </w:rPr>
        <w:t>J Tissue Viability </w:t>
      </w:r>
      <w:r>
        <w:rPr>
          <w:sz w:val="22"/>
        </w:rPr>
        <w:t>1998; 8:4-13.</w:t>
      </w:r>
    </w:p>
    <w:p>
      <w:pPr>
        <w:pStyle w:val="BodyText"/>
      </w:pPr>
    </w:p>
    <w:p>
      <w:pPr>
        <w:pStyle w:val="BodyText"/>
        <w:spacing w:before="1"/>
        <w:ind w:left="1248"/>
        <w:jc w:val="both"/>
      </w:pPr>
      <w:hyperlink r:id="rId21">
        <w:r>
          <w:rPr/>
          <w:t>Bluestein D</w:t>
        </w:r>
      </w:hyperlink>
      <w:r>
        <w:rPr/>
        <w:t>, </w:t>
      </w:r>
      <w:hyperlink r:id="rId22">
        <w:r>
          <w:rPr/>
          <w:t>Javaheri A</w:t>
        </w:r>
      </w:hyperlink>
      <w:r>
        <w:rPr/>
        <w:t>. Pressure ulcers: prevention, evaluation, and management.</w:t>
      </w:r>
    </w:p>
    <w:p>
      <w:pPr>
        <w:spacing w:before="1"/>
        <w:ind w:left="1248" w:right="0" w:firstLine="0"/>
        <w:jc w:val="both"/>
        <w:rPr>
          <w:sz w:val="22"/>
        </w:rPr>
      </w:pPr>
      <w:hyperlink r:id="rId23">
        <w:r>
          <w:rPr>
            <w:b/>
            <w:i/>
            <w:sz w:val="22"/>
          </w:rPr>
          <w:t>Am Fam Physician </w:t>
        </w:r>
      </w:hyperlink>
      <w:r>
        <w:rPr>
          <w:sz w:val="22"/>
        </w:rPr>
        <w:t>2008; 78(10): 1186-1194.</w:t>
      </w:r>
    </w:p>
    <w:p>
      <w:pPr>
        <w:pStyle w:val="BodyText"/>
        <w:spacing w:before="10"/>
        <w:rPr>
          <w:sz w:val="21"/>
        </w:rPr>
      </w:pPr>
    </w:p>
    <w:p>
      <w:pPr>
        <w:pStyle w:val="BodyText"/>
        <w:ind w:left="1248" w:right="671"/>
        <w:jc w:val="both"/>
      </w:pPr>
      <w:r>
        <w:rPr/>
        <w:t>Borghardt AT, Prado TN do, Bicudo SDS, Castro DS de, Oliveira Bringuente ME de. Pressure ulcers in critically ill patients: incidence and associated factors. </w:t>
      </w:r>
      <w:r>
        <w:rPr>
          <w:b/>
          <w:i/>
        </w:rPr>
        <w:t>Rev Bras </w:t>
      </w:r>
      <w:r>
        <w:rPr>
          <w:b/>
          <w:i/>
        </w:rPr>
        <w:t>Enferm </w:t>
      </w:r>
      <w:r>
        <w:rPr/>
        <w:t>2016; 69(3): 432–436.</w:t>
      </w:r>
    </w:p>
    <w:p>
      <w:pPr>
        <w:pStyle w:val="BodyText"/>
        <w:spacing w:before="1"/>
      </w:pPr>
    </w:p>
    <w:p>
      <w:pPr>
        <w:pStyle w:val="BodyText"/>
        <w:ind w:left="1248" w:right="669"/>
        <w:jc w:val="both"/>
      </w:pPr>
      <w:r>
        <w:rPr/>
        <w:t>Bozbaş GT, Gürer G. Bası yaralarında güncel tedavi yaklaşımları. </w:t>
      </w:r>
      <w:r>
        <w:rPr>
          <w:b/>
          <w:i/>
        </w:rPr>
        <w:t>Sakarya MJ</w:t>
      </w:r>
      <w:r>
        <w:rPr/>
        <w:t>; 2011(4):118-125.</w:t>
      </w:r>
    </w:p>
    <w:p>
      <w:pPr>
        <w:pStyle w:val="BodyText"/>
        <w:spacing w:before="11"/>
        <w:rPr>
          <w:sz w:val="21"/>
        </w:rPr>
      </w:pPr>
    </w:p>
    <w:p>
      <w:pPr>
        <w:pStyle w:val="BodyText"/>
        <w:ind w:left="1248" w:right="676"/>
        <w:jc w:val="both"/>
      </w:pPr>
      <w:r>
        <w:rPr/>
        <w:t>Börekçi Ş, Gündoğdu N. Yoğun bakım ünitesinde bası yarası oluşumunu etkileyen faktörler. </w:t>
      </w:r>
      <w:r>
        <w:rPr>
          <w:b/>
          <w:i/>
        </w:rPr>
        <w:t>Yoğun Bakım Dergisi </w:t>
      </w:r>
      <w:r>
        <w:rPr/>
        <w:t>2007; 7(3): 402.</w:t>
      </w:r>
    </w:p>
    <w:p>
      <w:pPr>
        <w:pStyle w:val="BodyText"/>
        <w:spacing w:before="2"/>
      </w:pPr>
    </w:p>
    <w:p>
      <w:pPr>
        <w:pStyle w:val="BodyText"/>
        <w:ind w:left="1248" w:right="669"/>
        <w:jc w:val="both"/>
      </w:pPr>
      <w:r>
        <w:rPr/>
        <w:t>Bulut E. İç hastalıkları yoğun bakım kliniklerinde yatan yaşlı hastalarda basınç yarası gelişimini etkileyen faktörler, sıklığı ve arayüz basıncının yordayıcı değeri. Master's thesis. </w:t>
      </w:r>
      <w:r>
        <w:rPr>
          <w:b/>
          <w:i/>
        </w:rPr>
        <w:t>Aydın Adnan Menderes Üniversitesi</w:t>
      </w:r>
      <w:r>
        <w:rPr/>
        <w:t>. Sağlık Bilimleri Enstitüsü. 2019.</w:t>
      </w:r>
    </w:p>
    <w:p>
      <w:pPr>
        <w:pStyle w:val="BodyText"/>
        <w:spacing w:before="10"/>
        <w:rPr>
          <w:sz w:val="21"/>
        </w:rPr>
      </w:pPr>
    </w:p>
    <w:p>
      <w:pPr>
        <w:pStyle w:val="BodyText"/>
        <w:ind w:left="1248"/>
        <w:jc w:val="both"/>
      </w:pPr>
      <w:r>
        <w:rPr/>
        <w:t>Cakmak SK, Gül U, Ozer S, Yigit Z, Gönü M. Risk factors for pressure ulcers.</w:t>
      </w:r>
    </w:p>
    <w:p>
      <w:pPr>
        <w:spacing w:before="2"/>
        <w:ind w:left="1248" w:right="0" w:firstLine="0"/>
        <w:jc w:val="both"/>
        <w:rPr>
          <w:sz w:val="22"/>
        </w:rPr>
      </w:pPr>
      <w:r>
        <w:rPr>
          <w:b/>
          <w:i/>
          <w:sz w:val="22"/>
        </w:rPr>
        <w:t>Advances in Skin and Wound Care </w:t>
      </w:r>
      <w:r>
        <w:rPr>
          <w:sz w:val="22"/>
        </w:rPr>
        <w:t>2009; 22: 412-415.</w:t>
      </w:r>
    </w:p>
    <w:p>
      <w:pPr>
        <w:pStyle w:val="BodyText"/>
        <w:spacing w:before="9"/>
        <w:rPr>
          <w:sz w:val="21"/>
        </w:rPr>
      </w:pPr>
    </w:p>
    <w:p>
      <w:pPr>
        <w:spacing w:before="0"/>
        <w:ind w:left="1248" w:right="670" w:firstLine="0"/>
        <w:jc w:val="both"/>
        <w:rPr>
          <w:sz w:val="22"/>
        </w:rPr>
      </w:pPr>
      <w:r>
        <w:rPr>
          <w:sz w:val="22"/>
        </w:rPr>
        <w:t>Cannon BC, Cannon JP. Management of pressure  ulcers. </w:t>
      </w:r>
      <w:r>
        <w:rPr>
          <w:b/>
          <w:i/>
          <w:sz w:val="22"/>
        </w:rPr>
        <w:t>Am  J  Health  Syst  </w:t>
      </w:r>
      <w:r>
        <w:rPr>
          <w:b/>
          <w:i/>
          <w:sz w:val="22"/>
        </w:rPr>
        <w:t>Pharm </w:t>
      </w:r>
      <w:r>
        <w:rPr>
          <w:sz w:val="22"/>
        </w:rPr>
        <w:t>2004; 61:</w:t>
      </w:r>
      <w:r>
        <w:rPr>
          <w:spacing w:val="5"/>
          <w:sz w:val="22"/>
        </w:rPr>
        <w:t> </w:t>
      </w:r>
      <w:r>
        <w:rPr>
          <w:sz w:val="22"/>
        </w:rPr>
        <w:t>1895–1905.</w:t>
      </w:r>
    </w:p>
    <w:p>
      <w:pPr>
        <w:pStyle w:val="BodyText"/>
        <w:spacing w:before="2"/>
      </w:pPr>
    </w:p>
    <w:p>
      <w:pPr>
        <w:pStyle w:val="BodyText"/>
        <w:ind w:left="1248" w:right="670"/>
        <w:jc w:val="both"/>
      </w:pPr>
      <w:r>
        <w:rPr/>
        <w:t>Coleman S, Gorecki C, Nelson EA, Closs SJ, Defloor T, Halfens R, Farrin A. Patient risk factors for pressure ulcer development: systematic review. </w:t>
      </w:r>
      <w:r>
        <w:rPr>
          <w:b/>
          <w:i/>
        </w:rPr>
        <w:t>International Journal </w:t>
      </w:r>
      <w:r>
        <w:rPr>
          <w:b/>
          <w:i/>
        </w:rPr>
        <w:t>of Nursing Studies </w:t>
      </w:r>
      <w:r>
        <w:rPr/>
        <w:t>2013; 50(7):</w:t>
      </w:r>
      <w:r>
        <w:rPr>
          <w:spacing w:val="3"/>
        </w:rPr>
        <w:t> </w:t>
      </w:r>
      <w:r>
        <w:rPr/>
        <w:t>974–1003.</w:t>
      </w:r>
    </w:p>
    <w:p>
      <w:pPr>
        <w:pStyle w:val="BodyText"/>
        <w:spacing w:before="10"/>
        <w:rPr>
          <w:sz w:val="21"/>
        </w:rPr>
      </w:pPr>
    </w:p>
    <w:p>
      <w:pPr>
        <w:pStyle w:val="BodyText"/>
        <w:ind w:left="1248" w:right="669"/>
        <w:jc w:val="both"/>
      </w:pPr>
      <w:r>
        <w:rPr/>
        <w:t>Colen SR. Presure Sores, Rehabilitation medicine, Ed. Good J, </w:t>
      </w:r>
      <w:r>
        <w:rPr>
          <w:b/>
          <w:i/>
        </w:rPr>
        <w:t>The C:V Mosby </w:t>
      </w:r>
      <w:r>
        <w:rPr>
          <w:b/>
          <w:i/>
        </w:rPr>
        <w:t>Company</w:t>
      </w:r>
      <w:r>
        <w:rPr/>
        <w:t>, Toronto, 1988, s.167-183.</w:t>
      </w:r>
    </w:p>
    <w:p>
      <w:pPr>
        <w:pStyle w:val="BodyText"/>
      </w:pPr>
    </w:p>
    <w:p>
      <w:pPr>
        <w:pStyle w:val="BodyText"/>
        <w:ind w:left="1248" w:right="678"/>
        <w:jc w:val="both"/>
      </w:pPr>
      <w:r>
        <w:rPr/>
        <w:t>Collin, C, Wade D,  Davies  S,  Horne  V.  The  Barthel  ADL  Index:  A  reliability  study. </w:t>
      </w:r>
      <w:r>
        <w:rPr>
          <w:b/>
          <w:i/>
        </w:rPr>
        <w:t>Int Disability Study </w:t>
      </w:r>
      <w:r>
        <w:rPr/>
        <w:t>1988; 10:</w:t>
      </w:r>
      <w:r>
        <w:rPr>
          <w:spacing w:val="2"/>
        </w:rPr>
        <w:t> </w:t>
      </w:r>
      <w:r>
        <w:rPr/>
        <w:t>61-63.</w:t>
      </w:r>
    </w:p>
    <w:p>
      <w:pPr>
        <w:pStyle w:val="BodyText"/>
        <w:spacing w:before="2"/>
      </w:pPr>
    </w:p>
    <w:p>
      <w:pPr>
        <w:pStyle w:val="BodyText"/>
        <w:spacing w:line="252" w:lineRule="exact"/>
        <w:ind w:left="1248"/>
        <w:jc w:val="both"/>
      </w:pPr>
      <w:r>
        <w:rPr/>
        <w:t>Dansereau JG, Conway H. Closure of decubit in paraplegics. Report on 2000 cases.</w:t>
      </w:r>
    </w:p>
    <w:p>
      <w:pPr>
        <w:spacing w:line="252" w:lineRule="exact" w:before="0"/>
        <w:ind w:left="1248" w:right="0" w:firstLine="0"/>
        <w:jc w:val="both"/>
        <w:rPr>
          <w:sz w:val="22"/>
        </w:rPr>
      </w:pPr>
      <w:r>
        <w:rPr>
          <w:b/>
          <w:i/>
          <w:sz w:val="22"/>
        </w:rPr>
        <w:t>Plast Reconstr Surg </w:t>
      </w:r>
      <w:r>
        <w:rPr>
          <w:sz w:val="22"/>
        </w:rPr>
        <w:t>1964; 33:474-477.</w:t>
      </w:r>
    </w:p>
    <w:p>
      <w:pPr>
        <w:pStyle w:val="BodyText"/>
      </w:pPr>
    </w:p>
    <w:p>
      <w:pPr>
        <w:spacing w:before="0"/>
        <w:ind w:left="1248" w:right="670" w:firstLine="0"/>
        <w:jc w:val="both"/>
        <w:rPr>
          <w:sz w:val="22"/>
        </w:rPr>
      </w:pPr>
      <w:r>
        <w:rPr>
          <w:sz w:val="22"/>
        </w:rPr>
        <w:t>Dealy C. The prevention of pressure sores in long term ICU patients. </w:t>
      </w:r>
      <w:r>
        <w:rPr>
          <w:b/>
          <w:i/>
          <w:sz w:val="22"/>
        </w:rPr>
        <w:t>British Journal </w:t>
      </w:r>
      <w:r>
        <w:rPr>
          <w:b/>
          <w:i/>
          <w:sz w:val="22"/>
        </w:rPr>
        <w:t>of Intensive Care </w:t>
      </w:r>
      <w:r>
        <w:rPr>
          <w:sz w:val="22"/>
        </w:rPr>
        <w:t>1992; 2:</w:t>
      </w:r>
      <w:r>
        <w:rPr>
          <w:spacing w:val="-5"/>
          <w:sz w:val="22"/>
        </w:rPr>
        <w:t> </w:t>
      </w:r>
      <w:r>
        <w:rPr>
          <w:sz w:val="22"/>
        </w:rPr>
        <w:t>34-39.</w:t>
      </w:r>
    </w:p>
    <w:p>
      <w:pPr>
        <w:pStyle w:val="BodyText"/>
      </w:pPr>
    </w:p>
    <w:p>
      <w:pPr>
        <w:pStyle w:val="BodyText"/>
        <w:ind w:left="1248" w:right="671"/>
        <w:jc w:val="both"/>
      </w:pPr>
      <w:r>
        <w:rPr/>
        <w:t>Demarre L, Verhaeghe S, Van Hecke A, Clays E, Grypdonck M, Beeckman D. Factors predicting the development of pressure ulcers in an at-risk population who receive standardised preventive care: Secondary analyses of a multicentre randomised controlled trial. </w:t>
      </w:r>
      <w:r>
        <w:rPr>
          <w:b/>
          <w:i/>
        </w:rPr>
        <w:t>Journal of Advanced Nursing </w:t>
      </w:r>
      <w:r>
        <w:rPr/>
        <w:t>2015; 71(2):391–403.</w:t>
      </w:r>
    </w:p>
    <w:p>
      <w:pPr>
        <w:spacing w:after="0"/>
        <w:jc w:val="both"/>
        <w:sectPr>
          <w:pgSz w:w="11910" w:h="16840"/>
          <w:pgMar w:header="749" w:footer="0" w:top="960" w:bottom="280" w:left="1020" w:right="460"/>
        </w:sectPr>
      </w:pPr>
    </w:p>
    <w:p>
      <w:pPr>
        <w:pStyle w:val="BodyText"/>
        <w:rPr>
          <w:sz w:val="20"/>
        </w:rPr>
      </w:pPr>
    </w:p>
    <w:p>
      <w:pPr>
        <w:pStyle w:val="BodyText"/>
        <w:rPr>
          <w:sz w:val="20"/>
        </w:rPr>
      </w:pPr>
    </w:p>
    <w:p>
      <w:pPr>
        <w:pStyle w:val="BodyText"/>
        <w:spacing w:before="7"/>
        <w:rPr>
          <w:sz w:val="21"/>
        </w:rPr>
      </w:pPr>
    </w:p>
    <w:p>
      <w:pPr>
        <w:pStyle w:val="BodyText"/>
        <w:ind w:left="1248" w:right="673"/>
        <w:jc w:val="both"/>
      </w:pPr>
      <w:r>
        <w:rPr/>
        <w:t>Dhandapani M, Dhandapani S, Agarwal M, Mahapatra AK. Pressure ulcer in patients with severe traumatic brain injury: significant factors and association with neurological outcome. </w:t>
      </w:r>
      <w:r>
        <w:rPr>
          <w:b/>
          <w:i/>
        </w:rPr>
        <w:t>Journal of clinical nursing </w:t>
      </w:r>
      <w:r>
        <w:rPr/>
        <w:t>2014; </w:t>
      </w:r>
      <w:r>
        <w:rPr>
          <w:i/>
        </w:rPr>
        <w:t>23</w:t>
      </w:r>
      <w:r>
        <w:rPr/>
        <w:t>(7-8): 1114-1119.</w:t>
      </w:r>
    </w:p>
    <w:p>
      <w:pPr>
        <w:pStyle w:val="BodyText"/>
        <w:spacing w:before="9"/>
        <w:rPr>
          <w:sz w:val="21"/>
        </w:rPr>
      </w:pPr>
    </w:p>
    <w:p>
      <w:pPr>
        <w:pStyle w:val="BodyText"/>
        <w:spacing w:before="1"/>
        <w:ind w:left="1248" w:right="671"/>
        <w:jc w:val="both"/>
      </w:pPr>
      <w:r>
        <w:rPr/>
        <w:t>Dodd KT, Gross DR. Three-dimensional tissue deformation in subcutaneous tissues overlying bony prominences may help to explain external load transfer to the interstitium. </w:t>
      </w:r>
      <w:r>
        <w:rPr>
          <w:b/>
          <w:i/>
        </w:rPr>
        <w:t>J Biomech. </w:t>
      </w:r>
      <w:r>
        <w:rPr/>
        <w:t>1991; 24:11-19.</w:t>
      </w:r>
    </w:p>
    <w:p>
      <w:pPr>
        <w:pStyle w:val="BodyText"/>
      </w:pPr>
    </w:p>
    <w:p>
      <w:pPr>
        <w:spacing w:before="1"/>
        <w:ind w:left="1248" w:right="669" w:firstLine="0"/>
        <w:jc w:val="both"/>
        <w:rPr>
          <w:sz w:val="22"/>
        </w:rPr>
      </w:pPr>
      <w:r>
        <w:rPr>
          <w:sz w:val="22"/>
        </w:rPr>
        <w:t>Doley J. Nutrition Management Of Pressure Ulcers. </w:t>
      </w:r>
      <w:r>
        <w:rPr>
          <w:b/>
          <w:i/>
          <w:sz w:val="22"/>
        </w:rPr>
        <w:t>Nutrition in Clinical Practice</w:t>
      </w:r>
      <w:r>
        <w:rPr>
          <w:sz w:val="22"/>
        </w:rPr>
        <w:t>. 2012; 25: 50-60.</w:t>
      </w:r>
    </w:p>
    <w:p>
      <w:pPr>
        <w:pStyle w:val="BodyText"/>
        <w:spacing w:before="10"/>
        <w:rPr>
          <w:sz w:val="21"/>
        </w:rPr>
      </w:pPr>
    </w:p>
    <w:p>
      <w:pPr>
        <w:spacing w:before="1"/>
        <w:ind w:left="1248" w:right="669" w:firstLine="0"/>
        <w:jc w:val="both"/>
        <w:rPr>
          <w:sz w:val="22"/>
        </w:rPr>
      </w:pPr>
      <w:r>
        <w:rPr>
          <w:sz w:val="22"/>
        </w:rPr>
        <w:t>Dorner B, Posthauer ME, Thomas D. (NPUAP) The role of nutrition in pressure ulcer prevention and treatment: </w:t>
      </w:r>
      <w:r>
        <w:rPr>
          <w:b/>
          <w:i/>
          <w:sz w:val="22"/>
        </w:rPr>
        <w:t>National Pressure Ulcer Advisory Panel White Paper. </w:t>
      </w:r>
      <w:r>
        <w:rPr>
          <w:b/>
          <w:i/>
          <w:sz w:val="22"/>
        </w:rPr>
        <w:t>NPUAP</w:t>
      </w:r>
      <w:r>
        <w:rPr>
          <w:sz w:val="22"/>
        </w:rPr>
        <w:t>, 2009.</w:t>
      </w:r>
    </w:p>
    <w:p>
      <w:pPr>
        <w:pStyle w:val="BodyText"/>
        <w:spacing w:before="1"/>
      </w:pPr>
    </w:p>
    <w:p>
      <w:pPr>
        <w:pStyle w:val="BodyText"/>
        <w:ind w:left="1248" w:right="669"/>
        <w:jc w:val="both"/>
      </w:pPr>
      <w:r>
        <w:rPr/>
        <w:t>Ersoy EO, Öcal S, Öz A, Yılmaz P, Arsava B, Topeli A. Yoğun bakım hastalarında bası yarası gelişiminde rol oynayabilecek risk faktörlerinin değerlendirmesi. </w:t>
      </w:r>
      <w:r>
        <w:rPr>
          <w:b/>
          <w:i/>
        </w:rPr>
        <w:t>Yoğun Bakım </w:t>
      </w:r>
      <w:r>
        <w:rPr>
          <w:b/>
          <w:i/>
        </w:rPr>
        <w:t>Dergisi </w:t>
      </w:r>
      <w:r>
        <w:rPr/>
        <w:t>2013; 4: 9-12.</w:t>
      </w:r>
    </w:p>
    <w:p>
      <w:pPr>
        <w:pStyle w:val="BodyText"/>
        <w:spacing w:before="10"/>
        <w:rPr>
          <w:sz w:val="21"/>
        </w:rPr>
      </w:pPr>
    </w:p>
    <w:p>
      <w:pPr>
        <w:spacing w:before="0"/>
        <w:ind w:left="1248" w:right="670" w:firstLine="0"/>
        <w:jc w:val="both"/>
        <w:rPr>
          <w:sz w:val="22"/>
        </w:rPr>
      </w:pPr>
      <w:r>
        <w:rPr>
          <w:color w:val="212121"/>
          <w:sz w:val="22"/>
        </w:rPr>
        <w:t>Esen O, Öncül S, Yılmaz M, Esen HK. Yoğun bakım hastalarında bası yarası olgularının geriye dönük olarak değerlendirilmesi. </w:t>
      </w:r>
      <w:r>
        <w:rPr>
          <w:b/>
          <w:color w:val="212121"/>
          <w:sz w:val="22"/>
        </w:rPr>
        <w:t>Kartal Egitim ve Arastirma Hastanesi Tip Dergisi </w:t>
      </w:r>
      <w:r>
        <w:rPr>
          <w:color w:val="212121"/>
          <w:sz w:val="22"/>
        </w:rPr>
        <w:t>2016;</w:t>
      </w:r>
      <w:r>
        <w:rPr>
          <w:i/>
          <w:color w:val="212121"/>
          <w:sz w:val="22"/>
        </w:rPr>
        <w:t>27</w:t>
      </w:r>
      <w:r>
        <w:rPr>
          <w:color w:val="212121"/>
          <w:sz w:val="22"/>
        </w:rPr>
        <w:t>(2).</w:t>
      </w:r>
    </w:p>
    <w:p>
      <w:pPr>
        <w:pStyle w:val="BodyText"/>
        <w:spacing w:before="3"/>
      </w:pPr>
    </w:p>
    <w:p>
      <w:pPr>
        <w:pStyle w:val="BodyText"/>
        <w:ind w:left="1248" w:right="665"/>
        <w:jc w:val="both"/>
      </w:pPr>
      <w:r>
        <w:rPr/>
        <w:t>Fávaro</w:t>
      </w:r>
      <w:r>
        <w:rPr>
          <w:rFonts w:ascii="Cambria Math" w:hAnsi="Cambria Math"/>
        </w:rPr>
        <w:t>‐</w:t>
      </w:r>
      <w:r>
        <w:rPr/>
        <w:t>Moreira NC, Krausch</w:t>
      </w:r>
      <w:r>
        <w:rPr>
          <w:rFonts w:ascii="Cambria Math" w:hAnsi="Cambria Math"/>
        </w:rPr>
        <w:t>‐</w:t>
      </w:r>
      <w:r>
        <w:rPr/>
        <w:t>Hofmann S, Matthys C, Vereecken C, Vanhauwaert E, Declercq A, Duyck J. Risk factors for malnutrition in older adults: A systematic review  of the literature based on longitudinal data. </w:t>
      </w:r>
      <w:r>
        <w:rPr>
          <w:b/>
          <w:i/>
        </w:rPr>
        <w:t>Advances in Nutrition </w:t>
      </w:r>
      <w:r>
        <w:rPr/>
        <w:t>2016; 7(3): 507– 522.</w:t>
      </w:r>
    </w:p>
    <w:p>
      <w:pPr>
        <w:pStyle w:val="BodyText"/>
        <w:spacing w:before="9"/>
        <w:rPr>
          <w:sz w:val="21"/>
        </w:rPr>
      </w:pPr>
    </w:p>
    <w:p>
      <w:pPr>
        <w:pStyle w:val="BodyText"/>
        <w:spacing w:before="1"/>
        <w:ind w:left="1248" w:right="672"/>
        <w:jc w:val="both"/>
      </w:pPr>
      <w:r>
        <w:rPr/>
        <w:t>Ferrell BA, Josephson K, Norvid P, Alcorn H. Pressure ulcers among patients admitted to home care. </w:t>
      </w:r>
      <w:r>
        <w:rPr>
          <w:b/>
          <w:i/>
        </w:rPr>
        <w:t>J Am Geriatr Soc </w:t>
      </w:r>
      <w:r>
        <w:rPr/>
        <w:t>2000; 48:1042–1047.</w:t>
      </w:r>
    </w:p>
    <w:p>
      <w:pPr>
        <w:pStyle w:val="BodyText"/>
        <w:spacing w:before="10"/>
        <w:rPr>
          <w:sz w:val="21"/>
        </w:rPr>
      </w:pPr>
    </w:p>
    <w:p>
      <w:pPr>
        <w:pStyle w:val="BodyText"/>
        <w:spacing w:before="1"/>
        <w:ind w:left="1248" w:right="670"/>
        <w:jc w:val="both"/>
      </w:pPr>
      <w:r>
        <w:rPr/>
        <w:t>Fu Shaw L, Chang PC, Lee JF, Kung HY, Tung TH. Incidence and predicted risk factors of pressure ulcers in surgical patients: experience at a medical center in Taipei, Taiwan. </w:t>
      </w:r>
      <w:r>
        <w:rPr>
          <w:b/>
          <w:i/>
        </w:rPr>
        <w:t>BioMed Research International</w:t>
      </w:r>
      <w:r>
        <w:rPr>
          <w:b/>
          <w:i/>
          <w:spacing w:val="2"/>
        </w:rPr>
        <w:t> </w:t>
      </w:r>
      <w:r>
        <w:rPr>
          <w:i/>
        </w:rPr>
        <w:t>2014</w:t>
      </w:r>
      <w:r>
        <w:rPr/>
        <w:t>;1-9.</w:t>
      </w:r>
    </w:p>
    <w:p>
      <w:pPr>
        <w:pStyle w:val="BodyText"/>
      </w:pPr>
    </w:p>
    <w:p>
      <w:pPr>
        <w:pStyle w:val="BodyText"/>
        <w:ind w:left="1248"/>
        <w:jc w:val="both"/>
      </w:pPr>
      <w:r>
        <w:rPr/>
        <w:t>Gebhardt KS. Part 1. Causes of pressure ulcers. </w:t>
      </w:r>
      <w:r>
        <w:rPr>
          <w:b/>
          <w:i/>
        </w:rPr>
        <w:t>Nurs Times </w:t>
      </w:r>
      <w:r>
        <w:rPr/>
        <w:t>2002; 98:4.</w:t>
      </w:r>
    </w:p>
    <w:p>
      <w:pPr>
        <w:pStyle w:val="BodyText"/>
        <w:spacing w:before="1"/>
      </w:pPr>
    </w:p>
    <w:p>
      <w:pPr>
        <w:pStyle w:val="BodyText"/>
        <w:ind w:left="1248" w:right="668"/>
        <w:jc w:val="both"/>
      </w:pPr>
      <w:r>
        <w:rPr/>
        <w:t>Gefen A. Reswick and Rogers pressure-time curve for pressure ulcer risk. Part 1</w:t>
      </w:r>
      <w:r>
        <w:rPr>
          <w:b/>
          <w:i/>
        </w:rPr>
        <w:t>. Nurs </w:t>
      </w:r>
      <w:r>
        <w:rPr>
          <w:b/>
          <w:i/>
        </w:rPr>
        <w:t>Stand </w:t>
      </w:r>
      <w:r>
        <w:rPr/>
        <w:t>2009; 23:</w:t>
      </w:r>
      <w:r>
        <w:rPr>
          <w:spacing w:val="1"/>
        </w:rPr>
        <w:t> </w:t>
      </w:r>
      <w:r>
        <w:rPr/>
        <w:t>64-68.</w:t>
      </w:r>
    </w:p>
    <w:p>
      <w:pPr>
        <w:pStyle w:val="BodyText"/>
        <w:spacing w:before="11"/>
        <w:rPr>
          <w:sz w:val="21"/>
        </w:rPr>
      </w:pPr>
    </w:p>
    <w:p>
      <w:pPr>
        <w:pStyle w:val="BodyText"/>
        <w:spacing w:line="242" w:lineRule="auto"/>
        <w:ind w:left="1248" w:right="668"/>
        <w:jc w:val="both"/>
      </w:pPr>
      <w:r>
        <w:rPr/>
        <w:t>Gefen A. Reswick and Rogers pressure-time curve for pressure ulcer risk. Part 2. </w:t>
      </w:r>
      <w:r>
        <w:rPr>
          <w:b/>
          <w:i/>
        </w:rPr>
        <w:t>Nurs </w:t>
      </w:r>
      <w:r>
        <w:rPr>
          <w:b/>
          <w:i/>
        </w:rPr>
        <w:t>Stand </w:t>
      </w:r>
      <w:r>
        <w:rPr/>
        <w:t>2008; 23:</w:t>
      </w:r>
      <w:r>
        <w:rPr>
          <w:spacing w:val="1"/>
        </w:rPr>
        <w:t> </w:t>
      </w:r>
      <w:r>
        <w:rPr/>
        <w:t>40-44.</w:t>
      </w:r>
    </w:p>
    <w:p>
      <w:pPr>
        <w:pStyle w:val="BodyText"/>
        <w:spacing w:before="6"/>
        <w:rPr>
          <w:sz w:val="21"/>
        </w:rPr>
      </w:pPr>
    </w:p>
    <w:p>
      <w:pPr>
        <w:pStyle w:val="BodyText"/>
        <w:ind w:left="1248" w:right="669"/>
        <w:jc w:val="both"/>
      </w:pPr>
      <w:r>
        <w:rPr/>
        <w:t>Girgin KN, İşçimen R, Hotaman L, Kaymak S, Kutlay O. Erişkin yoğun bakım  ünitesinde tedavi edilen hastalarda bası yarası insidansıve risk faktörleri. </w:t>
      </w:r>
      <w:r>
        <w:rPr>
          <w:b/>
          <w:i/>
        </w:rPr>
        <w:t>Anestezi </w:t>
      </w:r>
      <w:r>
        <w:rPr>
          <w:b/>
          <w:i/>
        </w:rPr>
        <w:t>Dergisi </w:t>
      </w:r>
      <w:r>
        <w:rPr/>
        <w:t>2007; 15(4):</w:t>
      </w:r>
      <w:r>
        <w:rPr>
          <w:spacing w:val="-3"/>
        </w:rPr>
        <w:t> </w:t>
      </w:r>
      <w:r>
        <w:rPr/>
        <w:t>253-259.</w:t>
      </w:r>
    </w:p>
    <w:p>
      <w:pPr>
        <w:pStyle w:val="BodyText"/>
        <w:spacing w:before="1"/>
      </w:pPr>
    </w:p>
    <w:p>
      <w:pPr>
        <w:pStyle w:val="BodyText"/>
        <w:ind w:left="1248" w:right="676"/>
        <w:jc w:val="both"/>
      </w:pPr>
      <w:r>
        <w:rPr/>
        <w:t>Girgin NK, Erarı GK. Bası yarası bakımı. Türk Yoğun Bakım Derneği Dergisi 2007;5(Özel sayı):11-13.</w:t>
      </w:r>
    </w:p>
    <w:p>
      <w:pPr>
        <w:pStyle w:val="BodyText"/>
        <w:spacing w:before="11"/>
        <w:rPr>
          <w:sz w:val="21"/>
        </w:rPr>
      </w:pPr>
    </w:p>
    <w:p>
      <w:pPr>
        <w:pStyle w:val="BodyText"/>
        <w:ind w:left="1248" w:right="676"/>
        <w:jc w:val="both"/>
      </w:pPr>
      <w:r>
        <w:rPr/>
        <w:t>Haesler E. Prevention and treatment of pressure ulcers: Quick reference guide. Ed.Haesler E. Perth: </w:t>
      </w:r>
      <w:r>
        <w:rPr>
          <w:b/>
          <w:i/>
        </w:rPr>
        <w:t>Cambridge Media</w:t>
      </w:r>
      <w:r>
        <w:rPr/>
        <w:t>. 2014.</w:t>
      </w:r>
    </w:p>
    <w:p>
      <w:pPr>
        <w:spacing w:after="0"/>
        <w:jc w:val="both"/>
        <w:sectPr>
          <w:pgSz w:w="11910" w:h="16840"/>
          <w:pgMar w:header="749" w:footer="0" w:top="960" w:bottom="280" w:left="1020" w:right="460"/>
        </w:sectPr>
      </w:pPr>
    </w:p>
    <w:p>
      <w:pPr>
        <w:pStyle w:val="BodyText"/>
        <w:rPr>
          <w:sz w:val="20"/>
        </w:rPr>
      </w:pPr>
    </w:p>
    <w:p>
      <w:pPr>
        <w:pStyle w:val="BodyText"/>
        <w:spacing w:before="5"/>
        <w:rPr>
          <w:sz w:val="19"/>
        </w:rPr>
      </w:pPr>
    </w:p>
    <w:p>
      <w:pPr>
        <w:pStyle w:val="BodyText"/>
        <w:ind w:left="1248" w:right="670"/>
        <w:jc w:val="both"/>
      </w:pPr>
      <w:r>
        <w:rPr/>
        <w:t>Ham HW, Schoonhoven LL, Schuurmans MMJ, Leenen LLP. Pressure ulcer development in trauma patients with suspected spinal injury; the influence of risk factors present in the emergency department. </w:t>
      </w:r>
      <w:r>
        <w:rPr>
          <w:b/>
          <w:i/>
        </w:rPr>
        <w:t>International Emergency Nursing </w:t>
      </w:r>
      <w:r>
        <w:rPr/>
        <w:t>2017; 30:</w:t>
      </w:r>
      <w:r>
        <w:rPr>
          <w:spacing w:val="3"/>
        </w:rPr>
        <w:t> </w:t>
      </w:r>
      <w:r>
        <w:rPr/>
        <w:t>13-19.</w:t>
      </w:r>
    </w:p>
    <w:p>
      <w:pPr>
        <w:pStyle w:val="BodyText"/>
      </w:pPr>
    </w:p>
    <w:p>
      <w:pPr>
        <w:spacing w:before="0"/>
        <w:ind w:left="1248" w:right="669" w:firstLine="0"/>
        <w:jc w:val="both"/>
        <w:rPr>
          <w:sz w:val="22"/>
        </w:rPr>
      </w:pPr>
      <w:r>
        <w:rPr>
          <w:sz w:val="22"/>
        </w:rPr>
        <w:t>Hengstermann S, Fischer A, Steinhagen-Thiessen E, Schulz RJ. Nutrition status and pressure ulcer: What we need for nutrition screening</w:t>
      </w:r>
      <w:r>
        <w:rPr>
          <w:i/>
          <w:sz w:val="22"/>
        </w:rPr>
        <w:t>. </w:t>
      </w:r>
      <w:r>
        <w:rPr>
          <w:b/>
          <w:i/>
          <w:sz w:val="22"/>
        </w:rPr>
        <w:t>Journal of Parenteral and </w:t>
      </w:r>
      <w:r>
        <w:rPr>
          <w:b/>
          <w:i/>
          <w:sz w:val="22"/>
        </w:rPr>
        <w:t>Enteral Nutrition </w:t>
      </w:r>
      <w:r>
        <w:rPr>
          <w:sz w:val="22"/>
        </w:rPr>
        <w:t>2007; 31(4), 288–294.</w:t>
      </w:r>
    </w:p>
    <w:p>
      <w:pPr>
        <w:pStyle w:val="BodyText"/>
        <w:spacing w:before="1"/>
      </w:pPr>
    </w:p>
    <w:p>
      <w:pPr>
        <w:pStyle w:val="BodyText"/>
        <w:ind w:left="1248" w:right="668"/>
        <w:jc w:val="both"/>
      </w:pPr>
      <w:r>
        <w:rPr/>
        <w:t>Hodgkinson </w:t>
      </w:r>
      <w:r>
        <w:rPr>
          <w:spacing w:val="-2"/>
        </w:rPr>
        <w:t>HM. </w:t>
      </w:r>
      <w:r>
        <w:rPr/>
        <w:t>Evaluation of a mental test score </w:t>
      </w:r>
      <w:r>
        <w:rPr>
          <w:spacing w:val="2"/>
        </w:rPr>
        <w:t>for </w:t>
      </w:r>
      <w:r>
        <w:rPr/>
        <w:t>assessment of mental impairment in the elderly. </w:t>
      </w:r>
      <w:r>
        <w:rPr>
          <w:b/>
          <w:i/>
        </w:rPr>
        <w:t>Age and Ageing </w:t>
      </w:r>
      <w:r>
        <w:rPr/>
        <w:t>1972; 1:</w:t>
      </w:r>
      <w:r>
        <w:rPr>
          <w:spacing w:val="-5"/>
        </w:rPr>
        <w:t> </w:t>
      </w:r>
      <w:r>
        <w:rPr/>
        <w:t>233-238.</w:t>
      </w:r>
    </w:p>
    <w:p>
      <w:pPr>
        <w:pStyle w:val="BodyText"/>
        <w:spacing w:before="11"/>
        <w:rPr>
          <w:sz w:val="21"/>
        </w:rPr>
      </w:pPr>
    </w:p>
    <w:p>
      <w:pPr>
        <w:pStyle w:val="BodyText"/>
        <w:ind w:left="1248" w:right="669"/>
        <w:jc w:val="both"/>
      </w:pPr>
      <w:r>
        <w:rPr/>
        <w:t>Horn SD, Bender SA, Bergstrom N. Description of the National Pressure Ulcer Long- Term Care Study. </w:t>
      </w:r>
      <w:r>
        <w:rPr>
          <w:b/>
          <w:i/>
        </w:rPr>
        <w:t>J Am Geriatr Soc </w:t>
      </w:r>
      <w:r>
        <w:rPr/>
        <w:t>2002; 50: 1816-1825.</w:t>
      </w:r>
    </w:p>
    <w:p>
      <w:pPr>
        <w:pStyle w:val="BodyText"/>
      </w:pPr>
    </w:p>
    <w:p>
      <w:pPr>
        <w:pStyle w:val="BodyText"/>
        <w:ind w:left="1248" w:right="674"/>
        <w:jc w:val="both"/>
      </w:pPr>
      <w:r>
        <w:rPr/>
        <w:t>Hug E, Ünalan H, Karamehmetoğlu SS, Tüzün S, Gürgöze M, Tüzün F. Bir eğitim hastanesinde bası yarası prevalansı ve bası yarası gelişiminde etkili risk faktörleri. </w:t>
      </w:r>
      <w:r>
        <w:rPr>
          <w:b/>
          <w:i/>
        </w:rPr>
        <w:t>Türkiye Fiz Tıp ve Rehabil Derg </w:t>
      </w:r>
      <w:r>
        <w:rPr/>
        <w:t>2011; 47(6): 3–11.</w:t>
      </w:r>
    </w:p>
    <w:p>
      <w:pPr>
        <w:pStyle w:val="BodyText"/>
        <w:spacing w:before="1"/>
      </w:pPr>
    </w:p>
    <w:p>
      <w:pPr>
        <w:pStyle w:val="BodyText"/>
        <w:ind w:left="1248" w:right="669"/>
        <w:jc w:val="both"/>
      </w:pPr>
      <w:r>
        <w:rPr/>
        <w:t>lam MJ, Ruckley CV, Harper DR, Dale JJ. Chronic ulceration of the leg: Extent of the problem and provision of care. </w:t>
      </w:r>
      <w:r>
        <w:rPr>
          <w:b/>
          <w:i/>
        </w:rPr>
        <w:t>Br Med J (ClinResEd) </w:t>
      </w:r>
      <w:r>
        <w:rPr/>
        <w:t>1985;</w:t>
      </w:r>
      <w:r>
        <w:rPr>
          <w:spacing w:val="53"/>
        </w:rPr>
        <w:t> </w:t>
      </w:r>
      <w:r>
        <w:rPr/>
        <w:t>290:1855-1856.</w:t>
      </w:r>
    </w:p>
    <w:p>
      <w:pPr>
        <w:pStyle w:val="BodyText"/>
        <w:spacing w:before="11"/>
        <w:rPr>
          <w:sz w:val="21"/>
        </w:rPr>
      </w:pPr>
    </w:p>
    <w:p>
      <w:pPr>
        <w:pStyle w:val="BodyText"/>
        <w:ind w:left="1248" w:right="666"/>
        <w:jc w:val="both"/>
      </w:pPr>
      <w:r>
        <w:rPr/>
        <w:t>Idowu OK, Yinusa W, Gbadesegin SA, Adebule GT. Risk Factors For Pressure Ulceration İn A Resource Constrained Spinal İnjury Service. </w:t>
      </w:r>
      <w:r>
        <w:rPr>
          <w:b/>
          <w:i/>
        </w:rPr>
        <w:t>Spinal Cord </w:t>
      </w:r>
      <w:r>
        <w:rPr/>
        <w:t>2011;49:643- 647.</w:t>
      </w:r>
    </w:p>
    <w:p>
      <w:pPr>
        <w:pStyle w:val="BodyText"/>
        <w:spacing w:before="1"/>
      </w:pPr>
    </w:p>
    <w:p>
      <w:pPr>
        <w:spacing w:before="0"/>
        <w:ind w:left="1248" w:right="675" w:firstLine="0"/>
        <w:jc w:val="both"/>
        <w:rPr>
          <w:sz w:val="22"/>
        </w:rPr>
      </w:pPr>
      <w:r>
        <w:rPr>
          <w:sz w:val="22"/>
        </w:rPr>
        <w:t>Inan DG, Oztunç G. Pressure ulcer prevalence in Turkey: a sample from a university hospital. </w:t>
      </w:r>
      <w:r>
        <w:rPr>
          <w:b/>
          <w:i/>
          <w:sz w:val="22"/>
        </w:rPr>
        <w:t>J Wound Ostomy Cont Nurs Off Publ Wound Ostomy Cont Nurses Soc. </w:t>
      </w:r>
      <w:r>
        <w:rPr>
          <w:sz w:val="22"/>
        </w:rPr>
        <w:t>2012; 39(4): 409–413.</w:t>
      </w:r>
    </w:p>
    <w:p>
      <w:pPr>
        <w:pStyle w:val="BodyText"/>
        <w:spacing w:before="1"/>
      </w:pPr>
    </w:p>
    <w:p>
      <w:pPr>
        <w:pStyle w:val="BodyText"/>
        <w:ind w:left="1248" w:right="672"/>
        <w:jc w:val="both"/>
      </w:pPr>
      <w:r>
        <w:rPr/>
        <w:t>Inan DG. Pressurce Ulcer Prevalence in Patients at Cukurova University Balcalı Hospital. Master thesis. </w:t>
      </w:r>
      <w:r>
        <w:rPr>
          <w:b/>
          <w:i/>
        </w:rPr>
        <w:t>Cukurova University</w:t>
      </w:r>
      <w:r>
        <w:rPr/>
        <w:t>. Adana. 2009 s:38–47.</w:t>
      </w:r>
    </w:p>
    <w:p>
      <w:pPr>
        <w:pStyle w:val="BodyText"/>
        <w:spacing w:before="11"/>
        <w:rPr>
          <w:sz w:val="21"/>
        </w:rPr>
      </w:pPr>
    </w:p>
    <w:p>
      <w:pPr>
        <w:pStyle w:val="BodyText"/>
        <w:ind w:left="1248" w:right="677"/>
        <w:jc w:val="both"/>
      </w:pPr>
      <w:r>
        <w:rPr/>
        <w:t>Jaul E, Calderon-Margalit R. Systemic factors and mortality in elderly patients with pressure ulcers. </w:t>
      </w:r>
      <w:r>
        <w:rPr>
          <w:b/>
          <w:i/>
        </w:rPr>
        <w:t>Intenational wound journal </w:t>
      </w:r>
      <w:r>
        <w:rPr/>
        <w:t>2015; 12(3): 254-259.</w:t>
      </w:r>
    </w:p>
    <w:p>
      <w:pPr>
        <w:pStyle w:val="BodyText"/>
        <w:spacing w:before="11"/>
        <w:rPr>
          <w:sz w:val="21"/>
        </w:rPr>
      </w:pPr>
    </w:p>
    <w:p>
      <w:pPr>
        <w:pStyle w:val="BodyText"/>
        <w:ind w:left="1248" w:right="669"/>
        <w:jc w:val="both"/>
      </w:pPr>
      <w:r>
        <w:rPr/>
        <w:t>Jaul E, Menczel J. A comparative, descriptive study of systemic factors and survival in elderly patients with sacral pressure ulcers. </w:t>
      </w:r>
      <w:r>
        <w:rPr>
          <w:b/>
          <w:i/>
        </w:rPr>
        <w:t>Ostomy/wound management </w:t>
      </w:r>
      <w:r>
        <w:rPr/>
        <w:t>2015; </w:t>
      </w:r>
      <w:r>
        <w:rPr>
          <w:i/>
        </w:rPr>
        <w:t>61</w:t>
      </w:r>
      <w:r>
        <w:rPr/>
        <w:t>(3):</w:t>
      </w:r>
      <w:r>
        <w:rPr>
          <w:spacing w:val="1"/>
        </w:rPr>
        <w:t> </w:t>
      </w:r>
      <w:r>
        <w:rPr/>
        <w:t>20-26.</w:t>
      </w:r>
    </w:p>
    <w:p>
      <w:pPr>
        <w:pStyle w:val="BodyText"/>
        <w:spacing w:before="1"/>
      </w:pPr>
    </w:p>
    <w:p>
      <w:pPr>
        <w:spacing w:before="0"/>
        <w:ind w:left="1248" w:right="675" w:firstLine="0"/>
        <w:jc w:val="both"/>
        <w:rPr>
          <w:sz w:val="22"/>
        </w:rPr>
      </w:pPr>
      <w:r>
        <w:rPr>
          <w:sz w:val="22"/>
        </w:rPr>
        <w:t>Jiricka MK, Ryan P, Carvalho MA, Bukvich J. Pressure ulcer risk factors in an ICU population. </w:t>
      </w:r>
      <w:r>
        <w:rPr>
          <w:b/>
          <w:i/>
          <w:sz w:val="22"/>
        </w:rPr>
        <w:t>American Journal of Critical Care </w:t>
      </w:r>
      <w:r>
        <w:rPr>
          <w:sz w:val="22"/>
        </w:rPr>
        <w:t>1995; 4: 361–367.</w:t>
      </w:r>
    </w:p>
    <w:p>
      <w:pPr>
        <w:pStyle w:val="BodyText"/>
      </w:pPr>
    </w:p>
    <w:p>
      <w:pPr>
        <w:spacing w:before="0"/>
        <w:ind w:left="1248" w:right="669" w:firstLine="0"/>
        <w:jc w:val="both"/>
        <w:rPr>
          <w:sz w:val="22"/>
        </w:rPr>
      </w:pPr>
      <w:r>
        <w:rPr>
          <w:sz w:val="22"/>
        </w:rPr>
        <w:t>Karadağ A. Basınç ülserleri: Değerlendirme, önleme ve tedavi, </w:t>
      </w:r>
      <w:r>
        <w:rPr>
          <w:b/>
          <w:i/>
          <w:sz w:val="22"/>
        </w:rPr>
        <w:t>C.Ü.Hemşirelik </w:t>
      </w:r>
      <w:r>
        <w:rPr>
          <w:b/>
          <w:i/>
          <w:sz w:val="22"/>
        </w:rPr>
        <w:t>Yüksek Okulu Dergisi </w:t>
      </w:r>
      <w:r>
        <w:rPr>
          <w:sz w:val="22"/>
        </w:rPr>
        <w:t>2003; 7(2):</w:t>
      </w:r>
      <w:r>
        <w:rPr>
          <w:spacing w:val="2"/>
          <w:sz w:val="22"/>
        </w:rPr>
        <w:t> </w:t>
      </w:r>
      <w:r>
        <w:rPr>
          <w:sz w:val="22"/>
        </w:rPr>
        <w:t>41-48.</w:t>
      </w:r>
    </w:p>
    <w:p>
      <w:pPr>
        <w:pStyle w:val="BodyText"/>
        <w:spacing w:before="11"/>
        <w:rPr>
          <w:sz w:val="21"/>
        </w:rPr>
      </w:pPr>
    </w:p>
    <w:p>
      <w:pPr>
        <w:pStyle w:val="BodyText"/>
        <w:ind w:left="1248" w:right="670"/>
        <w:jc w:val="both"/>
      </w:pPr>
      <w:r>
        <w:rPr/>
        <w:t>Kaşıkçı M, Aksoy M, Ay E. Investigation of the prevalence of pressure ulcers and patient-related risk factors in hospitals in the province of Erzurum: A cross-sectional study. </w:t>
      </w:r>
      <w:r>
        <w:rPr>
          <w:b/>
          <w:i/>
        </w:rPr>
        <w:t>J Tissue Viability </w:t>
      </w:r>
      <w:r>
        <w:rPr/>
        <w:t>2018; 27(3): 135-140.</w:t>
      </w:r>
    </w:p>
    <w:p>
      <w:pPr>
        <w:pStyle w:val="BodyText"/>
        <w:spacing w:before="1"/>
      </w:pPr>
    </w:p>
    <w:p>
      <w:pPr>
        <w:pStyle w:val="BodyText"/>
        <w:ind w:left="1248" w:right="668"/>
        <w:jc w:val="both"/>
      </w:pPr>
      <w:r>
        <w:rPr/>
        <w:t>Kaveeshwar SA, Cornwall J. The current state of diabetes mellitus in India. </w:t>
      </w:r>
      <w:r>
        <w:rPr>
          <w:b/>
          <w:i/>
        </w:rPr>
        <w:t>Australas </w:t>
      </w:r>
      <w:r>
        <w:rPr>
          <w:b/>
          <w:i/>
        </w:rPr>
        <w:t>Med J </w:t>
      </w:r>
      <w:r>
        <w:rPr/>
        <w:t>2014; 7: 45-48.</w:t>
      </w:r>
    </w:p>
    <w:p>
      <w:pPr>
        <w:spacing w:after="0"/>
        <w:jc w:val="both"/>
        <w:sectPr>
          <w:pgSz w:w="11910" w:h="16840"/>
          <w:pgMar w:header="749" w:footer="0" w:top="960" w:bottom="280" w:left="1020" w:right="460"/>
        </w:sectPr>
      </w:pPr>
    </w:p>
    <w:p>
      <w:pPr>
        <w:pStyle w:val="BodyText"/>
        <w:rPr>
          <w:sz w:val="20"/>
        </w:rPr>
      </w:pPr>
    </w:p>
    <w:p>
      <w:pPr>
        <w:pStyle w:val="BodyText"/>
        <w:spacing w:before="5"/>
        <w:rPr>
          <w:sz w:val="19"/>
        </w:rPr>
      </w:pPr>
    </w:p>
    <w:p>
      <w:pPr>
        <w:pStyle w:val="BodyText"/>
        <w:ind w:left="1248" w:right="675"/>
        <w:jc w:val="both"/>
      </w:pPr>
      <w:r>
        <w:rPr/>
        <w:t>Keast DH, Fraser C. Treatment of chronic skin ulcers in individuals with anemia of chronic disease using recombinant human erythropoietin (EPO): A review of four cases. </w:t>
      </w:r>
      <w:r>
        <w:rPr>
          <w:b/>
          <w:i/>
        </w:rPr>
        <w:t>Ostomy Wound Manage</w:t>
      </w:r>
      <w:r>
        <w:rPr>
          <w:b/>
          <w:i/>
          <w:spacing w:val="-6"/>
        </w:rPr>
        <w:t> </w:t>
      </w:r>
      <w:r>
        <w:rPr/>
        <w:t>2004;50:64–70.</w:t>
      </w:r>
    </w:p>
    <w:p>
      <w:pPr>
        <w:pStyle w:val="BodyText"/>
        <w:spacing w:before="1"/>
      </w:pPr>
    </w:p>
    <w:p>
      <w:pPr>
        <w:pStyle w:val="BodyText"/>
        <w:ind w:left="1248" w:right="677"/>
        <w:jc w:val="both"/>
      </w:pPr>
      <w:r>
        <w:rPr/>
        <w:t>Keys K, Daniali L, Warner K, Mathes D. Multivariate predictors of failure after ﬂap coverage of pressure ulcers. </w:t>
      </w:r>
      <w:r>
        <w:rPr>
          <w:b/>
          <w:i/>
        </w:rPr>
        <w:t>Plast Reconstr Surg </w:t>
      </w:r>
      <w:r>
        <w:rPr/>
        <w:t>2010; 125(6): 1725-1734.</w:t>
      </w:r>
    </w:p>
    <w:p>
      <w:pPr>
        <w:pStyle w:val="BodyText"/>
        <w:spacing w:before="11"/>
        <w:rPr>
          <w:sz w:val="21"/>
        </w:rPr>
      </w:pPr>
    </w:p>
    <w:p>
      <w:pPr>
        <w:pStyle w:val="BodyText"/>
        <w:ind w:left="1248" w:right="675"/>
        <w:jc w:val="both"/>
      </w:pPr>
      <w:r>
        <w:rPr/>
        <w:t>Kılıç HF, Sucudağ G. The Scales Frequently used in the assessment of pressure sores. G.O.P. Taksim E.A.H. </w:t>
      </w:r>
      <w:r>
        <w:rPr>
          <w:b/>
          <w:i/>
        </w:rPr>
        <w:t>JAREN </w:t>
      </w:r>
      <w:r>
        <w:rPr/>
        <w:t>2017; 3(1):</w:t>
      </w:r>
      <w:r>
        <w:rPr>
          <w:spacing w:val="-1"/>
        </w:rPr>
        <w:t> </w:t>
      </w:r>
      <w:r>
        <w:rPr/>
        <w:t>49-54.</w:t>
      </w:r>
    </w:p>
    <w:p>
      <w:pPr>
        <w:pStyle w:val="BodyText"/>
        <w:spacing w:before="11"/>
        <w:rPr>
          <w:sz w:val="21"/>
        </w:rPr>
      </w:pPr>
    </w:p>
    <w:p>
      <w:pPr>
        <w:pStyle w:val="BodyText"/>
        <w:ind w:left="1248" w:right="672"/>
        <w:jc w:val="both"/>
      </w:pPr>
      <w:r>
        <w:rPr/>
        <w:t>Kıraner E, Terzi B, Ekinci AU, Tunalı B. Yoğun bakım ünitemizdeki basınç yarası insidansı ve  risk  faktörlerinin  belirlenmesi. </w:t>
      </w:r>
      <w:r>
        <w:rPr>
          <w:b/>
          <w:i/>
        </w:rPr>
        <w:t>Yoğun  Bakım  Hemşireliği  Dergisi </w:t>
      </w:r>
      <w:r>
        <w:rPr/>
        <w:t>2016; 20(2),</w:t>
      </w:r>
      <w:r>
        <w:rPr>
          <w:spacing w:val="3"/>
        </w:rPr>
        <w:t> </w:t>
      </w:r>
      <w:r>
        <w:rPr/>
        <w:t>78-83.</w:t>
      </w:r>
    </w:p>
    <w:p>
      <w:pPr>
        <w:pStyle w:val="BodyText"/>
        <w:spacing w:before="1"/>
      </w:pPr>
    </w:p>
    <w:p>
      <w:pPr>
        <w:pStyle w:val="BodyText"/>
        <w:ind w:left="1248" w:right="672"/>
        <w:jc w:val="both"/>
      </w:pPr>
      <w:r>
        <w:rPr/>
        <w:t>Kierney PC, Engrav LH, Isik FF, Esselman PC, Cardenas DD, Rand RP.  Results of 268 pressure sores in 158 patients managed jointly by plastic surgery and rehabilitation medicine</w:t>
      </w:r>
      <w:r>
        <w:rPr>
          <w:b/>
          <w:i/>
        </w:rPr>
        <w:t>. Plast Reconstr Surg </w:t>
      </w:r>
      <w:r>
        <w:rPr/>
        <w:t>1998; 102:765-</w:t>
      </w:r>
      <w:r>
        <w:rPr>
          <w:spacing w:val="4"/>
        </w:rPr>
        <w:t> </w:t>
      </w:r>
      <w:r>
        <w:rPr/>
        <w:t>772.</w:t>
      </w:r>
    </w:p>
    <w:p>
      <w:pPr>
        <w:pStyle w:val="BodyText"/>
        <w:spacing w:before="1"/>
      </w:pPr>
    </w:p>
    <w:p>
      <w:pPr>
        <w:spacing w:before="0"/>
        <w:ind w:left="1248" w:right="670" w:firstLine="0"/>
        <w:jc w:val="both"/>
        <w:rPr>
          <w:sz w:val="22"/>
        </w:rPr>
      </w:pPr>
      <w:r>
        <w:rPr>
          <w:sz w:val="22"/>
        </w:rPr>
        <w:t>Krause JS, Vines CL, Farley TL, Sniezek J, Coker J. An exploratory study of pressure ulcers after spinal cord injury: Relationship to protective behaviors and risk factors. </w:t>
      </w:r>
      <w:r>
        <w:rPr>
          <w:b/>
          <w:i/>
          <w:sz w:val="22"/>
        </w:rPr>
        <w:t>Archives of Physical Medicine and Rehabilitation </w:t>
      </w:r>
      <w:r>
        <w:rPr>
          <w:sz w:val="22"/>
        </w:rPr>
        <w:t>2001; 82: 107-113.</w:t>
      </w:r>
    </w:p>
    <w:p>
      <w:pPr>
        <w:pStyle w:val="BodyText"/>
        <w:spacing w:before="10"/>
        <w:rPr>
          <w:sz w:val="21"/>
        </w:rPr>
      </w:pPr>
    </w:p>
    <w:p>
      <w:pPr>
        <w:pStyle w:val="BodyText"/>
        <w:ind w:left="1248" w:right="674"/>
        <w:jc w:val="both"/>
      </w:pPr>
      <w:r>
        <w:rPr/>
        <w:t>Kuffler </w:t>
      </w:r>
      <w:r>
        <w:rPr>
          <w:spacing w:val="-2"/>
        </w:rPr>
        <w:t>DP. </w:t>
      </w:r>
      <w:r>
        <w:rPr/>
        <w:t>Techniques for wound healing with a</w:t>
      </w:r>
      <w:r>
        <w:rPr>
          <w:spacing w:val="61"/>
        </w:rPr>
        <w:t> </w:t>
      </w:r>
      <w:r>
        <w:rPr/>
        <w:t>focus  on  pressure  ulcers elimination. </w:t>
      </w:r>
      <w:r>
        <w:rPr>
          <w:b/>
          <w:i/>
        </w:rPr>
        <w:t>Open Circ Vasc J </w:t>
      </w:r>
      <w:r>
        <w:rPr/>
        <w:t>2010; 3:</w:t>
      </w:r>
      <w:r>
        <w:rPr>
          <w:spacing w:val="5"/>
        </w:rPr>
        <w:t> </w:t>
      </w:r>
      <w:r>
        <w:rPr/>
        <w:t>72–84.</w:t>
      </w:r>
    </w:p>
    <w:p>
      <w:pPr>
        <w:pStyle w:val="BodyText"/>
        <w:spacing w:before="2"/>
      </w:pPr>
    </w:p>
    <w:p>
      <w:pPr>
        <w:pStyle w:val="BodyText"/>
        <w:ind w:left="1248" w:right="669"/>
        <w:jc w:val="both"/>
      </w:pPr>
      <w:r>
        <w:rPr/>
        <w:t>Kurt N. Yara Tedavisinin Tarihçesi, Akut ve Kronik Yara Bakımı, Ed. Kurt N, </w:t>
      </w:r>
      <w:r>
        <w:rPr>
          <w:b/>
          <w:i/>
        </w:rPr>
        <w:t>Nobel Tıp </w:t>
      </w:r>
      <w:r>
        <w:rPr>
          <w:b/>
          <w:i/>
        </w:rPr>
        <w:t>Kitabevi</w:t>
      </w:r>
      <w:r>
        <w:rPr/>
        <w:t>, İstanbul, 2003, s.285-308.</w:t>
      </w:r>
    </w:p>
    <w:p>
      <w:pPr>
        <w:pStyle w:val="BodyText"/>
      </w:pPr>
    </w:p>
    <w:p>
      <w:pPr>
        <w:pStyle w:val="BodyText"/>
        <w:ind w:left="1248" w:right="669"/>
        <w:jc w:val="both"/>
      </w:pPr>
      <w:r>
        <w:rPr/>
        <w:t>Kwong EW, Pang SM, Aboo GH, Law SS. Pressure ulcer development in older residents in nursing homes: inﬂuencing factors. </w:t>
      </w:r>
      <w:r>
        <w:rPr>
          <w:b/>
          <w:i/>
        </w:rPr>
        <w:t>Journal of Advanced Nursing </w:t>
      </w:r>
      <w:r>
        <w:rPr/>
        <w:t>2009; 65: 2608–2620.</w:t>
      </w:r>
    </w:p>
    <w:p>
      <w:pPr>
        <w:pStyle w:val="BodyText"/>
        <w:spacing w:before="10"/>
        <w:rPr>
          <w:sz w:val="21"/>
        </w:rPr>
      </w:pPr>
    </w:p>
    <w:p>
      <w:pPr>
        <w:spacing w:before="0"/>
        <w:ind w:left="1248" w:right="669" w:firstLine="0"/>
        <w:jc w:val="both"/>
        <w:rPr>
          <w:sz w:val="22"/>
        </w:rPr>
      </w:pPr>
      <w:r>
        <w:rPr>
          <w:sz w:val="22"/>
        </w:rPr>
        <w:t>Lachenbruch, C., Ribble, D., Emmons, K., &amp; VanGilder, C. (2016). Pressure Ulcer Risk in the Incontinent </w:t>
      </w:r>
      <w:r>
        <w:rPr>
          <w:color w:val="212121"/>
          <w:sz w:val="22"/>
        </w:rPr>
        <w:t>Patient. </w:t>
      </w:r>
      <w:r>
        <w:rPr>
          <w:i/>
          <w:color w:val="212121"/>
          <w:sz w:val="22"/>
        </w:rPr>
        <w:t>Journal of Wound, Ostomy and Continence Nursing</w:t>
      </w:r>
      <w:r>
        <w:rPr>
          <w:color w:val="212121"/>
          <w:sz w:val="22"/>
        </w:rPr>
        <w:t>, </w:t>
      </w:r>
      <w:r>
        <w:rPr>
          <w:i/>
          <w:color w:val="212121"/>
          <w:sz w:val="22"/>
        </w:rPr>
        <w:t>43</w:t>
      </w:r>
      <w:r>
        <w:rPr>
          <w:color w:val="212121"/>
          <w:sz w:val="22"/>
        </w:rPr>
        <w:t>(3), 235-241.</w:t>
      </w:r>
    </w:p>
    <w:p>
      <w:pPr>
        <w:pStyle w:val="BodyText"/>
        <w:spacing w:before="1"/>
      </w:pPr>
    </w:p>
    <w:p>
      <w:pPr>
        <w:pStyle w:val="BodyText"/>
        <w:ind w:left="1248" w:right="668"/>
        <w:jc w:val="both"/>
      </w:pPr>
      <w:r>
        <w:rPr/>
        <w:t>Lane CA, Selleck C, Chen Y, Tang Y. The impact of smoking and smoking cessation on wound healing in spinal cord- injured patients with pressure injuries. </w:t>
      </w:r>
      <w:r>
        <w:rPr>
          <w:b/>
          <w:i/>
        </w:rPr>
        <w:t>J Wound </w:t>
      </w:r>
      <w:r>
        <w:rPr>
          <w:b/>
          <w:i/>
        </w:rPr>
        <w:t>Ostomy Continence Nurs </w:t>
      </w:r>
      <w:r>
        <w:rPr/>
        <w:t>2016; 43(5):</w:t>
      </w:r>
      <w:r>
        <w:rPr>
          <w:spacing w:val="1"/>
        </w:rPr>
        <w:t> </w:t>
      </w:r>
      <w:r>
        <w:rPr/>
        <w:t>483-487.</w:t>
      </w:r>
    </w:p>
    <w:p>
      <w:pPr>
        <w:pStyle w:val="BodyText"/>
        <w:spacing w:before="1"/>
      </w:pPr>
    </w:p>
    <w:p>
      <w:pPr>
        <w:pStyle w:val="BodyText"/>
        <w:ind w:left="1248" w:right="674"/>
        <w:jc w:val="both"/>
      </w:pPr>
      <w:r>
        <w:rPr/>
        <w:t>Langemo D, Anderson J, Hanson D, Hunter S, Thompson P, Posthauer ME. Nutritional considerations in wound care. </w:t>
      </w:r>
      <w:r>
        <w:rPr>
          <w:b/>
          <w:i/>
        </w:rPr>
        <w:t>Adv Skin Wound Care </w:t>
      </w:r>
      <w:r>
        <w:rPr/>
        <w:t>2006; 19: 297-303.</w:t>
      </w:r>
    </w:p>
    <w:p>
      <w:pPr>
        <w:pStyle w:val="BodyText"/>
      </w:pPr>
    </w:p>
    <w:p>
      <w:pPr>
        <w:pStyle w:val="BodyText"/>
        <w:ind w:left="1248" w:right="669"/>
        <w:jc w:val="both"/>
      </w:pPr>
      <w:r>
        <w:rPr/>
        <w:t>Lavallée JF, Gray TA, Dumville J, Cullum N. Barriers and facilitators to preventing pressure ulcers in nursing home residents: A qualitative analysis informed by the Theoretical Domains Framework</w:t>
      </w:r>
      <w:r>
        <w:rPr>
          <w:b/>
          <w:i/>
        </w:rPr>
        <w:t>. International Journal of Nursing Studies</w:t>
      </w:r>
      <w:r>
        <w:rPr/>
        <w:t>, 2018; 82:79-89.</w:t>
      </w:r>
    </w:p>
    <w:p>
      <w:pPr>
        <w:pStyle w:val="BodyText"/>
      </w:pPr>
    </w:p>
    <w:p>
      <w:pPr>
        <w:pStyle w:val="BodyText"/>
        <w:ind w:left="1248" w:right="671"/>
        <w:jc w:val="both"/>
      </w:pPr>
      <w:r>
        <w:rPr/>
        <w:t>Leblebici B, Turhan N, Adam M, Akman MN. Clinical and epidemiologic evaluation of pressure ulcers in patients at a university hospital in Turkey. </w:t>
      </w:r>
      <w:r>
        <w:rPr>
          <w:b/>
          <w:i/>
        </w:rPr>
        <w:t>J Wound Ostomy </w:t>
      </w:r>
      <w:r>
        <w:rPr>
          <w:b/>
          <w:i/>
        </w:rPr>
        <w:t>Continence Nurs </w:t>
      </w:r>
      <w:r>
        <w:rPr/>
        <w:t>2007; 34: 407-111.</w:t>
      </w:r>
    </w:p>
    <w:p>
      <w:pPr>
        <w:pStyle w:val="BodyText"/>
        <w:spacing w:before="1"/>
      </w:pPr>
    </w:p>
    <w:p>
      <w:pPr>
        <w:pStyle w:val="BodyText"/>
        <w:ind w:left="1248" w:right="672"/>
        <w:jc w:val="both"/>
      </w:pPr>
      <w:r>
        <w:rPr/>
        <w:t>Lloyd EE, Baker F. An examination of variables in spinal cord injury patients with pressure sores. </w:t>
      </w:r>
      <w:r>
        <w:rPr>
          <w:b/>
          <w:i/>
        </w:rPr>
        <w:t>SCI Nursing </w:t>
      </w:r>
      <w:r>
        <w:rPr/>
        <w:t>1986; 3: 19–22.</w:t>
      </w:r>
    </w:p>
    <w:p>
      <w:pPr>
        <w:spacing w:after="0"/>
        <w:jc w:val="both"/>
        <w:sectPr>
          <w:pgSz w:w="11910" w:h="16840"/>
          <w:pgMar w:header="749" w:footer="0" w:top="960" w:bottom="280" w:left="1020" w:right="460"/>
        </w:sectPr>
      </w:pPr>
    </w:p>
    <w:p>
      <w:pPr>
        <w:pStyle w:val="BodyText"/>
        <w:rPr>
          <w:sz w:val="20"/>
        </w:rPr>
      </w:pPr>
    </w:p>
    <w:p>
      <w:pPr>
        <w:pStyle w:val="BodyText"/>
        <w:spacing w:before="5"/>
        <w:rPr>
          <w:sz w:val="19"/>
        </w:rPr>
      </w:pPr>
    </w:p>
    <w:p>
      <w:pPr>
        <w:spacing w:before="0"/>
        <w:ind w:left="1248" w:right="669" w:firstLine="0"/>
        <w:jc w:val="both"/>
        <w:rPr>
          <w:sz w:val="22"/>
        </w:rPr>
      </w:pPr>
      <w:r>
        <w:rPr>
          <w:sz w:val="22"/>
        </w:rPr>
        <w:t>Lyder CH. Pressure ulcer prevention and management. </w:t>
      </w:r>
      <w:r>
        <w:rPr>
          <w:b/>
          <w:i/>
          <w:sz w:val="22"/>
        </w:rPr>
        <w:t>Annual Review Nursing </w:t>
      </w:r>
      <w:r>
        <w:rPr>
          <w:b/>
          <w:i/>
          <w:sz w:val="22"/>
        </w:rPr>
        <w:t>Research </w:t>
      </w:r>
      <w:r>
        <w:rPr>
          <w:sz w:val="22"/>
        </w:rPr>
        <w:t>2002; 20: 35–61.</w:t>
      </w:r>
    </w:p>
    <w:p>
      <w:pPr>
        <w:pStyle w:val="BodyText"/>
        <w:spacing w:before="2"/>
      </w:pPr>
    </w:p>
    <w:p>
      <w:pPr>
        <w:pStyle w:val="BodyText"/>
        <w:ind w:left="1248"/>
        <w:jc w:val="both"/>
      </w:pPr>
      <w:r>
        <w:rPr/>
        <w:t>Lyder CH. Pressure ulcer prevention and management. </w:t>
      </w:r>
      <w:r>
        <w:rPr>
          <w:b/>
          <w:i/>
        </w:rPr>
        <w:t>JAMA </w:t>
      </w:r>
      <w:r>
        <w:rPr/>
        <w:t>2003; 289: 223-226.</w:t>
      </w:r>
    </w:p>
    <w:p>
      <w:pPr>
        <w:pStyle w:val="BodyText"/>
        <w:spacing w:before="9"/>
        <w:rPr>
          <w:sz w:val="21"/>
        </w:rPr>
      </w:pPr>
    </w:p>
    <w:p>
      <w:pPr>
        <w:pStyle w:val="BodyText"/>
        <w:spacing w:before="1"/>
        <w:ind w:left="1248" w:right="676"/>
        <w:jc w:val="both"/>
      </w:pPr>
      <w:r>
        <w:rPr/>
        <w:t>Maklebust J, Sieggreen M. Pressure Ulcers Guidelines for Prevention and Management, </w:t>
      </w:r>
      <w:r>
        <w:rPr>
          <w:b/>
          <w:i/>
        </w:rPr>
        <w:t>Springhouse</w:t>
      </w:r>
      <w:r>
        <w:rPr/>
        <w:t>, 3. Edition, Michigan, 2001.</w:t>
      </w:r>
    </w:p>
    <w:p>
      <w:pPr>
        <w:pStyle w:val="BodyText"/>
        <w:spacing w:before="1"/>
      </w:pPr>
    </w:p>
    <w:p>
      <w:pPr>
        <w:spacing w:before="1"/>
        <w:ind w:left="1248" w:right="675" w:firstLine="0"/>
        <w:jc w:val="both"/>
        <w:rPr>
          <w:sz w:val="22"/>
        </w:rPr>
      </w:pPr>
      <w:r>
        <w:rPr>
          <w:sz w:val="22"/>
        </w:rPr>
        <w:t>McDaniel J, Browning K. Smoking, chronic wound healing and implications for evidence based practice. </w:t>
      </w:r>
      <w:r>
        <w:rPr>
          <w:b/>
          <w:i/>
          <w:sz w:val="22"/>
        </w:rPr>
        <w:t>J Wound Ostomy Continence Nurs </w:t>
      </w:r>
      <w:r>
        <w:rPr>
          <w:sz w:val="22"/>
        </w:rPr>
        <w:t>2014; 41(5):</w:t>
      </w:r>
      <w:r>
        <w:rPr>
          <w:spacing w:val="-15"/>
          <w:sz w:val="22"/>
        </w:rPr>
        <w:t> </w:t>
      </w:r>
      <w:r>
        <w:rPr>
          <w:sz w:val="22"/>
        </w:rPr>
        <w:t>415-423.</w:t>
      </w:r>
    </w:p>
    <w:p>
      <w:pPr>
        <w:pStyle w:val="BodyText"/>
        <w:spacing w:before="10"/>
        <w:rPr>
          <w:sz w:val="21"/>
        </w:rPr>
      </w:pPr>
    </w:p>
    <w:p>
      <w:pPr>
        <w:spacing w:before="1"/>
        <w:ind w:left="1248" w:right="670" w:firstLine="0"/>
        <w:jc w:val="both"/>
        <w:rPr>
          <w:sz w:val="22"/>
        </w:rPr>
      </w:pPr>
      <w:r>
        <w:rPr>
          <w:sz w:val="22"/>
        </w:rPr>
        <w:t>Nassaji M, Askari Z, Ghorbani R. Cigarette smoking and risk of pressure ulcer in adult intensive care unit patients. </w:t>
      </w:r>
      <w:r>
        <w:rPr>
          <w:b/>
          <w:i/>
          <w:sz w:val="22"/>
        </w:rPr>
        <w:t>International Journal of Nursing Practice </w:t>
      </w:r>
      <w:r>
        <w:rPr>
          <w:sz w:val="22"/>
        </w:rPr>
        <w:t>2014; 20 (4): 418– 422.</w:t>
      </w:r>
    </w:p>
    <w:p>
      <w:pPr>
        <w:pStyle w:val="BodyText"/>
        <w:spacing w:before="10"/>
        <w:rPr>
          <w:sz w:val="21"/>
        </w:rPr>
      </w:pPr>
    </w:p>
    <w:p>
      <w:pPr>
        <w:pStyle w:val="BodyText"/>
        <w:ind w:left="1248" w:right="673"/>
        <w:jc w:val="both"/>
      </w:pPr>
      <w:r>
        <w:rPr/>
        <w:t>Niazi ZB, Slalzberg CA, Byrne DW, Viehbeck M. Recurrence of initial pressure ulcer in persons with spinal cord injuries. </w:t>
      </w:r>
      <w:r>
        <w:rPr>
          <w:b/>
          <w:i/>
        </w:rPr>
        <w:t>Advances in Wound Care </w:t>
      </w:r>
      <w:r>
        <w:rPr/>
        <w:t>1997; 10: 38–42.</w:t>
      </w:r>
    </w:p>
    <w:p>
      <w:pPr>
        <w:pStyle w:val="BodyText"/>
        <w:spacing w:before="2"/>
      </w:pPr>
    </w:p>
    <w:p>
      <w:pPr>
        <w:pStyle w:val="BodyText"/>
        <w:ind w:left="1248" w:right="712"/>
      </w:pPr>
      <w:r>
        <w:rPr/>
        <w:t>Nixon J, Cranny G, Iglesias C, Nelson EA, Hawkins K, Phillips A, Torgerson D, Mason S, Cullum N. Randomised, controlled trial of alternating pressure mattresses compared with alternating pressure overlays for the prevention of pressure ulcers: PRESSURE (pressure relieving support surfaces) trial. </w:t>
      </w:r>
      <w:r>
        <w:rPr>
          <w:b/>
          <w:i/>
        </w:rPr>
        <w:t>BMJ </w:t>
      </w:r>
      <w:r>
        <w:rPr/>
        <w:t>2006; 332: 1413.</w:t>
      </w:r>
    </w:p>
    <w:p>
      <w:pPr>
        <w:pStyle w:val="BodyText"/>
      </w:pPr>
    </w:p>
    <w:p>
      <w:pPr>
        <w:spacing w:before="0"/>
        <w:ind w:left="1248" w:right="668" w:firstLine="0"/>
        <w:jc w:val="both"/>
        <w:rPr>
          <w:sz w:val="22"/>
        </w:rPr>
      </w:pPr>
      <w:r>
        <w:rPr>
          <w:sz w:val="22"/>
        </w:rPr>
        <w:t>Noble M, Voegeli D, Clough CF. A comparison of cutaneous vascular responses to transient pressure loading in smokers and nonsmokers. </w:t>
      </w:r>
      <w:r>
        <w:rPr>
          <w:b/>
          <w:i/>
          <w:sz w:val="22"/>
        </w:rPr>
        <w:t>Journal of Rehabilitation </w:t>
      </w:r>
      <w:r>
        <w:rPr>
          <w:b/>
          <w:i/>
          <w:sz w:val="22"/>
        </w:rPr>
        <w:t>Research and Development </w:t>
      </w:r>
      <w:r>
        <w:rPr>
          <w:sz w:val="22"/>
        </w:rPr>
        <w:t>2003; 40: 283-288.</w:t>
      </w:r>
    </w:p>
    <w:p>
      <w:pPr>
        <w:pStyle w:val="BodyText"/>
        <w:spacing w:before="10"/>
        <w:rPr>
          <w:sz w:val="21"/>
        </w:rPr>
      </w:pPr>
    </w:p>
    <w:p>
      <w:pPr>
        <w:pStyle w:val="BodyText"/>
        <w:ind w:left="1248"/>
      </w:pPr>
      <w:r>
        <w:rPr/>
        <w:t>Norton D,McLaren R,Exton-Smith AN.An Investigation of GeriatricNursingProblems in Hospital.</w:t>
      </w:r>
      <w:r>
        <w:rPr>
          <w:b/>
          <w:i/>
        </w:rPr>
        <w:t>Churchill Livingstone</w:t>
      </w:r>
      <w:r>
        <w:rPr/>
        <w:t>, Edinburgh,1962.</w:t>
      </w:r>
    </w:p>
    <w:p>
      <w:pPr>
        <w:pStyle w:val="BodyText"/>
        <w:spacing w:before="2"/>
      </w:pPr>
    </w:p>
    <w:p>
      <w:pPr>
        <w:spacing w:line="252" w:lineRule="exact" w:before="0"/>
        <w:ind w:left="1248" w:right="0" w:firstLine="0"/>
        <w:jc w:val="left"/>
        <w:rPr>
          <w:b/>
          <w:i/>
          <w:sz w:val="22"/>
        </w:rPr>
      </w:pPr>
      <w:r>
        <w:rPr>
          <w:sz w:val="22"/>
        </w:rPr>
        <w:t>Özel B. Bası Yarası Olan Hastaların Yönetimi, </w:t>
      </w:r>
      <w:r>
        <w:rPr>
          <w:b/>
          <w:i/>
          <w:sz w:val="22"/>
        </w:rPr>
        <w:t>Arşiv Kaynak Tarama Dergisi</w:t>
      </w:r>
    </w:p>
    <w:p>
      <w:pPr>
        <w:pStyle w:val="BodyText"/>
        <w:spacing w:line="252" w:lineRule="exact"/>
        <w:ind w:left="1248"/>
      </w:pPr>
      <w:r>
        <w:rPr/>
        <w:t>2014;(3):492-505.</w:t>
      </w:r>
    </w:p>
    <w:p>
      <w:pPr>
        <w:pStyle w:val="BodyText"/>
      </w:pPr>
    </w:p>
    <w:p>
      <w:pPr>
        <w:pStyle w:val="BodyText"/>
        <w:spacing w:before="1"/>
        <w:ind w:left="1248" w:right="496"/>
      </w:pPr>
      <w:r>
        <w:rPr/>
        <w:t>Öztaş M.O. Bası Yaralarında Epidemiyoloji ve Risk Faktörleri, Bası Yaraları, Ed. Arman D, Baksan S, </w:t>
      </w:r>
      <w:r>
        <w:rPr>
          <w:b/>
          <w:i/>
        </w:rPr>
        <w:t>Bilimsel Tıp Yayınevi</w:t>
      </w:r>
      <w:r>
        <w:rPr/>
        <w:t>, Ankara, 2007, s.9-13.</w:t>
      </w:r>
    </w:p>
    <w:p>
      <w:pPr>
        <w:pStyle w:val="BodyText"/>
        <w:spacing w:before="10"/>
        <w:rPr>
          <w:sz w:val="21"/>
        </w:rPr>
      </w:pPr>
    </w:p>
    <w:p>
      <w:pPr>
        <w:pStyle w:val="BodyText"/>
        <w:spacing w:before="1"/>
        <w:ind w:left="1248" w:right="669"/>
        <w:jc w:val="both"/>
      </w:pPr>
      <w:r>
        <w:rPr/>
        <w:t>Padula WV, Mishra MK, Makic MBF, Sullivan PW. Improving the Quality of Pressure Ulcer Care With Prevention: A Cost-Effectiveness Analysis. </w:t>
      </w:r>
      <w:r>
        <w:rPr>
          <w:b/>
          <w:i/>
        </w:rPr>
        <w:t>Med Care. </w:t>
      </w:r>
      <w:r>
        <w:rPr/>
        <w:t>2011; 49: 385- 92.</w:t>
      </w:r>
    </w:p>
    <w:p>
      <w:pPr>
        <w:pStyle w:val="BodyText"/>
        <w:spacing w:before="4"/>
      </w:pPr>
    </w:p>
    <w:p>
      <w:pPr>
        <w:pStyle w:val="BodyText"/>
        <w:spacing w:line="237" w:lineRule="auto" w:before="1"/>
        <w:ind w:left="1248" w:right="670"/>
        <w:jc w:val="both"/>
      </w:pPr>
      <w:r>
        <w:rPr>
          <w:color w:val="212121"/>
        </w:rPr>
        <w:t>Pancorbo</w:t>
      </w:r>
      <w:r>
        <w:rPr>
          <w:rFonts w:ascii="Cambria Math" w:hAnsi="Cambria Math"/>
          <w:color w:val="212121"/>
        </w:rPr>
        <w:t>‐</w:t>
      </w:r>
      <w:r>
        <w:rPr>
          <w:color w:val="212121"/>
        </w:rPr>
        <w:t>Hidalgo PL, Garcia</w:t>
      </w:r>
      <w:r>
        <w:rPr>
          <w:rFonts w:ascii="Cambria Math" w:hAnsi="Cambria Math"/>
          <w:color w:val="212121"/>
        </w:rPr>
        <w:t>‐</w:t>
      </w:r>
      <w:r>
        <w:rPr>
          <w:color w:val="212121"/>
        </w:rPr>
        <w:t>Fernandez FP, Lopez</w:t>
      </w:r>
      <w:r>
        <w:rPr>
          <w:rFonts w:ascii="Cambria Math" w:hAnsi="Cambria Math"/>
          <w:color w:val="212121"/>
        </w:rPr>
        <w:t>‐</w:t>
      </w:r>
      <w:r>
        <w:rPr>
          <w:color w:val="212121"/>
        </w:rPr>
        <w:t>Medina IM, Alvarez</w:t>
      </w:r>
      <w:r>
        <w:rPr>
          <w:rFonts w:ascii="Cambria Math" w:hAnsi="Cambria Math"/>
          <w:color w:val="212121"/>
        </w:rPr>
        <w:t>‐</w:t>
      </w:r>
      <w:r>
        <w:rPr>
          <w:color w:val="212121"/>
        </w:rPr>
        <w:t>Nieto C. Risk </w:t>
      </w:r>
      <w:r>
        <w:rPr/>
        <w:t>assessment scales for pressure ulcer prevention: a systematic review. </w:t>
      </w:r>
      <w:r>
        <w:rPr>
          <w:b/>
          <w:i/>
        </w:rPr>
        <w:t>Journal of </w:t>
      </w:r>
      <w:r>
        <w:rPr>
          <w:b/>
          <w:i/>
        </w:rPr>
        <w:t>Advanced Nursing </w:t>
      </w:r>
      <w:r>
        <w:rPr/>
        <w:t>2006; 54(1), 94-110.</w:t>
      </w:r>
    </w:p>
    <w:p>
      <w:pPr>
        <w:pStyle w:val="BodyText"/>
        <w:spacing w:before="2"/>
      </w:pPr>
    </w:p>
    <w:p>
      <w:pPr>
        <w:pStyle w:val="BodyText"/>
        <w:ind w:left="1248" w:right="712"/>
      </w:pPr>
      <w:r>
        <w:rPr/>
        <w:t>Panfil EM. Valid and reliable methods for describing pressure sores and leg ulcer a systematic literature review. </w:t>
      </w:r>
      <w:r>
        <w:rPr>
          <w:b/>
          <w:i/>
        </w:rPr>
        <w:t>Pfleg </w:t>
      </w:r>
      <w:r>
        <w:rPr/>
        <w:t>2006; 20: 225–247</w:t>
      </w:r>
    </w:p>
    <w:p>
      <w:pPr>
        <w:pStyle w:val="BodyText"/>
        <w:spacing w:before="2"/>
      </w:pPr>
    </w:p>
    <w:p>
      <w:pPr>
        <w:pStyle w:val="BodyText"/>
        <w:ind w:left="1248" w:right="712"/>
      </w:pPr>
      <w:r>
        <w:rPr/>
        <w:t>Patel GK, Grey JE, Harding KG. Uncommon causes of ulceration. ABC of wound healing. </w:t>
      </w:r>
      <w:r>
        <w:rPr>
          <w:b/>
          <w:i/>
        </w:rPr>
        <w:t>BMJ </w:t>
      </w:r>
      <w:r>
        <w:rPr/>
        <w:t>2006; 332(11): 594–596</w:t>
      </w:r>
    </w:p>
    <w:p>
      <w:pPr>
        <w:pStyle w:val="BodyText"/>
        <w:spacing w:before="11"/>
        <w:rPr>
          <w:sz w:val="21"/>
        </w:rPr>
      </w:pPr>
    </w:p>
    <w:p>
      <w:pPr>
        <w:spacing w:before="0"/>
        <w:ind w:left="1248" w:right="670" w:firstLine="0"/>
        <w:jc w:val="both"/>
        <w:rPr>
          <w:sz w:val="22"/>
        </w:rPr>
      </w:pPr>
      <w:r>
        <w:rPr>
          <w:sz w:val="22"/>
        </w:rPr>
        <w:t>Pınar R, Oğuz S. Norton ve Braden bası yarası değerlendirme ölçeklerinin yatağa bağımlı aynı hastagrubunda güvenirlik ve geçerliğinin sınanması</w:t>
      </w:r>
      <w:r>
        <w:rPr>
          <w:b/>
          <w:i/>
          <w:sz w:val="22"/>
        </w:rPr>
        <w:t>: Uluslararası </w:t>
      </w:r>
      <w:r>
        <w:rPr>
          <w:b/>
          <w:i/>
          <w:sz w:val="22"/>
        </w:rPr>
        <w:t>Katılımlı VI. Ulusal Hemşirelik Kongresi, </w:t>
      </w:r>
      <w:r>
        <w:rPr>
          <w:sz w:val="22"/>
        </w:rPr>
        <w:t>Kongre Kitabı, Ankara, 1998;</w:t>
      </w:r>
      <w:r>
        <w:rPr>
          <w:spacing w:val="-23"/>
          <w:sz w:val="22"/>
        </w:rPr>
        <w:t> </w:t>
      </w:r>
      <w:r>
        <w:rPr>
          <w:sz w:val="22"/>
        </w:rPr>
        <w:t>s:172-175.</w:t>
      </w:r>
    </w:p>
    <w:p>
      <w:pPr>
        <w:spacing w:after="0"/>
        <w:jc w:val="both"/>
        <w:rPr>
          <w:sz w:val="22"/>
        </w:rPr>
        <w:sectPr>
          <w:pgSz w:w="11910" w:h="16840"/>
          <w:pgMar w:header="749" w:footer="0" w:top="960" w:bottom="280" w:left="1020" w:right="460"/>
        </w:sectPr>
      </w:pPr>
    </w:p>
    <w:p>
      <w:pPr>
        <w:pStyle w:val="BodyText"/>
        <w:rPr>
          <w:sz w:val="20"/>
        </w:rPr>
      </w:pPr>
    </w:p>
    <w:p>
      <w:pPr>
        <w:pStyle w:val="BodyText"/>
        <w:spacing w:before="5"/>
        <w:rPr>
          <w:sz w:val="19"/>
        </w:rPr>
      </w:pPr>
    </w:p>
    <w:p>
      <w:pPr>
        <w:pStyle w:val="BodyText"/>
        <w:ind w:left="1248" w:right="674"/>
        <w:jc w:val="both"/>
      </w:pPr>
      <w:r>
        <w:rPr/>
        <w:t>Premalatha G, Shanthirani S, Deepa R, Markovitz J, Mohan V. Prevalence and risk factors of peripheral vascular disease in a selected South Indian population: The Chennai urban population study. </w:t>
      </w:r>
      <w:r>
        <w:rPr>
          <w:b/>
          <w:i/>
        </w:rPr>
        <w:t>DiabetesCare </w:t>
      </w:r>
      <w:r>
        <w:rPr/>
        <w:t>2000; 23: 1295–1300.</w:t>
      </w:r>
    </w:p>
    <w:p>
      <w:pPr>
        <w:pStyle w:val="BodyText"/>
        <w:spacing w:before="1"/>
      </w:pPr>
    </w:p>
    <w:p>
      <w:pPr>
        <w:pStyle w:val="BodyText"/>
        <w:ind w:left="1248" w:right="674"/>
        <w:jc w:val="both"/>
      </w:pPr>
      <w:r>
        <w:rPr/>
        <w:t>Qaseem A, </w:t>
      </w:r>
      <w:r>
        <w:rPr>
          <w:spacing w:val="-2"/>
        </w:rPr>
        <w:t>Mir </w:t>
      </w:r>
      <w:r>
        <w:rPr/>
        <w:t>TP, Starkey M, Denberg TD. Risk Assessment and Prevention of PressureUlcers: A Clinical Practice Guideline From the American College of Physicians. </w:t>
      </w:r>
      <w:r>
        <w:rPr>
          <w:b/>
          <w:i/>
        </w:rPr>
        <w:t>Ann Intern Med. </w:t>
      </w:r>
      <w:r>
        <w:rPr/>
        <w:t>2015;162:359-369.</w:t>
      </w:r>
    </w:p>
    <w:p>
      <w:pPr>
        <w:pStyle w:val="BodyText"/>
        <w:spacing w:before="1"/>
      </w:pPr>
    </w:p>
    <w:p>
      <w:pPr>
        <w:pStyle w:val="BodyText"/>
        <w:ind w:left="1248" w:right="670"/>
        <w:jc w:val="both"/>
      </w:pPr>
      <w:r>
        <w:rPr/>
        <w:t>Rabadi MH,Vincent AS. Do vascular risk factors contribute to the prevalence of pressure ulcer in veterans with spinal cord injury?. </w:t>
      </w:r>
      <w:r>
        <w:rPr>
          <w:b/>
          <w:i/>
        </w:rPr>
        <w:t>The Journal of Spinal Cord </w:t>
      </w:r>
      <w:r>
        <w:rPr>
          <w:b/>
          <w:i/>
        </w:rPr>
        <w:t>Medicine </w:t>
      </w:r>
      <w:r>
        <w:rPr/>
        <w:t>2011; 34: 46–51.</w:t>
      </w:r>
    </w:p>
    <w:p>
      <w:pPr>
        <w:pStyle w:val="BodyText"/>
        <w:spacing w:before="10"/>
        <w:rPr>
          <w:sz w:val="21"/>
        </w:rPr>
      </w:pPr>
    </w:p>
    <w:p>
      <w:pPr>
        <w:pStyle w:val="BodyText"/>
        <w:ind w:left="1248"/>
        <w:jc w:val="both"/>
        <w:rPr>
          <w:b/>
          <w:i/>
        </w:rPr>
      </w:pPr>
      <w:r>
        <w:rPr/>
        <w:t>Reddy M, Gill SS, Rochon PA. Preventing pressure ulcer: A systematic review. </w:t>
      </w:r>
      <w:r>
        <w:rPr>
          <w:b/>
          <w:i/>
        </w:rPr>
        <w:t>JAMA</w:t>
      </w:r>
    </w:p>
    <w:p>
      <w:pPr>
        <w:pStyle w:val="BodyText"/>
        <w:spacing w:before="1"/>
        <w:ind w:left="1248"/>
        <w:jc w:val="both"/>
      </w:pPr>
      <w:r>
        <w:rPr/>
        <w:t>2006; 296: 974.</w:t>
      </w:r>
    </w:p>
    <w:p>
      <w:pPr>
        <w:pStyle w:val="BodyText"/>
        <w:spacing w:before="10"/>
        <w:rPr>
          <w:sz w:val="21"/>
        </w:rPr>
      </w:pPr>
    </w:p>
    <w:p>
      <w:pPr>
        <w:pStyle w:val="BodyText"/>
        <w:spacing w:before="1"/>
        <w:ind w:left="1248" w:right="671"/>
        <w:jc w:val="both"/>
      </w:pPr>
      <w:r>
        <w:rPr/>
        <w:t>Reed RL, Hepburn K, Adelson R, Center B, </w:t>
      </w:r>
      <w:r>
        <w:rPr>
          <w:color w:val="212121"/>
        </w:rPr>
        <w:t>McKnight P. </w:t>
      </w:r>
      <w:r>
        <w:rPr/>
        <w:t>Low serum albumin levels, confusion, and fecal incontinence: Are these risk factors for pressure ulcers in mobility- impaired hospitalized adults? </w:t>
      </w:r>
      <w:r>
        <w:rPr>
          <w:b/>
          <w:i/>
        </w:rPr>
        <w:t>Gerontology </w:t>
      </w:r>
      <w:r>
        <w:rPr/>
        <w:t>2003; 49: 255-259.</w:t>
      </w:r>
    </w:p>
    <w:p>
      <w:pPr>
        <w:pStyle w:val="BodyText"/>
      </w:pPr>
    </w:p>
    <w:p>
      <w:pPr>
        <w:pStyle w:val="BodyText"/>
        <w:ind w:left="1248" w:right="675"/>
        <w:jc w:val="both"/>
      </w:pPr>
      <w:r>
        <w:rPr/>
        <w:t>Rodriguez GP, Garber SL. Prospective study of pressure ulcer risk in spinal cord injury patients. </w:t>
      </w:r>
      <w:r>
        <w:rPr>
          <w:b/>
          <w:i/>
        </w:rPr>
        <w:t>Paraplegia </w:t>
      </w:r>
      <w:r>
        <w:rPr/>
        <w:t>1994; 34: 150-158.</w:t>
      </w:r>
    </w:p>
    <w:p>
      <w:pPr>
        <w:pStyle w:val="BodyText"/>
      </w:pPr>
    </w:p>
    <w:p>
      <w:pPr>
        <w:spacing w:before="0"/>
        <w:ind w:left="1248" w:right="674" w:firstLine="0"/>
        <w:jc w:val="both"/>
        <w:rPr>
          <w:sz w:val="22"/>
        </w:rPr>
      </w:pPr>
      <w:r>
        <w:rPr>
          <w:sz w:val="22"/>
        </w:rPr>
        <w:t>Saunders LL, Krause JS. Personality and behavioral predictors of pressure ulcer history. </w:t>
      </w:r>
      <w:r>
        <w:rPr>
          <w:b/>
          <w:i/>
          <w:sz w:val="22"/>
        </w:rPr>
        <w:t>Topics in Spinal Cord Injury Rehabilitation </w:t>
      </w:r>
      <w:r>
        <w:rPr>
          <w:sz w:val="22"/>
        </w:rPr>
        <w:t>2010; 16: 61-71.</w:t>
      </w:r>
    </w:p>
    <w:p>
      <w:pPr>
        <w:pStyle w:val="BodyText"/>
        <w:spacing w:before="2"/>
      </w:pPr>
    </w:p>
    <w:p>
      <w:pPr>
        <w:pStyle w:val="BodyText"/>
        <w:ind w:left="1248" w:right="666"/>
        <w:jc w:val="both"/>
      </w:pPr>
      <w:r>
        <w:rPr/>
        <w:t>Scivoletto G, Fuoco U, Morganti B, Cosentino E, Molinari M. Pressure sores and blood and serum dysmetabolism in spinal cord injury patients. </w:t>
      </w:r>
      <w:r>
        <w:rPr>
          <w:b/>
          <w:i/>
        </w:rPr>
        <w:t>Spinal Cord </w:t>
      </w:r>
      <w:r>
        <w:rPr/>
        <w:t>2004; 42:473- 476.</w:t>
      </w:r>
    </w:p>
    <w:p>
      <w:pPr>
        <w:pStyle w:val="BodyText"/>
        <w:spacing w:before="10"/>
        <w:rPr>
          <w:sz w:val="21"/>
        </w:rPr>
      </w:pPr>
    </w:p>
    <w:p>
      <w:pPr>
        <w:pStyle w:val="BodyText"/>
        <w:ind w:left="1248" w:right="669"/>
        <w:jc w:val="both"/>
      </w:pPr>
      <w:r>
        <w:rPr/>
        <w:t>Scott JR, Gibran NS, Engrav LH, Mack CD, Rivara FP. Incidence and Characteristics of Hospitalized Patients with Pressure Ulcers: State Of Washington, 1987 to 2000. </w:t>
      </w:r>
      <w:r>
        <w:rPr>
          <w:b/>
          <w:i/>
        </w:rPr>
        <w:t>Plast Reconstr Surg. </w:t>
      </w:r>
      <w:r>
        <w:rPr/>
        <w:t>2006;117:630–4.</w:t>
      </w:r>
    </w:p>
    <w:p>
      <w:pPr>
        <w:pStyle w:val="BodyText"/>
        <w:spacing w:before="1"/>
      </w:pPr>
    </w:p>
    <w:p>
      <w:pPr>
        <w:spacing w:before="0"/>
        <w:ind w:left="1248" w:right="669" w:firstLine="0"/>
        <w:jc w:val="both"/>
        <w:rPr>
          <w:sz w:val="22"/>
        </w:rPr>
      </w:pPr>
      <w:r>
        <w:rPr>
          <w:sz w:val="22"/>
        </w:rPr>
        <w:t>Sepit D. Bilinç Durumunun Değerlendirilmesi ve Glasgow Koma Skalası. </w:t>
      </w:r>
      <w:r>
        <w:rPr>
          <w:b/>
          <w:i/>
          <w:sz w:val="22"/>
        </w:rPr>
        <w:t>Hemşirelikte </w:t>
      </w:r>
      <w:r>
        <w:rPr>
          <w:b/>
          <w:i/>
          <w:sz w:val="22"/>
        </w:rPr>
        <w:t>Eğitim ve Araştırma Dergisi </w:t>
      </w:r>
      <w:r>
        <w:rPr>
          <w:sz w:val="22"/>
        </w:rPr>
        <w:t>2005; 2(1):12-16.</w:t>
      </w:r>
    </w:p>
    <w:p>
      <w:pPr>
        <w:pStyle w:val="BodyText"/>
        <w:spacing w:before="11"/>
        <w:rPr>
          <w:sz w:val="21"/>
        </w:rPr>
      </w:pPr>
    </w:p>
    <w:p>
      <w:pPr>
        <w:pStyle w:val="BodyText"/>
        <w:ind w:left="1248" w:right="675"/>
        <w:jc w:val="both"/>
      </w:pPr>
      <w:r>
        <w:rPr/>
        <w:t>Shahin ES, Meijers JM, Schols JM, Tannen A, Halfens RJ, Dassen T. The relationship between malnutrition parameters and pressure ulcers in hospitals and nursing homes. </w:t>
      </w:r>
      <w:r>
        <w:rPr>
          <w:b/>
          <w:i/>
        </w:rPr>
        <w:t>Nutrition </w:t>
      </w:r>
      <w:r>
        <w:rPr/>
        <w:t>2010; 26: 886–889.</w:t>
      </w:r>
    </w:p>
    <w:p>
      <w:pPr>
        <w:pStyle w:val="BodyText"/>
        <w:spacing w:before="1"/>
      </w:pPr>
    </w:p>
    <w:p>
      <w:pPr>
        <w:pStyle w:val="BodyText"/>
        <w:ind w:left="1248" w:right="675"/>
        <w:jc w:val="both"/>
      </w:pPr>
      <w:r>
        <w:rPr/>
        <w:t>Sherman RA. Maggot versus conservative debridement therapy for the treatment of pressure ulcers.</w:t>
      </w:r>
      <w:r>
        <w:rPr>
          <w:b/>
          <w:i/>
        </w:rPr>
        <w:t>Wound Repair Regen</w:t>
      </w:r>
      <w:r>
        <w:rPr/>
        <w:t>. 2002;10:208–14.</w:t>
      </w:r>
    </w:p>
    <w:p>
      <w:pPr>
        <w:pStyle w:val="BodyText"/>
      </w:pPr>
    </w:p>
    <w:p>
      <w:pPr>
        <w:pStyle w:val="BodyText"/>
        <w:ind w:left="1248" w:right="668"/>
        <w:jc w:val="both"/>
      </w:pPr>
      <w:r>
        <w:rPr/>
        <w:t>Suriadi, Sanada H, Sugama J, Thigpen B, Subuh M. Development of a new risk assessment scale for predicting pressure ulcers in an intensive care unit. </w:t>
      </w:r>
      <w:r>
        <w:rPr>
          <w:b/>
          <w:i/>
        </w:rPr>
        <w:t>Nursing in </w:t>
      </w:r>
      <w:r>
        <w:rPr>
          <w:b/>
          <w:i/>
        </w:rPr>
        <w:t>Critical Care </w:t>
      </w:r>
      <w:r>
        <w:rPr/>
        <w:t>2008; 13: 34-43.</w:t>
      </w:r>
    </w:p>
    <w:p>
      <w:pPr>
        <w:pStyle w:val="BodyText"/>
        <w:spacing w:before="10"/>
        <w:rPr>
          <w:sz w:val="21"/>
        </w:rPr>
      </w:pPr>
    </w:p>
    <w:p>
      <w:pPr>
        <w:pStyle w:val="BodyText"/>
        <w:ind w:left="1248" w:right="669"/>
        <w:jc w:val="both"/>
      </w:pPr>
      <w:r>
        <w:rPr/>
        <w:t>Suriadi, Sanada H, Sugama J. Risk factors in the development of pressure ulcers in an intensive care unit in Pontianak, Indonesia. </w:t>
      </w:r>
      <w:r>
        <w:rPr>
          <w:b/>
          <w:i/>
        </w:rPr>
        <w:t>International Wound Journal </w:t>
      </w:r>
      <w:r>
        <w:rPr/>
        <w:t>2007; 4: 208–215.</w:t>
      </w:r>
    </w:p>
    <w:p>
      <w:pPr>
        <w:pStyle w:val="BodyText"/>
        <w:spacing w:line="500" w:lineRule="atLeast" w:before="7"/>
        <w:ind w:left="1248" w:right="671"/>
        <w:jc w:val="both"/>
        <w:rPr>
          <w:b/>
          <w:i/>
        </w:rPr>
      </w:pPr>
      <w:r>
        <w:rPr/>
        <w:t>Sümbüloğlu K, Sümbüloğlu V. Biyoistatistik. </w:t>
      </w:r>
      <w:r>
        <w:rPr>
          <w:b/>
          <w:i/>
        </w:rPr>
        <w:t>Hatiboğlu Yayınevi</w:t>
      </w:r>
      <w:r>
        <w:rPr/>
        <w:t>, Ankara, 2004, s.299. Şahin S, Akçiçek F. Yaşlı hastada bası yaraları önleme, tanı ve tedavisi. </w:t>
      </w:r>
      <w:r>
        <w:rPr>
          <w:b/>
          <w:i/>
        </w:rPr>
        <w:t>Akad Geriatri</w:t>
      </w:r>
    </w:p>
    <w:p>
      <w:pPr>
        <w:pStyle w:val="BodyText"/>
        <w:spacing w:before="5"/>
        <w:ind w:left="1248"/>
        <w:jc w:val="both"/>
      </w:pPr>
      <w:r>
        <w:rPr/>
        <w:t>2009; 1:139-146.</w:t>
      </w:r>
    </w:p>
    <w:p>
      <w:pPr>
        <w:spacing w:after="0"/>
        <w:jc w:val="both"/>
        <w:sectPr>
          <w:pgSz w:w="11910" w:h="16840"/>
          <w:pgMar w:header="749" w:footer="0" w:top="960" w:bottom="280" w:left="1020" w:right="460"/>
        </w:sectPr>
      </w:pPr>
    </w:p>
    <w:p>
      <w:pPr>
        <w:pStyle w:val="BodyText"/>
        <w:rPr>
          <w:sz w:val="20"/>
        </w:rPr>
      </w:pPr>
    </w:p>
    <w:p>
      <w:pPr>
        <w:pStyle w:val="BodyText"/>
        <w:rPr>
          <w:sz w:val="20"/>
        </w:rPr>
      </w:pPr>
    </w:p>
    <w:p>
      <w:pPr>
        <w:pStyle w:val="BodyText"/>
        <w:spacing w:before="7"/>
        <w:rPr>
          <w:sz w:val="21"/>
        </w:rPr>
      </w:pPr>
    </w:p>
    <w:p>
      <w:pPr>
        <w:spacing w:before="0"/>
        <w:ind w:left="1248" w:right="670" w:firstLine="0"/>
        <w:jc w:val="both"/>
        <w:rPr>
          <w:sz w:val="22"/>
        </w:rPr>
      </w:pPr>
      <w:r>
        <w:rPr>
          <w:sz w:val="22"/>
        </w:rPr>
        <w:t>Tel H, Özden D, Çetin PG. Yatağa bağımlı hastalarda basınç yarasıgelişme riski ve hemşirelerin bu hastalara uyguladıkları önleyici bakım. </w:t>
      </w:r>
      <w:r>
        <w:rPr>
          <w:b/>
          <w:i/>
          <w:sz w:val="22"/>
        </w:rPr>
        <w:t>Hemşirelikte Araştırma </w:t>
      </w:r>
      <w:r>
        <w:rPr>
          <w:b/>
          <w:i/>
          <w:sz w:val="22"/>
        </w:rPr>
        <w:t>Geliştirme Dergisi </w:t>
      </w:r>
      <w:r>
        <w:rPr>
          <w:sz w:val="22"/>
        </w:rPr>
        <w:t>2006; 1(2): 35-45.</w:t>
      </w:r>
    </w:p>
    <w:p>
      <w:pPr>
        <w:pStyle w:val="BodyText"/>
        <w:spacing w:before="9"/>
        <w:rPr>
          <w:sz w:val="21"/>
        </w:rPr>
      </w:pPr>
    </w:p>
    <w:p>
      <w:pPr>
        <w:spacing w:before="1"/>
        <w:ind w:left="1248" w:right="669" w:firstLine="0"/>
        <w:jc w:val="both"/>
        <w:rPr>
          <w:sz w:val="22"/>
        </w:rPr>
      </w:pPr>
      <w:r>
        <w:rPr>
          <w:sz w:val="22"/>
        </w:rPr>
        <w:t>Terekeci H, Kucukardali Y, Top C, Onem Y, Celik S, Öktenli Ç. </w:t>
      </w:r>
      <w:r>
        <w:rPr>
          <w:i/>
          <w:sz w:val="22"/>
        </w:rPr>
        <w:t>Risk assessment study </w:t>
      </w:r>
      <w:r>
        <w:rPr>
          <w:i/>
          <w:sz w:val="22"/>
        </w:rPr>
        <w:t>of the pressure ulcers in intensive care unit patients. </w:t>
      </w:r>
      <w:r>
        <w:rPr>
          <w:b/>
          <w:i/>
          <w:sz w:val="22"/>
        </w:rPr>
        <w:t>European Journal of Internal </w:t>
      </w:r>
      <w:r>
        <w:rPr>
          <w:b/>
          <w:i/>
          <w:sz w:val="22"/>
        </w:rPr>
        <w:t>Medicine </w:t>
      </w:r>
      <w:r>
        <w:rPr>
          <w:sz w:val="22"/>
        </w:rPr>
        <w:t>2009; 20(4), 394–397.</w:t>
      </w:r>
    </w:p>
    <w:p>
      <w:pPr>
        <w:pStyle w:val="BodyText"/>
      </w:pPr>
    </w:p>
    <w:p>
      <w:pPr>
        <w:pStyle w:val="BodyText"/>
        <w:spacing w:before="1"/>
        <w:ind w:left="1248" w:right="678"/>
        <w:jc w:val="both"/>
      </w:pPr>
      <w:r>
        <w:rPr>
          <w:color w:val="212121"/>
        </w:rPr>
        <w:t>Tokgöz O, Demir O. Nöroloji yoğun bakım ünitesinde bası yara insidansı ve risk faktörleri. </w:t>
      </w:r>
      <w:r>
        <w:rPr>
          <w:b/>
          <w:i/>
          <w:color w:val="212121"/>
        </w:rPr>
        <w:t>Selçuk Tıp Dergisi </w:t>
      </w:r>
      <w:r>
        <w:rPr>
          <w:color w:val="212121"/>
        </w:rPr>
        <w:t>2010; 26(1): 95-98.</w:t>
      </w:r>
    </w:p>
    <w:p>
      <w:pPr>
        <w:pStyle w:val="BodyText"/>
        <w:spacing w:before="10"/>
        <w:rPr>
          <w:sz w:val="21"/>
        </w:rPr>
      </w:pPr>
    </w:p>
    <w:p>
      <w:pPr>
        <w:pStyle w:val="BodyText"/>
        <w:spacing w:before="1"/>
        <w:ind w:left="1248" w:right="674"/>
        <w:jc w:val="both"/>
      </w:pPr>
      <w:r>
        <w:rPr/>
        <w:t>Torrai Bou JE, Rueda J, Soldevilla JJ, Martı´nez F, Verdu´ J. 1er Estudio Nacional de Prevalencia de u´ lcerasporpresio´nen Espan˜ a. Epidemiologia y variables definitorias de las lesiones y pacientes. </w:t>
      </w:r>
      <w:r>
        <w:rPr>
          <w:b/>
          <w:i/>
        </w:rPr>
        <w:t>Gerokomos </w:t>
      </w:r>
      <w:r>
        <w:rPr/>
        <w:t>2003; 14(1): 37–47.</w:t>
      </w:r>
    </w:p>
    <w:p>
      <w:pPr>
        <w:pStyle w:val="BodyText"/>
        <w:spacing w:before="1"/>
      </w:pPr>
    </w:p>
    <w:p>
      <w:pPr>
        <w:pStyle w:val="BodyText"/>
        <w:ind w:left="1248" w:right="675"/>
        <w:jc w:val="both"/>
      </w:pPr>
      <w:r>
        <w:rPr/>
        <w:t>Uzun Ö, Tan M. A prospective, descriptive pressure ulcer risk factor and prevalence study at a university hospital in Turkey. </w:t>
      </w:r>
      <w:r>
        <w:rPr>
          <w:b/>
          <w:i/>
        </w:rPr>
        <w:t>Ostomy Wound Manag </w:t>
      </w:r>
      <w:r>
        <w:rPr/>
        <w:t>2007; 53(2): 44-46.</w:t>
      </w:r>
    </w:p>
    <w:p>
      <w:pPr>
        <w:pStyle w:val="BodyText"/>
        <w:spacing w:before="11"/>
        <w:rPr>
          <w:sz w:val="21"/>
        </w:rPr>
      </w:pPr>
    </w:p>
    <w:p>
      <w:pPr>
        <w:pStyle w:val="BodyText"/>
        <w:ind w:left="1248" w:right="667"/>
        <w:jc w:val="both"/>
      </w:pPr>
      <w:r>
        <w:rPr/>
        <w:t>Vanderwee K, Grypdonck M, De Bacquer D, Deﬂoor T. The identiﬁcation of older nursing home residents vulnerable for deterioration of grade 1 pressure ulcers. </w:t>
      </w:r>
      <w:r>
        <w:rPr>
          <w:b/>
          <w:i/>
        </w:rPr>
        <w:t>JCN </w:t>
      </w:r>
      <w:r>
        <w:rPr/>
        <w:t>2009; 18: 3050-3058.</w:t>
      </w:r>
    </w:p>
    <w:p>
      <w:pPr>
        <w:pStyle w:val="BodyText"/>
        <w:spacing w:before="1"/>
      </w:pPr>
    </w:p>
    <w:p>
      <w:pPr>
        <w:pStyle w:val="BodyText"/>
        <w:spacing w:line="252" w:lineRule="exact"/>
        <w:ind w:left="1248"/>
        <w:jc w:val="both"/>
      </w:pPr>
      <w:r>
        <w:rPr/>
        <w:t>Wells L. At the front line of care. The importance of nutrition in wound management.</w:t>
      </w:r>
    </w:p>
    <w:p>
      <w:pPr>
        <w:spacing w:line="252" w:lineRule="exact" w:before="0"/>
        <w:ind w:left="1248" w:right="0" w:firstLine="0"/>
        <w:jc w:val="both"/>
        <w:rPr>
          <w:sz w:val="22"/>
        </w:rPr>
      </w:pPr>
      <w:r>
        <w:rPr>
          <w:b/>
          <w:i/>
          <w:sz w:val="22"/>
        </w:rPr>
        <w:t>Prof Nurse </w:t>
      </w:r>
      <w:r>
        <w:rPr>
          <w:sz w:val="22"/>
        </w:rPr>
        <w:t>1994;9:525-30.</w:t>
      </w:r>
    </w:p>
    <w:p>
      <w:pPr>
        <w:pStyle w:val="BodyText"/>
      </w:pPr>
    </w:p>
    <w:p>
      <w:pPr>
        <w:pStyle w:val="BodyText"/>
        <w:ind w:left="1248" w:right="677"/>
        <w:jc w:val="both"/>
      </w:pPr>
      <w:r>
        <w:rPr/>
        <w:t>Woodbury MG, Houghton PE. Prevalence of pressure ulcers in Canadian health care settings. </w:t>
      </w:r>
      <w:r>
        <w:rPr>
          <w:b/>
          <w:i/>
        </w:rPr>
        <w:t>Ostomy Wound Manage </w:t>
      </w:r>
      <w:r>
        <w:rPr/>
        <w:t>2004; 50(10): 22-38.</w:t>
      </w:r>
    </w:p>
    <w:p>
      <w:pPr>
        <w:pStyle w:val="BodyText"/>
      </w:pPr>
    </w:p>
    <w:p>
      <w:pPr>
        <w:spacing w:before="0"/>
        <w:ind w:left="1248" w:right="672" w:firstLine="0"/>
        <w:jc w:val="both"/>
        <w:rPr>
          <w:sz w:val="22"/>
        </w:rPr>
      </w:pPr>
      <w:r>
        <w:rPr>
          <w:sz w:val="22"/>
        </w:rPr>
        <w:t>Xiao-Lin Z, Fan-Jie M. A care bundle for pressure ulcer treatment in intensive care units. </w:t>
      </w:r>
      <w:r>
        <w:rPr>
          <w:b/>
          <w:i/>
          <w:sz w:val="22"/>
        </w:rPr>
        <w:t>International Journal of Nursing Sciences </w:t>
      </w:r>
      <w:r>
        <w:rPr>
          <w:sz w:val="22"/>
        </w:rPr>
        <w:t>2015; 2(4): 340-347.</w:t>
      </w:r>
    </w:p>
    <w:p>
      <w:pPr>
        <w:pStyle w:val="BodyText"/>
        <w:spacing w:before="11"/>
        <w:rPr>
          <w:sz w:val="21"/>
        </w:rPr>
      </w:pPr>
    </w:p>
    <w:p>
      <w:pPr>
        <w:pStyle w:val="BodyText"/>
        <w:ind w:left="1248" w:right="679"/>
        <w:jc w:val="both"/>
      </w:pPr>
      <w:r>
        <w:rPr/>
        <w:t>Yarkony GM, Kirk PM, Carlson C, Roth EJ, Lovell L, Heinemann A. Classification of pressure ulcers. </w:t>
      </w:r>
      <w:r>
        <w:rPr>
          <w:b/>
          <w:i/>
        </w:rPr>
        <w:t>Arch Dermatol </w:t>
      </w:r>
      <w:r>
        <w:rPr/>
        <w:t>1990; 126(9): 1218-1225.</w:t>
      </w:r>
    </w:p>
    <w:p>
      <w:pPr>
        <w:pStyle w:val="BodyText"/>
        <w:spacing w:before="2"/>
      </w:pPr>
    </w:p>
    <w:p>
      <w:pPr>
        <w:pStyle w:val="BodyText"/>
        <w:ind w:left="1248" w:right="677"/>
        <w:jc w:val="both"/>
      </w:pPr>
      <w:r>
        <w:rPr/>
        <w:t>Yücel A. Bası Yaraları, İ.Ü.Cerrahpaşa Tıp Fakültesi Sürekli Tıp Eğitimi Etkinlikleri, Cilt Hastalıkları ve Yara Bakımı Sempozyumu, 18-19 Ekim, İstanbul, 2001, s.131-50.</w:t>
      </w:r>
    </w:p>
    <w:p>
      <w:pPr>
        <w:spacing w:after="0"/>
        <w:jc w:val="both"/>
        <w:sectPr>
          <w:pgSz w:w="11910" w:h="16840"/>
          <w:pgMar w:header="749" w:footer="0" w:top="960" w:bottom="280" w:left="1020" w:right="4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6"/>
        </w:rPr>
      </w:pPr>
    </w:p>
    <w:p>
      <w:pPr>
        <w:pStyle w:val="Heading1"/>
        <w:numPr>
          <w:ilvl w:val="0"/>
          <w:numId w:val="12"/>
        </w:numPr>
        <w:tabs>
          <w:tab w:pos="1494" w:val="left" w:leader="none"/>
        </w:tabs>
        <w:spacing w:line="240" w:lineRule="auto" w:before="94" w:after="0"/>
        <w:ind w:left="1493" w:right="0" w:hanging="246"/>
        <w:jc w:val="left"/>
      </w:pPr>
      <w:bookmarkStart w:name="_bookmark76" w:id="128"/>
      <w:bookmarkEnd w:id="128"/>
      <w:r>
        <w:rPr>
          <w:b w:val="0"/>
        </w:rPr>
      </w:r>
      <w:bookmarkStart w:name="_bookmark76" w:id="129"/>
      <w:bookmarkEnd w:id="129"/>
      <w:r>
        <w:rPr/>
        <w:t>ÖZGE</w:t>
      </w:r>
      <w:r>
        <w:rPr/>
        <w:t>ÇMİŞ</w:t>
      </w:r>
    </w:p>
    <w:p>
      <w:pPr>
        <w:pStyle w:val="BodyText"/>
        <w:rPr>
          <w:b/>
          <w:sz w:val="24"/>
        </w:rPr>
      </w:pPr>
    </w:p>
    <w:p>
      <w:pPr>
        <w:pStyle w:val="BodyText"/>
        <w:spacing w:before="2"/>
        <w:rPr>
          <w:b/>
          <w:sz w:val="20"/>
        </w:rPr>
      </w:pPr>
    </w:p>
    <w:p>
      <w:pPr>
        <w:pStyle w:val="BodyText"/>
        <w:spacing w:line="360" w:lineRule="auto"/>
        <w:ind w:left="1248" w:right="669" w:firstLine="708"/>
        <w:jc w:val="both"/>
      </w:pPr>
      <w:r>
        <w:rPr/>
        <w:t>1962 yılında Halep/Suriye’de doğdu. İlköğretim ve lise öğrenimini Halep’te tamamladı. 1991 yılında Hacettepe Üniversitesi Fizik Tedavi ve Rehabilitasyon YO’dan fizyoterapist ünvanıyla mezun oldu. 1992-2004 Suudi Arabistan Sağlık Bakanlığında fizyoterapist olarak çalıştı. 2004-2008 tarihleri arasında Suriyede King Fahad Medical City- Riyadh’da çalıştı. Evli ve 3 çocuk babasıdır</w:t>
      </w:r>
    </w:p>
    <w:p>
      <w:pPr>
        <w:spacing w:after="0" w:line="360" w:lineRule="auto"/>
        <w:jc w:val="both"/>
        <w:sectPr>
          <w:pgSz w:w="11910" w:h="16840"/>
          <w:pgMar w:header="749" w:footer="0" w:top="960" w:bottom="280" w:left="1020" w:right="4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7"/>
        </w:rPr>
      </w:pPr>
    </w:p>
    <w:p>
      <w:pPr>
        <w:pStyle w:val="Heading1"/>
        <w:numPr>
          <w:ilvl w:val="0"/>
          <w:numId w:val="12"/>
        </w:numPr>
        <w:tabs>
          <w:tab w:pos="4917" w:val="left" w:leader="none"/>
        </w:tabs>
        <w:spacing w:line="240" w:lineRule="auto" w:before="94" w:after="0"/>
        <w:ind w:left="4916" w:right="0" w:hanging="248"/>
        <w:jc w:val="left"/>
      </w:pPr>
      <w:bookmarkStart w:name="_bookmark77" w:id="130"/>
      <w:bookmarkEnd w:id="130"/>
      <w:r>
        <w:rPr>
          <w:b w:val="0"/>
        </w:rPr>
      </w:r>
      <w:bookmarkStart w:name="_bookmark77" w:id="131"/>
      <w:bookmarkEnd w:id="131"/>
      <w:r>
        <w:rPr/>
        <w:t>E</w:t>
      </w:r>
      <w:r>
        <w:rPr/>
        <w:t>KLER</w:t>
      </w:r>
    </w:p>
    <w:p>
      <w:pPr>
        <w:spacing w:after="0" w:line="240" w:lineRule="auto"/>
        <w:jc w:val="left"/>
        <w:sectPr>
          <w:headerReference w:type="default" r:id="rId24"/>
          <w:pgSz w:w="11910" w:h="16840"/>
          <w:pgMar w:header="475" w:footer="0" w:top="1080" w:bottom="280" w:left="1020" w:right="460"/>
        </w:sectPr>
      </w:pPr>
    </w:p>
    <w:p>
      <w:pPr>
        <w:pStyle w:val="BodyText"/>
        <w:spacing w:before="5"/>
        <w:rPr>
          <w:b/>
          <w:sz w:val="20"/>
        </w:rPr>
      </w:pPr>
    </w:p>
    <w:p>
      <w:pPr>
        <w:spacing w:before="94"/>
        <w:ind w:left="1248" w:right="0" w:firstLine="0"/>
        <w:jc w:val="left"/>
        <w:rPr>
          <w:b/>
          <w:sz w:val="22"/>
        </w:rPr>
      </w:pPr>
      <w:r>
        <w:rPr>
          <w:b/>
          <w:sz w:val="22"/>
        </w:rPr>
        <w:t>Ek-1 Etik Kurul Komisyon Kararı</w:t>
      </w:r>
    </w:p>
    <w:p>
      <w:pPr>
        <w:pStyle w:val="BodyText"/>
        <w:spacing w:before="5"/>
        <w:rPr>
          <w:b/>
          <w:sz w:val="12"/>
        </w:rPr>
      </w:pPr>
      <w:r>
        <w:rPr/>
        <w:drawing>
          <wp:anchor distT="0" distB="0" distL="0" distR="0" allowOverlap="1" layoutInCell="1" locked="0" behindDoc="0" simplePos="0" relativeHeight="15">
            <wp:simplePos x="0" y="0"/>
            <wp:positionH relativeFrom="page">
              <wp:posOffset>720725</wp:posOffset>
            </wp:positionH>
            <wp:positionV relativeFrom="paragraph">
              <wp:posOffset>115596</wp:posOffset>
            </wp:positionV>
            <wp:extent cx="5936730" cy="8017002"/>
            <wp:effectExtent l="0" t="0" r="0" b="0"/>
            <wp:wrapTopAndBottom/>
            <wp:docPr id="25" name="image13.jpeg"/>
            <wp:cNvGraphicFramePr>
              <a:graphicFrameLocks noChangeAspect="1"/>
            </wp:cNvGraphicFramePr>
            <a:graphic>
              <a:graphicData uri="http://schemas.openxmlformats.org/drawingml/2006/picture">
                <pic:pic>
                  <pic:nvPicPr>
                    <pic:cNvPr id="26" name="image13.jpeg"/>
                    <pic:cNvPicPr/>
                  </pic:nvPicPr>
                  <pic:blipFill>
                    <a:blip r:embed="rId25" cstate="print"/>
                    <a:stretch>
                      <a:fillRect/>
                    </a:stretch>
                  </pic:blipFill>
                  <pic:spPr>
                    <a:xfrm>
                      <a:off x="0" y="0"/>
                      <a:ext cx="5936730" cy="8017002"/>
                    </a:xfrm>
                    <a:prstGeom prst="rect">
                      <a:avLst/>
                    </a:prstGeom>
                  </pic:spPr>
                </pic:pic>
              </a:graphicData>
            </a:graphic>
          </wp:anchor>
        </w:drawing>
      </w:r>
      <w:r>
        <w:rPr/>
        <w:pict>
          <v:rect style="position:absolute;margin-left:547.700012pt;margin-top:618.952026pt;width:19.5pt;height:33.950pt;mso-position-horizontal-relative:page;mso-position-vertical-relative:paragraph;z-index:-251641856;mso-wrap-distance-left:0;mso-wrap-distance-right:0" filled="true" fillcolor="#ffffff" stroked="false">
            <v:fill type="solid"/>
            <w10:wrap type="topAndBottom"/>
          </v:rect>
        </w:pict>
      </w:r>
    </w:p>
    <w:p>
      <w:pPr>
        <w:spacing w:after="0"/>
        <w:rPr>
          <w:sz w:val="12"/>
        </w:rPr>
        <w:sectPr>
          <w:pgSz w:w="11910" w:h="16840"/>
          <w:pgMar w:header="475" w:footer="0" w:top="1080" w:bottom="280" w:left="1020" w:right="460"/>
        </w:sectPr>
      </w:pPr>
    </w:p>
    <w:p>
      <w:pPr>
        <w:pStyle w:val="BodyText"/>
        <w:ind w:left="9228"/>
        <w:rPr>
          <w:sz w:val="20"/>
        </w:rPr>
      </w:pPr>
      <w:r>
        <w:rPr/>
        <w:pict>
          <v:shape style="position:absolute;margin-left:533.159973pt;margin-top:37.439983pt;width:5.6pt;height:11.05pt;mso-position-horizontal-relative:page;mso-position-vertical-relative:page;z-index:-255543296" type="#_x0000_t202" filled="false" stroked="false">
            <v:textbox inset="0,0,0,0">
              <w:txbxContent>
                <w:p>
                  <w:pPr>
                    <w:pStyle w:val="BodyText"/>
                    <w:spacing w:line="221" w:lineRule="exact"/>
                    <w:rPr>
                      <w:rFonts w:ascii="Calibri"/>
                    </w:rPr>
                  </w:pPr>
                  <w:r>
                    <w:rPr>
                      <w:rFonts w:ascii="Calibri"/>
                      <w:w w:val="100"/>
                    </w:rPr>
                    <w:t>3</w:t>
                  </w:r>
                </w:p>
              </w:txbxContent>
            </v:textbox>
            <w10:wrap type="none"/>
          </v:shape>
        </w:pict>
      </w:r>
      <w:r>
        <w:rPr>
          <w:sz w:val="20"/>
        </w:rPr>
        <w:pict>
          <v:group style="width:47.45pt;height:56.55pt;mso-position-horizontal-relative:char;mso-position-vertical-relative:line" coordorigin="0,0" coordsize="949,1131">
            <v:rect style="position:absolute;left:105;top:0;width:844;height:679" filled="true" fillcolor="#ffffff" stroked="false">
              <v:fill type="solid"/>
            </v:rect>
            <v:rect style="position:absolute;left:0;top:452;width:844;height:679" filled="true" fillcolor="#ffffff" stroked="false">
              <v:fill type="solid"/>
            </v:rect>
          </v:group>
        </w:pict>
      </w:r>
      <w:r>
        <w:rPr>
          <w:sz w:val="20"/>
        </w:rPr>
      </w:r>
    </w:p>
    <w:p>
      <w:pPr>
        <w:pStyle w:val="BodyText"/>
        <w:spacing w:before="11"/>
        <w:rPr>
          <w:b/>
          <w:sz w:val="14"/>
        </w:rPr>
      </w:pPr>
      <w:r>
        <w:rPr/>
        <w:drawing>
          <wp:anchor distT="0" distB="0" distL="0" distR="0" allowOverlap="1" layoutInCell="1" locked="0" behindDoc="0" simplePos="0" relativeHeight="18">
            <wp:simplePos x="0" y="0"/>
            <wp:positionH relativeFrom="page">
              <wp:posOffset>720725</wp:posOffset>
            </wp:positionH>
            <wp:positionV relativeFrom="paragraph">
              <wp:posOffset>133985</wp:posOffset>
            </wp:positionV>
            <wp:extent cx="6177419" cy="7630667"/>
            <wp:effectExtent l="0" t="0" r="0" b="0"/>
            <wp:wrapTopAndBottom/>
            <wp:docPr id="27" name="image14.jpeg"/>
            <wp:cNvGraphicFramePr>
              <a:graphicFrameLocks noChangeAspect="1"/>
            </wp:cNvGraphicFramePr>
            <a:graphic>
              <a:graphicData uri="http://schemas.openxmlformats.org/drawingml/2006/picture">
                <pic:pic>
                  <pic:nvPicPr>
                    <pic:cNvPr id="28" name="image14.jpeg"/>
                    <pic:cNvPicPr/>
                  </pic:nvPicPr>
                  <pic:blipFill>
                    <a:blip r:embed="rId27" cstate="print"/>
                    <a:stretch>
                      <a:fillRect/>
                    </a:stretch>
                  </pic:blipFill>
                  <pic:spPr>
                    <a:xfrm>
                      <a:off x="0" y="0"/>
                      <a:ext cx="6177419" cy="7630667"/>
                    </a:xfrm>
                    <a:prstGeom prst="rect">
                      <a:avLst/>
                    </a:prstGeom>
                  </pic:spPr>
                </pic:pic>
              </a:graphicData>
            </a:graphic>
          </wp:anchor>
        </w:drawing>
      </w:r>
    </w:p>
    <w:p>
      <w:pPr>
        <w:spacing w:after="0"/>
        <w:rPr>
          <w:sz w:val="14"/>
        </w:rPr>
        <w:sectPr>
          <w:headerReference w:type="default" r:id="rId26"/>
          <w:pgSz w:w="11910" w:h="16840"/>
          <w:pgMar w:header="282" w:footer="0" w:top="480" w:bottom="280" w:left="1020" w:right="460"/>
        </w:sectPr>
      </w:pPr>
    </w:p>
    <w:p>
      <w:pPr>
        <w:pStyle w:val="BodyText"/>
        <w:spacing w:before="10"/>
        <w:rPr>
          <w:rFonts w:ascii="Times New Roman"/>
          <w:sz w:val="15"/>
        </w:rPr>
      </w:pPr>
    </w:p>
    <w:p>
      <w:pPr>
        <w:pStyle w:val="BodyText"/>
        <w:ind w:left="115"/>
        <w:rPr>
          <w:rFonts w:ascii="Times New Roman"/>
          <w:sz w:val="20"/>
        </w:rPr>
      </w:pPr>
      <w:r>
        <w:rPr>
          <w:rFonts w:ascii="Times New Roman"/>
          <w:sz w:val="20"/>
        </w:rPr>
        <w:drawing>
          <wp:inline distT="0" distB="0" distL="0" distR="0">
            <wp:extent cx="6137378" cy="8462391"/>
            <wp:effectExtent l="0" t="0" r="0" b="0"/>
            <wp:docPr id="29" name="image15.jpeg"/>
            <wp:cNvGraphicFramePr>
              <a:graphicFrameLocks noChangeAspect="1"/>
            </wp:cNvGraphicFramePr>
            <a:graphic>
              <a:graphicData uri="http://schemas.openxmlformats.org/drawingml/2006/picture">
                <pic:pic>
                  <pic:nvPicPr>
                    <pic:cNvPr id="30" name="image15.jpeg"/>
                    <pic:cNvPicPr/>
                  </pic:nvPicPr>
                  <pic:blipFill>
                    <a:blip r:embed="rId29" cstate="print"/>
                    <a:stretch>
                      <a:fillRect/>
                    </a:stretch>
                  </pic:blipFill>
                  <pic:spPr>
                    <a:xfrm>
                      <a:off x="0" y="0"/>
                      <a:ext cx="6137378" cy="8462391"/>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28"/>
          <w:pgSz w:w="11910" w:h="16840"/>
          <w:pgMar w:header="1420" w:footer="0" w:top="1660" w:bottom="280" w:left="1020" w:right="460"/>
        </w:sectPr>
      </w:pPr>
    </w:p>
    <w:p>
      <w:pPr>
        <w:pStyle w:val="BodyText"/>
        <w:rPr>
          <w:rFonts w:ascii="Times New Roman"/>
          <w:sz w:val="20"/>
        </w:rPr>
      </w:pPr>
      <w:r>
        <w:rPr/>
        <w:pict>
          <v:shape style="position:absolute;margin-left:533.159973pt;margin-top:37.439983pt;width:5.6pt;height:11.05pt;mso-position-horizontal-relative:page;mso-position-vertical-relative:page;z-index:-255542272" type="#_x0000_t202" filled="false" stroked="false">
            <v:textbox inset="0,0,0,0">
              <w:txbxContent>
                <w:p>
                  <w:pPr>
                    <w:pStyle w:val="BodyText"/>
                    <w:spacing w:line="221" w:lineRule="exact"/>
                    <w:rPr>
                      <w:rFonts w:ascii="Calibri"/>
                    </w:rPr>
                  </w:pPr>
                  <w:r>
                    <w:rPr>
                      <w:rFonts w:ascii="Calibri"/>
                      <w:w w:val="100"/>
                    </w:rPr>
                    <w:t>2</w:t>
                  </w:r>
                </w:p>
              </w:txbxContent>
            </v:textbox>
            <w10:wrap type="none"/>
          </v:shape>
        </w:pict>
      </w:r>
      <w:r>
        <w:rPr/>
        <w:pict>
          <v:rect style="position:absolute;margin-left:514.650024pt;margin-top:28.599983pt;width:42.2pt;height:33.950pt;mso-position-horizontal-relative:page;mso-position-vertical-relative:page;z-index:251679744" filled="true" fillcolor="#ffffff" stroked="false">
            <v:fill type="solid"/>
            <w10:wrap type="none"/>
          </v:rect>
        </w:pict>
      </w:r>
    </w:p>
    <w:p>
      <w:pPr>
        <w:pStyle w:val="BodyText"/>
        <w:rPr>
          <w:rFonts w:ascii="Times New Roman"/>
          <w:sz w:val="19"/>
        </w:rPr>
      </w:pPr>
    </w:p>
    <w:p>
      <w:pPr>
        <w:spacing w:before="92"/>
        <w:ind w:left="2821" w:right="248" w:firstLine="0"/>
        <w:jc w:val="center"/>
        <w:rPr>
          <w:b/>
          <w:sz w:val="20"/>
        </w:rPr>
      </w:pPr>
      <w:r>
        <w:rPr>
          <w:b/>
          <w:sz w:val="20"/>
        </w:rPr>
        <w:t>Tarih:</w:t>
      </w:r>
    </w:p>
    <w:p>
      <w:pPr>
        <w:pStyle w:val="BodyText"/>
        <w:spacing w:before="4"/>
        <w:rPr>
          <w:b/>
          <w:sz w:val="11"/>
        </w:rPr>
      </w:pPr>
    </w:p>
    <w:tbl>
      <w:tblPr>
        <w:tblW w:w="0" w:type="auto"/>
        <w:jc w:val="left"/>
        <w:tblInd w:w="10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86"/>
        <w:gridCol w:w="5365"/>
      </w:tblGrid>
      <w:tr>
        <w:trPr>
          <w:trHeight w:val="338" w:hRule="atLeast"/>
        </w:trPr>
        <w:tc>
          <w:tcPr>
            <w:tcW w:w="3186" w:type="dxa"/>
          </w:tcPr>
          <w:p>
            <w:pPr>
              <w:pStyle w:val="TableParagraph"/>
              <w:spacing w:line="223" w:lineRule="exact"/>
              <w:ind w:left="200"/>
              <w:rPr>
                <w:sz w:val="20"/>
              </w:rPr>
            </w:pPr>
            <w:r>
              <w:rPr>
                <w:sz w:val="20"/>
              </w:rPr>
              <w:t>Ad-soyad:</w:t>
            </w:r>
          </w:p>
        </w:tc>
        <w:tc>
          <w:tcPr>
            <w:tcW w:w="5365" w:type="dxa"/>
          </w:tcPr>
          <w:p>
            <w:pPr>
              <w:pStyle w:val="TableParagraph"/>
              <w:spacing w:line="223" w:lineRule="exact"/>
              <w:ind w:left="2088"/>
              <w:rPr>
                <w:sz w:val="20"/>
              </w:rPr>
            </w:pPr>
            <w:r>
              <w:rPr>
                <w:sz w:val="20"/>
              </w:rPr>
              <w:t>Dosya no:</w:t>
            </w:r>
          </w:p>
        </w:tc>
      </w:tr>
      <w:tr>
        <w:trPr>
          <w:trHeight w:val="453" w:hRule="atLeast"/>
        </w:trPr>
        <w:tc>
          <w:tcPr>
            <w:tcW w:w="3186" w:type="dxa"/>
          </w:tcPr>
          <w:p>
            <w:pPr>
              <w:pStyle w:val="TableParagraph"/>
              <w:spacing w:before="108"/>
              <w:ind w:left="200"/>
              <w:rPr>
                <w:sz w:val="20"/>
              </w:rPr>
            </w:pPr>
            <w:r>
              <w:rPr>
                <w:sz w:val="20"/>
              </w:rPr>
              <w:t>Cinsiyet:</w:t>
            </w:r>
          </w:p>
        </w:tc>
        <w:tc>
          <w:tcPr>
            <w:tcW w:w="5365" w:type="dxa"/>
          </w:tcPr>
          <w:p>
            <w:pPr>
              <w:pStyle w:val="TableParagraph"/>
              <w:spacing w:before="108"/>
              <w:ind w:left="2088"/>
              <w:rPr>
                <w:sz w:val="20"/>
              </w:rPr>
            </w:pPr>
            <w:r>
              <w:rPr>
                <w:sz w:val="20"/>
              </w:rPr>
              <w:t>Yatış tarihi:</w:t>
            </w:r>
          </w:p>
        </w:tc>
      </w:tr>
      <w:tr>
        <w:trPr>
          <w:trHeight w:val="453" w:hRule="atLeast"/>
        </w:trPr>
        <w:tc>
          <w:tcPr>
            <w:tcW w:w="3186" w:type="dxa"/>
          </w:tcPr>
          <w:p>
            <w:pPr>
              <w:pStyle w:val="TableParagraph"/>
              <w:spacing w:before="108"/>
              <w:ind w:left="200"/>
              <w:rPr>
                <w:sz w:val="20"/>
              </w:rPr>
            </w:pPr>
            <w:r>
              <w:rPr>
                <w:sz w:val="20"/>
              </w:rPr>
              <w:t>Tanı:</w:t>
            </w:r>
          </w:p>
        </w:tc>
        <w:tc>
          <w:tcPr>
            <w:tcW w:w="5365" w:type="dxa"/>
          </w:tcPr>
          <w:p>
            <w:pPr>
              <w:pStyle w:val="TableParagraph"/>
              <w:spacing w:before="108"/>
              <w:ind w:left="2088"/>
              <w:rPr>
                <w:sz w:val="20"/>
              </w:rPr>
            </w:pPr>
            <w:r>
              <w:rPr>
                <w:sz w:val="20"/>
              </w:rPr>
              <w:t>Yaş:</w:t>
            </w:r>
          </w:p>
        </w:tc>
      </w:tr>
      <w:tr>
        <w:trPr>
          <w:trHeight w:val="454" w:hRule="atLeast"/>
        </w:trPr>
        <w:tc>
          <w:tcPr>
            <w:tcW w:w="3186" w:type="dxa"/>
          </w:tcPr>
          <w:p>
            <w:pPr>
              <w:pStyle w:val="TableParagraph"/>
              <w:spacing w:before="108"/>
              <w:ind w:left="200"/>
              <w:rPr>
                <w:sz w:val="20"/>
              </w:rPr>
            </w:pPr>
            <w:r>
              <w:rPr>
                <w:sz w:val="20"/>
              </w:rPr>
              <w:t>Boy:</w:t>
            </w:r>
          </w:p>
        </w:tc>
        <w:tc>
          <w:tcPr>
            <w:tcW w:w="5365" w:type="dxa"/>
          </w:tcPr>
          <w:p>
            <w:pPr>
              <w:pStyle w:val="TableParagraph"/>
              <w:spacing w:before="108"/>
              <w:ind w:left="2088"/>
              <w:rPr>
                <w:sz w:val="20"/>
              </w:rPr>
            </w:pPr>
            <w:r>
              <w:rPr>
                <w:sz w:val="20"/>
              </w:rPr>
              <w:t>Hastanede kalış güresi:…….gün</w:t>
            </w:r>
          </w:p>
        </w:tc>
      </w:tr>
      <w:tr>
        <w:trPr>
          <w:trHeight w:val="454" w:hRule="atLeast"/>
        </w:trPr>
        <w:tc>
          <w:tcPr>
            <w:tcW w:w="3186" w:type="dxa"/>
          </w:tcPr>
          <w:p>
            <w:pPr>
              <w:pStyle w:val="TableParagraph"/>
              <w:spacing w:before="109"/>
              <w:ind w:left="200"/>
              <w:rPr>
                <w:sz w:val="20"/>
              </w:rPr>
            </w:pPr>
            <w:r>
              <w:rPr>
                <w:sz w:val="20"/>
              </w:rPr>
              <w:t>Kilo:</w:t>
            </w:r>
          </w:p>
        </w:tc>
        <w:tc>
          <w:tcPr>
            <w:tcW w:w="5365" w:type="dxa"/>
          </w:tcPr>
          <w:p>
            <w:pPr>
              <w:pStyle w:val="TableParagraph"/>
              <w:spacing w:before="109"/>
              <w:ind w:left="2088"/>
              <w:rPr>
                <w:sz w:val="20"/>
              </w:rPr>
            </w:pPr>
            <w:r>
              <w:rPr>
                <w:sz w:val="20"/>
              </w:rPr>
              <w:t>Yattığı servis:</w:t>
            </w:r>
          </w:p>
        </w:tc>
      </w:tr>
      <w:tr>
        <w:trPr>
          <w:trHeight w:val="338" w:hRule="atLeast"/>
        </w:trPr>
        <w:tc>
          <w:tcPr>
            <w:tcW w:w="3186" w:type="dxa"/>
          </w:tcPr>
          <w:p>
            <w:pPr>
              <w:pStyle w:val="TableParagraph"/>
              <w:spacing w:line="210" w:lineRule="exact" w:before="108"/>
              <w:ind w:left="200"/>
              <w:rPr>
                <w:sz w:val="20"/>
              </w:rPr>
            </w:pPr>
            <w:r>
              <w:rPr>
                <w:sz w:val="20"/>
              </w:rPr>
              <w:t>BMI:</w:t>
            </w:r>
          </w:p>
        </w:tc>
        <w:tc>
          <w:tcPr>
            <w:tcW w:w="5365" w:type="dxa"/>
          </w:tcPr>
          <w:p>
            <w:pPr>
              <w:pStyle w:val="TableParagraph"/>
              <w:spacing w:line="210" w:lineRule="exact" w:before="108"/>
              <w:ind w:left="2088"/>
              <w:rPr>
                <w:sz w:val="20"/>
              </w:rPr>
            </w:pPr>
            <w:r>
              <w:rPr>
                <w:sz w:val="20"/>
              </w:rPr>
              <w:t>Sigara kullanımı: …..pkt/gün …..yıl</w:t>
            </w:r>
          </w:p>
        </w:tc>
      </w:tr>
    </w:tbl>
    <w:p>
      <w:pPr>
        <w:pStyle w:val="BodyText"/>
        <w:rPr>
          <w:b/>
          <w:sz w:val="20"/>
        </w:rPr>
      </w:pPr>
    </w:p>
    <w:p>
      <w:pPr>
        <w:pStyle w:val="BodyText"/>
        <w:rPr>
          <w:b/>
          <w:sz w:val="20"/>
        </w:rPr>
      </w:pPr>
    </w:p>
    <w:p>
      <w:pPr>
        <w:pStyle w:val="BodyText"/>
        <w:spacing w:before="8" w:after="1"/>
        <w:rPr>
          <w:b/>
          <w:sz w:val="13"/>
        </w:rPr>
      </w:pPr>
    </w:p>
    <w:tbl>
      <w:tblPr>
        <w:tblW w:w="0" w:type="auto"/>
        <w:jc w:val="left"/>
        <w:tblInd w:w="1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14"/>
        <w:gridCol w:w="3692"/>
        <w:gridCol w:w="711"/>
      </w:tblGrid>
      <w:tr>
        <w:trPr>
          <w:trHeight w:val="398" w:hRule="atLeast"/>
        </w:trPr>
        <w:tc>
          <w:tcPr>
            <w:tcW w:w="3314" w:type="dxa"/>
            <w:tcBorders>
              <w:top w:val="nil"/>
              <w:left w:val="nil"/>
              <w:bottom w:val="nil"/>
            </w:tcBorders>
          </w:tcPr>
          <w:p>
            <w:pPr>
              <w:pStyle w:val="TableParagraph"/>
              <w:spacing w:line="227" w:lineRule="exact"/>
              <w:ind w:left="25"/>
              <w:rPr>
                <w:b/>
                <w:sz w:val="20"/>
              </w:rPr>
            </w:pPr>
            <w:r>
              <w:rPr>
                <w:b/>
                <w:sz w:val="20"/>
              </w:rPr>
              <w:t>EK HASTALIKLAR:</w:t>
            </w:r>
          </w:p>
        </w:tc>
        <w:tc>
          <w:tcPr>
            <w:tcW w:w="3692" w:type="dxa"/>
          </w:tcPr>
          <w:p>
            <w:pPr>
              <w:pStyle w:val="TableParagraph"/>
              <w:spacing w:line="227" w:lineRule="exact"/>
              <w:ind w:left="102"/>
              <w:rPr>
                <w:sz w:val="20"/>
              </w:rPr>
            </w:pPr>
            <w:r>
              <w:rPr>
                <w:sz w:val="20"/>
              </w:rPr>
              <w:t>DM</w:t>
            </w:r>
          </w:p>
        </w:tc>
        <w:tc>
          <w:tcPr>
            <w:tcW w:w="711" w:type="dxa"/>
          </w:tcPr>
          <w:p>
            <w:pPr>
              <w:pStyle w:val="TableParagraph"/>
              <w:rPr>
                <w:rFonts w:ascii="Times New Roman"/>
                <w:sz w:val="20"/>
              </w:rPr>
            </w:pPr>
          </w:p>
        </w:tc>
      </w:tr>
      <w:tr>
        <w:trPr>
          <w:trHeight w:val="398" w:hRule="atLeast"/>
        </w:trPr>
        <w:tc>
          <w:tcPr>
            <w:tcW w:w="3314" w:type="dxa"/>
            <w:tcBorders>
              <w:top w:val="nil"/>
              <w:left w:val="nil"/>
              <w:bottom w:val="nil"/>
            </w:tcBorders>
          </w:tcPr>
          <w:p>
            <w:pPr>
              <w:pStyle w:val="TableParagraph"/>
              <w:tabs>
                <w:tab w:pos="2077" w:val="left" w:leader="none"/>
              </w:tabs>
              <w:spacing w:line="227" w:lineRule="exact"/>
              <w:ind w:left="25"/>
              <w:rPr>
                <w:b/>
                <w:sz w:val="20"/>
              </w:rPr>
            </w:pPr>
            <w:r>
              <w:rPr>
                <w:b/>
                <w:sz w:val="20"/>
              </w:rPr>
              <w:t>Yok</w:t>
            </w:r>
            <w:r>
              <w:rPr>
                <w:b/>
                <w:spacing w:val="-2"/>
                <w:sz w:val="20"/>
              </w:rPr>
              <w:t> </w:t>
            </w:r>
            <w:r>
              <w:rPr>
                <w:b/>
                <w:sz w:val="20"/>
              </w:rPr>
              <w:t>(</w:t>
            </w:r>
            <w:r>
              <w:rPr>
                <w:b/>
                <w:spacing w:val="54"/>
                <w:sz w:val="20"/>
              </w:rPr>
              <w:t> </w:t>
            </w:r>
            <w:r>
              <w:rPr>
                <w:b/>
                <w:sz w:val="20"/>
              </w:rPr>
              <w:t>)</w:t>
              <w:tab/>
              <w:t>Var (  )</w:t>
            </w:r>
          </w:p>
        </w:tc>
        <w:tc>
          <w:tcPr>
            <w:tcW w:w="3692" w:type="dxa"/>
          </w:tcPr>
          <w:p>
            <w:pPr>
              <w:pStyle w:val="TableParagraph"/>
              <w:spacing w:line="229" w:lineRule="exact"/>
              <w:ind w:left="102"/>
              <w:rPr>
                <w:sz w:val="20"/>
              </w:rPr>
            </w:pPr>
            <w:r>
              <w:rPr>
                <w:sz w:val="20"/>
              </w:rPr>
              <w:t>HT</w:t>
            </w:r>
          </w:p>
        </w:tc>
        <w:tc>
          <w:tcPr>
            <w:tcW w:w="711" w:type="dxa"/>
          </w:tcPr>
          <w:p>
            <w:pPr>
              <w:pStyle w:val="TableParagraph"/>
              <w:rPr>
                <w:rFonts w:ascii="Times New Roman"/>
                <w:sz w:val="20"/>
              </w:rPr>
            </w:pPr>
          </w:p>
        </w:tc>
      </w:tr>
      <w:tr>
        <w:trPr>
          <w:trHeight w:val="398" w:hRule="atLeast"/>
        </w:trPr>
        <w:tc>
          <w:tcPr>
            <w:tcW w:w="3314" w:type="dxa"/>
            <w:tcBorders>
              <w:top w:val="nil"/>
              <w:left w:val="nil"/>
              <w:bottom w:val="nil"/>
            </w:tcBorders>
          </w:tcPr>
          <w:p>
            <w:pPr>
              <w:pStyle w:val="TableParagraph"/>
              <w:rPr>
                <w:rFonts w:ascii="Times New Roman"/>
                <w:sz w:val="20"/>
              </w:rPr>
            </w:pPr>
          </w:p>
        </w:tc>
        <w:tc>
          <w:tcPr>
            <w:tcW w:w="3692" w:type="dxa"/>
          </w:tcPr>
          <w:p>
            <w:pPr>
              <w:pStyle w:val="TableParagraph"/>
              <w:spacing w:line="227" w:lineRule="exact"/>
              <w:ind w:left="102"/>
              <w:rPr>
                <w:sz w:val="20"/>
              </w:rPr>
            </w:pPr>
            <w:r>
              <w:rPr>
                <w:sz w:val="20"/>
              </w:rPr>
              <w:t>Böbrek yetmezliği</w:t>
            </w:r>
          </w:p>
        </w:tc>
        <w:tc>
          <w:tcPr>
            <w:tcW w:w="711" w:type="dxa"/>
          </w:tcPr>
          <w:p>
            <w:pPr>
              <w:pStyle w:val="TableParagraph"/>
              <w:rPr>
                <w:rFonts w:ascii="Times New Roman"/>
                <w:sz w:val="20"/>
              </w:rPr>
            </w:pPr>
          </w:p>
        </w:tc>
      </w:tr>
      <w:tr>
        <w:trPr>
          <w:trHeight w:val="395" w:hRule="atLeast"/>
        </w:trPr>
        <w:tc>
          <w:tcPr>
            <w:tcW w:w="3314" w:type="dxa"/>
            <w:tcBorders>
              <w:top w:val="nil"/>
              <w:left w:val="nil"/>
              <w:bottom w:val="nil"/>
            </w:tcBorders>
          </w:tcPr>
          <w:p>
            <w:pPr>
              <w:pStyle w:val="TableParagraph"/>
              <w:rPr>
                <w:rFonts w:ascii="Times New Roman"/>
                <w:sz w:val="20"/>
              </w:rPr>
            </w:pPr>
          </w:p>
        </w:tc>
        <w:tc>
          <w:tcPr>
            <w:tcW w:w="3692" w:type="dxa"/>
          </w:tcPr>
          <w:p>
            <w:pPr>
              <w:pStyle w:val="TableParagraph"/>
              <w:spacing w:line="227" w:lineRule="exact"/>
              <w:ind w:left="102"/>
              <w:rPr>
                <w:sz w:val="20"/>
              </w:rPr>
            </w:pPr>
            <w:r>
              <w:rPr>
                <w:sz w:val="20"/>
              </w:rPr>
              <w:t>Ortopedik travma</w:t>
            </w:r>
          </w:p>
        </w:tc>
        <w:tc>
          <w:tcPr>
            <w:tcW w:w="711" w:type="dxa"/>
          </w:tcPr>
          <w:p>
            <w:pPr>
              <w:pStyle w:val="TableParagraph"/>
              <w:rPr>
                <w:rFonts w:ascii="Times New Roman"/>
                <w:sz w:val="20"/>
              </w:rPr>
            </w:pPr>
          </w:p>
        </w:tc>
      </w:tr>
      <w:tr>
        <w:trPr>
          <w:trHeight w:val="397" w:hRule="atLeast"/>
        </w:trPr>
        <w:tc>
          <w:tcPr>
            <w:tcW w:w="3314" w:type="dxa"/>
            <w:tcBorders>
              <w:top w:val="nil"/>
              <w:left w:val="nil"/>
              <w:bottom w:val="nil"/>
            </w:tcBorders>
          </w:tcPr>
          <w:p>
            <w:pPr>
              <w:pStyle w:val="TableParagraph"/>
              <w:rPr>
                <w:rFonts w:ascii="Times New Roman"/>
                <w:sz w:val="20"/>
              </w:rPr>
            </w:pPr>
          </w:p>
        </w:tc>
        <w:tc>
          <w:tcPr>
            <w:tcW w:w="3692" w:type="dxa"/>
          </w:tcPr>
          <w:p>
            <w:pPr>
              <w:pStyle w:val="TableParagraph"/>
              <w:spacing w:line="227" w:lineRule="exact"/>
              <w:ind w:left="102"/>
              <w:rPr>
                <w:sz w:val="20"/>
              </w:rPr>
            </w:pPr>
            <w:r>
              <w:rPr>
                <w:sz w:val="20"/>
              </w:rPr>
              <w:t>Kalp hastalıkları</w:t>
            </w:r>
          </w:p>
        </w:tc>
        <w:tc>
          <w:tcPr>
            <w:tcW w:w="711" w:type="dxa"/>
          </w:tcPr>
          <w:p>
            <w:pPr>
              <w:pStyle w:val="TableParagraph"/>
              <w:rPr>
                <w:rFonts w:ascii="Times New Roman"/>
                <w:sz w:val="20"/>
              </w:rPr>
            </w:pPr>
          </w:p>
        </w:tc>
      </w:tr>
      <w:tr>
        <w:trPr>
          <w:trHeight w:val="395" w:hRule="atLeast"/>
        </w:trPr>
        <w:tc>
          <w:tcPr>
            <w:tcW w:w="3314" w:type="dxa"/>
            <w:tcBorders>
              <w:top w:val="nil"/>
              <w:left w:val="nil"/>
              <w:bottom w:val="nil"/>
            </w:tcBorders>
          </w:tcPr>
          <w:p>
            <w:pPr>
              <w:pStyle w:val="TableParagraph"/>
              <w:rPr>
                <w:rFonts w:ascii="Times New Roman"/>
                <w:sz w:val="20"/>
              </w:rPr>
            </w:pPr>
          </w:p>
        </w:tc>
        <w:tc>
          <w:tcPr>
            <w:tcW w:w="3692" w:type="dxa"/>
          </w:tcPr>
          <w:p>
            <w:pPr>
              <w:pStyle w:val="TableParagraph"/>
              <w:spacing w:line="227" w:lineRule="exact"/>
              <w:ind w:left="102"/>
              <w:rPr>
                <w:sz w:val="20"/>
              </w:rPr>
            </w:pPr>
            <w:r>
              <w:rPr>
                <w:sz w:val="20"/>
              </w:rPr>
              <w:t>KOAH</w:t>
            </w:r>
          </w:p>
        </w:tc>
        <w:tc>
          <w:tcPr>
            <w:tcW w:w="711" w:type="dxa"/>
          </w:tcPr>
          <w:p>
            <w:pPr>
              <w:pStyle w:val="TableParagraph"/>
              <w:rPr>
                <w:rFonts w:ascii="Times New Roman"/>
                <w:sz w:val="20"/>
              </w:rPr>
            </w:pPr>
          </w:p>
        </w:tc>
      </w:tr>
      <w:tr>
        <w:trPr>
          <w:trHeight w:val="397" w:hRule="atLeast"/>
        </w:trPr>
        <w:tc>
          <w:tcPr>
            <w:tcW w:w="3314" w:type="dxa"/>
            <w:tcBorders>
              <w:top w:val="nil"/>
              <w:left w:val="nil"/>
              <w:bottom w:val="nil"/>
            </w:tcBorders>
          </w:tcPr>
          <w:p>
            <w:pPr>
              <w:pStyle w:val="TableParagraph"/>
              <w:rPr>
                <w:rFonts w:ascii="Times New Roman"/>
                <w:sz w:val="20"/>
              </w:rPr>
            </w:pPr>
          </w:p>
        </w:tc>
        <w:tc>
          <w:tcPr>
            <w:tcW w:w="3692" w:type="dxa"/>
          </w:tcPr>
          <w:p>
            <w:pPr>
              <w:pStyle w:val="TableParagraph"/>
              <w:spacing w:line="229" w:lineRule="exact"/>
              <w:ind w:left="102"/>
              <w:rPr>
                <w:sz w:val="20"/>
              </w:rPr>
            </w:pPr>
            <w:r>
              <w:rPr>
                <w:sz w:val="20"/>
              </w:rPr>
              <w:t>Periferik dolaşım bozukluğu</w:t>
            </w:r>
          </w:p>
        </w:tc>
        <w:tc>
          <w:tcPr>
            <w:tcW w:w="711" w:type="dxa"/>
          </w:tcPr>
          <w:p>
            <w:pPr>
              <w:pStyle w:val="TableParagraph"/>
              <w:rPr>
                <w:rFonts w:ascii="Times New Roman"/>
                <w:sz w:val="20"/>
              </w:rPr>
            </w:pPr>
          </w:p>
        </w:tc>
      </w:tr>
      <w:tr>
        <w:trPr>
          <w:trHeight w:val="398" w:hRule="atLeast"/>
        </w:trPr>
        <w:tc>
          <w:tcPr>
            <w:tcW w:w="3314" w:type="dxa"/>
            <w:tcBorders>
              <w:top w:val="nil"/>
              <w:left w:val="nil"/>
              <w:bottom w:val="nil"/>
            </w:tcBorders>
          </w:tcPr>
          <w:p>
            <w:pPr>
              <w:pStyle w:val="TableParagraph"/>
              <w:rPr>
                <w:rFonts w:ascii="Times New Roman"/>
                <w:sz w:val="20"/>
              </w:rPr>
            </w:pPr>
          </w:p>
        </w:tc>
        <w:tc>
          <w:tcPr>
            <w:tcW w:w="3692" w:type="dxa"/>
          </w:tcPr>
          <w:p>
            <w:pPr>
              <w:pStyle w:val="TableParagraph"/>
              <w:spacing w:line="227" w:lineRule="exact"/>
              <w:ind w:left="102"/>
              <w:rPr>
                <w:sz w:val="20"/>
              </w:rPr>
            </w:pPr>
            <w:r>
              <w:rPr>
                <w:sz w:val="20"/>
              </w:rPr>
              <w:t>Yüksek ateş</w:t>
            </w:r>
          </w:p>
        </w:tc>
        <w:tc>
          <w:tcPr>
            <w:tcW w:w="711" w:type="dxa"/>
          </w:tcPr>
          <w:p>
            <w:pPr>
              <w:pStyle w:val="TableParagraph"/>
              <w:rPr>
                <w:rFonts w:ascii="Times New Roman"/>
                <w:sz w:val="20"/>
              </w:rPr>
            </w:pPr>
          </w:p>
        </w:tc>
      </w:tr>
      <w:tr>
        <w:trPr>
          <w:trHeight w:val="398" w:hRule="atLeast"/>
        </w:trPr>
        <w:tc>
          <w:tcPr>
            <w:tcW w:w="3314" w:type="dxa"/>
            <w:tcBorders>
              <w:top w:val="nil"/>
              <w:left w:val="nil"/>
              <w:bottom w:val="nil"/>
            </w:tcBorders>
          </w:tcPr>
          <w:p>
            <w:pPr>
              <w:pStyle w:val="TableParagraph"/>
              <w:rPr>
                <w:rFonts w:ascii="Times New Roman"/>
                <w:sz w:val="20"/>
              </w:rPr>
            </w:pPr>
          </w:p>
        </w:tc>
        <w:tc>
          <w:tcPr>
            <w:tcW w:w="3692" w:type="dxa"/>
          </w:tcPr>
          <w:p>
            <w:pPr>
              <w:pStyle w:val="TableParagraph"/>
              <w:spacing w:line="227" w:lineRule="exact"/>
              <w:ind w:left="102"/>
              <w:rPr>
                <w:sz w:val="20"/>
              </w:rPr>
            </w:pPr>
            <w:r>
              <w:rPr>
                <w:sz w:val="20"/>
              </w:rPr>
              <w:t>Diğer ………………………</w:t>
            </w:r>
          </w:p>
        </w:tc>
        <w:tc>
          <w:tcPr>
            <w:tcW w:w="711" w:type="dxa"/>
          </w:tcPr>
          <w:p>
            <w:pPr>
              <w:pStyle w:val="TableParagraph"/>
              <w:rPr>
                <w:rFonts w:ascii="Times New Roman"/>
                <w:sz w:val="20"/>
              </w:rPr>
            </w:pPr>
          </w:p>
        </w:tc>
      </w:tr>
    </w:tbl>
    <w:p>
      <w:pPr>
        <w:pStyle w:val="BodyText"/>
        <w:spacing w:before="10"/>
        <w:rPr>
          <w:b/>
          <w:sz w:val="21"/>
        </w:rPr>
      </w:pPr>
    </w:p>
    <w:p>
      <w:pPr>
        <w:spacing w:before="0"/>
        <w:ind w:left="1248" w:right="0" w:firstLine="0"/>
        <w:jc w:val="left"/>
        <w:rPr>
          <w:b/>
          <w:sz w:val="20"/>
        </w:rPr>
      </w:pPr>
      <w:r>
        <w:rPr/>
        <w:pict>
          <v:shape style="position:absolute;margin-left:277.630005pt;margin-top:-.220133pt;width:220.85pt;height:81.850pt;mso-position-horizontal-relative:page;mso-position-vertical-relative:paragraph;z-index:251680768"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92"/>
                    <w:gridCol w:w="711"/>
                  </w:tblGrid>
                  <w:tr>
                    <w:trPr>
                      <w:trHeight w:val="395" w:hRule="atLeast"/>
                    </w:trPr>
                    <w:tc>
                      <w:tcPr>
                        <w:tcW w:w="3692" w:type="dxa"/>
                      </w:tcPr>
                      <w:p>
                        <w:pPr>
                          <w:pStyle w:val="TableParagraph"/>
                          <w:spacing w:line="227" w:lineRule="exact"/>
                          <w:ind w:left="107"/>
                          <w:rPr>
                            <w:sz w:val="20"/>
                          </w:rPr>
                        </w:pPr>
                        <w:r>
                          <w:rPr>
                            <w:sz w:val="20"/>
                          </w:rPr>
                          <w:t>Rejim 1</w:t>
                        </w:r>
                      </w:p>
                    </w:tc>
                    <w:tc>
                      <w:tcPr>
                        <w:tcW w:w="711" w:type="dxa"/>
                      </w:tcPr>
                      <w:p>
                        <w:pPr>
                          <w:pStyle w:val="TableParagraph"/>
                          <w:rPr>
                            <w:rFonts w:ascii="Times New Roman"/>
                            <w:sz w:val="20"/>
                          </w:rPr>
                        </w:pPr>
                      </w:p>
                    </w:tc>
                  </w:tr>
                  <w:tr>
                    <w:trPr>
                      <w:trHeight w:val="397" w:hRule="atLeast"/>
                    </w:trPr>
                    <w:tc>
                      <w:tcPr>
                        <w:tcW w:w="3692" w:type="dxa"/>
                      </w:tcPr>
                      <w:p>
                        <w:pPr>
                          <w:pStyle w:val="TableParagraph"/>
                          <w:spacing w:line="227" w:lineRule="exact"/>
                          <w:ind w:left="107"/>
                          <w:rPr>
                            <w:sz w:val="20"/>
                          </w:rPr>
                        </w:pPr>
                        <w:r>
                          <w:rPr>
                            <w:sz w:val="20"/>
                          </w:rPr>
                          <w:t>Rejim 2</w:t>
                        </w:r>
                      </w:p>
                    </w:tc>
                    <w:tc>
                      <w:tcPr>
                        <w:tcW w:w="711" w:type="dxa"/>
                      </w:tcPr>
                      <w:p>
                        <w:pPr>
                          <w:pStyle w:val="TableParagraph"/>
                          <w:rPr>
                            <w:rFonts w:ascii="Times New Roman"/>
                            <w:sz w:val="20"/>
                          </w:rPr>
                        </w:pPr>
                      </w:p>
                    </w:tc>
                  </w:tr>
                  <w:tr>
                    <w:trPr>
                      <w:trHeight w:val="395" w:hRule="atLeast"/>
                    </w:trPr>
                    <w:tc>
                      <w:tcPr>
                        <w:tcW w:w="3692" w:type="dxa"/>
                      </w:tcPr>
                      <w:p>
                        <w:pPr>
                          <w:pStyle w:val="TableParagraph"/>
                          <w:spacing w:line="227" w:lineRule="exact"/>
                          <w:ind w:left="107"/>
                          <w:rPr>
                            <w:sz w:val="20"/>
                          </w:rPr>
                        </w:pPr>
                        <w:r>
                          <w:rPr>
                            <w:sz w:val="20"/>
                          </w:rPr>
                          <w:t>Rejim 3</w:t>
                        </w:r>
                      </w:p>
                    </w:tc>
                    <w:tc>
                      <w:tcPr>
                        <w:tcW w:w="711" w:type="dxa"/>
                      </w:tcPr>
                      <w:p>
                        <w:pPr>
                          <w:pStyle w:val="TableParagraph"/>
                          <w:rPr>
                            <w:rFonts w:ascii="Times New Roman"/>
                            <w:sz w:val="20"/>
                          </w:rPr>
                        </w:pPr>
                      </w:p>
                    </w:tc>
                  </w:tr>
                  <w:tr>
                    <w:trPr>
                      <w:trHeight w:val="397" w:hRule="atLeast"/>
                    </w:trPr>
                    <w:tc>
                      <w:tcPr>
                        <w:tcW w:w="3692" w:type="dxa"/>
                      </w:tcPr>
                      <w:p>
                        <w:pPr>
                          <w:pStyle w:val="TableParagraph"/>
                          <w:spacing w:line="229" w:lineRule="exact"/>
                          <w:ind w:left="107"/>
                          <w:rPr>
                            <w:sz w:val="20"/>
                          </w:rPr>
                        </w:pPr>
                        <w:r>
                          <w:rPr>
                            <w:sz w:val="20"/>
                          </w:rPr>
                          <w:t>Diğer………………………….</w:t>
                        </w:r>
                      </w:p>
                    </w:tc>
                    <w:tc>
                      <w:tcPr>
                        <w:tcW w:w="711" w:type="dxa"/>
                      </w:tcPr>
                      <w:p>
                        <w:pPr>
                          <w:pStyle w:val="TableParagraph"/>
                          <w:rPr>
                            <w:rFonts w:ascii="Times New Roman"/>
                            <w:sz w:val="20"/>
                          </w:rPr>
                        </w:pPr>
                      </w:p>
                    </w:tc>
                  </w:tr>
                </w:tbl>
                <w:p>
                  <w:pPr>
                    <w:pStyle w:val="BodyText"/>
                  </w:pPr>
                </w:p>
              </w:txbxContent>
            </v:textbox>
            <w10:wrap type="none"/>
          </v:shape>
        </w:pict>
      </w:r>
      <w:r>
        <w:rPr>
          <w:b/>
          <w:sz w:val="20"/>
        </w:rPr>
        <w:t>BESLENME DURUMU:</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4"/>
        <w:rPr>
          <w:b/>
          <w:sz w:val="32"/>
        </w:rPr>
      </w:pPr>
    </w:p>
    <w:p>
      <w:pPr>
        <w:tabs>
          <w:tab w:pos="4067" w:val="left" w:leader="dot"/>
        </w:tabs>
        <w:spacing w:before="1"/>
        <w:ind w:left="1248" w:right="0" w:firstLine="0"/>
        <w:jc w:val="left"/>
        <w:rPr>
          <w:sz w:val="20"/>
        </w:rPr>
      </w:pPr>
      <w:r>
        <w:rPr>
          <w:sz w:val="20"/>
        </w:rPr>
        <w:t>Serum</w:t>
      </w:r>
      <w:r>
        <w:rPr>
          <w:spacing w:val="-1"/>
          <w:sz w:val="20"/>
        </w:rPr>
        <w:t> </w:t>
      </w:r>
      <w:r>
        <w:rPr>
          <w:sz w:val="20"/>
        </w:rPr>
        <w:t>Albümin</w:t>
      </w:r>
      <w:r>
        <w:rPr>
          <w:spacing w:val="-5"/>
          <w:sz w:val="20"/>
        </w:rPr>
        <w:t> </w:t>
      </w:r>
      <w:r>
        <w:rPr>
          <w:sz w:val="20"/>
        </w:rPr>
        <w:t>düzeyi</w:t>
        <w:tab/>
        <w:t>g/dl</w:t>
      </w:r>
    </w:p>
    <w:p>
      <w:pPr>
        <w:pStyle w:val="BodyText"/>
      </w:pPr>
    </w:p>
    <w:p>
      <w:pPr>
        <w:pStyle w:val="BodyText"/>
        <w:spacing w:before="10"/>
      </w:pPr>
    </w:p>
    <w:p>
      <w:pPr>
        <w:tabs>
          <w:tab w:pos="4359" w:val="left" w:leader="dot"/>
        </w:tabs>
        <w:spacing w:before="1"/>
        <w:ind w:left="1248" w:right="0" w:firstLine="0"/>
        <w:jc w:val="left"/>
        <w:rPr>
          <w:sz w:val="20"/>
        </w:rPr>
      </w:pPr>
      <w:r>
        <w:rPr>
          <w:sz w:val="20"/>
        </w:rPr>
        <w:t>Serum</w:t>
      </w:r>
      <w:r>
        <w:rPr>
          <w:spacing w:val="-2"/>
          <w:sz w:val="20"/>
        </w:rPr>
        <w:t> </w:t>
      </w:r>
      <w:r>
        <w:rPr>
          <w:sz w:val="20"/>
        </w:rPr>
        <w:t>Hemoglobin</w:t>
      </w:r>
      <w:r>
        <w:rPr>
          <w:spacing w:val="-4"/>
          <w:sz w:val="20"/>
        </w:rPr>
        <w:t> </w:t>
      </w:r>
      <w:r>
        <w:rPr>
          <w:sz w:val="20"/>
        </w:rPr>
        <w:t>düzeyi</w:t>
        <w:tab/>
        <w:t>g/dl</w:t>
      </w:r>
    </w:p>
    <w:p>
      <w:pPr>
        <w:pStyle w:val="BodyText"/>
      </w:pPr>
    </w:p>
    <w:p>
      <w:pPr>
        <w:pStyle w:val="BodyText"/>
        <w:spacing w:before="8"/>
      </w:pPr>
    </w:p>
    <w:p>
      <w:pPr>
        <w:tabs>
          <w:tab w:pos="2713" w:val="left" w:leader="none"/>
          <w:tab w:pos="4301" w:val="left" w:leader="none"/>
          <w:tab w:pos="6144" w:val="left" w:leader="none"/>
        </w:tabs>
        <w:spacing w:before="0"/>
        <w:ind w:left="1248" w:right="0" w:firstLine="0"/>
        <w:jc w:val="left"/>
        <w:rPr>
          <w:sz w:val="20"/>
        </w:rPr>
      </w:pPr>
      <w:r>
        <w:rPr>
          <w:sz w:val="20"/>
        </w:rPr>
        <w:t>İnkontinans:</w:t>
        <w:tab/>
        <w:t>Yok</w:t>
      </w:r>
      <w:r>
        <w:rPr>
          <w:spacing w:val="1"/>
          <w:sz w:val="20"/>
        </w:rPr>
        <w:t> </w:t>
      </w:r>
      <w:r>
        <w:rPr>
          <w:sz w:val="20"/>
        </w:rPr>
        <w:t>(</w:t>
      </w:r>
      <w:r>
        <w:rPr>
          <w:spacing w:val="54"/>
          <w:sz w:val="20"/>
        </w:rPr>
        <w:t> </w:t>
      </w:r>
      <w:r>
        <w:rPr>
          <w:sz w:val="20"/>
        </w:rPr>
        <w:t>)</w:t>
        <w:tab/>
        <w:t>Üriner</w:t>
      </w:r>
      <w:r>
        <w:rPr>
          <w:spacing w:val="-1"/>
          <w:sz w:val="20"/>
        </w:rPr>
        <w:t> </w:t>
      </w:r>
      <w:r>
        <w:rPr>
          <w:sz w:val="20"/>
        </w:rPr>
        <w:t>(</w:t>
      </w:r>
      <w:r>
        <w:rPr>
          <w:spacing w:val="54"/>
          <w:sz w:val="20"/>
        </w:rPr>
        <w:t> </w:t>
      </w:r>
      <w:r>
        <w:rPr>
          <w:sz w:val="20"/>
        </w:rPr>
        <w:t>)</w:t>
        <w:tab/>
        <w:t>Fekal (</w:t>
      </w:r>
      <w:r>
        <w:rPr>
          <w:spacing w:val="53"/>
          <w:sz w:val="20"/>
        </w:rPr>
        <w:t> </w:t>
      </w:r>
      <w:r>
        <w:rPr>
          <w:sz w:val="20"/>
        </w:rPr>
        <w:t>)</w:t>
      </w:r>
    </w:p>
    <w:p>
      <w:pPr>
        <w:pStyle w:val="BodyText"/>
      </w:pPr>
    </w:p>
    <w:p>
      <w:pPr>
        <w:pStyle w:val="BodyText"/>
        <w:spacing w:before="8"/>
      </w:pPr>
    </w:p>
    <w:p>
      <w:pPr>
        <w:tabs>
          <w:tab w:pos="4423" w:val="left" w:leader="none"/>
          <w:tab w:pos="6147" w:val="left" w:leader="none"/>
        </w:tabs>
        <w:spacing w:before="0"/>
        <w:ind w:left="1248" w:right="0" w:firstLine="0"/>
        <w:jc w:val="left"/>
        <w:rPr>
          <w:sz w:val="20"/>
        </w:rPr>
      </w:pPr>
      <w:r>
        <w:rPr>
          <w:sz w:val="20"/>
        </w:rPr>
        <w:t>Havalı</w:t>
      </w:r>
      <w:r>
        <w:rPr>
          <w:spacing w:val="1"/>
          <w:sz w:val="20"/>
        </w:rPr>
        <w:t> </w:t>
      </w:r>
      <w:r>
        <w:rPr>
          <w:sz w:val="20"/>
        </w:rPr>
        <w:t>yatak</w:t>
      </w:r>
      <w:r>
        <w:rPr>
          <w:spacing w:val="-3"/>
          <w:sz w:val="20"/>
        </w:rPr>
        <w:t> </w:t>
      </w:r>
      <w:r>
        <w:rPr>
          <w:sz w:val="20"/>
        </w:rPr>
        <w:t>kullanımı:</w:t>
        <w:tab/>
        <w:t>Var</w:t>
      </w:r>
      <w:r>
        <w:rPr>
          <w:spacing w:val="-2"/>
          <w:sz w:val="20"/>
        </w:rPr>
        <w:t> </w:t>
      </w:r>
      <w:r>
        <w:rPr>
          <w:sz w:val="20"/>
        </w:rPr>
        <w:t>(</w:t>
      </w:r>
      <w:r>
        <w:rPr>
          <w:spacing w:val="55"/>
          <w:sz w:val="20"/>
        </w:rPr>
        <w:t> </w:t>
      </w:r>
      <w:r>
        <w:rPr>
          <w:sz w:val="20"/>
        </w:rPr>
        <w:t>)</w:t>
        <w:tab/>
        <w:t>Yok (</w:t>
      </w:r>
      <w:r>
        <w:rPr>
          <w:spacing w:val="1"/>
          <w:sz w:val="20"/>
        </w:rPr>
        <w:t> </w:t>
      </w:r>
      <w:r>
        <w:rPr>
          <w:sz w:val="20"/>
        </w:rPr>
        <w:t>)</w:t>
      </w:r>
    </w:p>
    <w:p>
      <w:pPr>
        <w:spacing w:after="0"/>
        <w:jc w:val="left"/>
        <w:rPr>
          <w:sz w:val="20"/>
        </w:rPr>
        <w:sectPr>
          <w:headerReference w:type="default" r:id="rId30"/>
          <w:pgSz w:w="11910" w:h="16840"/>
          <w:pgMar w:header="1430" w:footer="0" w:top="1660" w:bottom="280" w:left="1020" w:right="460"/>
        </w:sectPr>
      </w:pPr>
    </w:p>
    <w:p>
      <w:pPr>
        <w:pStyle w:val="BodyText"/>
        <w:ind w:left="9389"/>
        <w:rPr>
          <w:sz w:val="20"/>
        </w:rPr>
      </w:pPr>
      <w:r>
        <w:rPr/>
        <w:pict>
          <v:shape style="position:absolute;margin-left:533.159973pt;margin-top:37.439983pt;width:5.6pt;height:11.05pt;mso-position-horizontal-relative:page;mso-position-vertical-relative:page;z-index:-255538176" type="#_x0000_t202" filled="false" stroked="false">
            <v:textbox inset="0,0,0,0">
              <w:txbxContent>
                <w:p>
                  <w:pPr>
                    <w:pStyle w:val="BodyText"/>
                    <w:spacing w:line="221" w:lineRule="exact"/>
                    <w:rPr>
                      <w:rFonts w:ascii="Calibri"/>
                    </w:rPr>
                  </w:pPr>
                  <w:r>
                    <w:rPr>
                      <w:rFonts w:ascii="Calibri"/>
                      <w:w w:val="100"/>
                    </w:rPr>
                    <w:t>3</w:t>
                  </w:r>
                </w:p>
              </w:txbxContent>
            </v:textbox>
            <w10:wrap type="none"/>
          </v:shape>
        </w:pict>
      </w:r>
      <w:r>
        <w:rPr>
          <w:sz w:val="20"/>
        </w:rPr>
        <w:pict>
          <v:group style="width:42.2pt;height:33.9pt;mso-position-horizontal-relative:char;mso-position-vertical-relative:line" coordorigin="0,0" coordsize="844,678">
            <v:rect style="position:absolute;left:0;top:0;width:844;height:678" filled="true" fillcolor="#ffffff" stroked="false">
              <v:fill type="solid"/>
            </v:rect>
          </v:group>
        </w:pict>
      </w:r>
      <w:r>
        <w:rPr>
          <w:sz w:val="20"/>
        </w:rPr>
      </w:r>
    </w:p>
    <w:p>
      <w:pPr>
        <w:pStyle w:val="BodyText"/>
        <w:spacing w:before="4"/>
        <w:rPr>
          <w:sz w:val="20"/>
        </w:rPr>
      </w:pPr>
    </w:p>
    <w:tbl>
      <w:tblPr>
        <w:tblW w:w="0" w:type="auto"/>
        <w:jc w:val="left"/>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04"/>
        <w:gridCol w:w="545"/>
        <w:gridCol w:w="1645"/>
        <w:gridCol w:w="3803"/>
      </w:tblGrid>
      <w:tr>
        <w:trPr>
          <w:trHeight w:val="246" w:hRule="atLeast"/>
        </w:trPr>
        <w:tc>
          <w:tcPr>
            <w:tcW w:w="2504" w:type="dxa"/>
          </w:tcPr>
          <w:p>
            <w:pPr>
              <w:pStyle w:val="TableParagraph"/>
              <w:spacing w:line="227" w:lineRule="exact"/>
              <w:ind w:left="107"/>
              <w:rPr>
                <w:sz w:val="20"/>
              </w:rPr>
            </w:pPr>
            <w:r>
              <w:rPr>
                <w:sz w:val="20"/>
              </w:rPr>
              <w:t>Pozisyon değişimi:</w:t>
            </w:r>
          </w:p>
        </w:tc>
        <w:tc>
          <w:tcPr>
            <w:tcW w:w="545" w:type="dxa"/>
          </w:tcPr>
          <w:p>
            <w:pPr>
              <w:pStyle w:val="TableParagraph"/>
              <w:rPr>
                <w:rFonts w:ascii="Times New Roman"/>
                <w:sz w:val="16"/>
              </w:rPr>
            </w:pPr>
          </w:p>
        </w:tc>
        <w:tc>
          <w:tcPr>
            <w:tcW w:w="1645" w:type="dxa"/>
          </w:tcPr>
          <w:p>
            <w:pPr>
              <w:pStyle w:val="TableParagraph"/>
              <w:spacing w:line="227" w:lineRule="exact"/>
              <w:ind w:left="107"/>
              <w:rPr>
                <w:sz w:val="20"/>
              </w:rPr>
            </w:pPr>
            <w:r>
              <w:rPr>
                <w:sz w:val="20"/>
              </w:rPr>
              <w:t>Yapılıyor</w:t>
            </w:r>
          </w:p>
        </w:tc>
        <w:tc>
          <w:tcPr>
            <w:tcW w:w="3803" w:type="dxa"/>
          </w:tcPr>
          <w:p>
            <w:pPr>
              <w:pStyle w:val="TableParagraph"/>
              <w:spacing w:line="227" w:lineRule="exact"/>
              <w:ind w:left="106"/>
              <w:rPr>
                <w:sz w:val="20"/>
              </w:rPr>
            </w:pPr>
            <w:r>
              <w:rPr>
                <w:sz w:val="20"/>
              </w:rPr>
              <w:t>……….saatte</w:t>
            </w:r>
          </w:p>
        </w:tc>
      </w:tr>
      <w:tr>
        <w:trPr>
          <w:trHeight w:val="249" w:hRule="atLeast"/>
        </w:trPr>
        <w:tc>
          <w:tcPr>
            <w:tcW w:w="2504" w:type="dxa"/>
          </w:tcPr>
          <w:p>
            <w:pPr>
              <w:pStyle w:val="TableParagraph"/>
              <w:rPr>
                <w:rFonts w:ascii="Times New Roman"/>
                <w:sz w:val="18"/>
              </w:rPr>
            </w:pPr>
          </w:p>
        </w:tc>
        <w:tc>
          <w:tcPr>
            <w:tcW w:w="545" w:type="dxa"/>
          </w:tcPr>
          <w:p>
            <w:pPr>
              <w:pStyle w:val="TableParagraph"/>
              <w:rPr>
                <w:rFonts w:ascii="Times New Roman"/>
                <w:sz w:val="18"/>
              </w:rPr>
            </w:pPr>
          </w:p>
        </w:tc>
        <w:tc>
          <w:tcPr>
            <w:tcW w:w="1645" w:type="dxa"/>
          </w:tcPr>
          <w:p>
            <w:pPr>
              <w:pStyle w:val="TableParagraph"/>
              <w:spacing w:line="227" w:lineRule="exact"/>
              <w:ind w:left="107"/>
              <w:rPr>
                <w:sz w:val="20"/>
              </w:rPr>
            </w:pPr>
            <w:r>
              <w:rPr>
                <w:sz w:val="20"/>
              </w:rPr>
              <w:t>Yapılmıyor</w:t>
            </w:r>
          </w:p>
        </w:tc>
        <w:tc>
          <w:tcPr>
            <w:tcW w:w="3803" w:type="dxa"/>
          </w:tcPr>
          <w:p>
            <w:pPr>
              <w:pStyle w:val="TableParagraph"/>
              <w:rPr>
                <w:rFonts w:ascii="Times New Roman"/>
                <w:sz w:val="18"/>
              </w:rPr>
            </w:pPr>
          </w:p>
        </w:tc>
      </w:tr>
    </w:tbl>
    <w:p>
      <w:pPr>
        <w:pStyle w:val="BodyText"/>
        <w:rPr>
          <w:sz w:val="20"/>
        </w:rPr>
      </w:pPr>
    </w:p>
    <w:p>
      <w:pPr>
        <w:pStyle w:val="BodyText"/>
        <w:rPr>
          <w:sz w:val="20"/>
        </w:rPr>
      </w:pPr>
    </w:p>
    <w:p>
      <w:pPr>
        <w:pStyle w:val="BodyText"/>
        <w:spacing w:before="8"/>
        <w:rPr>
          <w:sz w:val="24"/>
        </w:rPr>
      </w:pPr>
    </w:p>
    <w:tbl>
      <w:tblPr>
        <w:tblW w:w="0" w:type="auto"/>
        <w:jc w:val="left"/>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02"/>
        <w:gridCol w:w="528"/>
        <w:gridCol w:w="2376"/>
        <w:gridCol w:w="528"/>
        <w:gridCol w:w="2685"/>
      </w:tblGrid>
      <w:tr>
        <w:trPr>
          <w:trHeight w:val="249" w:hRule="atLeast"/>
        </w:trPr>
        <w:tc>
          <w:tcPr>
            <w:tcW w:w="2602" w:type="dxa"/>
          </w:tcPr>
          <w:p>
            <w:pPr>
              <w:pStyle w:val="TableParagraph"/>
              <w:spacing w:line="227" w:lineRule="exact"/>
              <w:ind w:left="107"/>
              <w:rPr>
                <w:sz w:val="20"/>
              </w:rPr>
            </w:pPr>
            <w:r>
              <w:rPr>
                <w:sz w:val="20"/>
              </w:rPr>
              <w:t>Cilt bakımı</w:t>
            </w:r>
          </w:p>
        </w:tc>
        <w:tc>
          <w:tcPr>
            <w:tcW w:w="528" w:type="dxa"/>
          </w:tcPr>
          <w:p>
            <w:pPr>
              <w:pStyle w:val="TableParagraph"/>
              <w:rPr>
                <w:rFonts w:ascii="Times New Roman"/>
                <w:sz w:val="18"/>
              </w:rPr>
            </w:pPr>
          </w:p>
        </w:tc>
        <w:tc>
          <w:tcPr>
            <w:tcW w:w="2376" w:type="dxa"/>
          </w:tcPr>
          <w:p>
            <w:pPr>
              <w:pStyle w:val="TableParagraph"/>
              <w:spacing w:line="227" w:lineRule="exact"/>
              <w:ind w:left="108"/>
              <w:rPr>
                <w:sz w:val="20"/>
              </w:rPr>
            </w:pPr>
            <w:r>
              <w:rPr>
                <w:sz w:val="20"/>
              </w:rPr>
              <w:t>Yapılıyor</w:t>
            </w:r>
          </w:p>
        </w:tc>
        <w:tc>
          <w:tcPr>
            <w:tcW w:w="528" w:type="dxa"/>
          </w:tcPr>
          <w:p>
            <w:pPr>
              <w:pStyle w:val="TableParagraph"/>
              <w:rPr>
                <w:rFonts w:ascii="Times New Roman"/>
                <w:sz w:val="18"/>
              </w:rPr>
            </w:pPr>
          </w:p>
        </w:tc>
        <w:tc>
          <w:tcPr>
            <w:tcW w:w="2685" w:type="dxa"/>
          </w:tcPr>
          <w:p>
            <w:pPr>
              <w:pStyle w:val="TableParagraph"/>
              <w:spacing w:line="227" w:lineRule="exact"/>
              <w:ind w:left="109"/>
              <w:rPr>
                <w:sz w:val="20"/>
              </w:rPr>
            </w:pPr>
            <w:r>
              <w:rPr>
                <w:sz w:val="20"/>
              </w:rPr>
              <w:t>Yapılmıyor</w:t>
            </w:r>
          </w:p>
        </w:tc>
      </w:tr>
    </w:tbl>
    <w:p>
      <w:pPr>
        <w:pStyle w:val="BodyText"/>
        <w:rPr>
          <w:sz w:val="20"/>
        </w:rPr>
      </w:pPr>
    </w:p>
    <w:p>
      <w:pPr>
        <w:pStyle w:val="BodyText"/>
        <w:rPr>
          <w:sz w:val="20"/>
        </w:rPr>
      </w:pPr>
    </w:p>
    <w:p>
      <w:pPr>
        <w:pStyle w:val="BodyText"/>
        <w:spacing w:before="8"/>
        <w:rPr>
          <w:sz w:val="24"/>
        </w:rPr>
      </w:pPr>
    </w:p>
    <w:tbl>
      <w:tblPr>
        <w:tblW w:w="0" w:type="auto"/>
        <w:jc w:val="left"/>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07"/>
        <w:gridCol w:w="1276"/>
        <w:gridCol w:w="1699"/>
      </w:tblGrid>
      <w:tr>
        <w:trPr>
          <w:trHeight w:val="330" w:hRule="atLeast"/>
        </w:trPr>
        <w:tc>
          <w:tcPr>
            <w:tcW w:w="4107" w:type="dxa"/>
          </w:tcPr>
          <w:p>
            <w:pPr>
              <w:pStyle w:val="TableParagraph"/>
              <w:spacing w:line="225" w:lineRule="exact"/>
              <w:ind w:left="107"/>
              <w:rPr>
                <w:b/>
                <w:sz w:val="20"/>
              </w:rPr>
            </w:pPr>
            <w:r>
              <w:rPr>
                <w:b/>
                <w:sz w:val="20"/>
              </w:rPr>
              <w:t>Eklem hareket açıklığı</w:t>
            </w:r>
          </w:p>
        </w:tc>
        <w:tc>
          <w:tcPr>
            <w:tcW w:w="1276" w:type="dxa"/>
          </w:tcPr>
          <w:p>
            <w:pPr>
              <w:pStyle w:val="TableParagraph"/>
              <w:spacing w:line="225" w:lineRule="exact"/>
              <w:ind w:left="108"/>
              <w:rPr>
                <w:b/>
                <w:sz w:val="20"/>
              </w:rPr>
            </w:pPr>
            <w:r>
              <w:rPr>
                <w:b/>
                <w:sz w:val="20"/>
              </w:rPr>
              <w:t>SAĞ</w:t>
            </w:r>
          </w:p>
        </w:tc>
        <w:tc>
          <w:tcPr>
            <w:tcW w:w="1699" w:type="dxa"/>
          </w:tcPr>
          <w:p>
            <w:pPr>
              <w:pStyle w:val="TableParagraph"/>
              <w:spacing w:line="225" w:lineRule="exact"/>
              <w:ind w:left="106"/>
              <w:rPr>
                <w:b/>
                <w:sz w:val="20"/>
              </w:rPr>
            </w:pPr>
            <w:r>
              <w:rPr>
                <w:b/>
                <w:sz w:val="20"/>
              </w:rPr>
              <w:t>SOL</w:t>
            </w:r>
          </w:p>
        </w:tc>
      </w:tr>
      <w:tr>
        <w:trPr>
          <w:trHeight w:val="330" w:hRule="atLeast"/>
        </w:trPr>
        <w:tc>
          <w:tcPr>
            <w:tcW w:w="4107" w:type="dxa"/>
          </w:tcPr>
          <w:p>
            <w:pPr>
              <w:pStyle w:val="TableParagraph"/>
              <w:spacing w:line="227" w:lineRule="exact"/>
              <w:ind w:left="107"/>
              <w:rPr>
                <w:sz w:val="20"/>
              </w:rPr>
            </w:pPr>
            <w:r>
              <w:rPr>
                <w:sz w:val="20"/>
              </w:rPr>
              <w:t>Omuz</w:t>
            </w:r>
          </w:p>
        </w:tc>
        <w:tc>
          <w:tcPr>
            <w:tcW w:w="1276" w:type="dxa"/>
          </w:tcPr>
          <w:p>
            <w:pPr>
              <w:pStyle w:val="TableParagraph"/>
              <w:rPr>
                <w:rFonts w:ascii="Times New Roman"/>
                <w:sz w:val="18"/>
              </w:rPr>
            </w:pPr>
          </w:p>
        </w:tc>
        <w:tc>
          <w:tcPr>
            <w:tcW w:w="1699" w:type="dxa"/>
          </w:tcPr>
          <w:p>
            <w:pPr>
              <w:pStyle w:val="TableParagraph"/>
              <w:rPr>
                <w:rFonts w:ascii="Times New Roman"/>
                <w:sz w:val="18"/>
              </w:rPr>
            </w:pPr>
          </w:p>
        </w:tc>
      </w:tr>
      <w:tr>
        <w:trPr>
          <w:trHeight w:val="328" w:hRule="atLeast"/>
        </w:trPr>
        <w:tc>
          <w:tcPr>
            <w:tcW w:w="4107" w:type="dxa"/>
          </w:tcPr>
          <w:p>
            <w:pPr>
              <w:pStyle w:val="TableParagraph"/>
              <w:spacing w:line="227" w:lineRule="exact"/>
              <w:ind w:left="107"/>
              <w:rPr>
                <w:sz w:val="20"/>
              </w:rPr>
            </w:pPr>
            <w:r>
              <w:rPr>
                <w:sz w:val="20"/>
              </w:rPr>
              <w:t>Dirsek</w:t>
            </w:r>
          </w:p>
        </w:tc>
        <w:tc>
          <w:tcPr>
            <w:tcW w:w="1276" w:type="dxa"/>
          </w:tcPr>
          <w:p>
            <w:pPr>
              <w:pStyle w:val="TableParagraph"/>
              <w:rPr>
                <w:rFonts w:ascii="Times New Roman"/>
                <w:sz w:val="18"/>
              </w:rPr>
            </w:pPr>
          </w:p>
        </w:tc>
        <w:tc>
          <w:tcPr>
            <w:tcW w:w="1699" w:type="dxa"/>
          </w:tcPr>
          <w:p>
            <w:pPr>
              <w:pStyle w:val="TableParagraph"/>
              <w:rPr>
                <w:rFonts w:ascii="Times New Roman"/>
                <w:sz w:val="18"/>
              </w:rPr>
            </w:pPr>
          </w:p>
        </w:tc>
      </w:tr>
      <w:tr>
        <w:trPr>
          <w:trHeight w:val="330" w:hRule="atLeast"/>
        </w:trPr>
        <w:tc>
          <w:tcPr>
            <w:tcW w:w="4107" w:type="dxa"/>
          </w:tcPr>
          <w:p>
            <w:pPr>
              <w:pStyle w:val="TableParagraph"/>
              <w:spacing w:line="227" w:lineRule="exact"/>
              <w:ind w:left="107"/>
              <w:rPr>
                <w:sz w:val="20"/>
              </w:rPr>
            </w:pPr>
            <w:r>
              <w:rPr>
                <w:sz w:val="20"/>
              </w:rPr>
              <w:t>El bileği</w:t>
            </w:r>
          </w:p>
        </w:tc>
        <w:tc>
          <w:tcPr>
            <w:tcW w:w="1276" w:type="dxa"/>
          </w:tcPr>
          <w:p>
            <w:pPr>
              <w:pStyle w:val="TableParagraph"/>
              <w:rPr>
                <w:rFonts w:ascii="Times New Roman"/>
                <w:sz w:val="18"/>
              </w:rPr>
            </w:pPr>
          </w:p>
        </w:tc>
        <w:tc>
          <w:tcPr>
            <w:tcW w:w="1699" w:type="dxa"/>
          </w:tcPr>
          <w:p>
            <w:pPr>
              <w:pStyle w:val="TableParagraph"/>
              <w:rPr>
                <w:rFonts w:ascii="Times New Roman"/>
                <w:sz w:val="18"/>
              </w:rPr>
            </w:pPr>
          </w:p>
        </w:tc>
      </w:tr>
      <w:tr>
        <w:trPr>
          <w:trHeight w:val="331" w:hRule="atLeast"/>
        </w:trPr>
        <w:tc>
          <w:tcPr>
            <w:tcW w:w="4107" w:type="dxa"/>
          </w:tcPr>
          <w:p>
            <w:pPr>
              <w:pStyle w:val="TableParagraph"/>
              <w:spacing w:line="228" w:lineRule="exact"/>
              <w:ind w:left="107"/>
              <w:rPr>
                <w:sz w:val="20"/>
              </w:rPr>
            </w:pPr>
            <w:r>
              <w:rPr>
                <w:sz w:val="20"/>
              </w:rPr>
              <w:t>El parmakları</w:t>
            </w:r>
          </w:p>
        </w:tc>
        <w:tc>
          <w:tcPr>
            <w:tcW w:w="1276" w:type="dxa"/>
          </w:tcPr>
          <w:p>
            <w:pPr>
              <w:pStyle w:val="TableParagraph"/>
              <w:rPr>
                <w:rFonts w:ascii="Times New Roman"/>
                <w:sz w:val="18"/>
              </w:rPr>
            </w:pPr>
          </w:p>
        </w:tc>
        <w:tc>
          <w:tcPr>
            <w:tcW w:w="1699" w:type="dxa"/>
          </w:tcPr>
          <w:p>
            <w:pPr>
              <w:pStyle w:val="TableParagraph"/>
              <w:rPr>
                <w:rFonts w:ascii="Times New Roman"/>
                <w:sz w:val="18"/>
              </w:rPr>
            </w:pPr>
          </w:p>
        </w:tc>
      </w:tr>
      <w:tr>
        <w:trPr>
          <w:trHeight w:val="328" w:hRule="atLeast"/>
        </w:trPr>
        <w:tc>
          <w:tcPr>
            <w:tcW w:w="4107" w:type="dxa"/>
          </w:tcPr>
          <w:p>
            <w:pPr>
              <w:pStyle w:val="TableParagraph"/>
              <w:spacing w:line="227" w:lineRule="exact"/>
              <w:ind w:left="107"/>
              <w:rPr>
                <w:sz w:val="20"/>
              </w:rPr>
            </w:pPr>
            <w:r>
              <w:rPr>
                <w:sz w:val="20"/>
              </w:rPr>
              <w:t>Kalça</w:t>
            </w:r>
          </w:p>
        </w:tc>
        <w:tc>
          <w:tcPr>
            <w:tcW w:w="1276" w:type="dxa"/>
          </w:tcPr>
          <w:p>
            <w:pPr>
              <w:pStyle w:val="TableParagraph"/>
              <w:rPr>
                <w:rFonts w:ascii="Times New Roman"/>
                <w:sz w:val="18"/>
              </w:rPr>
            </w:pPr>
          </w:p>
        </w:tc>
        <w:tc>
          <w:tcPr>
            <w:tcW w:w="1699" w:type="dxa"/>
          </w:tcPr>
          <w:p>
            <w:pPr>
              <w:pStyle w:val="TableParagraph"/>
              <w:rPr>
                <w:rFonts w:ascii="Times New Roman"/>
                <w:sz w:val="18"/>
              </w:rPr>
            </w:pPr>
          </w:p>
        </w:tc>
      </w:tr>
      <w:tr>
        <w:trPr>
          <w:trHeight w:val="330" w:hRule="atLeast"/>
        </w:trPr>
        <w:tc>
          <w:tcPr>
            <w:tcW w:w="4107" w:type="dxa"/>
          </w:tcPr>
          <w:p>
            <w:pPr>
              <w:pStyle w:val="TableParagraph"/>
              <w:spacing w:line="227" w:lineRule="exact"/>
              <w:ind w:left="107"/>
              <w:rPr>
                <w:sz w:val="20"/>
              </w:rPr>
            </w:pPr>
            <w:r>
              <w:rPr>
                <w:sz w:val="20"/>
              </w:rPr>
              <w:t>Diz</w:t>
            </w:r>
          </w:p>
        </w:tc>
        <w:tc>
          <w:tcPr>
            <w:tcW w:w="1276" w:type="dxa"/>
          </w:tcPr>
          <w:p>
            <w:pPr>
              <w:pStyle w:val="TableParagraph"/>
              <w:rPr>
                <w:rFonts w:ascii="Times New Roman"/>
                <w:sz w:val="18"/>
              </w:rPr>
            </w:pPr>
          </w:p>
        </w:tc>
        <w:tc>
          <w:tcPr>
            <w:tcW w:w="1699" w:type="dxa"/>
          </w:tcPr>
          <w:p>
            <w:pPr>
              <w:pStyle w:val="TableParagraph"/>
              <w:rPr>
                <w:rFonts w:ascii="Times New Roman"/>
                <w:sz w:val="18"/>
              </w:rPr>
            </w:pPr>
          </w:p>
        </w:tc>
      </w:tr>
      <w:tr>
        <w:trPr>
          <w:trHeight w:val="330" w:hRule="atLeast"/>
        </w:trPr>
        <w:tc>
          <w:tcPr>
            <w:tcW w:w="4107" w:type="dxa"/>
          </w:tcPr>
          <w:p>
            <w:pPr>
              <w:pStyle w:val="TableParagraph"/>
              <w:spacing w:line="227" w:lineRule="exact"/>
              <w:ind w:left="107"/>
              <w:rPr>
                <w:sz w:val="20"/>
              </w:rPr>
            </w:pPr>
            <w:r>
              <w:rPr>
                <w:sz w:val="20"/>
              </w:rPr>
              <w:t>Ayak bileği</w:t>
            </w:r>
          </w:p>
        </w:tc>
        <w:tc>
          <w:tcPr>
            <w:tcW w:w="1276" w:type="dxa"/>
          </w:tcPr>
          <w:p>
            <w:pPr>
              <w:pStyle w:val="TableParagraph"/>
              <w:rPr>
                <w:rFonts w:ascii="Times New Roman"/>
                <w:sz w:val="18"/>
              </w:rPr>
            </w:pPr>
          </w:p>
        </w:tc>
        <w:tc>
          <w:tcPr>
            <w:tcW w:w="1699" w:type="dxa"/>
          </w:tcPr>
          <w:p>
            <w:pPr>
              <w:pStyle w:val="TableParagraph"/>
              <w:rPr>
                <w:rFonts w:ascii="Times New Roman"/>
                <w:sz w:val="18"/>
              </w:rPr>
            </w:pPr>
          </w:p>
        </w:tc>
      </w:tr>
      <w:tr>
        <w:trPr>
          <w:trHeight w:val="328" w:hRule="atLeast"/>
        </w:trPr>
        <w:tc>
          <w:tcPr>
            <w:tcW w:w="4107" w:type="dxa"/>
          </w:tcPr>
          <w:p>
            <w:pPr>
              <w:pStyle w:val="TableParagraph"/>
              <w:spacing w:line="227" w:lineRule="exact"/>
              <w:ind w:left="107"/>
              <w:rPr>
                <w:sz w:val="20"/>
              </w:rPr>
            </w:pPr>
            <w:r>
              <w:rPr>
                <w:sz w:val="20"/>
              </w:rPr>
              <w:t>Ayak parmakları</w:t>
            </w:r>
          </w:p>
        </w:tc>
        <w:tc>
          <w:tcPr>
            <w:tcW w:w="1276" w:type="dxa"/>
          </w:tcPr>
          <w:p>
            <w:pPr>
              <w:pStyle w:val="TableParagraph"/>
              <w:rPr>
                <w:rFonts w:ascii="Times New Roman"/>
                <w:sz w:val="18"/>
              </w:rPr>
            </w:pPr>
          </w:p>
        </w:tc>
        <w:tc>
          <w:tcPr>
            <w:tcW w:w="1699" w:type="dxa"/>
          </w:tcPr>
          <w:p>
            <w:pPr>
              <w:pStyle w:val="TableParagraph"/>
              <w:rPr>
                <w:rFonts w:ascii="Times New Roman"/>
                <w:sz w:val="18"/>
              </w:rPr>
            </w:pPr>
          </w:p>
        </w:tc>
      </w:tr>
      <w:tr>
        <w:trPr>
          <w:trHeight w:val="330" w:hRule="atLeast"/>
        </w:trPr>
        <w:tc>
          <w:tcPr>
            <w:tcW w:w="7082" w:type="dxa"/>
            <w:gridSpan w:val="3"/>
          </w:tcPr>
          <w:p>
            <w:pPr>
              <w:pStyle w:val="TableParagraph"/>
              <w:spacing w:line="227" w:lineRule="exact"/>
              <w:ind w:left="107"/>
              <w:rPr>
                <w:sz w:val="20"/>
              </w:rPr>
            </w:pPr>
            <w:r>
              <w:rPr>
                <w:sz w:val="20"/>
              </w:rPr>
              <w:t>*Değerlendirme “kısıtlı” veya “tam” olarak yapılacaktır.</w:t>
            </w:r>
          </w:p>
        </w:tc>
      </w:tr>
    </w:tbl>
    <w:p>
      <w:pPr>
        <w:pStyle w:val="BodyText"/>
        <w:rPr>
          <w:sz w:val="20"/>
        </w:rPr>
      </w:pPr>
    </w:p>
    <w:p>
      <w:pPr>
        <w:pStyle w:val="BodyText"/>
        <w:rPr>
          <w:sz w:val="20"/>
        </w:rPr>
      </w:pPr>
    </w:p>
    <w:p>
      <w:pPr>
        <w:pStyle w:val="BodyText"/>
        <w:rPr>
          <w:sz w:val="20"/>
        </w:rPr>
      </w:pPr>
    </w:p>
    <w:p>
      <w:pPr>
        <w:pStyle w:val="BodyText"/>
        <w:spacing w:before="4"/>
        <w:rPr>
          <w:sz w:val="26"/>
        </w:rPr>
      </w:pPr>
    </w:p>
    <w:tbl>
      <w:tblPr>
        <w:tblW w:w="0" w:type="auto"/>
        <w:jc w:val="left"/>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87"/>
        <w:gridCol w:w="1132"/>
        <w:gridCol w:w="1135"/>
        <w:gridCol w:w="1132"/>
      </w:tblGrid>
      <w:tr>
        <w:trPr>
          <w:trHeight w:val="472" w:hRule="atLeast"/>
        </w:trPr>
        <w:tc>
          <w:tcPr>
            <w:tcW w:w="3687" w:type="dxa"/>
          </w:tcPr>
          <w:p>
            <w:pPr>
              <w:pStyle w:val="TableParagraph"/>
              <w:spacing w:line="225" w:lineRule="exact"/>
              <w:ind w:left="107"/>
              <w:rPr>
                <w:b/>
                <w:sz w:val="20"/>
              </w:rPr>
            </w:pPr>
            <w:r>
              <w:rPr>
                <w:b/>
                <w:sz w:val="20"/>
              </w:rPr>
              <w:t>Kas tonusu</w:t>
            </w:r>
          </w:p>
        </w:tc>
        <w:tc>
          <w:tcPr>
            <w:tcW w:w="1132" w:type="dxa"/>
          </w:tcPr>
          <w:p>
            <w:pPr>
              <w:pStyle w:val="TableParagraph"/>
              <w:spacing w:line="225" w:lineRule="exact"/>
              <w:ind w:left="108"/>
              <w:rPr>
                <w:b/>
                <w:sz w:val="20"/>
              </w:rPr>
            </w:pPr>
            <w:r>
              <w:rPr>
                <w:b/>
                <w:sz w:val="20"/>
              </w:rPr>
              <w:t>Azalmış</w:t>
            </w:r>
          </w:p>
        </w:tc>
        <w:tc>
          <w:tcPr>
            <w:tcW w:w="1135" w:type="dxa"/>
          </w:tcPr>
          <w:p>
            <w:pPr>
              <w:pStyle w:val="TableParagraph"/>
              <w:spacing w:line="225" w:lineRule="exact"/>
              <w:ind w:left="108"/>
              <w:rPr>
                <w:b/>
                <w:sz w:val="20"/>
              </w:rPr>
            </w:pPr>
            <w:r>
              <w:rPr>
                <w:b/>
                <w:sz w:val="20"/>
              </w:rPr>
              <w:t>Normal</w:t>
            </w:r>
          </w:p>
        </w:tc>
        <w:tc>
          <w:tcPr>
            <w:tcW w:w="1132" w:type="dxa"/>
          </w:tcPr>
          <w:p>
            <w:pPr>
              <w:pStyle w:val="TableParagraph"/>
              <w:spacing w:line="225" w:lineRule="exact"/>
              <w:ind w:left="109"/>
              <w:rPr>
                <w:b/>
                <w:sz w:val="20"/>
              </w:rPr>
            </w:pPr>
            <w:r>
              <w:rPr>
                <w:b/>
                <w:sz w:val="20"/>
              </w:rPr>
              <w:t>Artmış</w:t>
            </w:r>
          </w:p>
        </w:tc>
      </w:tr>
      <w:tr>
        <w:trPr>
          <w:trHeight w:val="328" w:hRule="atLeast"/>
        </w:trPr>
        <w:tc>
          <w:tcPr>
            <w:tcW w:w="3687" w:type="dxa"/>
          </w:tcPr>
          <w:p>
            <w:pPr>
              <w:pStyle w:val="TableParagraph"/>
              <w:spacing w:line="227" w:lineRule="exact"/>
              <w:ind w:left="107"/>
              <w:rPr>
                <w:sz w:val="20"/>
              </w:rPr>
            </w:pPr>
            <w:r>
              <w:rPr>
                <w:sz w:val="20"/>
              </w:rPr>
              <w:t>Üst ekstremite</w:t>
            </w:r>
          </w:p>
        </w:tc>
        <w:tc>
          <w:tcPr>
            <w:tcW w:w="1132" w:type="dxa"/>
          </w:tcPr>
          <w:p>
            <w:pPr>
              <w:pStyle w:val="TableParagraph"/>
              <w:rPr>
                <w:rFonts w:ascii="Times New Roman"/>
                <w:sz w:val="18"/>
              </w:rPr>
            </w:pPr>
          </w:p>
        </w:tc>
        <w:tc>
          <w:tcPr>
            <w:tcW w:w="1135" w:type="dxa"/>
          </w:tcPr>
          <w:p>
            <w:pPr>
              <w:pStyle w:val="TableParagraph"/>
              <w:rPr>
                <w:rFonts w:ascii="Times New Roman"/>
                <w:sz w:val="18"/>
              </w:rPr>
            </w:pPr>
          </w:p>
        </w:tc>
        <w:tc>
          <w:tcPr>
            <w:tcW w:w="1132" w:type="dxa"/>
          </w:tcPr>
          <w:p>
            <w:pPr>
              <w:pStyle w:val="TableParagraph"/>
              <w:rPr>
                <w:rFonts w:ascii="Times New Roman"/>
                <w:sz w:val="18"/>
              </w:rPr>
            </w:pPr>
          </w:p>
        </w:tc>
      </w:tr>
      <w:tr>
        <w:trPr>
          <w:trHeight w:val="330" w:hRule="atLeast"/>
        </w:trPr>
        <w:tc>
          <w:tcPr>
            <w:tcW w:w="3687" w:type="dxa"/>
          </w:tcPr>
          <w:p>
            <w:pPr>
              <w:pStyle w:val="TableParagraph"/>
              <w:spacing w:line="227" w:lineRule="exact"/>
              <w:ind w:left="107"/>
              <w:rPr>
                <w:sz w:val="20"/>
              </w:rPr>
            </w:pPr>
            <w:r>
              <w:rPr>
                <w:sz w:val="20"/>
              </w:rPr>
              <w:t>Alt ekstremite</w:t>
            </w:r>
          </w:p>
        </w:tc>
        <w:tc>
          <w:tcPr>
            <w:tcW w:w="1132" w:type="dxa"/>
          </w:tcPr>
          <w:p>
            <w:pPr>
              <w:pStyle w:val="TableParagraph"/>
              <w:rPr>
                <w:rFonts w:ascii="Times New Roman"/>
                <w:sz w:val="18"/>
              </w:rPr>
            </w:pPr>
          </w:p>
        </w:tc>
        <w:tc>
          <w:tcPr>
            <w:tcW w:w="1135" w:type="dxa"/>
          </w:tcPr>
          <w:p>
            <w:pPr>
              <w:pStyle w:val="TableParagraph"/>
              <w:rPr>
                <w:rFonts w:ascii="Times New Roman"/>
                <w:sz w:val="18"/>
              </w:rPr>
            </w:pPr>
          </w:p>
        </w:tc>
        <w:tc>
          <w:tcPr>
            <w:tcW w:w="1132" w:type="dxa"/>
          </w:tcPr>
          <w:p>
            <w:pPr>
              <w:pStyle w:val="TableParagraph"/>
              <w:rPr>
                <w:rFonts w:ascii="Times New Roman"/>
                <w:sz w:val="18"/>
              </w:rPr>
            </w:pPr>
          </w:p>
        </w:tc>
      </w:tr>
    </w:tbl>
    <w:p>
      <w:pPr>
        <w:spacing w:after="0"/>
        <w:rPr>
          <w:rFonts w:ascii="Times New Roman"/>
          <w:sz w:val="18"/>
        </w:rPr>
        <w:sectPr>
          <w:headerReference w:type="default" r:id="rId31"/>
          <w:pgSz w:w="11910" w:h="16840"/>
          <w:pgMar w:header="0" w:footer="0" w:top="460" w:bottom="280" w:left="1020" w:right="460"/>
        </w:sectPr>
      </w:pPr>
    </w:p>
    <w:p>
      <w:pPr>
        <w:pStyle w:val="BodyText"/>
        <w:spacing w:before="1"/>
        <w:rPr>
          <w:rFonts w:ascii="Times New Roman"/>
          <w:sz w:val="24"/>
        </w:rPr>
      </w:pPr>
      <w:r>
        <w:rPr/>
        <w:pict>
          <v:shape style="position:absolute;margin-left:533.159973pt;margin-top:37.439983pt;width:5.6pt;height:11.05pt;mso-position-horizontal-relative:page;mso-position-vertical-relative:page;z-index:-255537152" type="#_x0000_t202" filled="false" stroked="false">
            <v:textbox inset="0,0,0,0">
              <w:txbxContent>
                <w:p>
                  <w:pPr>
                    <w:pStyle w:val="BodyText"/>
                    <w:spacing w:line="221" w:lineRule="exact"/>
                    <w:rPr>
                      <w:rFonts w:ascii="Calibri"/>
                    </w:rPr>
                  </w:pPr>
                  <w:r>
                    <w:rPr>
                      <w:rFonts w:ascii="Calibri"/>
                      <w:w w:val="100"/>
                    </w:rPr>
                    <w:t>4</w:t>
                  </w:r>
                </w:p>
              </w:txbxContent>
            </v:textbox>
            <w10:wrap type="none"/>
          </v:shape>
        </w:pict>
      </w:r>
      <w:r>
        <w:rPr/>
        <w:pict>
          <v:rect style="position:absolute;margin-left:519.900024pt;margin-top:30.399982pt;width:42.2pt;height:33.9pt;mso-position-horizontal-relative:page;mso-position-vertical-relative:page;z-index:251684864" filled="true" fillcolor="#ffffff" stroked="false">
            <v:fill type="solid"/>
            <w10:wrap type="none"/>
          </v:rect>
        </w:pict>
      </w:r>
    </w:p>
    <w:tbl>
      <w:tblPr>
        <w:tblW w:w="0" w:type="auto"/>
        <w:jc w:val="left"/>
        <w:tblInd w:w="1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54"/>
        <w:gridCol w:w="698"/>
        <w:gridCol w:w="874"/>
        <w:gridCol w:w="1747"/>
        <w:gridCol w:w="1200"/>
        <w:gridCol w:w="1104"/>
        <w:gridCol w:w="1381"/>
        <w:gridCol w:w="1532"/>
      </w:tblGrid>
      <w:tr>
        <w:trPr>
          <w:trHeight w:val="424" w:hRule="atLeast"/>
        </w:trPr>
        <w:tc>
          <w:tcPr>
            <w:tcW w:w="854" w:type="dxa"/>
          </w:tcPr>
          <w:p>
            <w:pPr>
              <w:pStyle w:val="TableParagraph"/>
              <w:rPr>
                <w:rFonts w:ascii="Times New Roman"/>
                <w:sz w:val="18"/>
              </w:rPr>
            </w:pPr>
          </w:p>
        </w:tc>
        <w:tc>
          <w:tcPr>
            <w:tcW w:w="698" w:type="dxa"/>
          </w:tcPr>
          <w:p>
            <w:pPr>
              <w:pStyle w:val="TableParagraph"/>
              <w:spacing w:before="42"/>
              <w:ind w:left="110"/>
              <w:rPr>
                <w:b/>
                <w:sz w:val="18"/>
              </w:rPr>
            </w:pPr>
            <w:r>
              <w:rPr>
                <w:b/>
                <w:sz w:val="18"/>
              </w:rPr>
              <w:t>Puan</w:t>
            </w:r>
          </w:p>
        </w:tc>
        <w:tc>
          <w:tcPr>
            <w:tcW w:w="874" w:type="dxa"/>
          </w:tcPr>
          <w:p>
            <w:pPr>
              <w:pStyle w:val="TableParagraph"/>
              <w:spacing w:before="71"/>
              <w:ind w:left="48"/>
              <w:rPr>
                <w:b/>
                <w:sz w:val="22"/>
              </w:rPr>
            </w:pPr>
            <w:r>
              <w:rPr>
                <w:b/>
                <w:w w:val="100"/>
                <w:sz w:val="22"/>
              </w:rPr>
              <w:t>1</w:t>
            </w:r>
          </w:p>
        </w:tc>
        <w:tc>
          <w:tcPr>
            <w:tcW w:w="1747" w:type="dxa"/>
          </w:tcPr>
          <w:p>
            <w:pPr>
              <w:pStyle w:val="TableParagraph"/>
              <w:spacing w:before="71"/>
              <w:ind w:left="48"/>
              <w:rPr>
                <w:b/>
                <w:sz w:val="22"/>
              </w:rPr>
            </w:pPr>
            <w:r>
              <w:rPr>
                <w:b/>
                <w:w w:val="100"/>
                <w:sz w:val="22"/>
              </w:rPr>
              <w:t>2</w:t>
            </w:r>
          </w:p>
        </w:tc>
        <w:tc>
          <w:tcPr>
            <w:tcW w:w="1200" w:type="dxa"/>
          </w:tcPr>
          <w:p>
            <w:pPr>
              <w:pStyle w:val="TableParagraph"/>
              <w:spacing w:before="71"/>
              <w:ind w:left="48"/>
              <w:rPr>
                <w:b/>
                <w:sz w:val="22"/>
              </w:rPr>
            </w:pPr>
            <w:r>
              <w:rPr>
                <w:b/>
                <w:w w:val="100"/>
                <w:sz w:val="22"/>
              </w:rPr>
              <w:t>3</w:t>
            </w:r>
          </w:p>
        </w:tc>
        <w:tc>
          <w:tcPr>
            <w:tcW w:w="1104" w:type="dxa"/>
          </w:tcPr>
          <w:p>
            <w:pPr>
              <w:pStyle w:val="TableParagraph"/>
              <w:spacing w:before="71"/>
              <w:ind w:left="49"/>
              <w:rPr>
                <w:b/>
                <w:sz w:val="22"/>
              </w:rPr>
            </w:pPr>
            <w:r>
              <w:rPr>
                <w:b/>
                <w:w w:val="100"/>
                <w:sz w:val="22"/>
              </w:rPr>
              <w:t>4</w:t>
            </w:r>
          </w:p>
        </w:tc>
        <w:tc>
          <w:tcPr>
            <w:tcW w:w="1381" w:type="dxa"/>
          </w:tcPr>
          <w:p>
            <w:pPr>
              <w:pStyle w:val="TableParagraph"/>
              <w:spacing w:before="71"/>
              <w:ind w:left="49"/>
              <w:rPr>
                <w:b/>
                <w:sz w:val="22"/>
              </w:rPr>
            </w:pPr>
            <w:r>
              <w:rPr>
                <w:b/>
                <w:w w:val="100"/>
                <w:sz w:val="22"/>
              </w:rPr>
              <w:t>5</w:t>
            </w:r>
          </w:p>
        </w:tc>
        <w:tc>
          <w:tcPr>
            <w:tcW w:w="1532" w:type="dxa"/>
          </w:tcPr>
          <w:p>
            <w:pPr>
              <w:pStyle w:val="TableParagraph"/>
              <w:spacing w:before="71"/>
              <w:ind w:left="48"/>
              <w:rPr>
                <w:b/>
                <w:sz w:val="22"/>
              </w:rPr>
            </w:pPr>
            <w:r>
              <w:rPr>
                <w:b/>
                <w:w w:val="100"/>
                <w:sz w:val="22"/>
              </w:rPr>
              <w:t>6</w:t>
            </w:r>
          </w:p>
        </w:tc>
      </w:tr>
      <w:tr>
        <w:trPr>
          <w:trHeight w:val="1213" w:hRule="atLeast"/>
        </w:trPr>
        <w:tc>
          <w:tcPr>
            <w:tcW w:w="854" w:type="dxa"/>
          </w:tcPr>
          <w:p>
            <w:pPr>
              <w:pStyle w:val="TableParagraph"/>
              <w:rPr>
                <w:rFonts w:ascii="Times New Roman"/>
                <w:sz w:val="24"/>
              </w:rPr>
            </w:pPr>
          </w:p>
          <w:p>
            <w:pPr>
              <w:pStyle w:val="TableParagraph"/>
              <w:spacing w:before="189"/>
              <w:ind w:left="47"/>
              <w:rPr>
                <w:b/>
                <w:sz w:val="22"/>
              </w:rPr>
            </w:pPr>
            <w:r>
              <w:rPr>
                <w:b/>
                <w:sz w:val="22"/>
              </w:rPr>
              <w:t>Gözler</w:t>
            </w:r>
          </w:p>
        </w:tc>
        <w:tc>
          <w:tcPr>
            <w:tcW w:w="698" w:type="dxa"/>
          </w:tcPr>
          <w:p>
            <w:pPr>
              <w:pStyle w:val="TableParagraph"/>
              <w:rPr>
                <w:rFonts w:ascii="Times New Roman"/>
                <w:sz w:val="18"/>
              </w:rPr>
            </w:pPr>
          </w:p>
        </w:tc>
        <w:tc>
          <w:tcPr>
            <w:tcW w:w="874" w:type="dxa"/>
          </w:tcPr>
          <w:p>
            <w:pPr>
              <w:pStyle w:val="TableParagraph"/>
              <w:rPr>
                <w:rFonts w:ascii="Times New Roman"/>
                <w:sz w:val="20"/>
              </w:rPr>
            </w:pPr>
          </w:p>
          <w:p>
            <w:pPr>
              <w:pStyle w:val="TableParagraph"/>
              <w:spacing w:line="259" w:lineRule="auto" w:before="153"/>
              <w:ind w:left="48" w:right="90"/>
              <w:rPr>
                <w:sz w:val="18"/>
              </w:rPr>
            </w:pPr>
            <w:r>
              <w:rPr>
                <w:sz w:val="18"/>
              </w:rPr>
              <w:t>Yanıtsız, açmıyor</w:t>
            </w:r>
          </w:p>
        </w:tc>
        <w:tc>
          <w:tcPr>
            <w:tcW w:w="1747" w:type="dxa"/>
          </w:tcPr>
          <w:p>
            <w:pPr>
              <w:pStyle w:val="TableParagraph"/>
              <w:rPr>
                <w:rFonts w:ascii="Times New Roman"/>
                <w:sz w:val="20"/>
              </w:rPr>
            </w:pPr>
          </w:p>
          <w:p>
            <w:pPr>
              <w:pStyle w:val="TableParagraph"/>
              <w:spacing w:line="259" w:lineRule="auto" w:before="153"/>
              <w:ind w:left="48" w:right="413"/>
              <w:rPr>
                <w:sz w:val="18"/>
              </w:rPr>
            </w:pPr>
            <w:r>
              <w:rPr>
                <w:sz w:val="18"/>
              </w:rPr>
              <w:t>Ağrılı uyaran ile açabiliyor</w:t>
            </w:r>
          </w:p>
        </w:tc>
        <w:tc>
          <w:tcPr>
            <w:tcW w:w="1200" w:type="dxa"/>
          </w:tcPr>
          <w:p>
            <w:pPr>
              <w:pStyle w:val="TableParagraph"/>
              <w:rPr>
                <w:rFonts w:ascii="Times New Roman"/>
                <w:sz w:val="20"/>
              </w:rPr>
            </w:pPr>
          </w:p>
          <w:p>
            <w:pPr>
              <w:pStyle w:val="TableParagraph"/>
              <w:spacing w:line="259" w:lineRule="auto" w:before="153"/>
              <w:ind w:left="48" w:right="356"/>
              <w:rPr>
                <w:sz w:val="18"/>
              </w:rPr>
            </w:pPr>
            <w:r>
              <w:rPr>
                <w:sz w:val="18"/>
              </w:rPr>
              <w:t>Sözle açabiliyor</w:t>
            </w:r>
          </w:p>
        </w:tc>
        <w:tc>
          <w:tcPr>
            <w:tcW w:w="1104" w:type="dxa"/>
          </w:tcPr>
          <w:p>
            <w:pPr>
              <w:pStyle w:val="TableParagraph"/>
              <w:spacing w:line="259" w:lineRule="auto" w:before="47"/>
              <w:ind w:left="49" w:right="339"/>
              <w:rPr>
                <w:sz w:val="18"/>
              </w:rPr>
            </w:pPr>
            <w:r>
              <w:rPr>
                <w:sz w:val="18"/>
              </w:rPr>
              <w:t>Spontan açık ve normal olarak hareketli</w:t>
            </w:r>
          </w:p>
        </w:tc>
        <w:tc>
          <w:tcPr>
            <w:tcW w:w="1381" w:type="dxa"/>
          </w:tcPr>
          <w:p>
            <w:pPr>
              <w:pStyle w:val="TableParagraph"/>
              <w:rPr>
                <w:rFonts w:ascii="Times New Roman"/>
                <w:sz w:val="20"/>
              </w:rPr>
            </w:pPr>
          </w:p>
          <w:p>
            <w:pPr>
              <w:pStyle w:val="TableParagraph"/>
              <w:spacing w:before="1"/>
              <w:rPr>
                <w:rFonts w:ascii="Times New Roman"/>
                <w:sz w:val="23"/>
              </w:rPr>
            </w:pPr>
          </w:p>
          <w:p>
            <w:pPr>
              <w:pStyle w:val="TableParagraph"/>
              <w:ind w:left="49"/>
              <w:rPr>
                <w:sz w:val="18"/>
              </w:rPr>
            </w:pPr>
            <w:r>
              <w:rPr>
                <w:sz w:val="18"/>
              </w:rPr>
              <w:t>N/A</w:t>
            </w:r>
          </w:p>
        </w:tc>
        <w:tc>
          <w:tcPr>
            <w:tcW w:w="1532" w:type="dxa"/>
          </w:tcPr>
          <w:p>
            <w:pPr>
              <w:pStyle w:val="TableParagraph"/>
              <w:rPr>
                <w:rFonts w:ascii="Times New Roman"/>
                <w:sz w:val="20"/>
              </w:rPr>
            </w:pPr>
          </w:p>
          <w:p>
            <w:pPr>
              <w:pStyle w:val="TableParagraph"/>
              <w:spacing w:before="1"/>
              <w:rPr>
                <w:rFonts w:ascii="Times New Roman"/>
                <w:sz w:val="23"/>
              </w:rPr>
            </w:pPr>
          </w:p>
          <w:p>
            <w:pPr>
              <w:pStyle w:val="TableParagraph"/>
              <w:ind w:left="48"/>
              <w:rPr>
                <w:sz w:val="18"/>
              </w:rPr>
            </w:pPr>
            <w:r>
              <w:rPr>
                <w:sz w:val="18"/>
              </w:rPr>
              <w:t>N/A</w:t>
            </w:r>
          </w:p>
        </w:tc>
      </w:tr>
      <w:tr>
        <w:trPr>
          <w:trHeight w:val="1884" w:hRule="atLeast"/>
        </w:trPr>
        <w:tc>
          <w:tcPr>
            <w:tcW w:w="854" w:type="dxa"/>
          </w:tcPr>
          <w:p>
            <w:pPr>
              <w:pStyle w:val="TableParagraph"/>
              <w:rPr>
                <w:rFonts w:ascii="Times New Roman"/>
                <w:sz w:val="24"/>
              </w:rPr>
            </w:pPr>
          </w:p>
          <w:p>
            <w:pPr>
              <w:pStyle w:val="TableParagraph"/>
              <w:spacing w:before="10"/>
              <w:rPr>
                <w:rFonts w:ascii="Times New Roman"/>
                <w:sz w:val="21"/>
              </w:rPr>
            </w:pPr>
          </w:p>
          <w:p>
            <w:pPr>
              <w:pStyle w:val="TableParagraph"/>
              <w:spacing w:line="259" w:lineRule="auto"/>
              <w:ind w:left="47" w:right="115"/>
              <w:jc w:val="both"/>
              <w:rPr>
                <w:b/>
                <w:sz w:val="22"/>
              </w:rPr>
            </w:pPr>
            <w:r>
              <w:rPr>
                <w:b/>
                <w:sz w:val="22"/>
              </w:rPr>
              <w:t>Verbal (Sözel Yanıt)</w:t>
            </w:r>
          </w:p>
        </w:tc>
        <w:tc>
          <w:tcPr>
            <w:tcW w:w="698" w:type="dxa"/>
          </w:tcPr>
          <w:p>
            <w:pPr>
              <w:pStyle w:val="TableParagraph"/>
              <w:rPr>
                <w:rFonts w:ascii="Times New Roman"/>
                <w:sz w:val="18"/>
              </w:rPr>
            </w:pPr>
          </w:p>
        </w:tc>
        <w:tc>
          <w:tcPr>
            <w:tcW w:w="874"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39"/>
              <w:ind w:left="48"/>
              <w:rPr>
                <w:sz w:val="18"/>
              </w:rPr>
            </w:pPr>
            <w:r>
              <w:rPr>
                <w:sz w:val="18"/>
              </w:rPr>
              <w:t>Ses yok</w:t>
            </w:r>
          </w:p>
        </w:tc>
        <w:tc>
          <w:tcPr>
            <w:tcW w:w="1747" w:type="dxa"/>
          </w:tcPr>
          <w:p>
            <w:pPr>
              <w:pStyle w:val="TableParagraph"/>
              <w:rPr>
                <w:rFonts w:ascii="Times New Roman"/>
                <w:sz w:val="20"/>
              </w:rPr>
            </w:pPr>
          </w:p>
          <w:p>
            <w:pPr>
              <w:pStyle w:val="TableParagraph"/>
              <w:rPr>
                <w:rFonts w:ascii="Times New Roman"/>
                <w:sz w:val="20"/>
              </w:rPr>
            </w:pPr>
          </w:p>
          <w:p>
            <w:pPr>
              <w:pStyle w:val="TableParagraph"/>
              <w:spacing w:line="259" w:lineRule="auto" w:before="146"/>
              <w:ind w:left="48" w:right="273"/>
              <w:rPr>
                <w:sz w:val="18"/>
              </w:rPr>
            </w:pPr>
            <w:r>
              <w:rPr>
                <w:sz w:val="18"/>
              </w:rPr>
              <w:t>Tanımlanamayan kelime ve sesler çıkartıyor</w:t>
            </w:r>
          </w:p>
        </w:tc>
        <w:tc>
          <w:tcPr>
            <w:tcW w:w="1200" w:type="dxa"/>
          </w:tcPr>
          <w:p>
            <w:pPr>
              <w:pStyle w:val="TableParagraph"/>
              <w:spacing w:line="259" w:lineRule="auto" w:before="47"/>
              <w:ind w:left="48" w:right="106"/>
              <w:rPr>
                <w:sz w:val="18"/>
              </w:rPr>
            </w:pPr>
            <w:r>
              <w:rPr>
                <w:sz w:val="18"/>
              </w:rPr>
              <w:t>Uygun olmayan kelimeler kullanıyor fakat kelimeler tek tek seçilebiliyor</w:t>
            </w:r>
          </w:p>
        </w:tc>
        <w:tc>
          <w:tcPr>
            <w:tcW w:w="1104" w:type="dxa"/>
          </w:tcPr>
          <w:p>
            <w:pPr>
              <w:pStyle w:val="TableParagraph"/>
              <w:rPr>
                <w:rFonts w:ascii="Times New Roman"/>
                <w:sz w:val="20"/>
              </w:rPr>
            </w:pPr>
          </w:p>
          <w:p>
            <w:pPr>
              <w:pStyle w:val="TableParagraph"/>
              <w:spacing w:line="259" w:lineRule="auto" w:before="153"/>
              <w:ind w:left="49" w:right="139"/>
              <w:rPr>
                <w:sz w:val="18"/>
              </w:rPr>
            </w:pPr>
            <w:r>
              <w:rPr>
                <w:sz w:val="18"/>
              </w:rPr>
              <w:t>Sorulara konfüze bir biçimde yanıt verebiliyor</w:t>
            </w:r>
          </w:p>
        </w:tc>
        <w:tc>
          <w:tcPr>
            <w:tcW w:w="1381" w:type="dxa"/>
          </w:tcPr>
          <w:p>
            <w:pPr>
              <w:pStyle w:val="TableParagraph"/>
              <w:rPr>
                <w:rFonts w:ascii="Times New Roman"/>
                <w:sz w:val="20"/>
              </w:rPr>
            </w:pPr>
          </w:p>
          <w:p>
            <w:pPr>
              <w:pStyle w:val="TableParagraph"/>
              <w:spacing w:before="10"/>
              <w:rPr>
                <w:rFonts w:ascii="Times New Roman"/>
                <w:sz w:val="22"/>
              </w:rPr>
            </w:pPr>
          </w:p>
          <w:p>
            <w:pPr>
              <w:pStyle w:val="TableParagraph"/>
              <w:spacing w:line="259" w:lineRule="auto"/>
              <w:ind w:left="49" w:right="66"/>
              <w:rPr>
                <w:sz w:val="18"/>
              </w:rPr>
            </w:pPr>
            <w:r>
              <w:rPr>
                <w:sz w:val="18"/>
              </w:rPr>
              <w:t>Hasta oryante, yaşını ve ismini biliyor ve doğru söyleyebiliyor</w:t>
            </w:r>
          </w:p>
        </w:tc>
        <w:tc>
          <w:tcPr>
            <w:tcW w:w="1532"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39"/>
              <w:ind w:left="48"/>
              <w:rPr>
                <w:sz w:val="18"/>
              </w:rPr>
            </w:pPr>
            <w:r>
              <w:rPr>
                <w:sz w:val="18"/>
              </w:rPr>
              <w:t>N/A</w:t>
            </w:r>
          </w:p>
        </w:tc>
      </w:tr>
      <w:tr>
        <w:trPr>
          <w:trHeight w:val="1434" w:hRule="atLeast"/>
        </w:trPr>
        <w:tc>
          <w:tcPr>
            <w:tcW w:w="854" w:type="dxa"/>
          </w:tcPr>
          <w:p>
            <w:pPr>
              <w:pStyle w:val="TableParagraph"/>
              <w:rPr>
                <w:rFonts w:ascii="Times New Roman"/>
                <w:sz w:val="24"/>
              </w:rPr>
            </w:pPr>
          </w:p>
          <w:p>
            <w:pPr>
              <w:pStyle w:val="TableParagraph"/>
              <w:rPr>
                <w:rFonts w:ascii="Times New Roman"/>
                <w:sz w:val="26"/>
              </w:rPr>
            </w:pPr>
          </w:p>
          <w:p>
            <w:pPr>
              <w:pStyle w:val="TableParagraph"/>
              <w:ind w:left="47"/>
              <w:rPr>
                <w:b/>
                <w:sz w:val="22"/>
              </w:rPr>
            </w:pPr>
            <w:r>
              <w:rPr>
                <w:b/>
                <w:sz w:val="22"/>
              </w:rPr>
              <w:t>Motor</w:t>
            </w:r>
          </w:p>
        </w:tc>
        <w:tc>
          <w:tcPr>
            <w:tcW w:w="698" w:type="dxa"/>
          </w:tcPr>
          <w:p>
            <w:pPr>
              <w:pStyle w:val="TableParagraph"/>
              <w:rPr>
                <w:rFonts w:ascii="Times New Roman"/>
                <w:sz w:val="18"/>
              </w:rPr>
            </w:pPr>
          </w:p>
        </w:tc>
        <w:tc>
          <w:tcPr>
            <w:tcW w:w="874" w:type="dxa"/>
          </w:tcPr>
          <w:p>
            <w:pPr>
              <w:pStyle w:val="TableParagraph"/>
              <w:rPr>
                <w:rFonts w:ascii="Times New Roman"/>
                <w:sz w:val="20"/>
              </w:rPr>
            </w:pPr>
          </w:p>
          <w:p>
            <w:pPr>
              <w:pStyle w:val="TableParagraph"/>
              <w:spacing w:before="10"/>
              <w:rPr>
                <w:rFonts w:ascii="Times New Roman"/>
                <w:sz w:val="22"/>
              </w:rPr>
            </w:pPr>
          </w:p>
          <w:p>
            <w:pPr>
              <w:pStyle w:val="TableParagraph"/>
              <w:spacing w:line="259" w:lineRule="auto"/>
              <w:ind w:left="48" w:right="160"/>
              <w:rPr>
                <w:sz w:val="18"/>
              </w:rPr>
            </w:pPr>
            <w:r>
              <w:rPr>
                <w:sz w:val="18"/>
              </w:rPr>
              <w:t>Hareket yok</w:t>
            </w:r>
          </w:p>
        </w:tc>
        <w:tc>
          <w:tcPr>
            <w:tcW w:w="1747" w:type="dxa"/>
          </w:tcPr>
          <w:p>
            <w:pPr>
              <w:pStyle w:val="TableParagraph"/>
              <w:rPr>
                <w:rFonts w:ascii="Times New Roman"/>
                <w:sz w:val="20"/>
              </w:rPr>
            </w:pPr>
          </w:p>
          <w:p>
            <w:pPr>
              <w:pStyle w:val="TableParagraph"/>
              <w:spacing w:before="10"/>
              <w:rPr>
                <w:rFonts w:ascii="Times New Roman"/>
                <w:sz w:val="22"/>
              </w:rPr>
            </w:pPr>
          </w:p>
          <w:p>
            <w:pPr>
              <w:pStyle w:val="TableParagraph"/>
              <w:spacing w:line="259" w:lineRule="auto"/>
              <w:ind w:left="48" w:right="223"/>
              <w:rPr>
                <w:sz w:val="18"/>
              </w:rPr>
            </w:pPr>
            <w:r>
              <w:rPr>
                <w:sz w:val="18"/>
              </w:rPr>
              <w:t>Deserebre postür, ekstansor yanıt</w:t>
            </w:r>
          </w:p>
        </w:tc>
        <w:tc>
          <w:tcPr>
            <w:tcW w:w="1200" w:type="dxa"/>
          </w:tcPr>
          <w:p>
            <w:pPr>
              <w:pStyle w:val="TableParagraph"/>
              <w:spacing w:before="5"/>
              <w:rPr>
                <w:rFonts w:ascii="Times New Roman"/>
                <w:sz w:val="23"/>
              </w:rPr>
            </w:pPr>
          </w:p>
          <w:p>
            <w:pPr>
              <w:pStyle w:val="TableParagraph"/>
              <w:spacing w:line="259" w:lineRule="auto"/>
              <w:ind w:left="48" w:right="356"/>
              <w:rPr>
                <w:sz w:val="18"/>
              </w:rPr>
            </w:pPr>
            <w:r>
              <w:rPr>
                <w:sz w:val="18"/>
              </w:rPr>
              <w:t>Dekortike postür, anormal fleksiyon</w:t>
            </w:r>
          </w:p>
        </w:tc>
        <w:tc>
          <w:tcPr>
            <w:tcW w:w="1104" w:type="dxa"/>
          </w:tcPr>
          <w:p>
            <w:pPr>
              <w:pStyle w:val="TableParagraph"/>
              <w:spacing w:before="5"/>
              <w:rPr>
                <w:rFonts w:ascii="Times New Roman"/>
                <w:sz w:val="23"/>
              </w:rPr>
            </w:pPr>
          </w:p>
          <w:p>
            <w:pPr>
              <w:pStyle w:val="TableParagraph"/>
              <w:spacing w:line="259" w:lineRule="auto"/>
              <w:ind w:left="49" w:right="169"/>
              <w:rPr>
                <w:sz w:val="18"/>
              </w:rPr>
            </w:pPr>
            <w:r>
              <w:rPr>
                <w:sz w:val="18"/>
              </w:rPr>
              <w:t>Ağrılı uyarandan çekerek yanıt verir</w:t>
            </w:r>
          </w:p>
        </w:tc>
        <w:tc>
          <w:tcPr>
            <w:tcW w:w="1381" w:type="dxa"/>
          </w:tcPr>
          <w:p>
            <w:pPr>
              <w:pStyle w:val="TableParagraph"/>
              <w:spacing w:line="259" w:lineRule="auto" w:before="47"/>
              <w:ind w:left="49" w:right="146"/>
              <w:rPr>
                <w:sz w:val="18"/>
              </w:rPr>
            </w:pPr>
            <w:r>
              <w:rPr>
                <w:sz w:val="18"/>
              </w:rPr>
              <w:t>Ağrılı uyaran veren ekstremiteyi hareket ettirerek ağrıyı lokalize eder</w:t>
            </w:r>
          </w:p>
        </w:tc>
        <w:tc>
          <w:tcPr>
            <w:tcW w:w="1532" w:type="dxa"/>
          </w:tcPr>
          <w:p>
            <w:pPr>
              <w:pStyle w:val="TableParagraph"/>
              <w:rPr>
                <w:rFonts w:ascii="Times New Roman"/>
                <w:sz w:val="20"/>
              </w:rPr>
            </w:pPr>
          </w:p>
          <w:p>
            <w:pPr>
              <w:pStyle w:val="TableParagraph"/>
              <w:spacing w:line="259" w:lineRule="auto" w:before="150"/>
              <w:ind w:left="48" w:right="38"/>
              <w:rPr>
                <w:sz w:val="18"/>
              </w:rPr>
            </w:pPr>
            <w:r>
              <w:rPr>
                <w:sz w:val="18"/>
              </w:rPr>
              <w:t>Komutlara uyarak ekstremitelerini hareket ettirir</w:t>
            </w:r>
          </w:p>
        </w:tc>
      </w:tr>
      <w:tr>
        <w:trPr>
          <w:trHeight w:val="1189" w:hRule="atLeast"/>
        </w:trPr>
        <w:tc>
          <w:tcPr>
            <w:tcW w:w="854" w:type="dxa"/>
          </w:tcPr>
          <w:p>
            <w:pPr>
              <w:pStyle w:val="TableParagraph"/>
              <w:rPr>
                <w:rFonts w:ascii="Times New Roman"/>
                <w:sz w:val="20"/>
              </w:rPr>
            </w:pPr>
          </w:p>
          <w:p>
            <w:pPr>
              <w:pStyle w:val="TableParagraph"/>
              <w:spacing w:line="259" w:lineRule="auto" w:before="136"/>
              <w:ind w:left="47" w:right="131"/>
              <w:rPr>
                <w:b/>
                <w:sz w:val="18"/>
              </w:rPr>
            </w:pPr>
            <w:r>
              <w:rPr>
                <w:b/>
                <w:sz w:val="18"/>
              </w:rPr>
              <w:t>Toplam Puan</w:t>
            </w:r>
          </w:p>
        </w:tc>
        <w:tc>
          <w:tcPr>
            <w:tcW w:w="698" w:type="dxa"/>
          </w:tcPr>
          <w:p>
            <w:pPr>
              <w:pStyle w:val="TableParagraph"/>
              <w:rPr>
                <w:rFonts w:ascii="Times New Roman"/>
                <w:sz w:val="18"/>
              </w:rPr>
            </w:pPr>
          </w:p>
        </w:tc>
        <w:tc>
          <w:tcPr>
            <w:tcW w:w="7838" w:type="dxa"/>
            <w:gridSpan w:val="6"/>
          </w:tcPr>
          <w:p>
            <w:pPr>
              <w:pStyle w:val="TableParagraph"/>
              <w:spacing w:before="45"/>
              <w:ind w:left="48"/>
              <w:rPr>
                <w:b/>
                <w:sz w:val="22"/>
              </w:rPr>
            </w:pPr>
            <w:r>
              <w:rPr>
                <w:b/>
                <w:sz w:val="22"/>
              </w:rPr>
              <w:t>DEĞERLENDİRME:</w:t>
            </w:r>
          </w:p>
          <w:p>
            <w:pPr>
              <w:pStyle w:val="TableParagraph"/>
              <w:spacing w:before="21"/>
              <w:ind w:left="48"/>
              <w:rPr>
                <w:sz w:val="22"/>
              </w:rPr>
            </w:pPr>
            <w:r>
              <w:rPr>
                <w:sz w:val="22"/>
              </w:rPr>
              <w:t>3-8 puan anlamlı nörolojik hasar</w:t>
            </w:r>
          </w:p>
          <w:p>
            <w:pPr>
              <w:pStyle w:val="TableParagraph"/>
              <w:spacing w:line="259" w:lineRule="auto" w:before="20"/>
              <w:ind w:left="48" w:right="4018"/>
              <w:rPr>
                <w:sz w:val="22"/>
              </w:rPr>
            </w:pPr>
            <w:r>
              <w:rPr>
                <w:sz w:val="22"/>
              </w:rPr>
              <w:t>9-12 puan orta dereceli nörolojik hasar 13-15 hafif nörolojik hasar</w:t>
            </w:r>
          </w:p>
        </w:tc>
      </w:tr>
    </w:tbl>
    <w:p>
      <w:pPr>
        <w:spacing w:after="0" w:line="259" w:lineRule="auto"/>
        <w:rPr>
          <w:sz w:val="22"/>
        </w:rPr>
        <w:sectPr>
          <w:headerReference w:type="default" r:id="rId32"/>
          <w:pgSz w:w="11910" w:h="16840"/>
          <w:pgMar w:header="1430" w:footer="0" w:top="1660" w:bottom="280" w:left="1020" w:right="4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after="1"/>
        <w:rPr>
          <w:rFonts w:ascii="Times New Roman"/>
          <w:sz w:val="11"/>
        </w:rPr>
      </w:pPr>
    </w:p>
    <w:tbl>
      <w:tblPr>
        <w:tblW w:w="0" w:type="auto"/>
        <w:jc w:val="left"/>
        <w:tblInd w:w="1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38"/>
        <w:gridCol w:w="904"/>
        <w:gridCol w:w="2800"/>
      </w:tblGrid>
      <w:tr>
        <w:trPr>
          <w:trHeight w:val="292" w:hRule="atLeast"/>
        </w:trPr>
        <w:tc>
          <w:tcPr>
            <w:tcW w:w="3038" w:type="dxa"/>
          </w:tcPr>
          <w:p>
            <w:pPr>
              <w:pStyle w:val="TableParagraph"/>
              <w:numPr>
                <w:ilvl w:val="0"/>
                <w:numId w:val="13"/>
              </w:numPr>
              <w:tabs>
                <w:tab w:pos="484" w:val="left" w:leader="none"/>
              </w:tabs>
              <w:spacing w:line="244" w:lineRule="exact" w:before="0" w:after="0"/>
              <w:ind w:left="483" w:right="0" w:hanging="284"/>
              <w:jc w:val="left"/>
              <w:rPr>
                <w:sz w:val="20"/>
              </w:rPr>
            </w:pPr>
            <w:r>
              <w:rPr>
                <w:sz w:val="20"/>
              </w:rPr>
              <w:t>Yaş</w:t>
            </w:r>
          </w:p>
        </w:tc>
        <w:tc>
          <w:tcPr>
            <w:tcW w:w="904" w:type="dxa"/>
          </w:tcPr>
          <w:p>
            <w:pPr>
              <w:pStyle w:val="TableParagraph"/>
              <w:spacing w:line="228" w:lineRule="exact"/>
              <w:ind w:left="323"/>
              <w:rPr>
                <w:sz w:val="20"/>
              </w:rPr>
            </w:pPr>
            <w:r>
              <w:rPr>
                <w:sz w:val="20"/>
              </w:rPr>
              <w:t>(</w:t>
            </w:r>
            <w:r>
              <w:rPr>
                <w:spacing w:val="55"/>
                <w:sz w:val="20"/>
              </w:rPr>
              <w:t> </w:t>
            </w:r>
            <w:r>
              <w:rPr>
                <w:sz w:val="20"/>
              </w:rPr>
              <w:t>)</w:t>
            </w:r>
          </w:p>
        </w:tc>
        <w:tc>
          <w:tcPr>
            <w:tcW w:w="2800" w:type="dxa"/>
          </w:tcPr>
          <w:p>
            <w:pPr>
              <w:pStyle w:val="TableParagraph"/>
              <w:rPr>
                <w:rFonts w:ascii="Times New Roman"/>
                <w:sz w:val="20"/>
              </w:rPr>
            </w:pPr>
          </w:p>
        </w:tc>
      </w:tr>
      <w:tr>
        <w:trPr>
          <w:trHeight w:val="339" w:hRule="atLeast"/>
        </w:trPr>
        <w:tc>
          <w:tcPr>
            <w:tcW w:w="3038" w:type="dxa"/>
          </w:tcPr>
          <w:p>
            <w:pPr>
              <w:pStyle w:val="TableParagraph"/>
              <w:numPr>
                <w:ilvl w:val="0"/>
                <w:numId w:val="14"/>
              </w:numPr>
              <w:tabs>
                <w:tab w:pos="484" w:val="left" w:leader="none"/>
              </w:tabs>
              <w:spacing w:line="240" w:lineRule="auto" w:before="47" w:after="0"/>
              <w:ind w:left="483" w:right="0" w:hanging="284"/>
              <w:jc w:val="left"/>
              <w:rPr>
                <w:sz w:val="20"/>
              </w:rPr>
            </w:pPr>
            <w:r>
              <w:rPr>
                <w:sz w:val="20"/>
              </w:rPr>
              <w:t>Zaman</w:t>
            </w:r>
          </w:p>
        </w:tc>
        <w:tc>
          <w:tcPr>
            <w:tcW w:w="904" w:type="dxa"/>
          </w:tcPr>
          <w:p>
            <w:pPr>
              <w:pStyle w:val="TableParagraph"/>
              <w:spacing w:before="46"/>
              <w:ind w:left="323"/>
              <w:rPr>
                <w:sz w:val="20"/>
              </w:rPr>
            </w:pPr>
            <w:r>
              <w:rPr>
                <w:sz w:val="20"/>
              </w:rPr>
              <w:t>(</w:t>
            </w:r>
            <w:r>
              <w:rPr>
                <w:spacing w:val="55"/>
                <w:sz w:val="20"/>
              </w:rPr>
              <w:t> </w:t>
            </w:r>
            <w:r>
              <w:rPr>
                <w:sz w:val="20"/>
              </w:rPr>
              <w:t>)</w:t>
            </w:r>
          </w:p>
        </w:tc>
        <w:tc>
          <w:tcPr>
            <w:tcW w:w="2800" w:type="dxa"/>
          </w:tcPr>
          <w:p>
            <w:pPr>
              <w:pStyle w:val="TableParagraph"/>
              <w:rPr>
                <w:rFonts w:ascii="Times New Roman"/>
                <w:sz w:val="20"/>
              </w:rPr>
            </w:pPr>
          </w:p>
        </w:tc>
      </w:tr>
      <w:tr>
        <w:trPr>
          <w:trHeight w:val="339" w:hRule="atLeast"/>
        </w:trPr>
        <w:tc>
          <w:tcPr>
            <w:tcW w:w="3038" w:type="dxa"/>
          </w:tcPr>
          <w:p>
            <w:pPr>
              <w:pStyle w:val="TableParagraph"/>
              <w:numPr>
                <w:ilvl w:val="0"/>
                <w:numId w:val="15"/>
              </w:numPr>
              <w:tabs>
                <w:tab w:pos="484" w:val="left" w:leader="none"/>
              </w:tabs>
              <w:spacing w:line="240" w:lineRule="auto" w:before="46" w:after="0"/>
              <w:ind w:left="483" w:right="0" w:hanging="284"/>
              <w:jc w:val="left"/>
              <w:rPr>
                <w:sz w:val="20"/>
              </w:rPr>
            </w:pPr>
            <w:r>
              <w:rPr>
                <w:sz w:val="20"/>
              </w:rPr>
              <w:t>Adres</w:t>
            </w:r>
          </w:p>
        </w:tc>
        <w:tc>
          <w:tcPr>
            <w:tcW w:w="904" w:type="dxa"/>
          </w:tcPr>
          <w:p>
            <w:pPr>
              <w:pStyle w:val="TableParagraph"/>
              <w:spacing w:before="45"/>
              <w:ind w:left="323"/>
              <w:rPr>
                <w:sz w:val="20"/>
              </w:rPr>
            </w:pPr>
            <w:r>
              <w:rPr>
                <w:sz w:val="20"/>
              </w:rPr>
              <w:t>(</w:t>
            </w:r>
            <w:r>
              <w:rPr>
                <w:spacing w:val="55"/>
                <w:sz w:val="20"/>
              </w:rPr>
              <w:t> </w:t>
            </w:r>
            <w:r>
              <w:rPr>
                <w:sz w:val="20"/>
              </w:rPr>
              <w:t>)</w:t>
            </w:r>
          </w:p>
        </w:tc>
        <w:tc>
          <w:tcPr>
            <w:tcW w:w="2800" w:type="dxa"/>
          </w:tcPr>
          <w:p>
            <w:pPr>
              <w:pStyle w:val="TableParagraph"/>
              <w:rPr>
                <w:rFonts w:ascii="Times New Roman"/>
                <w:sz w:val="20"/>
              </w:rPr>
            </w:pPr>
          </w:p>
        </w:tc>
      </w:tr>
      <w:tr>
        <w:trPr>
          <w:trHeight w:val="340" w:hRule="atLeast"/>
        </w:trPr>
        <w:tc>
          <w:tcPr>
            <w:tcW w:w="3038" w:type="dxa"/>
          </w:tcPr>
          <w:p>
            <w:pPr>
              <w:pStyle w:val="TableParagraph"/>
              <w:numPr>
                <w:ilvl w:val="0"/>
                <w:numId w:val="16"/>
              </w:numPr>
              <w:tabs>
                <w:tab w:pos="874" w:val="left" w:leader="none"/>
                <w:tab w:pos="875" w:val="left" w:leader="none"/>
              </w:tabs>
              <w:spacing w:line="240" w:lineRule="auto" w:before="47" w:after="0"/>
              <w:ind w:left="874" w:right="0" w:hanging="675"/>
              <w:jc w:val="left"/>
              <w:rPr>
                <w:sz w:val="20"/>
              </w:rPr>
            </w:pPr>
            <w:r>
              <w:rPr>
                <w:sz w:val="20"/>
              </w:rPr>
              <w:t>Bulunduğu </w:t>
            </w:r>
            <w:r>
              <w:rPr>
                <w:spacing w:val="-2"/>
                <w:sz w:val="20"/>
              </w:rPr>
              <w:t>yer</w:t>
            </w:r>
          </w:p>
        </w:tc>
        <w:tc>
          <w:tcPr>
            <w:tcW w:w="904" w:type="dxa"/>
          </w:tcPr>
          <w:p>
            <w:pPr>
              <w:pStyle w:val="TableParagraph"/>
              <w:spacing w:before="46"/>
              <w:ind w:left="323"/>
              <w:rPr>
                <w:sz w:val="20"/>
              </w:rPr>
            </w:pPr>
            <w:r>
              <w:rPr>
                <w:sz w:val="20"/>
              </w:rPr>
              <w:t>(</w:t>
            </w:r>
            <w:r>
              <w:rPr>
                <w:spacing w:val="55"/>
                <w:sz w:val="20"/>
              </w:rPr>
              <w:t> </w:t>
            </w:r>
            <w:r>
              <w:rPr>
                <w:sz w:val="20"/>
              </w:rPr>
              <w:t>)</w:t>
            </w:r>
          </w:p>
        </w:tc>
        <w:tc>
          <w:tcPr>
            <w:tcW w:w="2800" w:type="dxa"/>
          </w:tcPr>
          <w:p>
            <w:pPr>
              <w:pStyle w:val="TableParagraph"/>
              <w:rPr>
                <w:rFonts w:ascii="Times New Roman"/>
                <w:sz w:val="20"/>
              </w:rPr>
            </w:pPr>
          </w:p>
        </w:tc>
      </w:tr>
      <w:tr>
        <w:trPr>
          <w:trHeight w:val="339" w:hRule="atLeast"/>
        </w:trPr>
        <w:tc>
          <w:tcPr>
            <w:tcW w:w="3038" w:type="dxa"/>
          </w:tcPr>
          <w:p>
            <w:pPr>
              <w:pStyle w:val="TableParagraph"/>
              <w:numPr>
                <w:ilvl w:val="0"/>
                <w:numId w:val="17"/>
              </w:numPr>
              <w:tabs>
                <w:tab w:pos="484" w:val="left" w:leader="none"/>
              </w:tabs>
              <w:spacing w:line="240" w:lineRule="auto" w:before="47" w:after="0"/>
              <w:ind w:left="483" w:right="0" w:hanging="284"/>
              <w:jc w:val="left"/>
              <w:rPr>
                <w:sz w:val="20"/>
              </w:rPr>
            </w:pPr>
            <w:r>
              <w:rPr>
                <w:sz w:val="20"/>
              </w:rPr>
              <w:t>Yaşadığımız</w:t>
            </w:r>
            <w:r>
              <w:rPr>
                <w:spacing w:val="-1"/>
                <w:sz w:val="20"/>
              </w:rPr>
              <w:t> </w:t>
            </w:r>
            <w:r>
              <w:rPr>
                <w:sz w:val="20"/>
              </w:rPr>
              <w:t>yıl</w:t>
            </w:r>
          </w:p>
        </w:tc>
        <w:tc>
          <w:tcPr>
            <w:tcW w:w="904" w:type="dxa"/>
          </w:tcPr>
          <w:p>
            <w:pPr>
              <w:pStyle w:val="TableParagraph"/>
              <w:spacing w:before="46"/>
              <w:ind w:left="323"/>
              <w:rPr>
                <w:sz w:val="20"/>
              </w:rPr>
            </w:pPr>
            <w:r>
              <w:rPr>
                <w:sz w:val="20"/>
              </w:rPr>
              <w:t>(</w:t>
            </w:r>
            <w:r>
              <w:rPr>
                <w:spacing w:val="55"/>
                <w:sz w:val="20"/>
              </w:rPr>
              <w:t> </w:t>
            </w:r>
            <w:r>
              <w:rPr>
                <w:sz w:val="20"/>
              </w:rPr>
              <w:t>)</w:t>
            </w:r>
          </w:p>
        </w:tc>
        <w:tc>
          <w:tcPr>
            <w:tcW w:w="2800" w:type="dxa"/>
          </w:tcPr>
          <w:p>
            <w:pPr>
              <w:pStyle w:val="TableParagraph"/>
              <w:rPr>
                <w:rFonts w:ascii="Times New Roman"/>
                <w:sz w:val="20"/>
              </w:rPr>
            </w:pPr>
          </w:p>
        </w:tc>
      </w:tr>
      <w:tr>
        <w:trPr>
          <w:trHeight w:val="339" w:hRule="atLeast"/>
        </w:trPr>
        <w:tc>
          <w:tcPr>
            <w:tcW w:w="3038" w:type="dxa"/>
          </w:tcPr>
          <w:p>
            <w:pPr>
              <w:pStyle w:val="TableParagraph"/>
              <w:numPr>
                <w:ilvl w:val="0"/>
                <w:numId w:val="18"/>
              </w:numPr>
              <w:tabs>
                <w:tab w:pos="484" w:val="left" w:leader="none"/>
              </w:tabs>
              <w:spacing w:line="240" w:lineRule="auto" w:before="46" w:after="0"/>
              <w:ind w:left="483" w:right="0" w:hanging="284"/>
              <w:jc w:val="left"/>
              <w:rPr>
                <w:sz w:val="20"/>
              </w:rPr>
            </w:pPr>
            <w:r>
              <w:rPr>
                <w:sz w:val="20"/>
              </w:rPr>
              <w:t>Doğum</w:t>
            </w:r>
            <w:r>
              <w:rPr>
                <w:spacing w:val="3"/>
                <w:sz w:val="20"/>
              </w:rPr>
              <w:t> </w:t>
            </w:r>
            <w:r>
              <w:rPr>
                <w:sz w:val="20"/>
              </w:rPr>
              <w:t>tarihi</w:t>
            </w:r>
          </w:p>
        </w:tc>
        <w:tc>
          <w:tcPr>
            <w:tcW w:w="904" w:type="dxa"/>
          </w:tcPr>
          <w:p>
            <w:pPr>
              <w:pStyle w:val="TableParagraph"/>
              <w:spacing w:before="45"/>
              <w:ind w:left="323"/>
              <w:rPr>
                <w:sz w:val="20"/>
              </w:rPr>
            </w:pPr>
            <w:r>
              <w:rPr>
                <w:sz w:val="20"/>
              </w:rPr>
              <w:t>(</w:t>
            </w:r>
            <w:r>
              <w:rPr>
                <w:spacing w:val="55"/>
                <w:sz w:val="20"/>
              </w:rPr>
              <w:t> </w:t>
            </w:r>
            <w:r>
              <w:rPr>
                <w:sz w:val="20"/>
              </w:rPr>
              <w:t>)</w:t>
            </w:r>
          </w:p>
        </w:tc>
        <w:tc>
          <w:tcPr>
            <w:tcW w:w="2800" w:type="dxa"/>
          </w:tcPr>
          <w:p>
            <w:pPr>
              <w:pStyle w:val="TableParagraph"/>
              <w:rPr>
                <w:rFonts w:ascii="Times New Roman"/>
                <w:sz w:val="20"/>
              </w:rPr>
            </w:pPr>
          </w:p>
        </w:tc>
      </w:tr>
      <w:tr>
        <w:trPr>
          <w:trHeight w:val="341" w:hRule="atLeast"/>
        </w:trPr>
        <w:tc>
          <w:tcPr>
            <w:tcW w:w="3038" w:type="dxa"/>
          </w:tcPr>
          <w:p>
            <w:pPr>
              <w:pStyle w:val="TableParagraph"/>
              <w:numPr>
                <w:ilvl w:val="0"/>
                <w:numId w:val="19"/>
              </w:numPr>
              <w:tabs>
                <w:tab w:pos="484" w:val="left" w:leader="none"/>
              </w:tabs>
              <w:spacing w:line="240" w:lineRule="auto" w:before="47" w:after="0"/>
              <w:ind w:left="483" w:right="0" w:hanging="284"/>
              <w:jc w:val="left"/>
              <w:rPr>
                <w:sz w:val="20"/>
              </w:rPr>
            </w:pPr>
            <w:r>
              <w:rPr>
                <w:sz w:val="20"/>
              </w:rPr>
              <w:t>Şu anki</w:t>
            </w:r>
            <w:r>
              <w:rPr>
                <w:spacing w:val="-4"/>
                <w:sz w:val="20"/>
              </w:rPr>
              <w:t> </w:t>
            </w:r>
            <w:r>
              <w:rPr>
                <w:sz w:val="20"/>
              </w:rPr>
              <w:t>ay</w:t>
            </w:r>
          </w:p>
        </w:tc>
        <w:tc>
          <w:tcPr>
            <w:tcW w:w="904" w:type="dxa"/>
          </w:tcPr>
          <w:p>
            <w:pPr>
              <w:pStyle w:val="TableParagraph"/>
              <w:spacing w:before="46"/>
              <w:ind w:left="323"/>
              <w:rPr>
                <w:sz w:val="20"/>
              </w:rPr>
            </w:pPr>
            <w:r>
              <w:rPr>
                <w:sz w:val="20"/>
              </w:rPr>
              <w:t>(</w:t>
            </w:r>
            <w:r>
              <w:rPr>
                <w:spacing w:val="55"/>
                <w:sz w:val="20"/>
              </w:rPr>
              <w:t> </w:t>
            </w:r>
            <w:r>
              <w:rPr>
                <w:sz w:val="20"/>
              </w:rPr>
              <w:t>)</w:t>
            </w:r>
          </w:p>
        </w:tc>
        <w:tc>
          <w:tcPr>
            <w:tcW w:w="2800" w:type="dxa"/>
          </w:tcPr>
          <w:p>
            <w:pPr>
              <w:pStyle w:val="TableParagraph"/>
              <w:rPr>
                <w:rFonts w:ascii="Times New Roman"/>
                <w:sz w:val="20"/>
              </w:rPr>
            </w:pPr>
          </w:p>
        </w:tc>
      </w:tr>
      <w:tr>
        <w:trPr>
          <w:trHeight w:val="339" w:hRule="atLeast"/>
        </w:trPr>
        <w:tc>
          <w:tcPr>
            <w:tcW w:w="3038" w:type="dxa"/>
          </w:tcPr>
          <w:p>
            <w:pPr>
              <w:pStyle w:val="TableParagraph"/>
              <w:numPr>
                <w:ilvl w:val="0"/>
                <w:numId w:val="20"/>
              </w:numPr>
              <w:tabs>
                <w:tab w:pos="484" w:val="left" w:leader="none"/>
              </w:tabs>
              <w:spacing w:line="240" w:lineRule="auto" w:before="48" w:after="0"/>
              <w:ind w:left="483" w:right="0" w:hanging="284"/>
              <w:jc w:val="left"/>
              <w:rPr>
                <w:sz w:val="20"/>
              </w:rPr>
            </w:pPr>
            <w:r>
              <w:rPr>
                <w:sz w:val="20"/>
              </w:rPr>
              <w:t>1. Dünya Savaşının</w:t>
            </w:r>
            <w:r>
              <w:rPr>
                <w:spacing w:val="-6"/>
                <w:sz w:val="20"/>
              </w:rPr>
              <w:t> </w:t>
            </w:r>
            <w:r>
              <w:rPr>
                <w:sz w:val="20"/>
              </w:rPr>
              <w:t>tarihi</w:t>
            </w:r>
          </w:p>
        </w:tc>
        <w:tc>
          <w:tcPr>
            <w:tcW w:w="904" w:type="dxa"/>
          </w:tcPr>
          <w:p>
            <w:pPr>
              <w:pStyle w:val="TableParagraph"/>
              <w:spacing w:before="47"/>
              <w:ind w:left="323"/>
              <w:rPr>
                <w:sz w:val="20"/>
              </w:rPr>
            </w:pPr>
            <w:r>
              <w:rPr>
                <w:sz w:val="20"/>
              </w:rPr>
              <w:t>(</w:t>
            </w:r>
            <w:r>
              <w:rPr>
                <w:spacing w:val="55"/>
                <w:sz w:val="20"/>
              </w:rPr>
              <w:t> </w:t>
            </w:r>
            <w:r>
              <w:rPr>
                <w:sz w:val="20"/>
              </w:rPr>
              <w:t>)</w:t>
            </w:r>
          </w:p>
        </w:tc>
        <w:tc>
          <w:tcPr>
            <w:tcW w:w="2800" w:type="dxa"/>
          </w:tcPr>
          <w:p>
            <w:pPr>
              <w:pStyle w:val="TableParagraph"/>
              <w:rPr>
                <w:rFonts w:ascii="Times New Roman"/>
                <w:sz w:val="20"/>
              </w:rPr>
            </w:pPr>
          </w:p>
        </w:tc>
      </w:tr>
      <w:tr>
        <w:trPr>
          <w:trHeight w:val="339" w:hRule="atLeast"/>
        </w:trPr>
        <w:tc>
          <w:tcPr>
            <w:tcW w:w="3038" w:type="dxa"/>
          </w:tcPr>
          <w:p>
            <w:pPr>
              <w:pStyle w:val="TableParagraph"/>
              <w:numPr>
                <w:ilvl w:val="0"/>
                <w:numId w:val="21"/>
              </w:numPr>
              <w:tabs>
                <w:tab w:pos="484" w:val="left" w:leader="none"/>
              </w:tabs>
              <w:spacing w:line="240" w:lineRule="auto" w:before="46" w:after="0"/>
              <w:ind w:left="483" w:right="0" w:hanging="284"/>
              <w:jc w:val="left"/>
              <w:rPr>
                <w:sz w:val="20"/>
              </w:rPr>
            </w:pPr>
            <w:r>
              <w:rPr>
                <w:sz w:val="20"/>
              </w:rPr>
              <w:t>Başbakanın adı</w:t>
            </w:r>
          </w:p>
        </w:tc>
        <w:tc>
          <w:tcPr>
            <w:tcW w:w="904" w:type="dxa"/>
          </w:tcPr>
          <w:p>
            <w:pPr>
              <w:pStyle w:val="TableParagraph"/>
              <w:spacing w:before="45"/>
              <w:ind w:left="323"/>
              <w:rPr>
                <w:sz w:val="20"/>
              </w:rPr>
            </w:pPr>
            <w:r>
              <w:rPr>
                <w:sz w:val="20"/>
              </w:rPr>
              <w:t>(</w:t>
            </w:r>
            <w:r>
              <w:rPr>
                <w:spacing w:val="55"/>
                <w:sz w:val="20"/>
              </w:rPr>
              <w:t> </w:t>
            </w:r>
            <w:r>
              <w:rPr>
                <w:sz w:val="20"/>
              </w:rPr>
              <w:t>)</w:t>
            </w:r>
          </w:p>
        </w:tc>
        <w:tc>
          <w:tcPr>
            <w:tcW w:w="2800" w:type="dxa"/>
          </w:tcPr>
          <w:p>
            <w:pPr>
              <w:pStyle w:val="TableParagraph"/>
              <w:rPr>
                <w:rFonts w:ascii="Times New Roman"/>
                <w:sz w:val="20"/>
              </w:rPr>
            </w:pPr>
          </w:p>
        </w:tc>
      </w:tr>
      <w:tr>
        <w:trPr>
          <w:trHeight w:val="292" w:hRule="atLeast"/>
        </w:trPr>
        <w:tc>
          <w:tcPr>
            <w:tcW w:w="3038" w:type="dxa"/>
          </w:tcPr>
          <w:p>
            <w:pPr>
              <w:pStyle w:val="TableParagraph"/>
              <w:numPr>
                <w:ilvl w:val="0"/>
                <w:numId w:val="22"/>
              </w:numPr>
              <w:tabs>
                <w:tab w:pos="484" w:val="left" w:leader="none"/>
              </w:tabs>
              <w:spacing w:line="225" w:lineRule="exact" w:before="47" w:after="0"/>
              <w:ind w:left="483" w:right="0" w:hanging="284"/>
              <w:jc w:val="left"/>
              <w:rPr>
                <w:sz w:val="20"/>
              </w:rPr>
            </w:pPr>
            <w:r>
              <w:rPr>
                <w:sz w:val="20"/>
              </w:rPr>
              <w:t>20’den geriye doğru</w:t>
            </w:r>
            <w:r>
              <w:rPr>
                <w:spacing w:val="-3"/>
                <w:sz w:val="20"/>
              </w:rPr>
              <w:t> </w:t>
            </w:r>
            <w:r>
              <w:rPr>
                <w:sz w:val="20"/>
              </w:rPr>
              <w:t>say</w:t>
            </w:r>
          </w:p>
        </w:tc>
        <w:tc>
          <w:tcPr>
            <w:tcW w:w="904" w:type="dxa"/>
          </w:tcPr>
          <w:p>
            <w:pPr>
              <w:pStyle w:val="TableParagraph"/>
              <w:spacing w:line="226" w:lineRule="exact" w:before="46"/>
              <w:ind w:left="323"/>
              <w:rPr>
                <w:sz w:val="20"/>
              </w:rPr>
            </w:pPr>
            <w:r>
              <w:rPr>
                <w:sz w:val="20"/>
              </w:rPr>
              <w:t>(</w:t>
            </w:r>
            <w:r>
              <w:rPr>
                <w:spacing w:val="55"/>
                <w:sz w:val="20"/>
              </w:rPr>
              <w:t> </w:t>
            </w:r>
            <w:r>
              <w:rPr>
                <w:sz w:val="20"/>
              </w:rPr>
              <w:t>)</w:t>
            </w:r>
          </w:p>
        </w:tc>
        <w:tc>
          <w:tcPr>
            <w:tcW w:w="2800" w:type="dxa"/>
          </w:tcPr>
          <w:p>
            <w:pPr>
              <w:pStyle w:val="TableParagraph"/>
              <w:spacing w:line="226" w:lineRule="exact" w:before="46"/>
              <w:ind w:left="336"/>
              <w:rPr>
                <w:sz w:val="20"/>
              </w:rPr>
            </w:pPr>
            <w:r>
              <w:rPr>
                <w:sz w:val="20"/>
              </w:rPr>
              <w:t>Total skor : ( ……. Puan )</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7"/>
        </w:rPr>
      </w:pPr>
    </w:p>
    <w:p>
      <w:pPr>
        <w:pStyle w:val="Heading1"/>
        <w:spacing w:before="93"/>
      </w:pPr>
      <w:r>
        <w:rPr/>
        <w:t>Beslenme Tipleri</w:t>
      </w:r>
    </w:p>
    <w:p>
      <w:pPr>
        <w:pStyle w:val="BodyText"/>
        <w:rPr>
          <w:b/>
          <w:sz w:val="24"/>
        </w:rPr>
      </w:pPr>
    </w:p>
    <w:p>
      <w:pPr>
        <w:pStyle w:val="BodyText"/>
        <w:spacing w:before="4"/>
        <w:rPr>
          <w:b/>
          <w:sz w:val="29"/>
        </w:rPr>
      </w:pPr>
    </w:p>
    <w:p>
      <w:pPr>
        <w:pStyle w:val="BodyText"/>
        <w:spacing w:line="259" w:lineRule="auto"/>
        <w:ind w:left="1248" w:right="671" w:firstLine="708"/>
        <w:jc w:val="both"/>
      </w:pPr>
      <w:r>
        <w:rPr>
          <w:b/>
        </w:rPr>
        <w:t>Rejim 1: </w:t>
      </w:r>
      <w:r>
        <w:rPr/>
        <w:t>Ameliyat sonrası beslenmeye başlamada ilk adım olarak kullanılır. Hastada gaz çıkışı olana kadar devam edilir. Diyette bağırsakları en az yoracak, sindirim ve gaz problemi yaratmayacak, sıvı ve yumuşak besinler tercih edilir. Kahvaltı için petibör bisküvi ve çayÖğle ve akşam yemekleri için tanesiz çorbalar, tavuk suyu çorba, tanesiz komposto verilebilir.</w:t>
      </w:r>
    </w:p>
    <w:p>
      <w:pPr>
        <w:pStyle w:val="BodyText"/>
        <w:spacing w:line="259" w:lineRule="auto" w:before="161"/>
        <w:ind w:left="1248" w:right="678" w:firstLine="708"/>
        <w:jc w:val="both"/>
      </w:pPr>
      <w:r>
        <w:rPr>
          <w:b/>
        </w:rPr>
        <w:t>Rejim 2: </w:t>
      </w:r>
      <w:r>
        <w:rPr/>
        <w:t>Hasta sulu diyeti rahat şekilde tüketebiliyorsa R2 diyete geçiş yapılır. Diyette süt grubundan peynire başlanır. Kahvaltıda peynir, galeta ve bal verilir. Öğle ve akşam gaz yapmayan çorba, patates püresi veya gaz yapmayan iyi pişmiş sebze yemeği yada püresi, muhallebi veya sütlaç, taneli komposto, etimek veya grisini verilebilir. Sulu yumuşak diyette et, tavuk ve balık verilmez. Süt, yoğurt, çiğ meyve ve sebze gaz yapacağı için verilmez</w:t>
      </w:r>
    </w:p>
    <w:p>
      <w:pPr>
        <w:pStyle w:val="BodyText"/>
        <w:spacing w:line="259" w:lineRule="auto" w:before="158"/>
        <w:ind w:left="1248" w:right="1652" w:firstLine="674"/>
      </w:pPr>
      <w:r>
        <w:rPr>
          <w:b/>
        </w:rPr>
        <w:t>Rejim 3: </w:t>
      </w:r>
      <w:r>
        <w:rPr/>
        <w:t>Herhangi bir yiyeceğe karşı intoleransı yada alerjisi olmayan, hastalığına özel bir diyeti olmayan tüm hastalara uygulanabilir.</w:t>
      </w:r>
    </w:p>
    <w:p>
      <w:pPr>
        <w:spacing w:after="0" w:line="259" w:lineRule="auto"/>
        <w:sectPr>
          <w:headerReference w:type="default" r:id="rId33"/>
          <w:pgSz w:w="11910" w:h="16840"/>
          <w:pgMar w:header="1420" w:footer="0" w:top="1660" w:bottom="280" w:left="1020" w:right="460"/>
        </w:sectPr>
      </w:pPr>
    </w:p>
    <w:p>
      <w:pPr>
        <w:pStyle w:val="BodyText"/>
        <w:spacing w:before="2"/>
        <w:rPr>
          <w:sz w:val="17"/>
        </w:rPr>
      </w:pPr>
    </w:p>
    <w:p>
      <w:pPr>
        <w:pStyle w:val="ListParagraph"/>
        <w:numPr>
          <w:ilvl w:val="0"/>
          <w:numId w:val="23"/>
        </w:numPr>
        <w:tabs>
          <w:tab w:pos="1429" w:val="left" w:leader="none"/>
        </w:tabs>
        <w:spacing w:line="240" w:lineRule="auto" w:before="95" w:after="0"/>
        <w:ind w:left="1428" w:right="0" w:hanging="181"/>
        <w:jc w:val="left"/>
        <w:rPr>
          <w:b/>
          <w:sz w:val="16"/>
        </w:rPr>
      </w:pPr>
      <w:r>
        <w:rPr>
          <w:b/>
          <w:sz w:val="16"/>
          <w:u w:val="single"/>
        </w:rPr>
        <w:t>Beslenme</w:t>
      </w:r>
      <w:r>
        <w:rPr>
          <w:b/>
          <w:spacing w:val="-1"/>
          <w:sz w:val="16"/>
          <w:u w:val="single"/>
        </w:rPr>
        <w:t> </w:t>
      </w:r>
      <w:r>
        <w:rPr>
          <w:b/>
          <w:sz w:val="16"/>
          <w:u w:val="single"/>
        </w:rPr>
        <w:t>(2)</w:t>
      </w:r>
    </w:p>
    <w:p>
      <w:pPr>
        <w:spacing w:before="28"/>
        <w:ind w:left="1248" w:right="0" w:firstLine="0"/>
        <w:jc w:val="left"/>
        <w:rPr>
          <w:sz w:val="16"/>
        </w:rPr>
      </w:pPr>
      <w:r>
        <w:rPr>
          <w:b/>
          <w:sz w:val="16"/>
        </w:rPr>
        <w:t>( ) 2 puan: </w:t>
      </w:r>
      <w:r>
        <w:rPr>
          <w:sz w:val="16"/>
        </w:rPr>
        <w:t>Tam bağımsız yemek yemek için gerekli aletleri kullanabilir.</w:t>
      </w:r>
    </w:p>
    <w:p>
      <w:pPr>
        <w:spacing w:before="29"/>
        <w:ind w:left="1248" w:right="0" w:firstLine="0"/>
        <w:jc w:val="left"/>
        <w:rPr>
          <w:sz w:val="16"/>
        </w:rPr>
      </w:pPr>
      <w:r>
        <w:rPr>
          <w:b/>
          <w:sz w:val="16"/>
        </w:rPr>
        <w:t>( ) 1 puan: </w:t>
      </w:r>
      <w:r>
        <w:rPr>
          <w:sz w:val="16"/>
        </w:rPr>
        <w:t>Bir miktar yardıma ihtiyaç duyar.</w:t>
      </w:r>
    </w:p>
    <w:p>
      <w:pPr>
        <w:spacing w:before="27"/>
        <w:ind w:left="1248" w:right="0" w:firstLine="0"/>
        <w:jc w:val="left"/>
        <w:rPr>
          <w:sz w:val="16"/>
        </w:rPr>
      </w:pPr>
      <w:r>
        <w:rPr>
          <w:b/>
          <w:sz w:val="16"/>
        </w:rPr>
        <w:t>( ) 0 puan: </w:t>
      </w:r>
      <w:r>
        <w:rPr>
          <w:sz w:val="16"/>
        </w:rPr>
        <w:t>Yapamaz</w:t>
      </w:r>
    </w:p>
    <w:p>
      <w:pPr>
        <w:pStyle w:val="BodyText"/>
        <w:spacing w:before="9"/>
        <w:rPr>
          <w:sz w:val="20"/>
        </w:rPr>
      </w:pPr>
    </w:p>
    <w:p>
      <w:pPr>
        <w:pStyle w:val="ListParagraph"/>
        <w:numPr>
          <w:ilvl w:val="0"/>
          <w:numId w:val="23"/>
        </w:numPr>
        <w:tabs>
          <w:tab w:pos="1429" w:val="left" w:leader="none"/>
        </w:tabs>
        <w:spacing w:line="276" w:lineRule="auto" w:before="0" w:after="0"/>
        <w:ind w:left="1248" w:right="5013" w:firstLine="0"/>
        <w:jc w:val="left"/>
        <w:rPr>
          <w:sz w:val="16"/>
        </w:rPr>
      </w:pPr>
      <w:r>
        <w:rPr>
          <w:b/>
          <w:sz w:val="16"/>
          <w:u w:val="single"/>
        </w:rPr>
        <w:t>Tekerlekli sandalyeden yatağa ve tersi transferler (3)</w:t>
      </w:r>
      <w:r>
        <w:rPr>
          <w:b/>
          <w:sz w:val="16"/>
        </w:rPr>
        <w:t> ( )3 puan: </w:t>
      </w:r>
      <w:r>
        <w:rPr>
          <w:sz w:val="16"/>
        </w:rPr>
        <w:t>Tam</w:t>
      </w:r>
      <w:r>
        <w:rPr>
          <w:spacing w:val="2"/>
          <w:sz w:val="16"/>
        </w:rPr>
        <w:t> </w:t>
      </w:r>
      <w:r>
        <w:rPr>
          <w:sz w:val="16"/>
        </w:rPr>
        <w:t>bağımsız</w:t>
      </w:r>
    </w:p>
    <w:p>
      <w:pPr>
        <w:spacing w:line="183" w:lineRule="exact" w:before="0"/>
        <w:ind w:left="1248" w:right="0" w:firstLine="0"/>
        <w:jc w:val="left"/>
        <w:rPr>
          <w:sz w:val="16"/>
        </w:rPr>
      </w:pPr>
      <w:r>
        <w:rPr>
          <w:b/>
          <w:sz w:val="16"/>
        </w:rPr>
        <w:t>( )2 puan: </w:t>
      </w:r>
      <w:r>
        <w:rPr>
          <w:sz w:val="16"/>
        </w:rPr>
        <w:t>Geçişler sırasında minimal yardım alır.</w:t>
      </w:r>
    </w:p>
    <w:p>
      <w:pPr>
        <w:spacing w:before="29"/>
        <w:ind w:left="1248" w:right="0" w:firstLine="0"/>
        <w:jc w:val="left"/>
        <w:rPr>
          <w:sz w:val="16"/>
        </w:rPr>
      </w:pPr>
      <w:r>
        <w:rPr>
          <w:b/>
          <w:sz w:val="16"/>
        </w:rPr>
        <w:t>( )1 puan: </w:t>
      </w:r>
      <w:r>
        <w:rPr>
          <w:sz w:val="16"/>
        </w:rPr>
        <w:t>Tek basına yatakta oturma pozisyonuna geçebilir ama geçis için yardım alır</w:t>
      </w:r>
    </w:p>
    <w:p>
      <w:pPr>
        <w:spacing w:before="28"/>
        <w:ind w:left="1248" w:right="0" w:firstLine="0"/>
        <w:jc w:val="left"/>
        <w:rPr>
          <w:sz w:val="16"/>
        </w:rPr>
      </w:pPr>
      <w:r>
        <w:rPr>
          <w:b/>
          <w:sz w:val="16"/>
        </w:rPr>
        <w:t>( ) 0 puan: </w:t>
      </w:r>
      <w:r>
        <w:rPr>
          <w:sz w:val="16"/>
        </w:rPr>
        <w:t>Tamamen yatağa bağımlı</w:t>
      </w:r>
    </w:p>
    <w:p>
      <w:pPr>
        <w:pStyle w:val="BodyText"/>
        <w:spacing w:before="8"/>
        <w:rPr>
          <w:sz w:val="20"/>
        </w:rPr>
      </w:pPr>
    </w:p>
    <w:p>
      <w:pPr>
        <w:pStyle w:val="ListParagraph"/>
        <w:numPr>
          <w:ilvl w:val="0"/>
          <w:numId w:val="23"/>
        </w:numPr>
        <w:tabs>
          <w:tab w:pos="1383" w:val="left" w:leader="none"/>
        </w:tabs>
        <w:spacing w:line="240" w:lineRule="auto" w:before="0" w:after="0"/>
        <w:ind w:left="1382" w:right="0" w:hanging="135"/>
        <w:jc w:val="left"/>
        <w:rPr>
          <w:b/>
          <w:sz w:val="16"/>
        </w:rPr>
      </w:pPr>
      <w:r>
        <w:rPr>
          <w:b/>
          <w:sz w:val="16"/>
          <w:u w:val="single"/>
        </w:rPr>
        <w:t>Kendine bakım ( 1</w:t>
      </w:r>
      <w:r>
        <w:rPr>
          <w:b/>
          <w:spacing w:val="-3"/>
          <w:sz w:val="16"/>
          <w:u w:val="single"/>
        </w:rPr>
        <w:t> </w:t>
      </w:r>
      <w:r>
        <w:rPr>
          <w:b/>
          <w:sz w:val="16"/>
          <w:u w:val="single"/>
        </w:rPr>
        <w:t>)</w:t>
      </w:r>
    </w:p>
    <w:p>
      <w:pPr>
        <w:spacing w:before="27"/>
        <w:ind w:left="1248" w:right="0" w:firstLine="0"/>
        <w:jc w:val="left"/>
        <w:rPr>
          <w:sz w:val="16"/>
        </w:rPr>
      </w:pPr>
      <w:r>
        <w:rPr>
          <w:b/>
          <w:sz w:val="16"/>
        </w:rPr>
        <w:t>( ) 1 puan: </w:t>
      </w:r>
      <w:r>
        <w:rPr>
          <w:sz w:val="16"/>
        </w:rPr>
        <w:t>Elini yüzünü yıkayabilir dişlerini fırçalayabilir, traş olabilir, makyaj yapabilir.</w:t>
      </w:r>
    </w:p>
    <w:p>
      <w:pPr>
        <w:spacing w:before="28"/>
        <w:ind w:left="1248" w:right="0" w:firstLine="0"/>
        <w:jc w:val="left"/>
        <w:rPr>
          <w:sz w:val="16"/>
        </w:rPr>
      </w:pPr>
      <w:r>
        <w:rPr>
          <w:b/>
          <w:sz w:val="16"/>
        </w:rPr>
        <w:t>( ) 0 puan: </w:t>
      </w:r>
      <w:r>
        <w:rPr>
          <w:sz w:val="16"/>
        </w:rPr>
        <w:t>Kişisel bakımda yardıma ihtiyaç duyar.</w:t>
      </w:r>
    </w:p>
    <w:p>
      <w:pPr>
        <w:pStyle w:val="BodyText"/>
        <w:spacing w:before="11"/>
        <w:rPr>
          <w:sz w:val="20"/>
        </w:rPr>
      </w:pPr>
    </w:p>
    <w:p>
      <w:pPr>
        <w:pStyle w:val="ListParagraph"/>
        <w:numPr>
          <w:ilvl w:val="0"/>
          <w:numId w:val="23"/>
        </w:numPr>
        <w:tabs>
          <w:tab w:pos="1383" w:val="left" w:leader="none"/>
        </w:tabs>
        <w:spacing w:line="240" w:lineRule="auto" w:before="0" w:after="0"/>
        <w:ind w:left="1382" w:right="0" w:hanging="135"/>
        <w:jc w:val="left"/>
        <w:rPr>
          <w:b/>
          <w:sz w:val="16"/>
        </w:rPr>
      </w:pPr>
      <w:r>
        <w:rPr>
          <w:b/>
          <w:sz w:val="16"/>
          <w:u w:val="single"/>
        </w:rPr>
        <w:t>Tuvalet kullanımı ( 2</w:t>
      </w:r>
      <w:r>
        <w:rPr>
          <w:b/>
          <w:spacing w:val="-5"/>
          <w:sz w:val="16"/>
          <w:u w:val="single"/>
        </w:rPr>
        <w:t> </w:t>
      </w:r>
      <w:r>
        <w:rPr>
          <w:b/>
          <w:sz w:val="16"/>
          <w:u w:val="single"/>
        </w:rPr>
        <w:t>)</w:t>
      </w:r>
    </w:p>
    <w:p>
      <w:pPr>
        <w:spacing w:before="27"/>
        <w:ind w:left="1248" w:right="0" w:firstLine="0"/>
        <w:jc w:val="left"/>
        <w:rPr>
          <w:sz w:val="16"/>
        </w:rPr>
      </w:pPr>
      <w:r>
        <w:rPr>
          <w:b/>
          <w:sz w:val="16"/>
        </w:rPr>
        <w:t>( ) 2 puan: </w:t>
      </w:r>
      <w:r>
        <w:rPr>
          <w:sz w:val="16"/>
        </w:rPr>
        <w:t>Duvardan veya bardan destek alabilir tuvalet kâğıdını kendi kullanabilir.</w:t>
      </w:r>
    </w:p>
    <w:p>
      <w:pPr>
        <w:spacing w:before="27"/>
        <w:ind w:left="1248" w:right="0" w:firstLine="0"/>
        <w:jc w:val="left"/>
        <w:rPr>
          <w:sz w:val="16"/>
        </w:rPr>
      </w:pPr>
      <w:r>
        <w:rPr>
          <w:b/>
          <w:sz w:val="16"/>
        </w:rPr>
        <w:t>( ) 1 puan: </w:t>
      </w:r>
      <w:r>
        <w:rPr>
          <w:sz w:val="16"/>
        </w:rPr>
        <w:t>Elbiselerini giyip çıkarmak, tuvalet kâğıdını kullanmak için bir miktar yardım alır</w:t>
      </w:r>
    </w:p>
    <w:p>
      <w:pPr>
        <w:spacing w:before="28"/>
        <w:ind w:left="1248" w:right="0" w:firstLine="0"/>
        <w:jc w:val="left"/>
        <w:rPr>
          <w:sz w:val="16"/>
        </w:rPr>
      </w:pPr>
      <w:r>
        <w:rPr>
          <w:b/>
          <w:sz w:val="16"/>
        </w:rPr>
        <w:t>( ) 0 puan: </w:t>
      </w:r>
      <w:r>
        <w:rPr>
          <w:sz w:val="16"/>
        </w:rPr>
        <w:t>Bağımlı</w:t>
      </w:r>
    </w:p>
    <w:p>
      <w:pPr>
        <w:pStyle w:val="BodyText"/>
        <w:spacing w:before="10"/>
        <w:rPr>
          <w:sz w:val="20"/>
        </w:rPr>
      </w:pPr>
    </w:p>
    <w:p>
      <w:pPr>
        <w:pStyle w:val="ListParagraph"/>
        <w:numPr>
          <w:ilvl w:val="0"/>
          <w:numId w:val="23"/>
        </w:numPr>
        <w:tabs>
          <w:tab w:pos="1383" w:val="left" w:leader="none"/>
        </w:tabs>
        <w:spacing w:line="240" w:lineRule="auto" w:before="0" w:after="0"/>
        <w:ind w:left="1382" w:right="0" w:hanging="135"/>
        <w:jc w:val="left"/>
        <w:rPr>
          <w:b/>
          <w:sz w:val="16"/>
        </w:rPr>
      </w:pPr>
      <w:r>
        <w:rPr>
          <w:b/>
          <w:sz w:val="16"/>
          <w:u w:val="single"/>
        </w:rPr>
        <w:t>Yıkanma ( 1</w:t>
      </w:r>
      <w:r>
        <w:rPr>
          <w:b/>
          <w:spacing w:val="-3"/>
          <w:sz w:val="16"/>
          <w:u w:val="single"/>
        </w:rPr>
        <w:t> </w:t>
      </w:r>
      <w:r>
        <w:rPr>
          <w:b/>
          <w:sz w:val="16"/>
          <w:u w:val="single"/>
        </w:rPr>
        <w:t>)</w:t>
      </w:r>
    </w:p>
    <w:p>
      <w:pPr>
        <w:spacing w:before="28"/>
        <w:ind w:left="1248" w:right="0" w:firstLine="0"/>
        <w:jc w:val="left"/>
        <w:rPr>
          <w:sz w:val="16"/>
        </w:rPr>
      </w:pPr>
      <w:r>
        <w:rPr>
          <w:b/>
          <w:sz w:val="16"/>
        </w:rPr>
        <w:t>( ) 1 puan: </w:t>
      </w:r>
      <w:r>
        <w:rPr>
          <w:sz w:val="16"/>
        </w:rPr>
        <w:t>Bağımsızdır.</w:t>
      </w:r>
    </w:p>
    <w:p>
      <w:pPr>
        <w:spacing w:before="27"/>
        <w:ind w:left="1248" w:right="0" w:firstLine="0"/>
        <w:jc w:val="left"/>
        <w:rPr>
          <w:sz w:val="16"/>
        </w:rPr>
      </w:pPr>
      <w:r>
        <w:rPr>
          <w:b/>
          <w:sz w:val="16"/>
        </w:rPr>
        <w:t>( ) 0 puan: </w:t>
      </w:r>
      <w:r>
        <w:rPr>
          <w:sz w:val="16"/>
        </w:rPr>
        <w:t>Yardıma ihtiyacı vardır.</w:t>
      </w:r>
    </w:p>
    <w:p>
      <w:pPr>
        <w:pStyle w:val="BodyText"/>
        <w:spacing w:before="8"/>
        <w:rPr>
          <w:sz w:val="20"/>
        </w:rPr>
      </w:pPr>
    </w:p>
    <w:p>
      <w:pPr>
        <w:pStyle w:val="ListParagraph"/>
        <w:numPr>
          <w:ilvl w:val="0"/>
          <w:numId w:val="23"/>
        </w:numPr>
        <w:tabs>
          <w:tab w:pos="1383" w:val="left" w:leader="none"/>
        </w:tabs>
        <w:spacing w:line="240" w:lineRule="auto" w:before="0" w:after="0"/>
        <w:ind w:left="1382" w:right="0" w:hanging="135"/>
        <w:jc w:val="left"/>
        <w:rPr>
          <w:b/>
          <w:sz w:val="16"/>
        </w:rPr>
      </w:pPr>
      <w:r>
        <w:rPr>
          <w:b/>
          <w:sz w:val="16"/>
          <w:u w:val="single"/>
        </w:rPr>
        <w:t>Düzgün yüzeyde yürüme</w:t>
      </w:r>
      <w:r>
        <w:rPr>
          <w:b/>
          <w:spacing w:val="5"/>
          <w:sz w:val="16"/>
          <w:u w:val="single"/>
        </w:rPr>
        <w:t> </w:t>
      </w:r>
      <w:r>
        <w:rPr>
          <w:b/>
          <w:sz w:val="16"/>
          <w:u w:val="single"/>
        </w:rPr>
        <w:t>(3)</w:t>
      </w:r>
    </w:p>
    <w:p>
      <w:pPr>
        <w:spacing w:line="278" w:lineRule="auto" w:before="28"/>
        <w:ind w:left="1248" w:right="712" w:firstLine="0"/>
        <w:jc w:val="left"/>
        <w:rPr>
          <w:sz w:val="16"/>
        </w:rPr>
      </w:pPr>
      <w:r>
        <w:rPr>
          <w:b/>
          <w:sz w:val="16"/>
        </w:rPr>
        <w:t>( ) 3 puan: </w:t>
      </w:r>
      <w:r>
        <w:rPr>
          <w:sz w:val="16"/>
        </w:rPr>
        <w:t>Hasta yardımsız olarak 45 metre yürüyebilir. Breys, baston, koltuk değneği, yürüteç kullanabilir. Breys kullanıyorsa kilitleyip açabilmeli, oturup kalkabilmeli, mekanik destekleri yardımsız kullanabilmeli.</w:t>
      </w:r>
    </w:p>
    <w:p>
      <w:pPr>
        <w:spacing w:line="182" w:lineRule="exact" w:before="0"/>
        <w:ind w:left="1248" w:right="0" w:firstLine="0"/>
        <w:jc w:val="left"/>
        <w:rPr>
          <w:sz w:val="16"/>
        </w:rPr>
      </w:pPr>
      <w:r>
        <w:rPr>
          <w:b/>
          <w:sz w:val="16"/>
        </w:rPr>
        <w:t>( ) 2 puan: </w:t>
      </w:r>
      <w:r>
        <w:rPr>
          <w:sz w:val="16"/>
        </w:rPr>
        <w:t>Yukarıdakileri yapmak için yardıma ve gözetime ihtiyaç duyar. Fakat 45 metreyi yardımla yürüyebilir.</w:t>
      </w:r>
    </w:p>
    <w:p>
      <w:pPr>
        <w:pStyle w:val="BodyText"/>
        <w:spacing w:before="8"/>
        <w:rPr>
          <w:sz w:val="20"/>
        </w:rPr>
      </w:pPr>
    </w:p>
    <w:p>
      <w:pPr>
        <w:spacing w:before="0"/>
        <w:ind w:left="1248" w:right="0" w:firstLine="0"/>
        <w:jc w:val="left"/>
        <w:rPr>
          <w:b/>
          <w:sz w:val="16"/>
        </w:rPr>
      </w:pPr>
      <w:r>
        <w:rPr>
          <w:b/>
          <w:sz w:val="16"/>
          <w:u w:val="single"/>
        </w:rPr>
        <w:t>6A.Tekerlekli sandalyeyi kullanabilme (uygunsa)</w:t>
      </w:r>
    </w:p>
    <w:p>
      <w:pPr>
        <w:spacing w:line="278" w:lineRule="auto" w:before="27"/>
        <w:ind w:left="1248" w:right="733" w:firstLine="0"/>
        <w:jc w:val="left"/>
        <w:rPr>
          <w:sz w:val="16"/>
        </w:rPr>
      </w:pPr>
      <w:r>
        <w:rPr>
          <w:b/>
          <w:sz w:val="16"/>
        </w:rPr>
        <w:t>( ) 1 puan: </w:t>
      </w:r>
      <w:r>
        <w:rPr>
          <w:sz w:val="16"/>
        </w:rPr>
        <w:t>Hasta yürüyemez ama tekerlekli sandalyeyi kullanabilir. Hasta köşeleri dönebilir. Yatağa tuvalete yanaşabilir. Tekerlekli sandalyeyi en az 45 metre kullanabilmelidir. Hasta eğer yürüme bölümünden puan aldıysa ayrıca bu bölümden puan verilmez</w:t>
      </w:r>
    </w:p>
    <w:p>
      <w:pPr>
        <w:spacing w:line="180" w:lineRule="exact" w:before="0"/>
        <w:ind w:left="1248" w:right="0" w:firstLine="0"/>
        <w:jc w:val="left"/>
        <w:rPr>
          <w:sz w:val="16"/>
        </w:rPr>
      </w:pPr>
      <w:r>
        <w:rPr>
          <w:b/>
          <w:sz w:val="16"/>
        </w:rPr>
        <w:t>( ) 0 puan: </w:t>
      </w:r>
      <w:r>
        <w:rPr>
          <w:sz w:val="16"/>
        </w:rPr>
        <w:t>Tekerlekli sandalyede oturabilir ancak kullanamaz.</w:t>
      </w:r>
    </w:p>
    <w:p>
      <w:pPr>
        <w:pStyle w:val="BodyText"/>
        <w:spacing w:before="8"/>
        <w:rPr>
          <w:sz w:val="20"/>
        </w:rPr>
      </w:pPr>
    </w:p>
    <w:p>
      <w:pPr>
        <w:pStyle w:val="ListParagraph"/>
        <w:numPr>
          <w:ilvl w:val="0"/>
          <w:numId w:val="23"/>
        </w:numPr>
        <w:tabs>
          <w:tab w:pos="1383" w:val="left" w:leader="none"/>
        </w:tabs>
        <w:spacing w:line="240" w:lineRule="auto" w:before="1" w:after="0"/>
        <w:ind w:left="1382" w:right="0" w:hanging="135"/>
        <w:jc w:val="left"/>
        <w:rPr>
          <w:b/>
          <w:sz w:val="16"/>
        </w:rPr>
      </w:pPr>
      <w:r>
        <w:rPr>
          <w:b/>
          <w:sz w:val="16"/>
          <w:u w:val="single"/>
        </w:rPr>
        <w:t>Merdiven inip çıkma</w:t>
      </w:r>
      <w:r>
        <w:rPr>
          <w:b/>
          <w:spacing w:val="-4"/>
          <w:sz w:val="16"/>
          <w:u w:val="single"/>
        </w:rPr>
        <w:t> </w:t>
      </w:r>
      <w:r>
        <w:rPr>
          <w:b/>
          <w:sz w:val="16"/>
          <w:u w:val="single"/>
        </w:rPr>
        <w:t>(2)</w:t>
      </w:r>
    </w:p>
    <w:p>
      <w:pPr>
        <w:spacing w:before="27"/>
        <w:ind w:left="1248" w:right="0" w:firstLine="0"/>
        <w:jc w:val="left"/>
        <w:rPr>
          <w:sz w:val="16"/>
        </w:rPr>
      </w:pPr>
      <w:r>
        <w:rPr>
          <w:b/>
          <w:sz w:val="16"/>
        </w:rPr>
        <w:t>( ) 2 puan: </w:t>
      </w:r>
      <w:r>
        <w:rPr>
          <w:sz w:val="16"/>
        </w:rPr>
        <w:t>Bağımsız inip çıkabilir, ancak destek kullanabilir (trabzan, baston, koltuk değneği …)</w:t>
      </w:r>
    </w:p>
    <w:p>
      <w:pPr>
        <w:spacing w:before="27"/>
        <w:ind w:left="1248" w:right="0" w:firstLine="0"/>
        <w:jc w:val="left"/>
        <w:rPr>
          <w:sz w:val="16"/>
        </w:rPr>
      </w:pPr>
      <w:r>
        <w:rPr>
          <w:b/>
          <w:sz w:val="16"/>
        </w:rPr>
        <w:t>( ) 1 puan: </w:t>
      </w:r>
      <w:r>
        <w:rPr>
          <w:sz w:val="16"/>
        </w:rPr>
        <w:t>Hasta yukarıdaki işleri yapmak için yardıma veya gözetime ihtiyaç duyar.</w:t>
      </w:r>
    </w:p>
    <w:p>
      <w:pPr>
        <w:spacing w:before="27"/>
        <w:ind w:left="1248" w:right="0" w:firstLine="0"/>
        <w:jc w:val="left"/>
        <w:rPr>
          <w:sz w:val="16"/>
        </w:rPr>
      </w:pPr>
      <w:r>
        <w:rPr>
          <w:b/>
          <w:sz w:val="16"/>
        </w:rPr>
        <w:t>( ) 0 puan: </w:t>
      </w:r>
      <w:r>
        <w:rPr>
          <w:sz w:val="16"/>
        </w:rPr>
        <w:t>Yapamaz.</w:t>
      </w:r>
    </w:p>
    <w:p>
      <w:pPr>
        <w:pStyle w:val="BodyText"/>
        <w:spacing w:before="11"/>
        <w:rPr>
          <w:sz w:val="20"/>
        </w:rPr>
      </w:pPr>
    </w:p>
    <w:p>
      <w:pPr>
        <w:pStyle w:val="ListParagraph"/>
        <w:numPr>
          <w:ilvl w:val="0"/>
          <w:numId w:val="23"/>
        </w:numPr>
        <w:tabs>
          <w:tab w:pos="1383" w:val="left" w:leader="none"/>
        </w:tabs>
        <w:spacing w:line="240" w:lineRule="auto" w:before="0" w:after="0"/>
        <w:ind w:left="1382" w:right="0" w:hanging="135"/>
        <w:jc w:val="left"/>
        <w:rPr>
          <w:b/>
          <w:sz w:val="16"/>
        </w:rPr>
      </w:pPr>
      <w:r>
        <w:rPr>
          <w:b/>
          <w:sz w:val="16"/>
          <w:u w:val="single"/>
        </w:rPr>
        <w:t>Giyinip soyunma (2)</w:t>
      </w:r>
    </w:p>
    <w:p>
      <w:pPr>
        <w:spacing w:line="278" w:lineRule="auto" w:before="27"/>
        <w:ind w:left="1248" w:right="712" w:firstLine="0"/>
        <w:jc w:val="left"/>
        <w:rPr>
          <w:sz w:val="16"/>
        </w:rPr>
      </w:pPr>
      <w:r>
        <w:rPr>
          <w:b/>
          <w:sz w:val="16"/>
        </w:rPr>
        <w:t>( ) 2 puan: </w:t>
      </w:r>
      <w:r>
        <w:rPr>
          <w:sz w:val="16"/>
        </w:rPr>
        <w:t>Hasta giyinip soyunabilir. Ayakkabı bağlarını çözebilir, bağlayabilir. Korse veya breys takıp çıkarma bu maddeye dahil değildir. Hastaya kolaylık sağlayacak elbiseler giydirilmelidir.</w:t>
      </w:r>
    </w:p>
    <w:p>
      <w:pPr>
        <w:spacing w:line="278" w:lineRule="auto" w:before="0"/>
        <w:ind w:left="1248" w:right="0" w:firstLine="0"/>
        <w:jc w:val="left"/>
        <w:rPr>
          <w:sz w:val="16"/>
        </w:rPr>
      </w:pPr>
      <w:r>
        <w:rPr>
          <w:b/>
          <w:sz w:val="16"/>
        </w:rPr>
        <w:t>( ) 1 puan: </w:t>
      </w:r>
      <w:r>
        <w:rPr>
          <w:sz w:val="16"/>
        </w:rPr>
        <w:t>Hasta bu işler için yardıma gereksinim duyar. İşin en az yarısını kendisi yapabilmeli ve işlem uzun sürede tamamlanmalıdır. Sutyen takıp çıkarma puanlamaya dahil edilmez.</w:t>
      </w:r>
    </w:p>
    <w:p>
      <w:pPr>
        <w:spacing w:line="182" w:lineRule="exact" w:before="0"/>
        <w:ind w:left="1248" w:right="0" w:firstLine="0"/>
        <w:jc w:val="left"/>
        <w:rPr>
          <w:sz w:val="16"/>
        </w:rPr>
      </w:pPr>
      <w:r>
        <w:rPr>
          <w:b/>
          <w:sz w:val="16"/>
        </w:rPr>
        <w:t>( ) 0 puan: </w:t>
      </w:r>
      <w:r>
        <w:rPr>
          <w:sz w:val="16"/>
        </w:rPr>
        <w:t>Tam bağımlıdır.</w:t>
      </w:r>
    </w:p>
    <w:p>
      <w:pPr>
        <w:pStyle w:val="BodyText"/>
        <w:spacing w:before="4"/>
        <w:rPr>
          <w:sz w:val="20"/>
        </w:rPr>
      </w:pPr>
    </w:p>
    <w:p>
      <w:pPr>
        <w:pStyle w:val="ListParagraph"/>
        <w:numPr>
          <w:ilvl w:val="0"/>
          <w:numId w:val="23"/>
        </w:numPr>
        <w:tabs>
          <w:tab w:pos="1383" w:val="left" w:leader="none"/>
        </w:tabs>
        <w:spacing w:line="240" w:lineRule="auto" w:before="0" w:after="0"/>
        <w:ind w:left="1382" w:right="0" w:hanging="135"/>
        <w:jc w:val="left"/>
        <w:rPr>
          <w:b/>
          <w:sz w:val="16"/>
        </w:rPr>
      </w:pPr>
      <w:r>
        <w:rPr>
          <w:b/>
          <w:sz w:val="16"/>
          <w:u w:val="single"/>
        </w:rPr>
        <w:t>Bagırsak bakımı (2)</w:t>
      </w:r>
    </w:p>
    <w:p>
      <w:pPr>
        <w:spacing w:before="28"/>
        <w:ind w:left="1248" w:right="0" w:firstLine="0"/>
        <w:jc w:val="left"/>
        <w:rPr>
          <w:sz w:val="16"/>
        </w:rPr>
      </w:pPr>
      <w:r>
        <w:rPr>
          <w:b/>
          <w:sz w:val="16"/>
        </w:rPr>
        <w:t>( ) 2 puan: </w:t>
      </w:r>
      <w:r>
        <w:rPr>
          <w:sz w:val="16"/>
        </w:rPr>
        <w:t>Kontinan (Suppozituar kullanabilir veya gerekirse lavman yapabilir. Örneğin, spinal kord yaralanmalı olgular)</w:t>
      </w:r>
    </w:p>
    <w:p>
      <w:pPr>
        <w:spacing w:before="27"/>
        <w:ind w:left="1248" w:right="0" w:firstLine="0"/>
        <w:jc w:val="left"/>
        <w:rPr>
          <w:sz w:val="16"/>
        </w:rPr>
      </w:pPr>
      <w:r>
        <w:rPr>
          <w:b/>
          <w:sz w:val="16"/>
        </w:rPr>
        <w:t>( ) 1 puan: </w:t>
      </w:r>
      <w:r>
        <w:rPr>
          <w:sz w:val="16"/>
        </w:rPr>
        <w:t>Hasta suppozituar koymak veya lavman yapmak için yardıma ihtiyaç duyar.</w:t>
      </w:r>
    </w:p>
    <w:p>
      <w:pPr>
        <w:spacing w:before="28"/>
        <w:ind w:left="1248" w:right="0" w:firstLine="0"/>
        <w:jc w:val="left"/>
        <w:rPr>
          <w:sz w:val="16"/>
        </w:rPr>
      </w:pPr>
      <w:r>
        <w:rPr>
          <w:b/>
          <w:sz w:val="16"/>
        </w:rPr>
        <w:t>( ) 0 puan: </w:t>
      </w:r>
      <w:r>
        <w:rPr>
          <w:sz w:val="16"/>
        </w:rPr>
        <w:t>İnkontinans</w:t>
      </w:r>
    </w:p>
    <w:p>
      <w:pPr>
        <w:pStyle w:val="BodyText"/>
        <w:spacing w:before="10"/>
        <w:rPr>
          <w:sz w:val="20"/>
        </w:rPr>
      </w:pPr>
    </w:p>
    <w:p>
      <w:pPr>
        <w:pStyle w:val="ListParagraph"/>
        <w:numPr>
          <w:ilvl w:val="0"/>
          <w:numId w:val="23"/>
        </w:numPr>
        <w:tabs>
          <w:tab w:pos="1472" w:val="left" w:leader="none"/>
        </w:tabs>
        <w:spacing w:line="240" w:lineRule="auto" w:before="0" w:after="0"/>
        <w:ind w:left="1471" w:right="0" w:hanging="224"/>
        <w:jc w:val="left"/>
        <w:rPr>
          <w:b/>
          <w:sz w:val="16"/>
        </w:rPr>
      </w:pPr>
      <w:r>
        <w:rPr>
          <w:b/>
          <w:sz w:val="16"/>
          <w:u w:val="single"/>
        </w:rPr>
        <w:t>Mesane bakımı (2)</w:t>
      </w:r>
    </w:p>
    <w:p>
      <w:pPr>
        <w:spacing w:line="278" w:lineRule="auto" w:before="28"/>
        <w:ind w:left="1248" w:right="712" w:firstLine="0"/>
        <w:jc w:val="left"/>
        <w:rPr>
          <w:sz w:val="16"/>
        </w:rPr>
      </w:pPr>
      <w:r>
        <w:rPr>
          <w:b/>
          <w:sz w:val="16"/>
        </w:rPr>
        <w:t>( ) 2 puan: </w:t>
      </w:r>
      <w:r>
        <w:rPr>
          <w:sz w:val="16"/>
        </w:rPr>
        <w:t>Hasta gece ve gündüz mesanesini kontrol edebilmelidir. Spinal kord yaralanması olan kateterli hastalar, kateter bakımını bağımsız olarak yapabilmeli, takıp çıkarabilmelidir.</w:t>
      </w:r>
    </w:p>
    <w:p>
      <w:pPr>
        <w:spacing w:line="180" w:lineRule="exact" w:before="0"/>
        <w:ind w:left="1248" w:right="0" w:firstLine="0"/>
        <w:jc w:val="left"/>
        <w:rPr>
          <w:sz w:val="16"/>
        </w:rPr>
      </w:pPr>
      <w:r>
        <w:rPr>
          <w:b/>
          <w:sz w:val="16"/>
        </w:rPr>
        <w:t>( ) 1 puan: </w:t>
      </w:r>
      <w:r>
        <w:rPr>
          <w:sz w:val="16"/>
        </w:rPr>
        <w:t>Bazen tuvalete yetişemez veya sürgüyü bekleyemez; altına kaçırır.</w:t>
      </w:r>
    </w:p>
    <w:p>
      <w:pPr>
        <w:spacing w:before="27"/>
        <w:ind w:left="1248" w:right="0" w:firstLine="0"/>
        <w:jc w:val="left"/>
        <w:rPr>
          <w:sz w:val="16"/>
        </w:rPr>
      </w:pPr>
      <w:r>
        <w:rPr>
          <w:b/>
          <w:sz w:val="16"/>
        </w:rPr>
        <w:t>( ) 0 puan: </w:t>
      </w:r>
      <w:r>
        <w:rPr>
          <w:sz w:val="16"/>
        </w:rPr>
        <w:t>İnkontinans veya kateterli ve control edemez.</w:t>
      </w:r>
    </w:p>
    <w:p>
      <w:pPr>
        <w:pStyle w:val="BodyText"/>
        <w:rPr>
          <w:sz w:val="18"/>
        </w:rPr>
      </w:pPr>
    </w:p>
    <w:p>
      <w:pPr>
        <w:pStyle w:val="BodyText"/>
        <w:spacing w:before="3"/>
        <w:rPr>
          <w:sz w:val="21"/>
        </w:rPr>
      </w:pPr>
    </w:p>
    <w:p>
      <w:pPr>
        <w:spacing w:before="0"/>
        <w:ind w:left="1248" w:right="0" w:firstLine="0"/>
        <w:jc w:val="left"/>
        <w:rPr>
          <w:b/>
          <w:sz w:val="16"/>
        </w:rPr>
      </w:pPr>
      <w:r>
        <w:rPr>
          <w:b/>
          <w:sz w:val="16"/>
        </w:rPr>
        <w:t>Toplam puan:……</w:t>
      </w:r>
    </w:p>
    <w:p>
      <w:pPr>
        <w:spacing w:after="0"/>
        <w:jc w:val="left"/>
        <w:rPr>
          <w:sz w:val="16"/>
        </w:rPr>
        <w:sectPr>
          <w:headerReference w:type="default" r:id="rId34"/>
          <w:pgSz w:w="11910" w:h="16840"/>
          <w:pgMar w:header="1420" w:footer="0" w:top="1660" w:bottom="280" w:left="1020" w:right="460"/>
        </w:sectPr>
      </w:pPr>
    </w:p>
    <w:p>
      <w:pPr>
        <w:pStyle w:val="BodyText"/>
        <w:spacing w:before="5"/>
        <w:rPr>
          <w:b/>
          <w:sz w:val="17"/>
        </w:rPr>
      </w:pPr>
      <w:r>
        <w:rPr/>
        <w:pict>
          <v:shape style="position:absolute;margin-left:533.159973pt;margin-top:37.439983pt;width:5.6pt;height:11.05pt;mso-position-horizontal-relative:page;mso-position-vertical-relative:page;z-index:-255535104" type="#_x0000_t202" filled="false" stroked="false">
            <v:textbox inset="0,0,0,0">
              <w:txbxContent>
                <w:p>
                  <w:pPr>
                    <w:pStyle w:val="BodyText"/>
                    <w:spacing w:line="221" w:lineRule="exact"/>
                    <w:rPr>
                      <w:rFonts w:ascii="Calibri"/>
                    </w:rPr>
                  </w:pPr>
                  <w:r>
                    <w:rPr>
                      <w:rFonts w:ascii="Calibri"/>
                      <w:w w:val="100"/>
                    </w:rPr>
                    <w:t>2</w:t>
                  </w:r>
                </w:p>
              </w:txbxContent>
            </v:textbox>
            <w10:wrap type="none"/>
          </v:shape>
        </w:pict>
      </w:r>
      <w:r>
        <w:rPr/>
        <w:pict>
          <v:rect style="position:absolute;margin-left:513pt;margin-top:30.899982pt;width:42.2pt;height:33.9pt;mso-position-horizontal-relative:page;mso-position-vertical-relative:page;z-index:251686912" filled="true" fillcolor="#ffffff" stroked="false">
            <v:fill type="solid"/>
            <w10:wrap type="none"/>
          </v:rect>
        </w:pict>
      </w:r>
    </w:p>
    <w:p>
      <w:pPr>
        <w:spacing w:line="259" w:lineRule="auto" w:before="93"/>
        <w:ind w:left="1248" w:right="673" w:firstLine="0"/>
        <w:jc w:val="both"/>
        <w:rPr>
          <w:sz w:val="20"/>
        </w:rPr>
      </w:pPr>
      <w:r>
        <w:rPr>
          <w:sz w:val="20"/>
        </w:rPr>
        <w:t>Aşağıda gösterilen ve 1962’de İngiltere’de oluşturulan Norton Puanlama Sistemi, ilk basınç yarası risk değerlendirme ölçeğidir. Toplam puan bu hastanın Norton Skoru (NR) dur ve 5 (en yüksek risk) ile 20 (en düşük risk) arasında değişebilir.(Belirtildiği gibi, 9’un altındaki Norton Skoru, çok yüksek riski,10-13 arası yüksek riski,14-17 arası orta riski ve 18’den yüksek skor düşük riski ifade eder.)</w:t>
      </w:r>
    </w:p>
    <w:p>
      <w:pPr>
        <w:pStyle w:val="BodyText"/>
        <w:rPr>
          <w:sz w:val="15"/>
        </w:rPr>
      </w:pPr>
    </w:p>
    <w:tbl>
      <w:tblPr>
        <w:tblW w:w="0" w:type="auto"/>
        <w:jc w:val="left"/>
        <w:tblInd w:w="115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top w:w="0" w:type="dxa"/>
          <w:left w:w="0" w:type="dxa"/>
          <w:bottom w:w="0" w:type="dxa"/>
          <w:right w:w="0" w:type="dxa"/>
        </w:tblCellMar>
        <w:tblLook w:val="01E0"/>
      </w:tblPr>
      <w:tblGrid>
        <w:gridCol w:w="1630"/>
        <w:gridCol w:w="2799"/>
        <w:gridCol w:w="622"/>
        <w:gridCol w:w="3671"/>
      </w:tblGrid>
      <w:tr>
        <w:trPr>
          <w:trHeight w:val="219" w:hRule="atLeast"/>
        </w:trPr>
        <w:tc>
          <w:tcPr>
            <w:tcW w:w="1630" w:type="dxa"/>
            <w:vMerge w:val="restart"/>
          </w:tcPr>
          <w:p>
            <w:pPr>
              <w:pStyle w:val="TableParagraph"/>
              <w:spacing w:before="4"/>
              <w:rPr>
                <w:sz w:val="25"/>
              </w:rPr>
            </w:pPr>
          </w:p>
          <w:p>
            <w:pPr>
              <w:pStyle w:val="TableParagraph"/>
              <w:ind w:left="472" w:hanging="36"/>
              <w:rPr>
                <w:b/>
                <w:sz w:val="20"/>
              </w:rPr>
            </w:pPr>
            <w:r>
              <w:rPr>
                <w:b/>
                <w:w w:val="95"/>
                <w:sz w:val="20"/>
              </w:rPr>
              <w:t>Fiziksel </w:t>
            </w:r>
            <w:r>
              <w:rPr>
                <w:b/>
                <w:sz w:val="20"/>
              </w:rPr>
              <w:t>Durum</w:t>
            </w:r>
          </w:p>
        </w:tc>
        <w:tc>
          <w:tcPr>
            <w:tcW w:w="2799" w:type="dxa"/>
            <w:tcBorders>
              <w:bottom w:val="single" w:sz="4" w:space="0" w:color="000000"/>
            </w:tcBorders>
          </w:tcPr>
          <w:p>
            <w:pPr>
              <w:pStyle w:val="TableParagraph"/>
              <w:spacing w:line="200" w:lineRule="exact"/>
              <w:ind w:left="908" w:right="908"/>
              <w:jc w:val="center"/>
              <w:rPr>
                <w:sz w:val="20"/>
              </w:rPr>
            </w:pPr>
            <w:r>
              <w:rPr>
                <w:sz w:val="20"/>
              </w:rPr>
              <w:t>İyi</w:t>
            </w:r>
          </w:p>
        </w:tc>
        <w:tc>
          <w:tcPr>
            <w:tcW w:w="622" w:type="dxa"/>
            <w:tcBorders>
              <w:bottom w:val="nil"/>
            </w:tcBorders>
          </w:tcPr>
          <w:p>
            <w:pPr>
              <w:pStyle w:val="TableParagraph"/>
              <w:spacing w:line="200" w:lineRule="exact"/>
              <w:ind w:left="21"/>
              <w:jc w:val="center"/>
              <w:rPr>
                <w:sz w:val="20"/>
              </w:rPr>
            </w:pPr>
            <w:r>
              <w:rPr>
                <w:w w:val="99"/>
                <w:sz w:val="20"/>
              </w:rPr>
              <w:t>4</w:t>
            </w:r>
          </w:p>
        </w:tc>
        <w:tc>
          <w:tcPr>
            <w:tcW w:w="3671" w:type="dxa"/>
            <w:vMerge w:val="restart"/>
          </w:tcPr>
          <w:p>
            <w:pPr>
              <w:pStyle w:val="TableParagraph"/>
              <w:rPr>
                <w:rFonts w:ascii="Times New Roman"/>
                <w:sz w:val="20"/>
              </w:rPr>
            </w:pPr>
          </w:p>
        </w:tc>
      </w:tr>
      <w:tr>
        <w:trPr>
          <w:trHeight w:val="245" w:hRule="atLeast"/>
        </w:trPr>
        <w:tc>
          <w:tcPr>
            <w:tcW w:w="1630" w:type="dxa"/>
            <w:vMerge/>
            <w:tcBorders>
              <w:top w:val="nil"/>
            </w:tcBorders>
          </w:tcPr>
          <w:p>
            <w:pPr>
              <w:rPr>
                <w:sz w:val="2"/>
                <w:szCs w:val="2"/>
              </w:rPr>
            </w:pPr>
          </w:p>
        </w:tc>
        <w:tc>
          <w:tcPr>
            <w:tcW w:w="2799" w:type="dxa"/>
            <w:tcBorders>
              <w:top w:val="single" w:sz="4" w:space="0" w:color="000000"/>
              <w:bottom w:val="single" w:sz="4" w:space="0" w:color="000000"/>
            </w:tcBorders>
          </w:tcPr>
          <w:p>
            <w:pPr>
              <w:pStyle w:val="TableParagraph"/>
              <w:spacing w:line="203" w:lineRule="exact" w:before="23"/>
              <w:ind w:left="909" w:right="905"/>
              <w:jc w:val="center"/>
              <w:rPr>
                <w:sz w:val="20"/>
              </w:rPr>
            </w:pPr>
            <w:r>
              <w:rPr>
                <w:sz w:val="20"/>
              </w:rPr>
              <w:t>Orta</w:t>
            </w:r>
          </w:p>
        </w:tc>
        <w:tc>
          <w:tcPr>
            <w:tcW w:w="622" w:type="dxa"/>
            <w:tcBorders>
              <w:top w:val="nil"/>
              <w:bottom w:val="nil"/>
            </w:tcBorders>
          </w:tcPr>
          <w:p>
            <w:pPr>
              <w:pStyle w:val="TableParagraph"/>
              <w:spacing w:line="203" w:lineRule="exact" w:before="23"/>
              <w:ind w:left="21"/>
              <w:jc w:val="center"/>
              <w:rPr>
                <w:sz w:val="20"/>
              </w:rPr>
            </w:pPr>
            <w:r>
              <w:rPr>
                <w:w w:val="99"/>
                <w:sz w:val="20"/>
              </w:rPr>
              <w:t>3</w:t>
            </w:r>
          </w:p>
        </w:tc>
        <w:tc>
          <w:tcPr>
            <w:tcW w:w="3671" w:type="dxa"/>
            <w:vMerge/>
            <w:tcBorders>
              <w:top w:val="nil"/>
            </w:tcBorders>
          </w:tcPr>
          <w:p>
            <w:pPr>
              <w:rPr>
                <w:sz w:val="2"/>
                <w:szCs w:val="2"/>
              </w:rPr>
            </w:pPr>
          </w:p>
        </w:tc>
      </w:tr>
      <w:tr>
        <w:trPr>
          <w:trHeight w:val="243" w:hRule="atLeast"/>
        </w:trPr>
        <w:tc>
          <w:tcPr>
            <w:tcW w:w="1630" w:type="dxa"/>
            <w:vMerge/>
            <w:tcBorders>
              <w:top w:val="nil"/>
            </w:tcBorders>
          </w:tcPr>
          <w:p>
            <w:pPr>
              <w:rPr>
                <w:sz w:val="2"/>
                <w:szCs w:val="2"/>
              </w:rPr>
            </w:pPr>
          </w:p>
        </w:tc>
        <w:tc>
          <w:tcPr>
            <w:tcW w:w="2799" w:type="dxa"/>
            <w:tcBorders>
              <w:top w:val="single" w:sz="4" w:space="0" w:color="000000"/>
              <w:bottom w:val="single" w:sz="4" w:space="0" w:color="000000"/>
            </w:tcBorders>
          </w:tcPr>
          <w:p>
            <w:pPr>
              <w:pStyle w:val="TableParagraph"/>
              <w:spacing w:line="201" w:lineRule="exact" w:before="23"/>
              <w:ind w:left="908" w:right="908"/>
              <w:jc w:val="center"/>
              <w:rPr>
                <w:sz w:val="20"/>
              </w:rPr>
            </w:pPr>
            <w:r>
              <w:rPr>
                <w:sz w:val="20"/>
              </w:rPr>
              <w:t>Kötü</w:t>
            </w:r>
          </w:p>
        </w:tc>
        <w:tc>
          <w:tcPr>
            <w:tcW w:w="622" w:type="dxa"/>
            <w:tcBorders>
              <w:top w:val="nil"/>
              <w:bottom w:val="nil"/>
            </w:tcBorders>
          </w:tcPr>
          <w:p>
            <w:pPr>
              <w:pStyle w:val="TableParagraph"/>
              <w:spacing w:line="201" w:lineRule="exact" w:before="23"/>
              <w:ind w:left="21"/>
              <w:jc w:val="center"/>
              <w:rPr>
                <w:sz w:val="20"/>
              </w:rPr>
            </w:pPr>
            <w:r>
              <w:rPr>
                <w:w w:val="99"/>
                <w:sz w:val="20"/>
              </w:rPr>
              <w:t>2</w:t>
            </w:r>
          </w:p>
        </w:tc>
        <w:tc>
          <w:tcPr>
            <w:tcW w:w="3671" w:type="dxa"/>
            <w:vMerge/>
            <w:tcBorders>
              <w:top w:val="nil"/>
            </w:tcBorders>
          </w:tcPr>
          <w:p>
            <w:pPr>
              <w:rPr>
                <w:sz w:val="2"/>
                <w:szCs w:val="2"/>
              </w:rPr>
            </w:pPr>
          </w:p>
        </w:tc>
      </w:tr>
      <w:tr>
        <w:trPr>
          <w:trHeight w:val="255" w:hRule="atLeast"/>
        </w:trPr>
        <w:tc>
          <w:tcPr>
            <w:tcW w:w="1630" w:type="dxa"/>
            <w:vMerge/>
            <w:tcBorders>
              <w:top w:val="nil"/>
            </w:tcBorders>
          </w:tcPr>
          <w:p>
            <w:pPr>
              <w:rPr>
                <w:sz w:val="2"/>
                <w:szCs w:val="2"/>
              </w:rPr>
            </w:pPr>
          </w:p>
        </w:tc>
        <w:tc>
          <w:tcPr>
            <w:tcW w:w="2799" w:type="dxa"/>
            <w:tcBorders>
              <w:top w:val="single" w:sz="4" w:space="0" w:color="000000"/>
            </w:tcBorders>
          </w:tcPr>
          <w:p>
            <w:pPr>
              <w:pStyle w:val="TableParagraph"/>
              <w:spacing w:line="213" w:lineRule="exact" w:before="23"/>
              <w:ind w:left="908" w:right="908"/>
              <w:jc w:val="center"/>
              <w:rPr>
                <w:sz w:val="20"/>
              </w:rPr>
            </w:pPr>
            <w:r>
              <w:rPr>
                <w:sz w:val="20"/>
              </w:rPr>
              <w:t>Çok Kötü</w:t>
            </w:r>
          </w:p>
        </w:tc>
        <w:tc>
          <w:tcPr>
            <w:tcW w:w="622" w:type="dxa"/>
            <w:tcBorders>
              <w:top w:val="nil"/>
            </w:tcBorders>
          </w:tcPr>
          <w:p>
            <w:pPr>
              <w:pStyle w:val="TableParagraph"/>
              <w:spacing w:line="213" w:lineRule="exact" w:before="23"/>
              <w:ind w:left="21"/>
              <w:jc w:val="center"/>
              <w:rPr>
                <w:sz w:val="20"/>
              </w:rPr>
            </w:pPr>
            <w:r>
              <w:rPr>
                <w:w w:val="99"/>
                <w:sz w:val="20"/>
              </w:rPr>
              <w:t>1</w:t>
            </w:r>
          </w:p>
        </w:tc>
        <w:tc>
          <w:tcPr>
            <w:tcW w:w="3671" w:type="dxa"/>
            <w:vMerge/>
            <w:tcBorders>
              <w:top w:val="nil"/>
            </w:tcBorders>
          </w:tcPr>
          <w:p>
            <w:pPr>
              <w:rPr>
                <w:sz w:val="2"/>
                <w:szCs w:val="2"/>
              </w:rPr>
            </w:pPr>
          </w:p>
        </w:tc>
      </w:tr>
      <w:tr>
        <w:trPr>
          <w:trHeight w:val="219" w:hRule="atLeast"/>
        </w:trPr>
        <w:tc>
          <w:tcPr>
            <w:tcW w:w="1630" w:type="dxa"/>
            <w:vMerge w:val="restart"/>
          </w:tcPr>
          <w:p>
            <w:pPr>
              <w:pStyle w:val="TableParagraph"/>
              <w:rPr>
                <w:sz w:val="22"/>
              </w:rPr>
            </w:pPr>
          </w:p>
          <w:p>
            <w:pPr>
              <w:pStyle w:val="TableParagraph"/>
              <w:spacing w:before="154"/>
              <w:ind w:left="129"/>
              <w:rPr>
                <w:b/>
                <w:sz w:val="20"/>
              </w:rPr>
            </w:pPr>
            <w:r>
              <w:rPr>
                <w:b/>
                <w:sz w:val="20"/>
              </w:rPr>
              <w:t>Mental Durum</w:t>
            </w:r>
          </w:p>
        </w:tc>
        <w:tc>
          <w:tcPr>
            <w:tcW w:w="2799" w:type="dxa"/>
            <w:tcBorders>
              <w:bottom w:val="single" w:sz="4" w:space="0" w:color="000000"/>
            </w:tcBorders>
          </w:tcPr>
          <w:p>
            <w:pPr>
              <w:pStyle w:val="TableParagraph"/>
              <w:spacing w:line="200" w:lineRule="exact"/>
              <w:ind w:left="909" w:right="908"/>
              <w:jc w:val="center"/>
              <w:rPr>
                <w:sz w:val="20"/>
              </w:rPr>
            </w:pPr>
            <w:r>
              <w:rPr>
                <w:sz w:val="20"/>
              </w:rPr>
              <w:t>Uyanık</w:t>
            </w:r>
          </w:p>
        </w:tc>
        <w:tc>
          <w:tcPr>
            <w:tcW w:w="622" w:type="dxa"/>
            <w:tcBorders>
              <w:bottom w:val="nil"/>
            </w:tcBorders>
          </w:tcPr>
          <w:p>
            <w:pPr>
              <w:pStyle w:val="TableParagraph"/>
              <w:spacing w:line="200" w:lineRule="exact"/>
              <w:ind w:left="21"/>
              <w:jc w:val="center"/>
              <w:rPr>
                <w:sz w:val="20"/>
              </w:rPr>
            </w:pPr>
            <w:r>
              <w:rPr>
                <w:w w:val="99"/>
                <w:sz w:val="20"/>
              </w:rPr>
              <w:t>4</w:t>
            </w:r>
          </w:p>
        </w:tc>
        <w:tc>
          <w:tcPr>
            <w:tcW w:w="3671" w:type="dxa"/>
            <w:vMerge w:val="restart"/>
          </w:tcPr>
          <w:p>
            <w:pPr>
              <w:pStyle w:val="TableParagraph"/>
              <w:rPr>
                <w:rFonts w:ascii="Times New Roman"/>
                <w:sz w:val="20"/>
              </w:rPr>
            </w:pPr>
          </w:p>
        </w:tc>
      </w:tr>
      <w:tr>
        <w:trPr>
          <w:trHeight w:val="245" w:hRule="atLeast"/>
        </w:trPr>
        <w:tc>
          <w:tcPr>
            <w:tcW w:w="1630" w:type="dxa"/>
            <w:vMerge/>
            <w:tcBorders>
              <w:top w:val="nil"/>
            </w:tcBorders>
          </w:tcPr>
          <w:p>
            <w:pPr>
              <w:rPr>
                <w:sz w:val="2"/>
                <w:szCs w:val="2"/>
              </w:rPr>
            </w:pPr>
          </w:p>
        </w:tc>
        <w:tc>
          <w:tcPr>
            <w:tcW w:w="2799" w:type="dxa"/>
            <w:tcBorders>
              <w:top w:val="single" w:sz="4" w:space="0" w:color="000000"/>
              <w:bottom w:val="single" w:sz="4" w:space="0" w:color="000000"/>
            </w:tcBorders>
          </w:tcPr>
          <w:p>
            <w:pPr>
              <w:pStyle w:val="TableParagraph"/>
              <w:spacing w:line="203" w:lineRule="exact" w:before="23"/>
              <w:ind w:left="909" w:right="908"/>
              <w:jc w:val="center"/>
              <w:rPr>
                <w:sz w:val="20"/>
              </w:rPr>
            </w:pPr>
            <w:r>
              <w:rPr>
                <w:sz w:val="20"/>
              </w:rPr>
              <w:t>Lakayt</w:t>
            </w:r>
          </w:p>
        </w:tc>
        <w:tc>
          <w:tcPr>
            <w:tcW w:w="622" w:type="dxa"/>
            <w:tcBorders>
              <w:top w:val="nil"/>
              <w:bottom w:val="nil"/>
            </w:tcBorders>
          </w:tcPr>
          <w:p>
            <w:pPr>
              <w:pStyle w:val="TableParagraph"/>
              <w:spacing w:line="203" w:lineRule="exact" w:before="23"/>
              <w:ind w:left="21"/>
              <w:jc w:val="center"/>
              <w:rPr>
                <w:sz w:val="20"/>
              </w:rPr>
            </w:pPr>
            <w:r>
              <w:rPr>
                <w:w w:val="99"/>
                <w:sz w:val="20"/>
              </w:rPr>
              <w:t>3</w:t>
            </w:r>
          </w:p>
        </w:tc>
        <w:tc>
          <w:tcPr>
            <w:tcW w:w="3671" w:type="dxa"/>
            <w:vMerge/>
            <w:tcBorders>
              <w:top w:val="nil"/>
            </w:tcBorders>
          </w:tcPr>
          <w:p>
            <w:pPr>
              <w:rPr>
                <w:sz w:val="2"/>
                <w:szCs w:val="2"/>
              </w:rPr>
            </w:pPr>
          </w:p>
        </w:tc>
      </w:tr>
      <w:tr>
        <w:trPr>
          <w:trHeight w:val="244" w:hRule="atLeast"/>
        </w:trPr>
        <w:tc>
          <w:tcPr>
            <w:tcW w:w="1630" w:type="dxa"/>
            <w:vMerge/>
            <w:tcBorders>
              <w:top w:val="nil"/>
            </w:tcBorders>
          </w:tcPr>
          <w:p>
            <w:pPr>
              <w:rPr>
                <w:sz w:val="2"/>
                <w:szCs w:val="2"/>
              </w:rPr>
            </w:pPr>
          </w:p>
        </w:tc>
        <w:tc>
          <w:tcPr>
            <w:tcW w:w="2799" w:type="dxa"/>
            <w:tcBorders>
              <w:top w:val="single" w:sz="4" w:space="0" w:color="000000"/>
              <w:bottom w:val="single" w:sz="4" w:space="0" w:color="000000"/>
            </w:tcBorders>
          </w:tcPr>
          <w:p>
            <w:pPr>
              <w:pStyle w:val="TableParagraph"/>
              <w:spacing w:line="201" w:lineRule="exact" w:before="23"/>
              <w:ind w:left="909" w:right="907"/>
              <w:jc w:val="center"/>
              <w:rPr>
                <w:sz w:val="20"/>
              </w:rPr>
            </w:pPr>
            <w:r>
              <w:rPr>
                <w:sz w:val="20"/>
              </w:rPr>
              <w:t>Konfüze</w:t>
            </w:r>
          </w:p>
        </w:tc>
        <w:tc>
          <w:tcPr>
            <w:tcW w:w="622" w:type="dxa"/>
            <w:tcBorders>
              <w:top w:val="nil"/>
              <w:bottom w:val="nil"/>
            </w:tcBorders>
          </w:tcPr>
          <w:p>
            <w:pPr>
              <w:pStyle w:val="TableParagraph"/>
              <w:spacing w:line="201" w:lineRule="exact" w:before="23"/>
              <w:ind w:left="21"/>
              <w:jc w:val="center"/>
              <w:rPr>
                <w:sz w:val="20"/>
              </w:rPr>
            </w:pPr>
            <w:r>
              <w:rPr>
                <w:w w:val="99"/>
                <w:sz w:val="20"/>
              </w:rPr>
              <w:t>2</w:t>
            </w:r>
          </w:p>
        </w:tc>
        <w:tc>
          <w:tcPr>
            <w:tcW w:w="3671" w:type="dxa"/>
            <w:vMerge/>
            <w:tcBorders>
              <w:top w:val="nil"/>
            </w:tcBorders>
          </w:tcPr>
          <w:p>
            <w:pPr>
              <w:rPr>
                <w:sz w:val="2"/>
                <w:szCs w:val="2"/>
              </w:rPr>
            </w:pPr>
          </w:p>
        </w:tc>
      </w:tr>
      <w:tr>
        <w:trPr>
          <w:trHeight w:val="255" w:hRule="atLeast"/>
        </w:trPr>
        <w:tc>
          <w:tcPr>
            <w:tcW w:w="1630" w:type="dxa"/>
            <w:vMerge/>
            <w:tcBorders>
              <w:top w:val="nil"/>
            </w:tcBorders>
          </w:tcPr>
          <w:p>
            <w:pPr>
              <w:rPr>
                <w:sz w:val="2"/>
                <w:szCs w:val="2"/>
              </w:rPr>
            </w:pPr>
          </w:p>
        </w:tc>
        <w:tc>
          <w:tcPr>
            <w:tcW w:w="2799" w:type="dxa"/>
            <w:tcBorders>
              <w:top w:val="single" w:sz="4" w:space="0" w:color="000000"/>
            </w:tcBorders>
          </w:tcPr>
          <w:p>
            <w:pPr>
              <w:pStyle w:val="TableParagraph"/>
              <w:spacing w:line="213" w:lineRule="exact" w:before="23"/>
              <w:ind w:left="909" w:right="908"/>
              <w:jc w:val="center"/>
              <w:rPr>
                <w:sz w:val="20"/>
              </w:rPr>
            </w:pPr>
            <w:r>
              <w:rPr>
                <w:sz w:val="20"/>
              </w:rPr>
              <w:t>Stupor</w:t>
            </w:r>
          </w:p>
        </w:tc>
        <w:tc>
          <w:tcPr>
            <w:tcW w:w="622" w:type="dxa"/>
            <w:tcBorders>
              <w:top w:val="nil"/>
            </w:tcBorders>
          </w:tcPr>
          <w:p>
            <w:pPr>
              <w:pStyle w:val="TableParagraph"/>
              <w:spacing w:line="213" w:lineRule="exact" w:before="23"/>
              <w:ind w:left="21"/>
              <w:jc w:val="center"/>
              <w:rPr>
                <w:sz w:val="20"/>
              </w:rPr>
            </w:pPr>
            <w:r>
              <w:rPr>
                <w:w w:val="99"/>
                <w:sz w:val="20"/>
              </w:rPr>
              <w:t>1</w:t>
            </w:r>
          </w:p>
        </w:tc>
        <w:tc>
          <w:tcPr>
            <w:tcW w:w="3671" w:type="dxa"/>
            <w:vMerge/>
            <w:tcBorders>
              <w:top w:val="nil"/>
            </w:tcBorders>
          </w:tcPr>
          <w:p>
            <w:pPr>
              <w:rPr>
                <w:sz w:val="2"/>
                <w:szCs w:val="2"/>
              </w:rPr>
            </w:pPr>
          </w:p>
        </w:tc>
      </w:tr>
      <w:tr>
        <w:trPr>
          <w:trHeight w:val="219" w:hRule="atLeast"/>
        </w:trPr>
        <w:tc>
          <w:tcPr>
            <w:tcW w:w="1630" w:type="dxa"/>
            <w:vMerge w:val="restart"/>
          </w:tcPr>
          <w:p>
            <w:pPr>
              <w:pStyle w:val="TableParagraph"/>
              <w:rPr>
                <w:sz w:val="22"/>
              </w:rPr>
            </w:pPr>
          </w:p>
          <w:p>
            <w:pPr>
              <w:pStyle w:val="TableParagraph"/>
              <w:spacing w:before="4"/>
              <w:rPr>
                <w:sz w:val="23"/>
              </w:rPr>
            </w:pPr>
          </w:p>
          <w:p>
            <w:pPr>
              <w:pStyle w:val="TableParagraph"/>
              <w:ind w:left="433"/>
              <w:rPr>
                <w:b/>
                <w:sz w:val="20"/>
              </w:rPr>
            </w:pPr>
            <w:r>
              <w:rPr>
                <w:b/>
                <w:sz w:val="20"/>
              </w:rPr>
              <w:t>Aktivite</w:t>
            </w:r>
          </w:p>
        </w:tc>
        <w:tc>
          <w:tcPr>
            <w:tcW w:w="2799" w:type="dxa"/>
            <w:tcBorders>
              <w:bottom w:val="single" w:sz="4" w:space="0" w:color="000000"/>
            </w:tcBorders>
          </w:tcPr>
          <w:p>
            <w:pPr>
              <w:pStyle w:val="TableParagraph"/>
              <w:spacing w:line="200" w:lineRule="exact"/>
              <w:ind w:left="908" w:right="908"/>
              <w:jc w:val="center"/>
              <w:rPr>
                <w:sz w:val="20"/>
              </w:rPr>
            </w:pPr>
            <w:r>
              <w:rPr>
                <w:sz w:val="20"/>
              </w:rPr>
              <w:t>Ambule</w:t>
            </w:r>
          </w:p>
        </w:tc>
        <w:tc>
          <w:tcPr>
            <w:tcW w:w="622" w:type="dxa"/>
            <w:tcBorders>
              <w:bottom w:val="nil"/>
            </w:tcBorders>
          </w:tcPr>
          <w:p>
            <w:pPr>
              <w:pStyle w:val="TableParagraph"/>
              <w:spacing w:line="200" w:lineRule="exact"/>
              <w:ind w:left="21"/>
              <w:jc w:val="center"/>
              <w:rPr>
                <w:sz w:val="20"/>
              </w:rPr>
            </w:pPr>
            <w:r>
              <w:rPr>
                <w:w w:val="99"/>
                <w:sz w:val="20"/>
              </w:rPr>
              <w:t>4</w:t>
            </w:r>
          </w:p>
        </w:tc>
        <w:tc>
          <w:tcPr>
            <w:tcW w:w="3671" w:type="dxa"/>
            <w:vMerge w:val="restart"/>
          </w:tcPr>
          <w:p>
            <w:pPr>
              <w:pStyle w:val="TableParagraph"/>
              <w:rPr>
                <w:rFonts w:ascii="Times New Roman"/>
                <w:sz w:val="20"/>
              </w:rPr>
            </w:pPr>
          </w:p>
        </w:tc>
      </w:tr>
      <w:tr>
        <w:trPr>
          <w:trHeight w:val="245" w:hRule="atLeast"/>
        </w:trPr>
        <w:tc>
          <w:tcPr>
            <w:tcW w:w="1630" w:type="dxa"/>
            <w:vMerge/>
            <w:tcBorders>
              <w:top w:val="nil"/>
            </w:tcBorders>
          </w:tcPr>
          <w:p>
            <w:pPr>
              <w:rPr>
                <w:sz w:val="2"/>
                <w:szCs w:val="2"/>
              </w:rPr>
            </w:pPr>
          </w:p>
        </w:tc>
        <w:tc>
          <w:tcPr>
            <w:tcW w:w="2799" w:type="dxa"/>
            <w:tcBorders>
              <w:top w:val="single" w:sz="4" w:space="0" w:color="000000"/>
              <w:bottom w:val="single" w:sz="4" w:space="0" w:color="000000"/>
            </w:tcBorders>
          </w:tcPr>
          <w:p>
            <w:pPr>
              <w:pStyle w:val="TableParagraph"/>
              <w:spacing w:line="203" w:lineRule="exact" w:before="23"/>
              <w:ind w:right="728"/>
              <w:jc w:val="right"/>
              <w:rPr>
                <w:sz w:val="20"/>
              </w:rPr>
            </w:pPr>
            <w:r>
              <w:rPr>
                <w:sz w:val="20"/>
              </w:rPr>
              <w:t>Yardımla yürür</w:t>
            </w:r>
          </w:p>
        </w:tc>
        <w:tc>
          <w:tcPr>
            <w:tcW w:w="622" w:type="dxa"/>
            <w:tcBorders>
              <w:top w:val="nil"/>
              <w:bottom w:val="nil"/>
            </w:tcBorders>
          </w:tcPr>
          <w:p>
            <w:pPr>
              <w:pStyle w:val="TableParagraph"/>
              <w:spacing w:line="203" w:lineRule="exact" w:before="23"/>
              <w:ind w:left="21"/>
              <w:jc w:val="center"/>
              <w:rPr>
                <w:sz w:val="20"/>
              </w:rPr>
            </w:pPr>
            <w:r>
              <w:rPr>
                <w:w w:val="99"/>
                <w:sz w:val="20"/>
              </w:rPr>
              <w:t>3</w:t>
            </w:r>
          </w:p>
        </w:tc>
        <w:tc>
          <w:tcPr>
            <w:tcW w:w="3671" w:type="dxa"/>
            <w:vMerge/>
            <w:tcBorders>
              <w:top w:val="nil"/>
            </w:tcBorders>
          </w:tcPr>
          <w:p>
            <w:pPr>
              <w:rPr>
                <w:sz w:val="2"/>
                <w:szCs w:val="2"/>
              </w:rPr>
            </w:pPr>
          </w:p>
        </w:tc>
      </w:tr>
      <w:tr>
        <w:trPr>
          <w:trHeight w:val="474" w:hRule="atLeast"/>
        </w:trPr>
        <w:tc>
          <w:tcPr>
            <w:tcW w:w="1630" w:type="dxa"/>
            <w:vMerge/>
            <w:tcBorders>
              <w:top w:val="nil"/>
            </w:tcBorders>
          </w:tcPr>
          <w:p>
            <w:pPr>
              <w:rPr>
                <w:sz w:val="2"/>
                <w:szCs w:val="2"/>
              </w:rPr>
            </w:pPr>
          </w:p>
        </w:tc>
        <w:tc>
          <w:tcPr>
            <w:tcW w:w="2799" w:type="dxa"/>
            <w:tcBorders>
              <w:top w:val="single" w:sz="4" w:space="0" w:color="000000"/>
              <w:bottom w:val="single" w:sz="4" w:space="0" w:color="000000"/>
            </w:tcBorders>
          </w:tcPr>
          <w:p>
            <w:pPr>
              <w:pStyle w:val="TableParagraph"/>
              <w:spacing w:line="230" w:lineRule="atLeast" w:before="23"/>
              <w:ind w:left="1058" w:hanging="634"/>
              <w:rPr>
                <w:sz w:val="20"/>
              </w:rPr>
            </w:pPr>
            <w:r>
              <w:rPr>
                <w:sz w:val="20"/>
              </w:rPr>
              <w:t>Tekerlekli sandalyeye bağımlı</w:t>
            </w:r>
          </w:p>
        </w:tc>
        <w:tc>
          <w:tcPr>
            <w:tcW w:w="622" w:type="dxa"/>
            <w:tcBorders>
              <w:top w:val="nil"/>
              <w:bottom w:val="nil"/>
            </w:tcBorders>
          </w:tcPr>
          <w:p>
            <w:pPr>
              <w:pStyle w:val="TableParagraph"/>
              <w:spacing w:before="23"/>
              <w:ind w:left="21"/>
              <w:jc w:val="center"/>
              <w:rPr>
                <w:sz w:val="20"/>
              </w:rPr>
            </w:pPr>
            <w:r>
              <w:rPr>
                <w:w w:val="99"/>
                <w:sz w:val="20"/>
              </w:rPr>
              <w:t>2</w:t>
            </w:r>
          </w:p>
        </w:tc>
        <w:tc>
          <w:tcPr>
            <w:tcW w:w="3671" w:type="dxa"/>
            <w:vMerge/>
            <w:tcBorders>
              <w:top w:val="nil"/>
            </w:tcBorders>
          </w:tcPr>
          <w:p>
            <w:pPr>
              <w:rPr>
                <w:sz w:val="2"/>
                <w:szCs w:val="2"/>
              </w:rPr>
            </w:pPr>
          </w:p>
        </w:tc>
      </w:tr>
      <w:tr>
        <w:trPr>
          <w:trHeight w:val="246" w:hRule="atLeast"/>
        </w:trPr>
        <w:tc>
          <w:tcPr>
            <w:tcW w:w="1630" w:type="dxa"/>
            <w:vMerge/>
            <w:tcBorders>
              <w:top w:val="nil"/>
            </w:tcBorders>
          </w:tcPr>
          <w:p>
            <w:pPr>
              <w:rPr>
                <w:sz w:val="2"/>
                <w:szCs w:val="2"/>
              </w:rPr>
            </w:pPr>
          </w:p>
        </w:tc>
        <w:tc>
          <w:tcPr>
            <w:tcW w:w="2799" w:type="dxa"/>
            <w:tcBorders>
              <w:top w:val="single" w:sz="4" w:space="0" w:color="000000"/>
            </w:tcBorders>
          </w:tcPr>
          <w:p>
            <w:pPr>
              <w:pStyle w:val="TableParagraph"/>
              <w:spacing w:line="213" w:lineRule="exact" w:before="14"/>
              <w:ind w:right="711"/>
              <w:jc w:val="right"/>
              <w:rPr>
                <w:sz w:val="20"/>
              </w:rPr>
            </w:pPr>
            <w:r>
              <w:rPr>
                <w:sz w:val="20"/>
              </w:rPr>
              <w:t>Yatağa bağımlı</w:t>
            </w:r>
          </w:p>
        </w:tc>
        <w:tc>
          <w:tcPr>
            <w:tcW w:w="622" w:type="dxa"/>
            <w:tcBorders>
              <w:top w:val="nil"/>
            </w:tcBorders>
          </w:tcPr>
          <w:p>
            <w:pPr>
              <w:pStyle w:val="TableParagraph"/>
              <w:spacing w:line="213" w:lineRule="exact" w:before="14"/>
              <w:ind w:left="21"/>
              <w:jc w:val="center"/>
              <w:rPr>
                <w:sz w:val="20"/>
              </w:rPr>
            </w:pPr>
            <w:r>
              <w:rPr>
                <w:w w:val="99"/>
                <w:sz w:val="20"/>
              </w:rPr>
              <w:t>1</w:t>
            </w:r>
          </w:p>
        </w:tc>
        <w:tc>
          <w:tcPr>
            <w:tcW w:w="3671" w:type="dxa"/>
            <w:vMerge/>
            <w:tcBorders>
              <w:top w:val="nil"/>
            </w:tcBorders>
          </w:tcPr>
          <w:p>
            <w:pPr>
              <w:rPr>
                <w:sz w:val="2"/>
                <w:szCs w:val="2"/>
              </w:rPr>
            </w:pPr>
          </w:p>
        </w:tc>
      </w:tr>
      <w:tr>
        <w:trPr>
          <w:trHeight w:val="219" w:hRule="atLeast"/>
        </w:trPr>
        <w:tc>
          <w:tcPr>
            <w:tcW w:w="1630" w:type="dxa"/>
            <w:vMerge w:val="restart"/>
          </w:tcPr>
          <w:p>
            <w:pPr>
              <w:pStyle w:val="TableParagraph"/>
              <w:rPr>
                <w:sz w:val="22"/>
              </w:rPr>
            </w:pPr>
          </w:p>
          <w:p>
            <w:pPr>
              <w:pStyle w:val="TableParagraph"/>
              <w:spacing w:before="154"/>
              <w:ind w:left="417"/>
              <w:rPr>
                <w:b/>
                <w:sz w:val="20"/>
              </w:rPr>
            </w:pPr>
            <w:r>
              <w:rPr>
                <w:b/>
                <w:sz w:val="20"/>
              </w:rPr>
              <w:t>Mobilite</w:t>
            </w:r>
          </w:p>
        </w:tc>
        <w:tc>
          <w:tcPr>
            <w:tcW w:w="2799" w:type="dxa"/>
            <w:tcBorders>
              <w:bottom w:val="single" w:sz="4" w:space="0" w:color="000000"/>
            </w:tcBorders>
          </w:tcPr>
          <w:p>
            <w:pPr>
              <w:pStyle w:val="TableParagraph"/>
              <w:spacing w:line="200" w:lineRule="exact"/>
              <w:ind w:left="908" w:right="908"/>
              <w:jc w:val="center"/>
              <w:rPr>
                <w:sz w:val="20"/>
              </w:rPr>
            </w:pPr>
            <w:r>
              <w:rPr>
                <w:sz w:val="20"/>
              </w:rPr>
              <w:t>Tam</w:t>
            </w:r>
          </w:p>
        </w:tc>
        <w:tc>
          <w:tcPr>
            <w:tcW w:w="622" w:type="dxa"/>
            <w:tcBorders>
              <w:bottom w:val="nil"/>
            </w:tcBorders>
          </w:tcPr>
          <w:p>
            <w:pPr>
              <w:pStyle w:val="TableParagraph"/>
              <w:spacing w:line="200" w:lineRule="exact"/>
              <w:ind w:left="21"/>
              <w:jc w:val="center"/>
              <w:rPr>
                <w:sz w:val="20"/>
              </w:rPr>
            </w:pPr>
            <w:r>
              <w:rPr>
                <w:w w:val="99"/>
                <w:sz w:val="20"/>
              </w:rPr>
              <w:t>4</w:t>
            </w:r>
          </w:p>
        </w:tc>
        <w:tc>
          <w:tcPr>
            <w:tcW w:w="3671" w:type="dxa"/>
            <w:vMerge w:val="restart"/>
          </w:tcPr>
          <w:p>
            <w:pPr>
              <w:pStyle w:val="TableParagraph"/>
              <w:rPr>
                <w:rFonts w:ascii="Times New Roman"/>
                <w:sz w:val="20"/>
              </w:rPr>
            </w:pPr>
          </w:p>
        </w:tc>
      </w:tr>
      <w:tr>
        <w:trPr>
          <w:trHeight w:val="245" w:hRule="atLeast"/>
        </w:trPr>
        <w:tc>
          <w:tcPr>
            <w:tcW w:w="1630" w:type="dxa"/>
            <w:vMerge/>
            <w:tcBorders>
              <w:top w:val="nil"/>
            </w:tcBorders>
          </w:tcPr>
          <w:p>
            <w:pPr>
              <w:rPr>
                <w:sz w:val="2"/>
                <w:szCs w:val="2"/>
              </w:rPr>
            </w:pPr>
          </w:p>
        </w:tc>
        <w:tc>
          <w:tcPr>
            <w:tcW w:w="2799" w:type="dxa"/>
            <w:tcBorders>
              <w:top w:val="single" w:sz="4" w:space="0" w:color="000000"/>
              <w:bottom w:val="single" w:sz="4" w:space="0" w:color="000000"/>
            </w:tcBorders>
          </w:tcPr>
          <w:p>
            <w:pPr>
              <w:pStyle w:val="TableParagraph"/>
              <w:spacing w:line="203" w:lineRule="exact" w:before="23"/>
              <w:ind w:right="654"/>
              <w:jc w:val="right"/>
              <w:rPr>
                <w:sz w:val="20"/>
              </w:rPr>
            </w:pPr>
            <w:r>
              <w:rPr>
                <w:sz w:val="20"/>
              </w:rPr>
              <w:t>Kısmen Yetersiz</w:t>
            </w:r>
          </w:p>
        </w:tc>
        <w:tc>
          <w:tcPr>
            <w:tcW w:w="622" w:type="dxa"/>
            <w:tcBorders>
              <w:top w:val="nil"/>
              <w:bottom w:val="nil"/>
            </w:tcBorders>
          </w:tcPr>
          <w:p>
            <w:pPr>
              <w:pStyle w:val="TableParagraph"/>
              <w:spacing w:line="203" w:lineRule="exact" w:before="23"/>
              <w:ind w:left="21"/>
              <w:jc w:val="center"/>
              <w:rPr>
                <w:sz w:val="20"/>
              </w:rPr>
            </w:pPr>
            <w:r>
              <w:rPr>
                <w:w w:val="99"/>
                <w:sz w:val="20"/>
              </w:rPr>
              <w:t>3</w:t>
            </w:r>
          </w:p>
        </w:tc>
        <w:tc>
          <w:tcPr>
            <w:tcW w:w="3671" w:type="dxa"/>
            <w:vMerge/>
            <w:tcBorders>
              <w:top w:val="nil"/>
            </w:tcBorders>
          </w:tcPr>
          <w:p>
            <w:pPr>
              <w:rPr>
                <w:sz w:val="2"/>
                <w:szCs w:val="2"/>
              </w:rPr>
            </w:pPr>
          </w:p>
        </w:tc>
      </w:tr>
      <w:tr>
        <w:trPr>
          <w:trHeight w:val="243" w:hRule="atLeast"/>
        </w:trPr>
        <w:tc>
          <w:tcPr>
            <w:tcW w:w="1630" w:type="dxa"/>
            <w:vMerge/>
            <w:tcBorders>
              <w:top w:val="nil"/>
            </w:tcBorders>
          </w:tcPr>
          <w:p>
            <w:pPr>
              <w:rPr>
                <w:sz w:val="2"/>
                <w:szCs w:val="2"/>
              </w:rPr>
            </w:pPr>
          </w:p>
        </w:tc>
        <w:tc>
          <w:tcPr>
            <w:tcW w:w="2799" w:type="dxa"/>
            <w:tcBorders>
              <w:top w:val="single" w:sz="4" w:space="0" w:color="000000"/>
              <w:bottom w:val="single" w:sz="4" w:space="0" w:color="000000"/>
            </w:tcBorders>
          </w:tcPr>
          <w:p>
            <w:pPr>
              <w:pStyle w:val="TableParagraph"/>
              <w:spacing w:line="201" w:lineRule="exact" w:before="23"/>
              <w:ind w:left="909" w:right="908"/>
              <w:jc w:val="center"/>
              <w:rPr>
                <w:sz w:val="20"/>
              </w:rPr>
            </w:pPr>
            <w:r>
              <w:rPr>
                <w:sz w:val="20"/>
              </w:rPr>
              <w:t>Çok Kısıtlı</w:t>
            </w:r>
          </w:p>
        </w:tc>
        <w:tc>
          <w:tcPr>
            <w:tcW w:w="622" w:type="dxa"/>
            <w:tcBorders>
              <w:top w:val="nil"/>
              <w:bottom w:val="nil"/>
            </w:tcBorders>
          </w:tcPr>
          <w:p>
            <w:pPr>
              <w:pStyle w:val="TableParagraph"/>
              <w:spacing w:line="201" w:lineRule="exact" w:before="23"/>
              <w:ind w:left="21"/>
              <w:jc w:val="center"/>
              <w:rPr>
                <w:sz w:val="20"/>
              </w:rPr>
            </w:pPr>
            <w:r>
              <w:rPr>
                <w:w w:val="99"/>
                <w:sz w:val="20"/>
              </w:rPr>
              <w:t>2</w:t>
            </w:r>
          </w:p>
        </w:tc>
        <w:tc>
          <w:tcPr>
            <w:tcW w:w="3671" w:type="dxa"/>
            <w:vMerge/>
            <w:tcBorders>
              <w:top w:val="nil"/>
            </w:tcBorders>
          </w:tcPr>
          <w:p>
            <w:pPr>
              <w:rPr>
                <w:sz w:val="2"/>
                <w:szCs w:val="2"/>
              </w:rPr>
            </w:pPr>
          </w:p>
        </w:tc>
      </w:tr>
      <w:tr>
        <w:trPr>
          <w:trHeight w:val="255" w:hRule="atLeast"/>
        </w:trPr>
        <w:tc>
          <w:tcPr>
            <w:tcW w:w="1630" w:type="dxa"/>
            <w:vMerge/>
            <w:tcBorders>
              <w:top w:val="nil"/>
            </w:tcBorders>
          </w:tcPr>
          <w:p>
            <w:pPr>
              <w:rPr>
                <w:sz w:val="2"/>
                <w:szCs w:val="2"/>
              </w:rPr>
            </w:pPr>
          </w:p>
        </w:tc>
        <w:tc>
          <w:tcPr>
            <w:tcW w:w="2799" w:type="dxa"/>
            <w:tcBorders>
              <w:top w:val="single" w:sz="4" w:space="0" w:color="000000"/>
            </w:tcBorders>
          </w:tcPr>
          <w:p>
            <w:pPr>
              <w:pStyle w:val="TableParagraph"/>
              <w:spacing w:line="213" w:lineRule="exact" w:before="23"/>
              <w:ind w:left="909" w:right="907"/>
              <w:jc w:val="center"/>
              <w:rPr>
                <w:sz w:val="20"/>
              </w:rPr>
            </w:pPr>
            <w:r>
              <w:rPr>
                <w:sz w:val="20"/>
              </w:rPr>
              <w:t>İmmobil</w:t>
            </w:r>
          </w:p>
        </w:tc>
        <w:tc>
          <w:tcPr>
            <w:tcW w:w="622" w:type="dxa"/>
            <w:tcBorders>
              <w:top w:val="nil"/>
            </w:tcBorders>
          </w:tcPr>
          <w:p>
            <w:pPr>
              <w:pStyle w:val="TableParagraph"/>
              <w:spacing w:line="213" w:lineRule="exact" w:before="23"/>
              <w:ind w:left="21"/>
              <w:jc w:val="center"/>
              <w:rPr>
                <w:sz w:val="20"/>
              </w:rPr>
            </w:pPr>
            <w:r>
              <w:rPr>
                <w:w w:val="99"/>
                <w:sz w:val="20"/>
              </w:rPr>
              <w:t>1</w:t>
            </w:r>
          </w:p>
        </w:tc>
        <w:tc>
          <w:tcPr>
            <w:tcW w:w="3671" w:type="dxa"/>
            <w:vMerge/>
            <w:tcBorders>
              <w:top w:val="nil"/>
            </w:tcBorders>
          </w:tcPr>
          <w:p>
            <w:pPr>
              <w:rPr>
                <w:sz w:val="2"/>
                <w:szCs w:val="2"/>
              </w:rPr>
            </w:pPr>
          </w:p>
        </w:tc>
      </w:tr>
      <w:tr>
        <w:trPr>
          <w:trHeight w:val="219" w:hRule="atLeast"/>
        </w:trPr>
        <w:tc>
          <w:tcPr>
            <w:tcW w:w="1630" w:type="dxa"/>
            <w:vMerge w:val="restart"/>
          </w:tcPr>
          <w:p>
            <w:pPr>
              <w:pStyle w:val="TableParagraph"/>
              <w:rPr>
                <w:sz w:val="22"/>
              </w:rPr>
            </w:pPr>
          </w:p>
          <w:p>
            <w:pPr>
              <w:pStyle w:val="TableParagraph"/>
              <w:spacing w:before="154"/>
              <w:ind w:left="234"/>
              <w:rPr>
                <w:b/>
                <w:sz w:val="20"/>
              </w:rPr>
            </w:pPr>
            <w:r>
              <w:rPr>
                <w:b/>
                <w:sz w:val="20"/>
              </w:rPr>
              <w:t>İnkontinans</w:t>
            </w:r>
          </w:p>
        </w:tc>
        <w:tc>
          <w:tcPr>
            <w:tcW w:w="2799" w:type="dxa"/>
            <w:tcBorders>
              <w:bottom w:val="single" w:sz="4" w:space="0" w:color="000000"/>
            </w:tcBorders>
          </w:tcPr>
          <w:p>
            <w:pPr>
              <w:pStyle w:val="TableParagraph"/>
              <w:spacing w:line="200" w:lineRule="exact"/>
              <w:ind w:left="909" w:right="908"/>
              <w:jc w:val="center"/>
              <w:rPr>
                <w:sz w:val="20"/>
              </w:rPr>
            </w:pPr>
            <w:r>
              <w:rPr>
                <w:sz w:val="20"/>
              </w:rPr>
              <w:t>Yok</w:t>
            </w:r>
          </w:p>
        </w:tc>
        <w:tc>
          <w:tcPr>
            <w:tcW w:w="622" w:type="dxa"/>
            <w:tcBorders>
              <w:bottom w:val="nil"/>
            </w:tcBorders>
          </w:tcPr>
          <w:p>
            <w:pPr>
              <w:pStyle w:val="TableParagraph"/>
              <w:spacing w:line="200" w:lineRule="exact"/>
              <w:ind w:left="21"/>
              <w:jc w:val="center"/>
              <w:rPr>
                <w:sz w:val="20"/>
              </w:rPr>
            </w:pPr>
            <w:r>
              <w:rPr>
                <w:w w:val="99"/>
                <w:sz w:val="20"/>
              </w:rPr>
              <w:t>4</w:t>
            </w:r>
          </w:p>
        </w:tc>
        <w:tc>
          <w:tcPr>
            <w:tcW w:w="3671" w:type="dxa"/>
            <w:vMerge w:val="restart"/>
          </w:tcPr>
          <w:p>
            <w:pPr>
              <w:pStyle w:val="TableParagraph"/>
              <w:rPr>
                <w:rFonts w:ascii="Times New Roman"/>
                <w:sz w:val="20"/>
              </w:rPr>
            </w:pPr>
          </w:p>
        </w:tc>
      </w:tr>
      <w:tr>
        <w:trPr>
          <w:trHeight w:val="246" w:hRule="atLeast"/>
        </w:trPr>
        <w:tc>
          <w:tcPr>
            <w:tcW w:w="1630" w:type="dxa"/>
            <w:vMerge/>
            <w:tcBorders>
              <w:top w:val="nil"/>
            </w:tcBorders>
          </w:tcPr>
          <w:p>
            <w:pPr>
              <w:rPr>
                <w:sz w:val="2"/>
                <w:szCs w:val="2"/>
              </w:rPr>
            </w:pPr>
          </w:p>
        </w:tc>
        <w:tc>
          <w:tcPr>
            <w:tcW w:w="2799" w:type="dxa"/>
            <w:tcBorders>
              <w:top w:val="single" w:sz="4" w:space="0" w:color="000000"/>
              <w:bottom w:val="single" w:sz="4" w:space="0" w:color="000000"/>
            </w:tcBorders>
          </w:tcPr>
          <w:p>
            <w:pPr>
              <w:pStyle w:val="TableParagraph"/>
              <w:spacing w:line="203" w:lineRule="exact" w:before="23"/>
              <w:ind w:left="909" w:right="907"/>
              <w:jc w:val="center"/>
              <w:rPr>
                <w:sz w:val="20"/>
              </w:rPr>
            </w:pPr>
            <w:r>
              <w:rPr>
                <w:sz w:val="20"/>
              </w:rPr>
              <w:t>Nadiren</w:t>
            </w:r>
          </w:p>
        </w:tc>
        <w:tc>
          <w:tcPr>
            <w:tcW w:w="622" w:type="dxa"/>
            <w:tcBorders>
              <w:top w:val="nil"/>
              <w:bottom w:val="nil"/>
            </w:tcBorders>
          </w:tcPr>
          <w:p>
            <w:pPr>
              <w:pStyle w:val="TableParagraph"/>
              <w:spacing w:line="203" w:lineRule="exact" w:before="23"/>
              <w:ind w:left="21"/>
              <w:jc w:val="center"/>
              <w:rPr>
                <w:sz w:val="20"/>
              </w:rPr>
            </w:pPr>
            <w:r>
              <w:rPr>
                <w:w w:val="99"/>
                <w:sz w:val="20"/>
              </w:rPr>
              <w:t>3</w:t>
            </w:r>
          </w:p>
        </w:tc>
        <w:tc>
          <w:tcPr>
            <w:tcW w:w="3671" w:type="dxa"/>
            <w:vMerge/>
            <w:tcBorders>
              <w:top w:val="nil"/>
            </w:tcBorders>
          </w:tcPr>
          <w:p>
            <w:pPr>
              <w:rPr>
                <w:sz w:val="2"/>
                <w:szCs w:val="2"/>
              </w:rPr>
            </w:pPr>
          </w:p>
        </w:tc>
      </w:tr>
      <w:tr>
        <w:trPr>
          <w:trHeight w:val="243" w:hRule="atLeast"/>
        </w:trPr>
        <w:tc>
          <w:tcPr>
            <w:tcW w:w="1630" w:type="dxa"/>
            <w:vMerge/>
            <w:tcBorders>
              <w:top w:val="nil"/>
            </w:tcBorders>
          </w:tcPr>
          <w:p>
            <w:pPr>
              <w:rPr>
                <w:sz w:val="2"/>
                <w:szCs w:val="2"/>
              </w:rPr>
            </w:pPr>
          </w:p>
        </w:tc>
        <w:tc>
          <w:tcPr>
            <w:tcW w:w="2799" w:type="dxa"/>
            <w:tcBorders>
              <w:top w:val="single" w:sz="4" w:space="0" w:color="000000"/>
              <w:bottom w:val="single" w:sz="4" w:space="0" w:color="000000"/>
            </w:tcBorders>
          </w:tcPr>
          <w:p>
            <w:pPr>
              <w:pStyle w:val="TableParagraph"/>
              <w:spacing w:line="201" w:lineRule="exact" w:before="23"/>
              <w:ind w:right="761"/>
              <w:jc w:val="right"/>
              <w:rPr>
                <w:sz w:val="20"/>
              </w:rPr>
            </w:pPr>
            <w:r>
              <w:rPr>
                <w:sz w:val="20"/>
              </w:rPr>
              <w:t>Sıklıkla Üriner</w:t>
            </w:r>
          </w:p>
        </w:tc>
        <w:tc>
          <w:tcPr>
            <w:tcW w:w="622" w:type="dxa"/>
            <w:tcBorders>
              <w:top w:val="nil"/>
              <w:bottom w:val="nil"/>
            </w:tcBorders>
          </w:tcPr>
          <w:p>
            <w:pPr>
              <w:pStyle w:val="TableParagraph"/>
              <w:spacing w:line="201" w:lineRule="exact" w:before="23"/>
              <w:ind w:left="21"/>
              <w:jc w:val="center"/>
              <w:rPr>
                <w:sz w:val="20"/>
              </w:rPr>
            </w:pPr>
            <w:r>
              <w:rPr>
                <w:w w:val="99"/>
                <w:sz w:val="20"/>
              </w:rPr>
              <w:t>2</w:t>
            </w:r>
          </w:p>
        </w:tc>
        <w:tc>
          <w:tcPr>
            <w:tcW w:w="3671" w:type="dxa"/>
            <w:vMerge/>
            <w:tcBorders>
              <w:top w:val="nil"/>
            </w:tcBorders>
          </w:tcPr>
          <w:p>
            <w:pPr>
              <w:rPr>
                <w:sz w:val="2"/>
                <w:szCs w:val="2"/>
              </w:rPr>
            </w:pPr>
          </w:p>
        </w:tc>
      </w:tr>
      <w:tr>
        <w:trPr>
          <w:trHeight w:val="258" w:hRule="atLeast"/>
        </w:trPr>
        <w:tc>
          <w:tcPr>
            <w:tcW w:w="1630" w:type="dxa"/>
            <w:vMerge/>
            <w:tcBorders>
              <w:top w:val="nil"/>
            </w:tcBorders>
          </w:tcPr>
          <w:p>
            <w:pPr>
              <w:rPr>
                <w:sz w:val="2"/>
                <w:szCs w:val="2"/>
              </w:rPr>
            </w:pPr>
          </w:p>
        </w:tc>
        <w:tc>
          <w:tcPr>
            <w:tcW w:w="2799" w:type="dxa"/>
            <w:tcBorders>
              <w:top w:val="single" w:sz="4" w:space="0" w:color="000000"/>
            </w:tcBorders>
          </w:tcPr>
          <w:p>
            <w:pPr>
              <w:pStyle w:val="TableParagraph"/>
              <w:spacing w:line="215" w:lineRule="exact" w:before="23"/>
              <w:ind w:right="705"/>
              <w:jc w:val="right"/>
              <w:rPr>
                <w:sz w:val="20"/>
              </w:rPr>
            </w:pPr>
            <w:r>
              <w:rPr>
                <w:sz w:val="20"/>
              </w:rPr>
              <w:t>Üriner ve Fekal</w:t>
            </w:r>
          </w:p>
        </w:tc>
        <w:tc>
          <w:tcPr>
            <w:tcW w:w="622" w:type="dxa"/>
            <w:tcBorders>
              <w:top w:val="nil"/>
            </w:tcBorders>
          </w:tcPr>
          <w:p>
            <w:pPr>
              <w:pStyle w:val="TableParagraph"/>
              <w:spacing w:line="215" w:lineRule="exact" w:before="23"/>
              <w:ind w:left="21"/>
              <w:jc w:val="center"/>
              <w:rPr>
                <w:sz w:val="20"/>
              </w:rPr>
            </w:pPr>
            <w:r>
              <w:rPr>
                <w:w w:val="99"/>
                <w:sz w:val="20"/>
              </w:rPr>
              <w:t>1</w:t>
            </w:r>
          </w:p>
        </w:tc>
        <w:tc>
          <w:tcPr>
            <w:tcW w:w="3671" w:type="dxa"/>
            <w:vMerge/>
            <w:tcBorders>
              <w:top w:val="nil"/>
            </w:tcBorders>
          </w:tcPr>
          <w:p>
            <w:pPr>
              <w:rPr>
                <w:sz w:val="2"/>
                <w:szCs w:val="2"/>
              </w:rPr>
            </w:pPr>
          </w:p>
        </w:tc>
      </w:tr>
    </w:tbl>
    <w:p>
      <w:pPr>
        <w:pStyle w:val="BodyText"/>
      </w:pPr>
    </w:p>
    <w:p>
      <w:pPr>
        <w:spacing w:before="190"/>
        <w:ind w:left="1248" w:right="0" w:firstLine="0"/>
        <w:jc w:val="both"/>
        <w:rPr>
          <w:sz w:val="20"/>
        </w:rPr>
      </w:pPr>
      <w:r>
        <w:rPr/>
        <w:pict>
          <v:shape style="position:absolute;margin-left:354.790009pt;margin-top:8.679877pt;width:189.8pt;height:52.45pt;mso-position-horizontal-relative:page;mso-position-vertical-relative:paragraph;z-index:251687936" type="#_x0000_t202" filled="false" stroked="false">
            <v:textbox inset="0,0,0,0">
              <w:txbxContent>
                <w:tbl>
                  <w:tblPr>
                    <w:tblW w:w="0" w:type="auto"/>
                    <w:jc w:val="left"/>
                    <w:tblInd w:w="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top w:w="0" w:type="dxa"/>
                      <w:left w:w="0" w:type="dxa"/>
                      <w:bottom w:w="0" w:type="dxa"/>
                      <w:right w:w="0" w:type="dxa"/>
                    </w:tblCellMar>
                    <w:tblLook w:val="01E0"/>
                  </w:tblPr>
                  <w:tblGrid>
                    <w:gridCol w:w="1721"/>
                    <w:gridCol w:w="2059"/>
                  </w:tblGrid>
                  <w:tr>
                    <w:trPr>
                      <w:trHeight w:val="229" w:hRule="atLeast"/>
                    </w:trPr>
                    <w:tc>
                      <w:tcPr>
                        <w:tcW w:w="1721" w:type="dxa"/>
                      </w:tcPr>
                      <w:p>
                        <w:pPr>
                          <w:pStyle w:val="TableParagraph"/>
                          <w:spacing w:line="209" w:lineRule="exact"/>
                          <w:ind w:left="95"/>
                          <w:rPr>
                            <w:sz w:val="20"/>
                          </w:rPr>
                        </w:pPr>
                        <w:r>
                          <w:rPr>
                            <w:sz w:val="20"/>
                          </w:rPr>
                          <w:t>18 den büyük</w:t>
                        </w:r>
                      </w:p>
                    </w:tc>
                    <w:tc>
                      <w:tcPr>
                        <w:tcW w:w="2059" w:type="dxa"/>
                      </w:tcPr>
                      <w:p>
                        <w:pPr>
                          <w:pStyle w:val="TableParagraph"/>
                          <w:spacing w:line="209" w:lineRule="exact"/>
                          <w:ind w:left="98"/>
                          <w:rPr>
                            <w:sz w:val="20"/>
                          </w:rPr>
                        </w:pPr>
                        <w:r>
                          <w:rPr>
                            <w:sz w:val="20"/>
                          </w:rPr>
                          <w:t>Düşük risk</w:t>
                        </w:r>
                      </w:p>
                    </w:tc>
                  </w:tr>
                  <w:tr>
                    <w:trPr>
                      <w:trHeight w:val="229" w:hRule="atLeast"/>
                    </w:trPr>
                    <w:tc>
                      <w:tcPr>
                        <w:tcW w:w="1721" w:type="dxa"/>
                      </w:tcPr>
                      <w:p>
                        <w:pPr>
                          <w:pStyle w:val="TableParagraph"/>
                          <w:spacing w:line="209" w:lineRule="exact"/>
                          <w:ind w:left="95"/>
                          <w:rPr>
                            <w:sz w:val="20"/>
                          </w:rPr>
                        </w:pPr>
                        <w:r>
                          <w:rPr>
                            <w:sz w:val="20"/>
                          </w:rPr>
                          <w:t>14-18 arası</w:t>
                        </w:r>
                      </w:p>
                    </w:tc>
                    <w:tc>
                      <w:tcPr>
                        <w:tcW w:w="2059" w:type="dxa"/>
                      </w:tcPr>
                      <w:p>
                        <w:pPr>
                          <w:pStyle w:val="TableParagraph"/>
                          <w:spacing w:line="209" w:lineRule="exact"/>
                          <w:ind w:left="98"/>
                          <w:rPr>
                            <w:sz w:val="20"/>
                          </w:rPr>
                        </w:pPr>
                        <w:r>
                          <w:rPr>
                            <w:sz w:val="20"/>
                          </w:rPr>
                          <w:t>Orta risk</w:t>
                        </w:r>
                      </w:p>
                    </w:tc>
                  </w:tr>
                  <w:tr>
                    <w:trPr>
                      <w:trHeight w:val="231" w:hRule="atLeast"/>
                    </w:trPr>
                    <w:tc>
                      <w:tcPr>
                        <w:tcW w:w="1721" w:type="dxa"/>
                      </w:tcPr>
                      <w:p>
                        <w:pPr>
                          <w:pStyle w:val="TableParagraph"/>
                          <w:spacing w:line="212" w:lineRule="exact"/>
                          <w:ind w:left="95"/>
                          <w:rPr>
                            <w:sz w:val="20"/>
                          </w:rPr>
                        </w:pPr>
                        <w:r>
                          <w:rPr>
                            <w:sz w:val="20"/>
                          </w:rPr>
                          <w:t>10-14 arası</w:t>
                        </w:r>
                      </w:p>
                    </w:tc>
                    <w:tc>
                      <w:tcPr>
                        <w:tcW w:w="2059" w:type="dxa"/>
                      </w:tcPr>
                      <w:p>
                        <w:pPr>
                          <w:pStyle w:val="TableParagraph"/>
                          <w:spacing w:line="212" w:lineRule="exact"/>
                          <w:ind w:left="98"/>
                          <w:rPr>
                            <w:sz w:val="20"/>
                          </w:rPr>
                        </w:pPr>
                        <w:r>
                          <w:rPr>
                            <w:sz w:val="20"/>
                          </w:rPr>
                          <w:t>Yüksek risk</w:t>
                        </w:r>
                      </w:p>
                    </w:tc>
                  </w:tr>
                  <w:tr>
                    <w:trPr>
                      <w:trHeight w:val="229" w:hRule="atLeast"/>
                    </w:trPr>
                    <w:tc>
                      <w:tcPr>
                        <w:tcW w:w="1721" w:type="dxa"/>
                      </w:tcPr>
                      <w:p>
                        <w:pPr>
                          <w:pStyle w:val="TableParagraph"/>
                          <w:spacing w:line="209" w:lineRule="exact"/>
                          <w:ind w:left="95"/>
                          <w:rPr>
                            <w:sz w:val="20"/>
                          </w:rPr>
                        </w:pPr>
                        <w:r>
                          <w:rPr>
                            <w:sz w:val="20"/>
                          </w:rPr>
                          <w:t>10dan küçük</w:t>
                        </w:r>
                      </w:p>
                    </w:tc>
                    <w:tc>
                      <w:tcPr>
                        <w:tcW w:w="2059" w:type="dxa"/>
                      </w:tcPr>
                      <w:p>
                        <w:pPr>
                          <w:pStyle w:val="TableParagraph"/>
                          <w:spacing w:line="209" w:lineRule="exact"/>
                          <w:ind w:left="98"/>
                          <w:rPr>
                            <w:sz w:val="20"/>
                          </w:rPr>
                        </w:pPr>
                        <w:r>
                          <w:rPr>
                            <w:sz w:val="20"/>
                          </w:rPr>
                          <w:t>Çok yüksek risk</w:t>
                        </w:r>
                      </w:p>
                    </w:tc>
                  </w:tr>
                </w:tbl>
                <w:p>
                  <w:pPr>
                    <w:pStyle w:val="BodyText"/>
                  </w:pPr>
                </w:p>
              </w:txbxContent>
            </v:textbox>
            <w10:wrap type="none"/>
          </v:shape>
        </w:pict>
      </w:r>
      <w:r>
        <w:rPr>
          <w:sz w:val="20"/>
        </w:rPr>
        <w:t>Genellikle risk faktörü bu şekilde kodlanmıştır:</w:t>
      </w:r>
    </w:p>
    <w:sectPr>
      <w:headerReference w:type="default" r:id="rId35"/>
      <w:pgSz w:w="11910" w:h="16840"/>
      <w:pgMar w:header="1430" w:footer="0" w:top="1660" w:bottom="280" w:left="1020" w:right="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mbria Math">
    <w:altName w:val="Cambria Math"/>
    <w:charset w:val="0"/>
    <w:family w:val="roman"/>
    <w:pitch w:val="variable"/>
  </w:font>
  <w:font w:name="Symbol">
    <w:altName w:val="Symbol"/>
    <w:charset w:val="2"/>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31.640015pt;margin-top:36.439983pt;width:9.1pt;height:13.05pt;mso-position-horizontal-relative:page;mso-position-vertical-relative:page;z-index:-255562752" type="#_x0000_t202" filled="false" stroked="false">
          <v:textbox inset="0,0,0,0">
            <w:txbxContent>
              <w:p>
                <w:pPr>
                  <w:pStyle w:val="BodyText"/>
                  <w:spacing w:line="245" w:lineRule="exact"/>
                  <w:ind w:left="40"/>
                  <w:rPr>
                    <w:rFonts w:ascii="Calibri"/>
                  </w:rPr>
                </w:pPr>
                <w:r>
                  <w:rPr/>
                  <w:fldChar w:fldCharType="begin"/>
                </w:r>
                <w:r>
                  <w:rPr>
                    <w:rFonts w:ascii="Calibri"/>
                  </w:rPr>
                  <w:instrText> PAGE  \* roman </w:instrText>
                </w:r>
                <w:r>
                  <w:rPr/>
                  <w:fldChar w:fldCharType="separate"/>
                </w:r>
                <w:r>
                  <w:rPr/>
                  <w:t>ii</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419998pt;margin-top:70.005768pt;width:148.7pt;height:14.35pt;mso-position-horizontal-relative:page;mso-position-vertical-relative:page;z-index:-255553536" type="#_x0000_t202" filled="false" stroked="false">
          <v:textbox inset="0,0,0,0">
            <w:txbxContent>
              <w:p>
                <w:pPr>
                  <w:spacing w:before="13"/>
                  <w:ind w:left="20" w:right="0" w:firstLine="0"/>
                  <w:jc w:val="left"/>
                  <w:rPr>
                    <w:b/>
                    <w:sz w:val="22"/>
                  </w:rPr>
                </w:pPr>
                <w:r>
                  <w:rPr>
                    <w:b/>
                    <w:sz w:val="22"/>
                  </w:rPr>
                  <w:t>Ek-6 Hodkinson Mental Test</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419998pt;margin-top:70.005768pt;width:241.6pt;height:14.35pt;mso-position-horizontal-relative:page;mso-position-vertical-relative:page;z-index:-255552512" type="#_x0000_t202" filled="false" stroked="false">
          <v:textbox inset="0,0,0,0">
            <w:txbxContent>
              <w:p>
                <w:pPr>
                  <w:spacing w:before="13"/>
                  <w:ind w:left="20" w:right="0" w:firstLine="0"/>
                  <w:jc w:val="left"/>
                  <w:rPr>
                    <w:b/>
                    <w:sz w:val="22"/>
                  </w:rPr>
                </w:pPr>
                <w:r>
                  <w:rPr>
                    <w:b/>
                    <w:sz w:val="22"/>
                  </w:rPr>
                  <w:t>Ek-7 Bathel Günlük Yaşam Aktiviteleri İndeksi</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419998pt;margin-top:70.485764pt;width:269.95pt;height:14.35pt;mso-position-horizontal-relative:page;mso-position-vertical-relative:page;z-index:-255551488" type="#_x0000_t202" filled="false" stroked="false">
          <v:textbox inset="0,0,0,0">
            <w:txbxContent>
              <w:p>
                <w:pPr>
                  <w:spacing w:before="13"/>
                  <w:ind w:left="20" w:right="0" w:firstLine="0"/>
                  <w:jc w:val="left"/>
                  <w:rPr>
                    <w:b/>
                    <w:sz w:val="22"/>
                  </w:rPr>
                </w:pPr>
                <w:r>
                  <w:rPr>
                    <w:b/>
                    <w:sz w:val="22"/>
                  </w:rPr>
                  <w:t>Ek-8 Norton Bası Yarası Risk Değerlendirme Ölçeği</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080017pt;margin-top:36.439983pt;width:16.8pt;height:13.05pt;mso-position-horizontal-relative:page;mso-position-vertical-relative:page;z-index:-255561728" type="#_x0000_t202" filled="false" stroked="false">
          <v:textbox inset="0,0,0,0">
            <w:txbxContent>
              <w:p>
                <w:pPr>
                  <w:pStyle w:val="BodyText"/>
                  <w:spacing w:line="245" w:lineRule="exact"/>
                  <w:ind w:left="40"/>
                  <w:rPr>
                    <w:rFonts w:ascii="Calibri"/>
                  </w:rPr>
                </w:pPr>
                <w:r>
                  <w:rPr/>
                  <w:fldChar w:fldCharType="begin"/>
                </w:r>
                <w:r>
                  <w:rPr>
                    <w:rFonts w:ascii="Calibri"/>
                  </w:rPr>
                  <w:instrText> PAGE  \* roman </w:instrText>
                </w:r>
                <w:r>
                  <w:rPr/>
                  <w:fldChar w:fldCharType="separate"/>
                </w:r>
                <w:r>
                  <w:rPr/>
                  <w:t>viii</w:t>
                </w:r>
                <w:r>
                  <w:rPr/>
                  <w:fldChar w:fldCharType="end"/>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5.520020pt;margin-top:36.439983pt;width:15.3pt;height:13.05pt;mso-position-horizontal-relative:page;mso-position-vertical-relative:page;z-index:-255560704"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10</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3.159973pt;margin-top:37.439983pt;width:5.6pt;height:11.05pt;mso-position-horizontal-relative:page;mso-position-vertical-relative:page;z-index:-255559680" type="#_x0000_t202" filled="false" stroked="false">
          <v:textbox inset="0,0,0,0">
            <w:txbxContent>
              <w:p>
                <w:pPr>
                  <w:pStyle w:val="BodyText"/>
                  <w:spacing w:line="221" w:lineRule="exact"/>
                  <w:rPr>
                    <w:rFonts w:ascii="Calibri"/>
                  </w:rPr>
                </w:pPr>
                <w:r>
                  <w:rPr>
                    <w:rFonts w:ascii="Calibri"/>
                    <w:w w:val="100"/>
                  </w:rPr>
                  <w:t>1</w:t>
                </w:r>
              </w:p>
            </w:txbxContent>
          </v:textbox>
          <w10:wrap type="none"/>
        </v:shape>
      </w:pict>
    </w:r>
    <w:r>
      <w:rPr/>
      <w:pict>
        <v:rect style="position:absolute;margin-left:517.5pt;margin-top:23.749983pt;width:42.2pt;height:33.950pt;mso-position-horizontal-relative:page;mso-position-vertical-relative:page;z-index:-255558656" filled="true" fillcolor="#ffffff" stroked="false">
          <v:fill type="solid"/>
          <w10:wrap type="none"/>
        </v:rect>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419998pt;margin-top:70.485764pt;width:261.1500pt;height:14.35pt;mso-position-horizontal-relative:page;mso-position-vertical-relative:page;z-index:-255557632" type="#_x0000_t202" filled="false" stroked="false">
          <v:textbox inset="0,0,0,0">
            <w:txbxContent>
              <w:p>
                <w:pPr>
                  <w:spacing w:before="13"/>
                  <w:ind w:left="20" w:right="0" w:firstLine="0"/>
                  <w:jc w:val="left"/>
                  <w:rPr>
                    <w:b/>
                    <w:sz w:val="22"/>
                  </w:rPr>
                </w:pPr>
                <w:r>
                  <w:rPr>
                    <w:b/>
                    <w:sz w:val="22"/>
                  </w:rPr>
                  <w:t>Ek-2 Nöroloji Anabilim Dalından Alınan İzin Yazısı</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419998pt;margin-top:70.005768pt;width:343.1pt;height:14.35pt;mso-position-horizontal-relative:page;mso-position-vertical-relative:page;z-index:-255556608" type="#_x0000_t202" filled="false" stroked="false">
          <v:textbox inset="0,0,0,0">
            <w:txbxContent>
              <w:p>
                <w:pPr>
                  <w:spacing w:before="13"/>
                  <w:ind w:left="20" w:right="0" w:firstLine="0"/>
                  <w:jc w:val="left"/>
                  <w:rPr>
                    <w:b/>
                    <w:sz w:val="22"/>
                  </w:rPr>
                </w:pPr>
                <w:r>
                  <w:rPr>
                    <w:b/>
                    <w:sz w:val="22"/>
                  </w:rPr>
                  <w:t>Ek-3 Beyin ve Sinir Cerrahisi Anabilim Dalından Alınan İzin Yazısı</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419998pt;margin-top:70.485764pt;width:198.45pt;height:14.35pt;mso-position-horizontal-relative:page;mso-position-vertical-relative:page;z-index:-255555584" type="#_x0000_t202" filled="false" stroked="false">
          <v:textbox inset="0,0,0,0">
            <w:txbxContent>
              <w:p>
                <w:pPr>
                  <w:spacing w:before="13"/>
                  <w:ind w:left="20" w:right="0" w:firstLine="0"/>
                  <w:jc w:val="left"/>
                  <w:rPr>
                    <w:b/>
                    <w:sz w:val="22"/>
                  </w:rPr>
                </w:pPr>
                <w:r>
                  <w:rPr>
                    <w:b/>
                    <w:sz w:val="22"/>
                  </w:rPr>
                  <w:t>Ek-4 Demografik ve Klinik Veri Formu</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419998pt;margin-top:70.485764pt;width:148.2pt;height:14.35pt;mso-position-horizontal-relative:page;mso-position-vertical-relative:page;z-index:-255554560" type="#_x0000_t202" filled="false" stroked="false">
          <v:textbox inset="0,0,0,0">
            <w:txbxContent>
              <w:p>
                <w:pPr>
                  <w:spacing w:before="13"/>
                  <w:ind w:left="20" w:right="0" w:firstLine="0"/>
                  <w:jc w:val="left"/>
                  <w:rPr>
                    <w:b/>
                    <w:sz w:val="22"/>
                  </w:rPr>
                </w:pPr>
                <w:r>
                  <w:rPr>
                    <w:b/>
                    <w:sz w:val="22"/>
                  </w:rPr>
                  <w:t>Ek-5 Glaskow Koma Skalası</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2">
    <w:multiLevelType w:val="hybridMultilevel"/>
    <w:lvl w:ilvl="0">
      <w:start w:val="1"/>
      <w:numFmt w:val="decimal"/>
      <w:lvlText w:val="%1."/>
      <w:lvlJc w:val="left"/>
      <w:pPr>
        <w:ind w:left="1428" w:hanging="180"/>
        <w:jc w:val="left"/>
      </w:pPr>
      <w:rPr>
        <w:rFonts w:hint="default"/>
        <w:spacing w:val="-1"/>
        <w:w w:val="100"/>
        <w:u w:val="single" w:color="000000"/>
        <w:lang w:val="tr-TR" w:eastAsia="tr-TR" w:bidi="tr-TR"/>
      </w:rPr>
    </w:lvl>
    <w:lvl w:ilvl="1">
      <w:start w:val="0"/>
      <w:numFmt w:val="bullet"/>
      <w:lvlText w:val="•"/>
      <w:lvlJc w:val="left"/>
      <w:pPr>
        <w:ind w:left="2320" w:hanging="180"/>
      </w:pPr>
      <w:rPr>
        <w:rFonts w:hint="default"/>
        <w:lang w:val="tr-TR" w:eastAsia="tr-TR" w:bidi="tr-TR"/>
      </w:rPr>
    </w:lvl>
    <w:lvl w:ilvl="2">
      <w:start w:val="0"/>
      <w:numFmt w:val="bullet"/>
      <w:lvlText w:val="•"/>
      <w:lvlJc w:val="left"/>
      <w:pPr>
        <w:ind w:left="3221" w:hanging="180"/>
      </w:pPr>
      <w:rPr>
        <w:rFonts w:hint="default"/>
        <w:lang w:val="tr-TR" w:eastAsia="tr-TR" w:bidi="tr-TR"/>
      </w:rPr>
    </w:lvl>
    <w:lvl w:ilvl="3">
      <w:start w:val="0"/>
      <w:numFmt w:val="bullet"/>
      <w:lvlText w:val="•"/>
      <w:lvlJc w:val="left"/>
      <w:pPr>
        <w:ind w:left="4121" w:hanging="180"/>
      </w:pPr>
      <w:rPr>
        <w:rFonts w:hint="default"/>
        <w:lang w:val="tr-TR" w:eastAsia="tr-TR" w:bidi="tr-TR"/>
      </w:rPr>
    </w:lvl>
    <w:lvl w:ilvl="4">
      <w:start w:val="0"/>
      <w:numFmt w:val="bullet"/>
      <w:lvlText w:val="•"/>
      <w:lvlJc w:val="left"/>
      <w:pPr>
        <w:ind w:left="5022" w:hanging="180"/>
      </w:pPr>
      <w:rPr>
        <w:rFonts w:hint="default"/>
        <w:lang w:val="tr-TR" w:eastAsia="tr-TR" w:bidi="tr-TR"/>
      </w:rPr>
    </w:lvl>
    <w:lvl w:ilvl="5">
      <w:start w:val="0"/>
      <w:numFmt w:val="bullet"/>
      <w:lvlText w:val="•"/>
      <w:lvlJc w:val="left"/>
      <w:pPr>
        <w:ind w:left="5923" w:hanging="180"/>
      </w:pPr>
      <w:rPr>
        <w:rFonts w:hint="default"/>
        <w:lang w:val="tr-TR" w:eastAsia="tr-TR" w:bidi="tr-TR"/>
      </w:rPr>
    </w:lvl>
    <w:lvl w:ilvl="6">
      <w:start w:val="0"/>
      <w:numFmt w:val="bullet"/>
      <w:lvlText w:val="•"/>
      <w:lvlJc w:val="left"/>
      <w:pPr>
        <w:ind w:left="6823" w:hanging="180"/>
      </w:pPr>
      <w:rPr>
        <w:rFonts w:hint="default"/>
        <w:lang w:val="tr-TR" w:eastAsia="tr-TR" w:bidi="tr-TR"/>
      </w:rPr>
    </w:lvl>
    <w:lvl w:ilvl="7">
      <w:start w:val="0"/>
      <w:numFmt w:val="bullet"/>
      <w:lvlText w:val="•"/>
      <w:lvlJc w:val="left"/>
      <w:pPr>
        <w:ind w:left="7724" w:hanging="180"/>
      </w:pPr>
      <w:rPr>
        <w:rFonts w:hint="default"/>
        <w:lang w:val="tr-TR" w:eastAsia="tr-TR" w:bidi="tr-TR"/>
      </w:rPr>
    </w:lvl>
    <w:lvl w:ilvl="8">
      <w:start w:val="0"/>
      <w:numFmt w:val="bullet"/>
      <w:lvlText w:val="•"/>
      <w:lvlJc w:val="left"/>
      <w:pPr>
        <w:ind w:left="8625" w:hanging="180"/>
      </w:pPr>
      <w:rPr>
        <w:rFonts w:hint="default"/>
        <w:lang w:val="tr-TR" w:eastAsia="tr-TR" w:bidi="tr-TR"/>
      </w:rPr>
    </w:lvl>
  </w:abstractNum>
  <w:abstractNum w:abstractNumId="21">
    <w:multiLevelType w:val="hybridMultilevel"/>
    <w:lvl w:ilvl="0">
      <w:start w:val="0"/>
      <w:numFmt w:val="bullet"/>
      <w:lvlText w:val=""/>
      <w:lvlJc w:val="left"/>
      <w:pPr>
        <w:ind w:left="483" w:hanging="284"/>
      </w:pPr>
      <w:rPr>
        <w:rFonts w:hint="default" w:ascii="Symbol" w:hAnsi="Symbol" w:eastAsia="Symbol" w:cs="Symbol"/>
        <w:w w:val="99"/>
        <w:sz w:val="20"/>
        <w:szCs w:val="20"/>
        <w:lang w:val="tr-TR" w:eastAsia="tr-TR" w:bidi="tr-TR"/>
      </w:rPr>
    </w:lvl>
    <w:lvl w:ilvl="1">
      <w:start w:val="0"/>
      <w:numFmt w:val="bullet"/>
      <w:lvlText w:val="•"/>
      <w:lvlJc w:val="left"/>
      <w:pPr>
        <w:ind w:left="735" w:hanging="284"/>
      </w:pPr>
      <w:rPr>
        <w:rFonts w:hint="default"/>
        <w:lang w:val="tr-TR" w:eastAsia="tr-TR" w:bidi="tr-TR"/>
      </w:rPr>
    </w:lvl>
    <w:lvl w:ilvl="2">
      <w:start w:val="0"/>
      <w:numFmt w:val="bullet"/>
      <w:lvlText w:val="•"/>
      <w:lvlJc w:val="left"/>
      <w:pPr>
        <w:ind w:left="991" w:hanging="284"/>
      </w:pPr>
      <w:rPr>
        <w:rFonts w:hint="default"/>
        <w:lang w:val="tr-TR" w:eastAsia="tr-TR" w:bidi="tr-TR"/>
      </w:rPr>
    </w:lvl>
    <w:lvl w:ilvl="3">
      <w:start w:val="0"/>
      <w:numFmt w:val="bullet"/>
      <w:lvlText w:val="•"/>
      <w:lvlJc w:val="left"/>
      <w:pPr>
        <w:ind w:left="1247" w:hanging="284"/>
      </w:pPr>
      <w:rPr>
        <w:rFonts w:hint="default"/>
        <w:lang w:val="tr-TR" w:eastAsia="tr-TR" w:bidi="tr-TR"/>
      </w:rPr>
    </w:lvl>
    <w:lvl w:ilvl="4">
      <w:start w:val="0"/>
      <w:numFmt w:val="bullet"/>
      <w:lvlText w:val="•"/>
      <w:lvlJc w:val="left"/>
      <w:pPr>
        <w:ind w:left="1503" w:hanging="284"/>
      </w:pPr>
      <w:rPr>
        <w:rFonts w:hint="default"/>
        <w:lang w:val="tr-TR" w:eastAsia="tr-TR" w:bidi="tr-TR"/>
      </w:rPr>
    </w:lvl>
    <w:lvl w:ilvl="5">
      <w:start w:val="0"/>
      <w:numFmt w:val="bullet"/>
      <w:lvlText w:val="•"/>
      <w:lvlJc w:val="left"/>
      <w:pPr>
        <w:ind w:left="1759" w:hanging="284"/>
      </w:pPr>
      <w:rPr>
        <w:rFonts w:hint="default"/>
        <w:lang w:val="tr-TR" w:eastAsia="tr-TR" w:bidi="tr-TR"/>
      </w:rPr>
    </w:lvl>
    <w:lvl w:ilvl="6">
      <w:start w:val="0"/>
      <w:numFmt w:val="bullet"/>
      <w:lvlText w:val="•"/>
      <w:lvlJc w:val="left"/>
      <w:pPr>
        <w:ind w:left="2014" w:hanging="284"/>
      </w:pPr>
      <w:rPr>
        <w:rFonts w:hint="default"/>
        <w:lang w:val="tr-TR" w:eastAsia="tr-TR" w:bidi="tr-TR"/>
      </w:rPr>
    </w:lvl>
    <w:lvl w:ilvl="7">
      <w:start w:val="0"/>
      <w:numFmt w:val="bullet"/>
      <w:lvlText w:val="•"/>
      <w:lvlJc w:val="left"/>
      <w:pPr>
        <w:ind w:left="2270" w:hanging="284"/>
      </w:pPr>
      <w:rPr>
        <w:rFonts w:hint="default"/>
        <w:lang w:val="tr-TR" w:eastAsia="tr-TR" w:bidi="tr-TR"/>
      </w:rPr>
    </w:lvl>
    <w:lvl w:ilvl="8">
      <w:start w:val="0"/>
      <w:numFmt w:val="bullet"/>
      <w:lvlText w:val="•"/>
      <w:lvlJc w:val="left"/>
      <w:pPr>
        <w:ind w:left="2526" w:hanging="284"/>
      </w:pPr>
      <w:rPr>
        <w:rFonts w:hint="default"/>
        <w:lang w:val="tr-TR" w:eastAsia="tr-TR" w:bidi="tr-TR"/>
      </w:rPr>
    </w:lvl>
  </w:abstractNum>
  <w:abstractNum w:abstractNumId="20">
    <w:multiLevelType w:val="hybridMultilevel"/>
    <w:lvl w:ilvl="0">
      <w:start w:val="0"/>
      <w:numFmt w:val="bullet"/>
      <w:lvlText w:val=""/>
      <w:lvlJc w:val="left"/>
      <w:pPr>
        <w:ind w:left="483" w:hanging="284"/>
      </w:pPr>
      <w:rPr>
        <w:rFonts w:hint="default" w:ascii="Symbol" w:hAnsi="Symbol" w:eastAsia="Symbol" w:cs="Symbol"/>
        <w:w w:val="99"/>
        <w:sz w:val="20"/>
        <w:szCs w:val="20"/>
        <w:lang w:val="tr-TR" w:eastAsia="tr-TR" w:bidi="tr-TR"/>
      </w:rPr>
    </w:lvl>
    <w:lvl w:ilvl="1">
      <w:start w:val="0"/>
      <w:numFmt w:val="bullet"/>
      <w:lvlText w:val="•"/>
      <w:lvlJc w:val="left"/>
      <w:pPr>
        <w:ind w:left="735" w:hanging="284"/>
      </w:pPr>
      <w:rPr>
        <w:rFonts w:hint="default"/>
        <w:lang w:val="tr-TR" w:eastAsia="tr-TR" w:bidi="tr-TR"/>
      </w:rPr>
    </w:lvl>
    <w:lvl w:ilvl="2">
      <w:start w:val="0"/>
      <w:numFmt w:val="bullet"/>
      <w:lvlText w:val="•"/>
      <w:lvlJc w:val="left"/>
      <w:pPr>
        <w:ind w:left="991" w:hanging="284"/>
      </w:pPr>
      <w:rPr>
        <w:rFonts w:hint="default"/>
        <w:lang w:val="tr-TR" w:eastAsia="tr-TR" w:bidi="tr-TR"/>
      </w:rPr>
    </w:lvl>
    <w:lvl w:ilvl="3">
      <w:start w:val="0"/>
      <w:numFmt w:val="bullet"/>
      <w:lvlText w:val="•"/>
      <w:lvlJc w:val="left"/>
      <w:pPr>
        <w:ind w:left="1247" w:hanging="284"/>
      </w:pPr>
      <w:rPr>
        <w:rFonts w:hint="default"/>
        <w:lang w:val="tr-TR" w:eastAsia="tr-TR" w:bidi="tr-TR"/>
      </w:rPr>
    </w:lvl>
    <w:lvl w:ilvl="4">
      <w:start w:val="0"/>
      <w:numFmt w:val="bullet"/>
      <w:lvlText w:val="•"/>
      <w:lvlJc w:val="left"/>
      <w:pPr>
        <w:ind w:left="1503" w:hanging="284"/>
      </w:pPr>
      <w:rPr>
        <w:rFonts w:hint="default"/>
        <w:lang w:val="tr-TR" w:eastAsia="tr-TR" w:bidi="tr-TR"/>
      </w:rPr>
    </w:lvl>
    <w:lvl w:ilvl="5">
      <w:start w:val="0"/>
      <w:numFmt w:val="bullet"/>
      <w:lvlText w:val="•"/>
      <w:lvlJc w:val="left"/>
      <w:pPr>
        <w:ind w:left="1759" w:hanging="284"/>
      </w:pPr>
      <w:rPr>
        <w:rFonts w:hint="default"/>
        <w:lang w:val="tr-TR" w:eastAsia="tr-TR" w:bidi="tr-TR"/>
      </w:rPr>
    </w:lvl>
    <w:lvl w:ilvl="6">
      <w:start w:val="0"/>
      <w:numFmt w:val="bullet"/>
      <w:lvlText w:val="•"/>
      <w:lvlJc w:val="left"/>
      <w:pPr>
        <w:ind w:left="2014" w:hanging="284"/>
      </w:pPr>
      <w:rPr>
        <w:rFonts w:hint="default"/>
        <w:lang w:val="tr-TR" w:eastAsia="tr-TR" w:bidi="tr-TR"/>
      </w:rPr>
    </w:lvl>
    <w:lvl w:ilvl="7">
      <w:start w:val="0"/>
      <w:numFmt w:val="bullet"/>
      <w:lvlText w:val="•"/>
      <w:lvlJc w:val="left"/>
      <w:pPr>
        <w:ind w:left="2270" w:hanging="284"/>
      </w:pPr>
      <w:rPr>
        <w:rFonts w:hint="default"/>
        <w:lang w:val="tr-TR" w:eastAsia="tr-TR" w:bidi="tr-TR"/>
      </w:rPr>
    </w:lvl>
    <w:lvl w:ilvl="8">
      <w:start w:val="0"/>
      <w:numFmt w:val="bullet"/>
      <w:lvlText w:val="•"/>
      <w:lvlJc w:val="left"/>
      <w:pPr>
        <w:ind w:left="2526" w:hanging="284"/>
      </w:pPr>
      <w:rPr>
        <w:rFonts w:hint="default"/>
        <w:lang w:val="tr-TR" w:eastAsia="tr-TR" w:bidi="tr-TR"/>
      </w:rPr>
    </w:lvl>
  </w:abstractNum>
  <w:abstractNum w:abstractNumId="19">
    <w:multiLevelType w:val="hybridMultilevel"/>
    <w:lvl w:ilvl="0">
      <w:start w:val="0"/>
      <w:numFmt w:val="bullet"/>
      <w:lvlText w:val=""/>
      <w:lvlJc w:val="left"/>
      <w:pPr>
        <w:ind w:left="483" w:hanging="284"/>
      </w:pPr>
      <w:rPr>
        <w:rFonts w:hint="default" w:ascii="Symbol" w:hAnsi="Symbol" w:eastAsia="Symbol" w:cs="Symbol"/>
        <w:w w:val="99"/>
        <w:sz w:val="20"/>
        <w:szCs w:val="20"/>
        <w:lang w:val="tr-TR" w:eastAsia="tr-TR" w:bidi="tr-TR"/>
      </w:rPr>
    </w:lvl>
    <w:lvl w:ilvl="1">
      <w:start w:val="0"/>
      <w:numFmt w:val="bullet"/>
      <w:lvlText w:val="•"/>
      <w:lvlJc w:val="left"/>
      <w:pPr>
        <w:ind w:left="735" w:hanging="284"/>
      </w:pPr>
      <w:rPr>
        <w:rFonts w:hint="default"/>
        <w:lang w:val="tr-TR" w:eastAsia="tr-TR" w:bidi="tr-TR"/>
      </w:rPr>
    </w:lvl>
    <w:lvl w:ilvl="2">
      <w:start w:val="0"/>
      <w:numFmt w:val="bullet"/>
      <w:lvlText w:val="•"/>
      <w:lvlJc w:val="left"/>
      <w:pPr>
        <w:ind w:left="991" w:hanging="284"/>
      </w:pPr>
      <w:rPr>
        <w:rFonts w:hint="default"/>
        <w:lang w:val="tr-TR" w:eastAsia="tr-TR" w:bidi="tr-TR"/>
      </w:rPr>
    </w:lvl>
    <w:lvl w:ilvl="3">
      <w:start w:val="0"/>
      <w:numFmt w:val="bullet"/>
      <w:lvlText w:val="•"/>
      <w:lvlJc w:val="left"/>
      <w:pPr>
        <w:ind w:left="1247" w:hanging="284"/>
      </w:pPr>
      <w:rPr>
        <w:rFonts w:hint="default"/>
        <w:lang w:val="tr-TR" w:eastAsia="tr-TR" w:bidi="tr-TR"/>
      </w:rPr>
    </w:lvl>
    <w:lvl w:ilvl="4">
      <w:start w:val="0"/>
      <w:numFmt w:val="bullet"/>
      <w:lvlText w:val="•"/>
      <w:lvlJc w:val="left"/>
      <w:pPr>
        <w:ind w:left="1503" w:hanging="284"/>
      </w:pPr>
      <w:rPr>
        <w:rFonts w:hint="default"/>
        <w:lang w:val="tr-TR" w:eastAsia="tr-TR" w:bidi="tr-TR"/>
      </w:rPr>
    </w:lvl>
    <w:lvl w:ilvl="5">
      <w:start w:val="0"/>
      <w:numFmt w:val="bullet"/>
      <w:lvlText w:val="•"/>
      <w:lvlJc w:val="left"/>
      <w:pPr>
        <w:ind w:left="1759" w:hanging="284"/>
      </w:pPr>
      <w:rPr>
        <w:rFonts w:hint="default"/>
        <w:lang w:val="tr-TR" w:eastAsia="tr-TR" w:bidi="tr-TR"/>
      </w:rPr>
    </w:lvl>
    <w:lvl w:ilvl="6">
      <w:start w:val="0"/>
      <w:numFmt w:val="bullet"/>
      <w:lvlText w:val="•"/>
      <w:lvlJc w:val="left"/>
      <w:pPr>
        <w:ind w:left="2014" w:hanging="284"/>
      </w:pPr>
      <w:rPr>
        <w:rFonts w:hint="default"/>
        <w:lang w:val="tr-TR" w:eastAsia="tr-TR" w:bidi="tr-TR"/>
      </w:rPr>
    </w:lvl>
    <w:lvl w:ilvl="7">
      <w:start w:val="0"/>
      <w:numFmt w:val="bullet"/>
      <w:lvlText w:val="•"/>
      <w:lvlJc w:val="left"/>
      <w:pPr>
        <w:ind w:left="2270" w:hanging="284"/>
      </w:pPr>
      <w:rPr>
        <w:rFonts w:hint="default"/>
        <w:lang w:val="tr-TR" w:eastAsia="tr-TR" w:bidi="tr-TR"/>
      </w:rPr>
    </w:lvl>
    <w:lvl w:ilvl="8">
      <w:start w:val="0"/>
      <w:numFmt w:val="bullet"/>
      <w:lvlText w:val="•"/>
      <w:lvlJc w:val="left"/>
      <w:pPr>
        <w:ind w:left="2526" w:hanging="284"/>
      </w:pPr>
      <w:rPr>
        <w:rFonts w:hint="default"/>
        <w:lang w:val="tr-TR" w:eastAsia="tr-TR" w:bidi="tr-TR"/>
      </w:rPr>
    </w:lvl>
  </w:abstractNum>
  <w:abstractNum w:abstractNumId="18">
    <w:multiLevelType w:val="hybridMultilevel"/>
    <w:lvl w:ilvl="0">
      <w:start w:val="0"/>
      <w:numFmt w:val="bullet"/>
      <w:lvlText w:val=""/>
      <w:lvlJc w:val="left"/>
      <w:pPr>
        <w:ind w:left="483" w:hanging="284"/>
      </w:pPr>
      <w:rPr>
        <w:rFonts w:hint="default" w:ascii="Symbol" w:hAnsi="Symbol" w:eastAsia="Symbol" w:cs="Symbol"/>
        <w:w w:val="99"/>
        <w:sz w:val="20"/>
        <w:szCs w:val="20"/>
        <w:lang w:val="tr-TR" w:eastAsia="tr-TR" w:bidi="tr-TR"/>
      </w:rPr>
    </w:lvl>
    <w:lvl w:ilvl="1">
      <w:start w:val="0"/>
      <w:numFmt w:val="bullet"/>
      <w:lvlText w:val="•"/>
      <w:lvlJc w:val="left"/>
      <w:pPr>
        <w:ind w:left="735" w:hanging="284"/>
      </w:pPr>
      <w:rPr>
        <w:rFonts w:hint="default"/>
        <w:lang w:val="tr-TR" w:eastAsia="tr-TR" w:bidi="tr-TR"/>
      </w:rPr>
    </w:lvl>
    <w:lvl w:ilvl="2">
      <w:start w:val="0"/>
      <w:numFmt w:val="bullet"/>
      <w:lvlText w:val="•"/>
      <w:lvlJc w:val="left"/>
      <w:pPr>
        <w:ind w:left="991" w:hanging="284"/>
      </w:pPr>
      <w:rPr>
        <w:rFonts w:hint="default"/>
        <w:lang w:val="tr-TR" w:eastAsia="tr-TR" w:bidi="tr-TR"/>
      </w:rPr>
    </w:lvl>
    <w:lvl w:ilvl="3">
      <w:start w:val="0"/>
      <w:numFmt w:val="bullet"/>
      <w:lvlText w:val="•"/>
      <w:lvlJc w:val="left"/>
      <w:pPr>
        <w:ind w:left="1247" w:hanging="284"/>
      </w:pPr>
      <w:rPr>
        <w:rFonts w:hint="default"/>
        <w:lang w:val="tr-TR" w:eastAsia="tr-TR" w:bidi="tr-TR"/>
      </w:rPr>
    </w:lvl>
    <w:lvl w:ilvl="4">
      <w:start w:val="0"/>
      <w:numFmt w:val="bullet"/>
      <w:lvlText w:val="•"/>
      <w:lvlJc w:val="left"/>
      <w:pPr>
        <w:ind w:left="1503" w:hanging="284"/>
      </w:pPr>
      <w:rPr>
        <w:rFonts w:hint="default"/>
        <w:lang w:val="tr-TR" w:eastAsia="tr-TR" w:bidi="tr-TR"/>
      </w:rPr>
    </w:lvl>
    <w:lvl w:ilvl="5">
      <w:start w:val="0"/>
      <w:numFmt w:val="bullet"/>
      <w:lvlText w:val="•"/>
      <w:lvlJc w:val="left"/>
      <w:pPr>
        <w:ind w:left="1759" w:hanging="284"/>
      </w:pPr>
      <w:rPr>
        <w:rFonts w:hint="default"/>
        <w:lang w:val="tr-TR" w:eastAsia="tr-TR" w:bidi="tr-TR"/>
      </w:rPr>
    </w:lvl>
    <w:lvl w:ilvl="6">
      <w:start w:val="0"/>
      <w:numFmt w:val="bullet"/>
      <w:lvlText w:val="•"/>
      <w:lvlJc w:val="left"/>
      <w:pPr>
        <w:ind w:left="2014" w:hanging="284"/>
      </w:pPr>
      <w:rPr>
        <w:rFonts w:hint="default"/>
        <w:lang w:val="tr-TR" w:eastAsia="tr-TR" w:bidi="tr-TR"/>
      </w:rPr>
    </w:lvl>
    <w:lvl w:ilvl="7">
      <w:start w:val="0"/>
      <w:numFmt w:val="bullet"/>
      <w:lvlText w:val="•"/>
      <w:lvlJc w:val="left"/>
      <w:pPr>
        <w:ind w:left="2270" w:hanging="284"/>
      </w:pPr>
      <w:rPr>
        <w:rFonts w:hint="default"/>
        <w:lang w:val="tr-TR" w:eastAsia="tr-TR" w:bidi="tr-TR"/>
      </w:rPr>
    </w:lvl>
    <w:lvl w:ilvl="8">
      <w:start w:val="0"/>
      <w:numFmt w:val="bullet"/>
      <w:lvlText w:val="•"/>
      <w:lvlJc w:val="left"/>
      <w:pPr>
        <w:ind w:left="2526" w:hanging="284"/>
      </w:pPr>
      <w:rPr>
        <w:rFonts w:hint="default"/>
        <w:lang w:val="tr-TR" w:eastAsia="tr-TR" w:bidi="tr-TR"/>
      </w:rPr>
    </w:lvl>
  </w:abstractNum>
  <w:abstractNum w:abstractNumId="17">
    <w:multiLevelType w:val="hybridMultilevel"/>
    <w:lvl w:ilvl="0">
      <w:start w:val="0"/>
      <w:numFmt w:val="bullet"/>
      <w:lvlText w:val=""/>
      <w:lvlJc w:val="left"/>
      <w:pPr>
        <w:ind w:left="483" w:hanging="284"/>
      </w:pPr>
      <w:rPr>
        <w:rFonts w:hint="default" w:ascii="Symbol" w:hAnsi="Symbol" w:eastAsia="Symbol" w:cs="Symbol"/>
        <w:w w:val="99"/>
        <w:sz w:val="20"/>
        <w:szCs w:val="20"/>
        <w:lang w:val="tr-TR" w:eastAsia="tr-TR" w:bidi="tr-TR"/>
      </w:rPr>
    </w:lvl>
    <w:lvl w:ilvl="1">
      <w:start w:val="0"/>
      <w:numFmt w:val="bullet"/>
      <w:lvlText w:val="•"/>
      <w:lvlJc w:val="left"/>
      <w:pPr>
        <w:ind w:left="735" w:hanging="284"/>
      </w:pPr>
      <w:rPr>
        <w:rFonts w:hint="default"/>
        <w:lang w:val="tr-TR" w:eastAsia="tr-TR" w:bidi="tr-TR"/>
      </w:rPr>
    </w:lvl>
    <w:lvl w:ilvl="2">
      <w:start w:val="0"/>
      <w:numFmt w:val="bullet"/>
      <w:lvlText w:val="•"/>
      <w:lvlJc w:val="left"/>
      <w:pPr>
        <w:ind w:left="991" w:hanging="284"/>
      </w:pPr>
      <w:rPr>
        <w:rFonts w:hint="default"/>
        <w:lang w:val="tr-TR" w:eastAsia="tr-TR" w:bidi="tr-TR"/>
      </w:rPr>
    </w:lvl>
    <w:lvl w:ilvl="3">
      <w:start w:val="0"/>
      <w:numFmt w:val="bullet"/>
      <w:lvlText w:val="•"/>
      <w:lvlJc w:val="left"/>
      <w:pPr>
        <w:ind w:left="1247" w:hanging="284"/>
      </w:pPr>
      <w:rPr>
        <w:rFonts w:hint="default"/>
        <w:lang w:val="tr-TR" w:eastAsia="tr-TR" w:bidi="tr-TR"/>
      </w:rPr>
    </w:lvl>
    <w:lvl w:ilvl="4">
      <w:start w:val="0"/>
      <w:numFmt w:val="bullet"/>
      <w:lvlText w:val="•"/>
      <w:lvlJc w:val="left"/>
      <w:pPr>
        <w:ind w:left="1503" w:hanging="284"/>
      </w:pPr>
      <w:rPr>
        <w:rFonts w:hint="default"/>
        <w:lang w:val="tr-TR" w:eastAsia="tr-TR" w:bidi="tr-TR"/>
      </w:rPr>
    </w:lvl>
    <w:lvl w:ilvl="5">
      <w:start w:val="0"/>
      <w:numFmt w:val="bullet"/>
      <w:lvlText w:val="•"/>
      <w:lvlJc w:val="left"/>
      <w:pPr>
        <w:ind w:left="1759" w:hanging="284"/>
      </w:pPr>
      <w:rPr>
        <w:rFonts w:hint="default"/>
        <w:lang w:val="tr-TR" w:eastAsia="tr-TR" w:bidi="tr-TR"/>
      </w:rPr>
    </w:lvl>
    <w:lvl w:ilvl="6">
      <w:start w:val="0"/>
      <w:numFmt w:val="bullet"/>
      <w:lvlText w:val="•"/>
      <w:lvlJc w:val="left"/>
      <w:pPr>
        <w:ind w:left="2014" w:hanging="284"/>
      </w:pPr>
      <w:rPr>
        <w:rFonts w:hint="default"/>
        <w:lang w:val="tr-TR" w:eastAsia="tr-TR" w:bidi="tr-TR"/>
      </w:rPr>
    </w:lvl>
    <w:lvl w:ilvl="7">
      <w:start w:val="0"/>
      <w:numFmt w:val="bullet"/>
      <w:lvlText w:val="•"/>
      <w:lvlJc w:val="left"/>
      <w:pPr>
        <w:ind w:left="2270" w:hanging="284"/>
      </w:pPr>
      <w:rPr>
        <w:rFonts w:hint="default"/>
        <w:lang w:val="tr-TR" w:eastAsia="tr-TR" w:bidi="tr-TR"/>
      </w:rPr>
    </w:lvl>
    <w:lvl w:ilvl="8">
      <w:start w:val="0"/>
      <w:numFmt w:val="bullet"/>
      <w:lvlText w:val="•"/>
      <w:lvlJc w:val="left"/>
      <w:pPr>
        <w:ind w:left="2526" w:hanging="284"/>
      </w:pPr>
      <w:rPr>
        <w:rFonts w:hint="default"/>
        <w:lang w:val="tr-TR" w:eastAsia="tr-TR" w:bidi="tr-TR"/>
      </w:rPr>
    </w:lvl>
  </w:abstractNum>
  <w:abstractNum w:abstractNumId="16">
    <w:multiLevelType w:val="hybridMultilevel"/>
    <w:lvl w:ilvl="0">
      <w:start w:val="0"/>
      <w:numFmt w:val="bullet"/>
      <w:lvlText w:val=""/>
      <w:lvlJc w:val="left"/>
      <w:pPr>
        <w:ind w:left="483" w:hanging="284"/>
      </w:pPr>
      <w:rPr>
        <w:rFonts w:hint="default" w:ascii="Symbol" w:hAnsi="Symbol" w:eastAsia="Symbol" w:cs="Symbol"/>
        <w:w w:val="99"/>
        <w:sz w:val="20"/>
        <w:szCs w:val="20"/>
        <w:lang w:val="tr-TR" w:eastAsia="tr-TR" w:bidi="tr-TR"/>
      </w:rPr>
    </w:lvl>
    <w:lvl w:ilvl="1">
      <w:start w:val="0"/>
      <w:numFmt w:val="bullet"/>
      <w:lvlText w:val="•"/>
      <w:lvlJc w:val="left"/>
      <w:pPr>
        <w:ind w:left="735" w:hanging="284"/>
      </w:pPr>
      <w:rPr>
        <w:rFonts w:hint="default"/>
        <w:lang w:val="tr-TR" w:eastAsia="tr-TR" w:bidi="tr-TR"/>
      </w:rPr>
    </w:lvl>
    <w:lvl w:ilvl="2">
      <w:start w:val="0"/>
      <w:numFmt w:val="bullet"/>
      <w:lvlText w:val="•"/>
      <w:lvlJc w:val="left"/>
      <w:pPr>
        <w:ind w:left="991" w:hanging="284"/>
      </w:pPr>
      <w:rPr>
        <w:rFonts w:hint="default"/>
        <w:lang w:val="tr-TR" w:eastAsia="tr-TR" w:bidi="tr-TR"/>
      </w:rPr>
    </w:lvl>
    <w:lvl w:ilvl="3">
      <w:start w:val="0"/>
      <w:numFmt w:val="bullet"/>
      <w:lvlText w:val="•"/>
      <w:lvlJc w:val="left"/>
      <w:pPr>
        <w:ind w:left="1247" w:hanging="284"/>
      </w:pPr>
      <w:rPr>
        <w:rFonts w:hint="default"/>
        <w:lang w:val="tr-TR" w:eastAsia="tr-TR" w:bidi="tr-TR"/>
      </w:rPr>
    </w:lvl>
    <w:lvl w:ilvl="4">
      <w:start w:val="0"/>
      <w:numFmt w:val="bullet"/>
      <w:lvlText w:val="•"/>
      <w:lvlJc w:val="left"/>
      <w:pPr>
        <w:ind w:left="1503" w:hanging="284"/>
      </w:pPr>
      <w:rPr>
        <w:rFonts w:hint="default"/>
        <w:lang w:val="tr-TR" w:eastAsia="tr-TR" w:bidi="tr-TR"/>
      </w:rPr>
    </w:lvl>
    <w:lvl w:ilvl="5">
      <w:start w:val="0"/>
      <w:numFmt w:val="bullet"/>
      <w:lvlText w:val="•"/>
      <w:lvlJc w:val="left"/>
      <w:pPr>
        <w:ind w:left="1759" w:hanging="284"/>
      </w:pPr>
      <w:rPr>
        <w:rFonts w:hint="default"/>
        <w:lang w:val="tr-TR" w:eastAsia="tr-TR" w:bidi="tr-TR"/>
      </w:rPr>
    </w:lvl>
    <w:lvl w:ilvl="6">
      <w:start w:val="0"/>
      <w:numFmt w:val="bullet"/>
      <w:lvlText w:val="•"/>
      <w:lvlJc w:val="left"/>
      <w:pPr>
        <w:ind w:left="2014" w:hanging="284"/>
      </w:pPr>
      <w:rPr>
        <w:rFonts w:hint="default"/>
        <w:lang w:val="tr-TR" w:eastAsia="tr-TR" w:bidi="tr-TR"/>
      </w:rPr>
    </w:lvl>
    <w:lvl w:ilvl="7">
      <w:start w:val="0"/>
      <w:numFmt w:val="bullet"/>
      <w:lvlText w:val="•"/>
      <w:lvlJc w:val="left"/>
      <w:pPr>
        <w:ind w:left="2270" w:hanging="284"/>
      </w:pPr>
      <w:rPr>
        <w:rFonts w:hint="default"/>
        <w:lang w:val="tr-TR" w:eastAsia="tr-TR" w:bidi="tr-TR"/>
      </w:rPr>
    </w:lvl>
    <w:lvl w:ilvl="8">
      <w:start w:val="0"/>
      <w:numFmt w:val="bullet"/>
      <w:lvlText w:val="•"/>
      <w:lvlJc w:val="left"/>
      <w:pPr>
        <w:ind w:left="2526" w:hanging="284"/>
      </w:pPr>
      <w:rPr>
        <w:rFonts w:hint="default"/>
        <w:lang w:val="tr-TR" w:eastAsia="tr-TR" w:bidi="tr-TR"/>
      </w:rPr>
    </w:lvl>
  </w:abstractNum>
  <w:abstractNum w:abstractNumId="15">
    <w:multiLevelType w:val="hybridMultilevel"/>
    <w:lvl w:ilvl="0">
      <w:start w:val="0"/>
      <w:numFmt w:val="bullet"/>
      <w:lvlText w:val=""/>
      <w:lvlJc w:val="left"/>
      <w:pPr>
        <w:ind w:left="874" w:hanging="675"/>
      </w:pPr>
      <w:rPr>
        <w:rFonts w:hint="default" w:ascii="Symbol" w:hAnsi="Symbol" w:eastAsia="Symbol" w:cs="Symbol"/>
        <w:w w:val="99"/>
        <w:sz w:val="20"/>
        <w:szCs w:val="20"/>
        <w:lang w:val="tr-TR" w:eastAsia="tr-TR" w:bidi="tr-TR"/>
      </w:rPr>
    </w:lvl>
    <w:lvl w:ilvl="1">
      <w:start w:val="0"/>
      <w:numFmt w:val="bullet"/>
      <w:lvlText w:val="•"/>
      <w:lvlJc w:val="left"/>
      <w:pPr>
        <w:ind w:left="1095" w:hanging="675"/>
      </w:pPr>
      <w:rPr>
        <w:rFonts w:hint="default"/>
        <w:lang w:val="tr-TR" w:eastAsia="tr-TR" w:bidi="tr-TR"/>
      </w:rPr>
    </w:lvl>
    <w:lvl w:ilvl="2">
      <w:start w:val="0"/>
      <w:numFmt w:val="bullet"/>
      <w:lvlText w:val="•"/>
      <w:lvlJc w:val="left"/>
      <w:pPr>
        <w:ind w:left="1311" w:hanging="675"/>
      </w:pPr>
      <w:rPr>
        <w:rFonts w:hint="default"/>
        <w:lang w:val="tr-TR" w:eastAsia="tr-TR" w:bidi="tr-TR"/>
      </w:rPr>
    </w:lvl>
    <w:lvl w:ilvl="3">
      <w:start w:val="0"/>
      <w:numFmt w:val="bullet"/>
      <w:lvlText w:val="•"/>
      <w:lvlJc w:val="left"/>
      <w:pPr>
        <w:ind w:left="1527" w:hanging="675"/>
      </w:pPr>
      <w:rPr>
        <w:rFonts w:hint="default"/>
        <w:lang w:val="tr-TR" w:eastAsia="tr-TR" w:bidi="tr-TR"/>
      </w:rPr>
    </w:lvl>
    <w:lvl w:ilvl="4">
      <w:start w:val="0"/>
      <w:numFmt w:val="bullet"/>
      <w:lvlText w:val="•"/>
      <w:lvlJc w:val="left"/>
      <w:pPr>
        <w:ind w:left="1743" w:hanging="675"/>
      </w:pPr>
      <w:rPr>
        <w:rFonts w:hint="default"/>
        <w:lang w:val="tr-TR" w:eastAsia="tr-TR" w:bidi="tr-TR"/>
      </w:rPr>
    </w:lvl>
    <w:lvl w:ilvl="5">
      <w:start w:val="0"/>
      <w:numFmt w:val="bullet"/>
      <w:lvlText w:val="•"/>
      <w:lvlJc w:val="left"/>
      <w:pPr>
        <w:ind w:left="1959" w:hanging="675"/>
      </w:pPr>
      <w:rPr>
        <w:rFonts w:hint="default"/>
        <w:lang w:val="tr-TR" w:eastAsia="tr-TR" w:bidi="tr-TR"/>
      </w:rPr>
    </w:lvl>
    <w:lvl w:ilvl="6">
      <w:start w:val="0"/>
      <w:numFmt w:val="bullet"/>
      <w:lvlText w:val="•"/>
      <w:lvlJc w:val="left"/>
      <w:pPr>
        <w:ind w:left="2174" w:hanging="675"/>
      </w:pPr>
      <w:rPr>
        <w:rFonts w:hint="default"/>
        <w:lang w:val="tr-TR" w:eastAsia="tr-TR" w:bidi="tr-TR"/>
      </w:rPr>
    </w:lvl>
    <w:lvl w:ilvl="7">
      <w:start w:val="0"/>
      <w:numFmt w:val="bullet"/>
      <w:lvlText w:val="•"/>
      <w:lvlJc w:val="left"/>
      <w:pPr>
        <w:ind w:left="2390" w:hanging="675"/>
      </w:pPr>
      <w:rPr>
        <w:rFonts w:hint="default"/>
        <w:lang w:val="tr-TR" w:eastAsia="tr-TR" w:bidi="tr-TR"/>
      </w:rPr>
    </w:lvl>
    <w:lvl w:ilvl="8">
      <w:start w:val="0"/>
      <w:numFmt w:val="bullet"/>
      <w:lvlText w:val="•"/>
      <w:lvlJc w:val="left"/>
      <w:pPr>
        <w:ind w:left="2606" w:hanging="675"/>
      </w:pPr>
      <w:rPr>
        <w:rFonts w:hint="default"/>
        <w:lang w:val="tr-TR" w:eastAsia="tr-TR" w:bidi="tr-TR"/>
      </w:rPr>
    </w:lvl>
  </w:abstractNum>
  <w:abstractNum w:abstractNumId="14">
    <w:multiLevelType w:val="hybridMultilevel"/>
    <w:lvl w:ilvl="0">
      <w:start w:val="0"/>
      <w:numFmt w:val="bullet"/>
      <w:lvlText w:val=""/>
      <w:lvlJc w:val="left"/>
      <w:pPr>
        <w:ind w:left="483" w:hanging="284"/>
      </w:pPr>
      <w:rPr>
        <w:rFonts w:hint="default" w:ascii="Symbol" w:hAnsi="Symbol" w:eastAsia="Symbol" w:cs="Symbol"/>
        <w:w w:val="99"/>
        <w:sz w:val="20"/>
        <w:szCs w:val="20"/>
        <w:lang w:val="tr-TR" w:eastAsia="tr-TR" w:bidi="tr-TR"/>
      </w:rPr>
    </w:lvl>
    <w:lvl w:ilvl="1">
      <w:start w:val="0"/>
      <w:numFmt w:val="bullet"/>
      <w:lvlText w:val="•"/>
      <w:lvlJc w:val="left"/>
      <w:pPr>
        <w:ind w:left="735" w:hanging="284"/>
      </w:pPr>
      <w:rPr>
        <w:rFonts w:hint="default"/>
        <w:lang w:val="tr-TR" w:eastAsia="tr-TR" w:bidi="tr-TR"/>
      </w:rPr>
    </w:lvl>
    <w:lvl w:ilvl="2">
      <w:start w:val="0"/>
      <w:numFmt w:val="bullet"/>
      <w:lvlText w:val="•"/>
      <w:lvlJc w:val="left"/>
      <w:pPr>
        <w:ind w:left="991" w:hanging="284"/>
      </w:pPr>
      <w:rPr>
        <w:rFonts w:hint="default"/>
        <w:lang w:val="tr-TR" w:eastAsia="tr-TR" w:bidi="tr-TR"/>
      </w:rPr>
    </w:lvl>
    <w:lvl w:ilvl="3">
      <w:start w:val="0"/>
      <w:numFmt w:val="bullet"/>
      <w:lvlText w:val="•"/>
      <w:lvlJc w:val="left"/>
      <w:pPr>
        <w:ind w:left="1247" w:hanging="284"/>
      </w:pPr>
      <w:rPr>
        <w:rFonts w:hint="default"/>
        <w:lang w:val="tr-TR" w:eastAsia="tr-TR" w:bidi="tr-TR"/>
      </w:rPr>
    </w:lvl>
    <w:lvl w:ilvl="4">
      <w:start w:val="0"/>
      <w:numFmt w:val="bullet"/>
      <w:lvlText w:val="•"/>
      <w:lvlJc w:val="left"/>
      <w:pPr>
        <w:ind w:left="1503" w:hanging="284"/>
      </w:pPr>
      <w:rPr>
        <w:rFonts w:hint="default"/>
        <w:lang w:val="tr-TR" w:eastAsia="tr-TR" w:bidi="tr-TR"/>
      </w:rPr>
    </w:lvl>
    <w:lvl w:ilvl="5">
      <w:start w:val="0"/>
      <w:numFmt w:val="bullet"/>
      <w:lvlText w:val="•"/>
      <w:lvlJc w:val="left"/>
      <w:pPr>
        <w:ind w:left="1759" w:hanging="284"/>
      </w:pPr>
      <w:rPr>
        <w:rFonts w:hint="default"/>
        <w:lang w:val="tr-TR" w:eastAsia="tr-TR" w:bidi="tr-TR"/>
      </w:rPr>
    </w:lvl>
    <w:lvl w:ilvl="6">
      <w:start w:val="0"/>
      <w:numFmt w:val="bullet"/>
      <w:lvlText w:val="•"/>
      <w:lvlJc w:val="left"/>
      <w:pPr>
        <w:ind w:left="2014" w:hanging="284"/>
      </w:pPr>
      <w:rPr>
        <w:rFonts w:hint="default"/>
        <w:lang w:val="tr-TR" w:eastAsia="tr-TR" w:bidi="tr-TR"/>
      </w:rPr>
    </w:lvl>
    <w:lvl w:ilvl="7">
      <w:start w:val="0"/>
      <w:numFmt w:val="bullet"/>
      <w:lvlText w:val="•"/>
      <w:lvlJc w:val="left"/>
      <w:pPr>
        <w:ind w:left="2270" w:hanging="284"/>
      </w:pPr>
      <w:rPr>
        <w:rFonts w:hint="default"/>
        <w:lang w:val="tr-TR" w:eastAsia="tr-TR" w:bidi="tr-TR"/>
      </w:rPr>
    </w:lvl>
    <w:lvl w:ilvl="8">
      <w:start w:val="0"/>
      <w:numFmt w:val="bullet"/>
      <w:lvlText w:val="•"/>
      <w:lvlJc w:val="left"/>
      <w:pPr>
        <w:ind w:left="2526" w:hanging="284"/>
      </w:pPr>
      <w:rPr>
        <w:rFonts w:hint="default"/>
        <w:lang w:val="tr-TR" w:eastAsia="tr-TR" w:bidi="tr-TR"/>
      </w:rPr>
    </w:lvl>
  </w:abstractNum>
  <w:abstractNum w:abstractNumId="13">
    <w:multiLevelType w:val="hybridMultilevel"/>
    <w:lvl w:ilvl="0">
      <w:start w:val="0"/>
      <w:numFmt w:val="bullet"/>
      <w:lvlText w:val=""/>
      <w:lvlJc w:val="left"/>
      <w:pPr>
        <w:ind w:left="483" w:hanging="284"/>
      </w:pPr>
      <w:rPr>
        <w:rFonts w:hint="default" w:ascii="Symbol" w:hAnsi="Symbol" w:eastAsia="Symbol" w:cs="Symbol"/>
        <w:w w:val="99"/>
        <w:sz w:val="20"/>
        <w:szCs w:val="20"/>
        <w:lang w:val="tr-TR" w:eastAsia="tr-TR" w:bidi="tr-TR"/>
      </w:rPr>
    </w:lvl>
    <w:lvl w:ilvl="1">
      <w:start w:val="0"/>
      <w:numFmt w:val="bullet"/>
      <w:lvlText w:val="•"/>
      <w:lvlJc w:val="left"/>
      <w:pPr>
        <w:ind w:left="735" w:hanging="284"/>
      </w:pPr>
      <w:rPr>
        <w:rFonts w:hint="default"/>
        <w:lang w:val="tr-TR" w:eastAsia="tr-TR" w:bidi="tr-TR"/>
      </w:rPr>
    </w:lvl>
    <w:lvl w:ilvl="2">
      <w:start w:val="0"/>
      <w:numFmt w:val="bullet"/>
      <w:lvlText w:val="•"/>
      <w:lvlJc w:val="left"/>
      <w:pPr>
        <w:ind w:left="991" w:hanging="284"/>
      </w:pPr>
      <w:rPr>
        <w:rFonts w:hint="default"/>
        <w:lang w:val="tr-TR" w:eastAsia="tr-TR" w:bidi="tr-TR"/>
      </w:rPr>
    </w:lvl>
    <w:lvl w:ilvl="3">
      <w:start w:val="0"/>
      <w:numFmt w:val="bullet"/>
      <w:lvlText w:val="•"/>
      <w:lvlJc w:val="left"/>
      <w:pPr>
        <w:ind w:left="1247" w:hanging="284"/>
      </w:pPr>
      <w:rPr>
        <w:rFonts w:hint="default"/>
        <w:lang w:val="tr-TR" w:eastAsia="tr-TR" w:bidi="tr-TR"/>
      </w:rPr>
    </w:lvl>
    <w:lvl w:ilvl="4">
      <w:start w:val="0"/>
      <w:numFmt w:val="bullet"/>
      <w:lvlText w:val="•"/>
      <w:lvlJc w:val="left"/>
      <w:pPr>
        <w:ind w:left="1503" w:hanging="284"/>
      </w:pPr>
      <w:rPr>
        <w:rFonts w:hint="default"/>
        <w:lang w:val="tr-TR" w:eastAsia="tr-TR" w:bidi="tr-TR"/>
      </w:rPr>
    </w:lvl>
    <w:lvl w:ilvl="5">
      <w:start w:val="0"/>
      <w:numFmt w:val="bullet"/>
      <w:lvlText w:val="•"/>
      <w:lvlJc w:val="left"/>
      <w:pPr>
        <w:ind w:left="1759" w:hanging="284"/>
      </w:pPr>
      <w:rPr>
        <w:rFonts w:hint="default"/>
        <w:lang w:val="tr-TR" w:eastAsia="tr-TR" w:bidi="tr-TR"/>
      </w:rPr>
    </w:lvl>
    <w:lvl w:ilvl="6">
      <w:start w:val="0"/>
      <w:numFmt w:val="bullet"/>
      <w:lvlText w:val="•"/>
      <w:lvlJc w:val="left"/>
      <w:pPr>
        <w:ind w:left="2014" w:hanging="284"/>
      </w:pPr>
      <w:rPr>
        <w:rFonts w:hint="default"/>
        <w:lang w:val="tr-TR" w:eastAsia="tr-TR" w:bidi="tr-TR"/>
      </w:rPr>
    </w:lvl>
    <w:lvl w:ilvl="7">
      <w:start w:val="0"/>
      <w:numFmt w:val="bullet"/>
      <w:lvlText w:val="•"/>
      <w:lvlJc w:val="left"/>
      <w:pPr>
        <w:ind w:left="2270" w:hanging="284"/>
      </w:pPr>
      <w:rPr>
        <w:rFonts w:hint="default"/>
        <w:lang w:val="tr-TR" w:eastAsia="tr-TR" w:bidi="tr-TR"/>
      </w:rPr>
    </w:lvl>
    <w:lvl w:ilvl="8">
      <w:start w:val="0"/>
      <w:numFmt w:val="bullet"/>
      <w:lvlText w:val="•"/>
      <w:lvlJc w:val="left"/>
      <w:pPr>
        <w:ind w:left="2526" w:hanging="284"/>
      </w:pPr>
      <w:rPr>
        <w:rFonts w:hint="default"/>
        <w:lang w:val="tr-TR" w:eastAsia="tr-TR" w:bidi="tr-TR"/>
      </w:rPr>
    </w:lvl>
  </w:abstractNum>
  <w:abstractNum w:abstractNumId="12">
    <w:multiLevelType w:val="hybridMultilevel"/>
    <w:lvl w:ilvl="0">
      <w:start w:val="0"/>
      <w:numFmt w:val="bullet"/>
      <w:lvlText w:val=""/>
      <w:lvlJc w:val="left"/>
      <w:pPr>
        <w:ind w:left="483" w:hanging="284"/>
      </w:pPr>
      <w:rPr>
        <w:rFonts w:hint="default" w:ascii="Symbol" w:hAnsi="Symbol" w:eastAsia="Symbol" w:cs="Symbol"/>
        <w:w w:val="99"/>
        <w:sz w:val="20"/>
        <w:szCs w:val="20"/>
        <w:lang w:val="tr-TR" w:eastAsia="tr-TR" w:bidi="tr-TR"/>
      </w:rPr>
    </w:lvl>
    <w:lvl w:ilvl="1">
      <w:start w:val="0"/>
      <w:numFmt w:val="bullet"/>
      <w:lvlText w:val="•"/>
      <w:lvlJc w:val="left"/>
      <w:pPr>
        <w:ind w:left="735" w:hanging="284"/>
      </w:pPr>
      <w:rPr>
        <w:rFonts w:hint="default"/>
        <w:lang w:val="tr-TR" w:eastAsia="tr-TR" w:bidi="tr-TR"/>
      </w:rPr>
    </w:lvl>
    <w:lvl w:ilvl="2">
      <w:start w:val="0"/>
      <w:numFmt w:val="bullet"/>
      <w:lvlText w:val="•"/>
      <w:lvlJc w:val="left"/>
      <w:pPr>
        <w:ind w:left="991" w:hanging="284"/>
      </w:pPr>
      <w:rPr>
        <w:rFonts w:hint="default"/>
        <w:lang w:val="tr-TR" w:eastAsia="tr-TR" w:bidi="tr-TR"/>
      </w:rPr>
    </w:lvl>
    <w:lvl w:ilvl="3">
      <w:start w:val="0"/>
      <w:numFmt w:val="bullet"/>
      <w:lvlText w:val="•"/>
      <w:lvlJc w:val="left"/>
      <w:pPr>
        <w:ind w:left="1247" w:hanging="284"/>
      </w:pPr>
      <w:rPr>
        <w:rFonts w:hint="default"/>
        <w:lang w:val="tr-TR" w:eastAsia="tr-TR" w:bidi="tr-TR"/>
      </w:rPr>
    </w:lvl>
    <w:lvl w:ilvl="4">
      <w:start w:val="0"/>
      <w:numFmt w:val="bullet"/>
      <w:lvlText w:val="•"/>
      <w:lvlJc w:val="left"/>
      <w:pPr>
        <w:ind w:left="1503" w:hanging="284"/>
      </w:pPr>
      <w:rPr>
        <w:rFonts w:hint="default"/>
        <w:lang w:val="tr-TR" w:eastAsia="tr-TR" w:bidi="tr-TR"/>
      </w:rPr>
    </w:lvl>
    <w:lvl w:ilvl="5">
      <w:start w:val="0"/>
      <w:numFmt w:val="bullet"/>
      <w:lvlText w:val="•"/>
      <w:lvlJc w:val="left"/>
      <w:pPr>
        <w:ind w:left="1759" w:hanging="284"/>
      </w:pPr>
      <w:rPr>
        <w:rFonts w:hint="default"/>
        <w:lang w:val="tr-TR" w:eastAsia="tr-TR" w:bidi="tr-TR"/>
      </w:rPr>
    </w:lvl>
    <w:lvl w:ilvl="6">
      <w:start w:val="0"/>
      <w:numFmt w:val="bullet"/>
      <w:lvlText w:val="•"/>
      <w:lvlJc w:val="left"/>
      <w:pPr>
        <w:ind w:left="2014" w:hanging="284"/>
      </w:pPr>
      <w:rPr>
        <w:rFonts w:hint="default"/>
        <w:lang w:val="tr-TR" w:eastAsia="tr-TR" w:bidi="tr-TR"/>
      </w:rPr>
    </w:lvl>
    <w:lvl w:ilvl="7">
      <w:start w:val="0"/>
      <w:numFmt w:val="bullet"/>
      <w:lvlText w:val="•"/>
      <w:lvlJc w:val="left"/>
      <w:pPr>
        <w:ind w:left="2270" w:hanging="284"/>
      </w:pPr>
      <w:rPr>
        <w:rFonts w:hint="default"/>
        <w:lang w:val="tr-TR" w:eastAsia="tr-TR" w:bidi="tr-TR"/>
      </w:rPr>
    </w:lvl>
    <w:lvl w:ilvl="8">
      <w:start w:val="0"/>
      <w:numFmt w:val="bullet"/>
      <w:lvlText w:val="•"/>
      <w:lvlJc w:val="left"/>
      <w:pPr>
        <w:ind w:left="2526" w:hanging="284"/>
      </w:pPr>
      <w:rPr>
        <w:rFonts w:hint="default"/>
        <w:lang w:val="tr-TR" w:eastAsia="tr-TR" w:bidi="tr-TR"/>
      </w:rPr>
    </w:lvl>
  </w:abstractNum>
  <w:abstractNum w:abstractNumId="11">
    <w:multiLevelType w:val="hybridMultilevel"/>
    <w:lvl w:ilvl="0">
      <w:start w:val="1"/>
      <w:numFmt w:val="decimal"/>
      <w:lvlText w:val="%1."/>
      <w:lvlJc w:val="left"/>
      <w:pPr>
        <w:ind w:left="2062" w:hanging="248"/>
        <w:jc w:val="right"/>
      </w:pPr>
      <w:rPr>
        <w:rFonts w:hint="default"/>
        <w:spacing w:val="-1"/>
        <w:w w:val="100"/>
        <w:lang w:val="tr-TR" w:eastAsia="tr-TR" w:bidi="tr-TR"/>
      </w:rPr>
    </w:lvl>
    <w:lvl w:ilvl="1">
      <w:start w:val="0"/>
      <w:numFmt w:val="bullet"/>
      <w:lvlText w:val="•"/>
      <w:lvlJc w:val="left"/>
      <w:pPr>
        <w:ind w:left="2896" w:hanging="248"/>
      </w:pPr>
      <w:rPr>
        <w:rFonts w:hint="default"/>
        <w:lang w:val="tr-TR" w:eastAsia="tr-TR" w:bidi="tr-TR"/>
      </w:rPr>
    </w:lvl>
    <w:lvl w:ilvl="2">
      <w:start w:val="0"/>
      <w:numFmt w:val="bullet"/>
      <w:lvlText w:val="•"/>
      <w:lvlJc w:val="left"/>
      <w:pPr>
        <w:ind w:left="3733" w:hanging="248"/>
      </w:pPr>
      <w:rPr>
        <w:rFonts w:hint="default"/>
        <w:lang w:val="tr-TR" w:eastAsia="tr-TR" w:bidi="tr-TR"/>
      </w:rPr>
    </w:lvl>
    <w:lvl w:ilvl="3">
      <w:start w:val="0"/>
      <w:numFmt w:val="bullet"/>
      <w:lvlText w:val="•"/>
      <w:lvlJc w:val="left"/>
      <w:pPr>
        <w:ind w:left="4569" w:hanging="248"/>
      </w:pPr>
      <w:rPr>
        <w:rFonts w:hint="default"/>
        <w:lang w:val="tr-TR" w:eastAsia="tr-TR" w:bidi="tr-TR"/>
      </w:rPr>
    </w:lvl>
    <w:lvl w:ilvl="4">
      <w:start w:val="0"/>
      <w:numFmt w:val="bullet"/>
      <w:lvlText w:val="•"/>
      <w:lvlJc w:val="left"/>
      <w:pPr>
        <w:ind w:left="5406" w:hanging="248"/>
      </w:pPr>
      <w:rPr>
        <w:rFonts w:hint="default"/>
        <w:lang w:val="tr-TR" w:eastAsia="tr-TR" w:bidi="tr-TR"/>
      </w:rPr>
    </w:lvl>
    <w:lvl w:ilvl="5">
      <w:start w:val="0"/>
      <w:numFmt w:val="bullet"/>
      <w:lvlText w:val="•"/>
      <w:lvlJc w:val="left"/>
      <w:pPr>
        <w:ind w:left="6243" w:hanging="248"/>
      </w:pPr>
      <w:rPr>
        <w:rFonts w:hint="default"/>
        <w:lang w:val="tr-TR" w:eastAsia="tr-TR" w:bidi="tr-TR"/>
      </w:rPr>
    </w:lvl>
    <w:lvl w:ilvl="6">
      <w:start w:val="0"/>
      <w:numFmt w:val="bullet"/>
      <w:lvlText w:val="•"/>
      <w:lvlJc w:val="left"/>
      <w:pPr>
        <w:ind w:left="7079" w:hanging="248"/>
      </w:pPr>
      <w:rPr>
        <w:rFonts w:hint="default"/>
        <w:lang w:val="tr-TR" w:eastAsia="tr-TR" w:bidi="tr-TR"/>
      </w:rPr>
    </w:lvl>
    <w:lvl w:ilvl="7">
      <w:start w:val="0"/>
      <w:numFmt w:val="bullet"/>
      <w:lvlText w:val="•"/>
      <w:lvlJc w:val="left"/>
      <w:pPr>
        <w:ind w:left="7916" w:hanging="248"/>
      </w:pPr>
      <w:rPr>
        <w:rFonts w:hint="default"/>
        <w:lang w:val="tr-TR" w:eastAsia="tr-TR" w:bidi="tr-TR"/>
      </w:rPr>
    </w:lvl>
    <w:lvl w:ilvl="8">
      <w:start w:val="0"/>
      <w:numFmt w:val="bullet"/>
      <w:lvlText w:val="•"/>
      <w:lvlJc w:val="left"/>
      <w:pPr>
        <w:ind w:left="8753" w:hanging="248"/>
      </w:pPr>
      <w:rPr>
        <w:rFonts w:hint="default"/>
        <w:lang w:val="tr-TR" w:eastAsia="tr-TR" w:bidi="tr-TR"/>
      </w:rPr>
    </w:lvl>
  </w:abstractNum>
  <w:abstractNum w:abstractNumId="10">
    <w:multiLevelType w:val="hybridMultilevel"/>
    <w:lvl w:ilvl="0">
      <w:start w:val="3"/>
      <w:numFmt w:val="decimal"/>
      <w:lvlText w:val="%1."/>
      <w:lvlJc w:val="left"/>
      <w:pPr>
        <w:ind w:left="1493" w:hanging="245"/>
        <w:jc w:val="left"/>
      </w:pPr>
      <w:rPr>
        <w:rFonts w:hint="default" w:ascii="Arial" w:hAnsi="Arial" w:eastAsia="Arial" w:cs="Arial"/>
        <w:b/>
        <w:bCs/>
        <w:spacing w:val="-1"/>
        <w:w w:val="100"/>
        <w:sz w:val="22"/>
        <w:szCs w:val="22"/>
        <w:lang w:val="tr-TR" w:eastAsia="tr-TR" w:bidi="tr-TR"/>
      </w:rPr>
    </w:lvl>
    <w:lvl w:ilvl="1">
      <w:start w:val="1"/>
      <w:numFmt w:val="decimal"/>
      <w:lvlText w:val="%1.%2"/>
      <w:lvlJc w:val="left"/>
      <w:pPr>
        <w:ind w:left="1617" w:hanging="370"/>
        <w:jc w:val="left"/>
      </w:pPr>
      <w:rPr>
        <w:rFonts w:hint="default" w:ascii="Arial" w:hAnsi="Arial" w:eastAsia="Arial" w:cs="Arial"/>
        <w:b/>
        <w:bCs/>
        <w:spacing w:val="-1"/>
        <w:w w:val="100"/>
        <w:sz w:val="22"/>
        <w:szCs w:val="22"/>
        <w:lang w:val="tr-TR" w:eastAsia="tr-TR" w:bidi="tr-TR"/>
      </w:rPr>
    </w:lvl>
    <w:lvl w:ilvl="2">
      <w:start w:val="1"/>
      <w:numFmt w:val="decimal"/>
      <w:lvlText w:val="%1.%2.%3"/>
      <w:lvlJc w:val="left"/>
      <w:pPr>
        <w:ind w:left="1800" w:hanging="552"/>
        <w:jc w:val="left"/>
      </w:pPr>
      <w:rPr>
        <w:rFonts w:hint="default" w:ascii="Arial" w:hAnsi="Arial" w:eastAsia="Arial" w:cs="Arial"/>
        <w:b/>
        <w:bCs/>
        <w:spacing w:val="-1"/>
        <w:w w:val="100"/>
        <w:sz w:val="22"/>
        <w:szCs w:val="22"/>
        <w:lang w:val="tr-TR" w:eastAsia="tr-TR" w:bidi="tr-TR"/>
      </w:rPr>
    </w:lvl>
    <w:lvl w:ilvl="3">
      <w:start w:val="0"/>
      <w:numFmt w:val="bullet"/>
      <w:lvlText w:val="•"/>
      <w:lvlJc w:val="left"/>
      <w:pPr>
        <w:ind w:left="2878" w:hanging="552"/>
      </w:pPr>
      <w:rPr>
        <w:rFonts w:hint="default"/>
        <w:lang w:val="tr-TR" w:eastAsia="tr-TR" w:bidi="tr-TR"/>
      </w:rPr>
    </w:lvl>
    <w:lvl w:ilvl="4">
      <w:start w:val="0"/>
      <w:numFmt w:val="bullet"/>
      <w:lvlText w:val="•"/>
      <w:lvlJc w:val="left"/>
      <w:pPr>
        <w:ind w:left="3956" w:hanging="552"/>
      </w:pPr>
      <w:rPr>
        <w:rFonts w:hint="default"/>
        <w:lang w:val="tr-TR" w:eastAsia="tr-TR" w:bidi="tr-TR"/>
      </w:rPr>
    </w:lvl>
    <w:lvl w:ilvl="5">
      <w:start w:val="0"/>
      <w:numFmt w:val="bullet"/>
      <w:lvlText w:val="•"/>
      <w:lvlJc w:val="left"/>
      <w:pPr>
        <w:ind w:left="5034" w:hanging="552"/>
      </w:pPr>
      <w:rPr>
        <w:rFonts w:hint="default"/>
        <w:lang w:val="tr-TR" w:eastAsia="tr-TR" w:bidi="tr-TR"/>
      </w:rPr>
    </w:lvl>
    <w:lvl w:ilvl="6">
      <w:start w:val="0"/>
      <w:numFmt w:val="bullet"/>
      <w:lvlText w:val="•"/>
      <w:lvlJc w:val="left"/>
      <w:pPr>
        <w:ind w:left="6113" w:hanging="552"/>
      </w:pPr>
      <w:rPr>
        <w:rFonts w:hint="default"/>
        <w:lang w:val="tr-TR" w:eastAsia="tr-TR" w:bidi="tr-TR"/>
      </w:rPr>
    </w:lvl>
    <w:lvl w:ilvl="7">
      <w:start w:val="0"/>
      <w:numFmt w:val="bullet"/>
      <w:lvlText w:val="•"/>
      <w:lvlJc w:val="left"/>
      <w:pPr>
        <w:ind w:left="7191" w:hanging="552"/>
      </w:pPr>
      <w:rPr>
        <w:rFonts w:hint="default"/>
        <w:lang w:val="tr-TR" w:eastAsia="tr-TR" w:bidi="tr-TR"/>
      </w:rPr>
    </w:lvl>
    <w:lvl w:ilvl="8">
      <w:start w:val="0"/>
      <w:numFmt w:val="bullet"/>
      <w:lvlText w:val="•"/>
      <w:lvlJc w:val="left"/>
      <w:pPr>
        <w:ind w:left="8269" w:hanging="552"/>
      </w:pPr>
      <w:rPr>
        <w:rFonts w:hint="default"/>
        <w:lang w:val="tr-TR" w:eastAsia="tr-TR" w:bidi="tr-TR"/>
      </w:rPr>
    </w:lvl>
  </w:abstractNum>
  <w:abstractNum w:abstractNumId="9">
    <w:multiLevelType w:val="hybridMultilevel"/>
    <w:lvl w:ilvl="0">
      <w:start w:val="1"/>
      <w:numFmt w:val="decimal"/>
      <w:lvlText w:val="%1."/>
      <w:lvlJc w:val="left"/>
      <w:pPr>
        <w:ind w:left="1248" w:hanging="351"/>
        <w:jc w:val="left"/>
      </w:pPr>
      <w:rPr>
        <w:rFonts w:hint="default" w:ascii="Arial" w:hAnsi="Arial" w:eastAsia="Arial" w:cs="Arial"/>
        <w:i/>
        <w:spacing w:val="-1"/>
        <w:w w:val="100"/>
        <w:sz w:val="22"/>
        <w:szCs w:val="22"/>
        <w:lang w:val="tr-TR" w:eastAsia="tr-TR" w:bidi="tr-TR"/>
      </w:rPr>
    </w:lvl>
    <w:lvl w:ilvl="1">
      <w:start w:val="0"/>
      <w:numFmt w:val="bullet"/>
      <w:lvlText w:val="•"/>
      <w:lvlJc w:val="left"/>
      <w:pPr>
        <w:ind w:left="2158" w:hanging="351"/>
      </w:pPr>
      <w:rPr>
        <w:rFonts w:hint="default"/>
        <w:lang w:val="tr-TR" w:eastAsia="tr-TR" w:bidi="tr-TR"/>
      </w:rPr>
    </w:lvl>
    <w:lvl w:ilvl="2">
      <w:start w:val="0"/>
      <w:numFmt w:val="bullet"/>
      <w:lvlText w:val="•"/>
      <w:lvlJc w:val="left"/>
      <w:pPr>
        <w:ind w:left="3077" w:hanging="351"/>
      </w:pPr>
      <w:rPr>
        <w:rFonts w:hint="default"/>
        <w:lang w:val="tr-TR" w:eastAsia="tr-TR" w:bidi="tr-TR"/>
      </w:rPr>
    </w:lvl>
    <w:lvl w:ilvl="3">
      <w:start w:val="0"/>
      <w:numFmt w:val="bullet"/>
      <w:lvlText w:val="•"/>
      <w:lvlJc w:val="left"/>
      <w:pPr>
        <w:ind w:left="3995" w:hanging="351"/>
      </w:pPr>
      <w:rPr>
        <w:rFonts w:hint="default"/>
        <w:lang w:val="tr-TR" w:eastAsia="tr-TR" w:bidi="tr-TR"/>
      </w:rPr>
    </w:lvl>
    <w:lvl w:ilvl="4">
      <w:start w:val="0"/>
      <w:numFmt w:val="bullet"/>
      <w:lvlText w:val="•"/>
      <w:lvlJc w:val="left"/>
      <w:pPr>
        <w:ind w:left="4914" w:hanging="351"/>
      </w:pPr>
      <w:rPr>
        <w:rFonts w:hint="default"/>
        <w:lang w:val="tr-TR" w:eastAsia="tr-TR" w:bidi="tr-TR"/>
      </w:rPr>
    </w:lvl>
    <w:lvl w:ilvl="5">
      <w:start w:val="0"/>
      <w:numFmt w:val="bullet"/>
      <w:lvlText w:val="•"/>
      <w:lvlJc w:val="left"/>
      <w:pPr>
        <w:ind w:left="5833" w:hanging="351"/>
      </w:pPr>
      <w:rPr>
        <w:rFonts w:hint="default"/>
        <w:lang w:val="tr-TR" w:eastAsia="tr-TR" w:bidi="tr-TR"/>
      </w:rPr>
    </w:lvl>
    <w:lvl w:ilvl="6">
      <w:start w:val="0"/>
      <w:numFmt w:val="bullet"/>
      <w:lvlText w:val="•"/>
      <w:lvlJc w:val="left"/>
      <w:pPr>
        <w:ind w:left="6751" w:hanging="351"/>
      </w:pPr>
      <w:rPr>
        <w:rFonts w:hint="default"/>
        <w:lang w:val="tr-TR" w:eastAsia="tr-TR" w:bidi="tr-TR"/>
      </w:rPr>
    </w:lvl>
    <w:lvl w:ilvl="7">
      <w:start w:val="0"/>
      <w:numFmt w:val="bullet"/>
      <w:lvlText w:val="•"/>
      <w:lvlJc w:val="left"/>
      <w:pPr>
        <w:ind w:left="7670" w:hanging="351"/>
      </w:pPr>
      <w:rPr>
        <w:rFonts w:hint="default"/>
        <w:lang w:val="tr-TR" w:eastAsia="tr-TR" w:bidi="tr-TR"/>
      </w:rPr>
    </w:lvl>
    <w:lvl w:ilvl="8">
      <w:start w:val="0"/>
      <w:numFmt w:val="bullet"/>
      <w:lvlText w:val="•"/>
      <w:lvlJc w:val="left"/>
      <w:pPr>
        <w:ind w:left="8589" w:hanging="351"/>
      </w:pPr>
      <w:rPr>
        <w:rFonts w:hint="default"/>
        <w:lang w:val="tr-TR" w:eastAsia="tr-TR" w:bidi="tr-TR"/>
      </w:rPr>
    </w:lvl>
  </w:abstractNum>
  <w:abstractNum w:abstractNumId="8">
    <w:multiLevelType w:val="hybridMultilevel"/>
    <w:lvl w:ilvl="0">
      <w:start w:val="0"/>
      <w:numFmt w:val="bullet"/>
      <w:lvlText w:val="-"/>
      <w:lvlJc w:val="left"/>
      <w:pPr>
        <w:ind w:left="1531" w:hanging="284"/>
      </w:pPr>
      <w:rPr>
        <w:rFonts w:hint="default"/>
        <w:w w:val="99"/>
        <w:lang w:val="tr-TR" w:eastAsia="tr-TR" w:bidi="tr-TR"/>
      </w:rPr>
    </w:lvl>
    <w:lvl w:ilvl="1">
      <w:start w:val="0"/>
      <w:numFmt w:val="bullet"/>
      <w:lvlText w:val="•"/>
      <w:lvlJc w:val="left"/>
      <w:pPr>
        <w:ind w:left="2428" w:hanging="284"/>
      </w:pPr>
      <w:rPr>
        <w:rFonts w:hint="default"/>
        <w:lang w:val="tr-TR" w:eastAsia="tr-TR" w:bidi="tr-TR"/>
      </w:rPr>
    </w:lvl>
    <w:lvl w:ilvl="2">
      <w:start w:val="0"/>
      <w:numFmt w:val="bullet"/>
      <w:lvlText w:val="•"/>
      <w:lvlJc w:val="left"/>
      <w:pPr>
        <w:ind w:left="3317" w:hanging="284"/>
      </w:pPr>
      <w:rPr>
        <w:rFonts w:hint="default"/>
        <w:lang w:val="tr-TR" w:eastAsia="tr-TR" w:bidi="tr-TR"/>
      </w:rPr>
    </w:lvl>
    <w:lvl w:ilvl="3">
      <w:start w:val="0"/>
      <w:numFmt w:val="bullet"/>
      <w:lvlText w:val="•"/>
      <w:lvlJc w:val="left"/>
      <w:pPr>
        <w:ind w:left="4205" w:hanging="284"/>
      </w:pPr>
      <w:rPr>
        <w:rFonts w:hint="default"/>
        <w:lang w:val="tr-TR" w:eastAsia="tr-TR" w:bidi="tr-TR"/>
      </w:rPr>
    </w:lvl>
    <w:lvl w:ilvl="4">
      <w:start w:val="0"/>
      <w:numFmt w:val="bullet"/>
      <w:lvlText w:val="•"/>
      <w:lvlJc w:val="left"/>
      <w:pPr>
        <w:ind w:left="5094" w:hanging="284"/>
      </w:pPr>
      <w:rPr>
        <w:rFonts w:hint="default"/>
        <w:lang w:val="tr-TR" w:eastAsia="tr-TR" w:bidi="tr-TR"/>
      </w:rPr>
    </w:lvl>
    <w:lvl w:ilvl="5">
      <w:start w:val="0"/>
      <w:numFmt w:val="bullet"/>
      <w:lvlText w:val="•"/>
      <w:lvlJc w:val="left"/>
      <w:pPr>
        <w:ind w:left="5983" w:hanging="284"/>
      </w:pPr>
      <w:rPr>
        <w:rFonts w:hint="default"/>
        <w:lang w:val="tr-TR" w:eastAsia="tr-TR" w:bidi="tr-TR"/>
      </w:rPr>
    </w:lvl>
    <w:lvl w:ilvl="6">
      <w:start w:val="0"/>
      <w:numFmt w:val="bullet"/>
      <w:lvlText w:val="•"/>
      <w:lvlJc w:val="left"/>
      <w:pPr>
        <w:ind w:left="6871" w:hanging="284"/>
      </w:pPr>
      <w:rPr>
        <w:rFonts w:hint="default"/>
        <w:lang w:val="tr-TR" w:eastAsia="tr-TR" w:bidi="tr-TR"/>
      </w:rPr>
    </w:lvl>
    <w:lvl w:ilvl="7">
      <w:start w:val="0"/>
      <w:numFmt w:val="bullet"/>
      <w:lvlText w:val="•"/>
      <w:lvlJc w:val="left"/>
      <w:pPr>
        <w:ind w:left="7760" w:hanging="284"/>
      </w:pPr>
      <w:rPr>
        <w:rFonts w:hint="default"/>
        <w:lang w:val="tr-TR" w:eastAsia="tr-TR" w:bidi="tr-TR"/>
      </w:rPr>
    </w:lvl>
    <w:lvl w:ilvl="8">
      <w:start w:val="0"/>
      <w:numFmt w:val="bullet"/>
      <w:lvlText w:val="•"/>
      <w:lvlJc w:val="left"/>
      <w:pPr>
        <w:ind w:left="8649" w:hanging="284"/>
      </w:pPr>
      <w:rPr>
        <w:rFonts w:hint="default"/>
        <w:lang w:val="tr-TR" w:eastAsia="tr-TR" w:bidi="tr-TR"/>
      </w:rPr>
    </w:lvl>
  </w:abstractNum>
  <w:abstractNum w:abstractNumId="7">
    <w:multiLevelType w:val="hybridMultilevel"/>
    <w:lvl w:ilvl="0">
      <w:start w:val="4"/>
      <w:numFmt w:val="decimal"/>
      <w:lvlText w:val="%1-"/>
      <w:lvlJc w:val="left"/>
      <w:pPr>
        <w:ind w:left="304" w:hanging="197"/>
        <w:jc w:val="left"/>
      </w:pPr>
      <w:rPr>
        <w:rFonts w:hint="default" w:ascii="Arial" w:hAnsi="Arial" w:eastAsia="Arial" w:cs="Arial"/>
        <w:spacing w:val="-1"/>
        <w:w w:val="100"/>
        <w:sz w:val="20"/>
        <w:szCs w:val="20"/>
        <w:lang w:val="tr-TR" w:eastAsia="tr-TR" w:bidi="tr-TR"/>
      </w:rPr>
    </w:lvl>
    <w:lvl w:ilvl="1">
      <w:start w:val="0"/>
      <w:numFmt w:val="bullet"/>
      <w:lvlText w:val="•"/>
      <w:lvlJc w:val="left"/>
      <w:pPr>
        <w:ind w:left="588" w:hanging="197"/>
      </w:pPr>
      <w:rPr>
        <w:rFonts w:hint="default"/>
        <w:lang w:val="tr-TR" w:eastAsia="tr-TR" w:bidi="tr-TR"/>
      </w:rPr>
    </w:lvl>
    <w:lvl w:ilvl="2">
      <w:start w:val="0"/>
      <w:numFmt w:val="bullet"/>
      <w:lvlText w:val="•"/>
      <w:lvlJc w:val="left"/>
      <w:pPr>
        <w:ind w:left="877" w:hanging="197"/>
      </w:pPr>
      <w:rPr>
        <w:rFonts w:hint="default"/>
        <w:lang w:val="tr-TR" w:eastAsia="tr-TR" w:bidi="tr-TR"/>
      </w:rPr>
    </w:lvl>
    <w:lvl w:ilvl="3">
      <w:start w:val="0"/>
      <w:numFmt w:val="bullet"/>
      <w:lvlText w:val="•"/>
      <w:lvlJc w:val="left"/>
      <w:pPr>
        <w:ind w:left="1166" w:hanging="197"/>
      </w:pPr>
      <w:rPr>
        <w:rFonts w:hint="default"/>
        <w:lang w:val="tr-TR" w:eastAsia="tr-TR" w:bidi="tr-TR"/>
      </w:rPr>
    </w:lvl>
    <w:lvl w:ilvl="4">
      <w:start w:val="0"/>
      <w:numFmt w:val="bullet"/>
      <w:lvlText w:val="•"/>
      <w:lvlJc w:val="left"/>
      <w:pPr>
        <w:ind w:left="1454" w:hanging="197"/>
      </w:pPr>
      <w:rPr>
        <w:rFonts w:hint="default"/>
        <w:lang w:val="tr-TR" w:eastAsia="tr-TR" w:bidi="tr-TR"/>
      </w:rPr>
    </w:lvl>
    <w:lvl w:ilvl="5">
      <w:start w:val="0"/>
      <w:numFmt w:val="bullet"/>
      <w:lvlText w:val="•"/>
      <w:lvlJc w:val="left"/>
      <w:pPr>
        <w:ind w:left="1743" w:hanging="197"/>
      </w:pPr>
      <w:rPr>
        <w:rFonts w:hint="default"/>
        <w:lang w:val="tr-TR" w:eastAsia="tr-TR" w:bidi="tr-TR"/>
      </w:rPr>
    </w:lvl>
    <w:lvl w:ilvl="6">
      <w:start w:val="0"/>
      <w:numFmt w:val="bullet"/>
      <w:lvlText w:val="•"/>
      <w:lvlJc w:val="left"/>
      <w:pPr>
        <w:ind w:left="2032" w:hanging="197"/>
      </w:pPr>
      <w:rPr>
        <w:rFonts w:hint="default"/>
        <w:lang w:val="tr-TR" w:eastAsia="tr-TR" w:bidi="tr-TR"/>
      </w:rPr>
    </w:lvl>
    <w:lvl w:ilvl="7">
      <w:start w:val="0"/>
      <w:numFmt w:val="bullet"/>
      <w:lvlText w:val="•"/>
      <w:lvlJc w:val="left"/>
      <w:pPr>
        <w:ind w:left="2320" w:hanging="197"/>
      </w:pPr>
      <w:rPr>
        <w:rFonts w:hint="default"/>
        <w:lang w:val="tr-TR" w:eastAsia="tr-TR" w:bidi="tr-TR"/>
      </w:rPr>
    </w:lvl>
    <w:lvl w:ilvl="8">
      <w:start w:val="0"/>
      <w:numFmt w:val="bullet"/>
      <w:lvlText w:val="•"/>
      <w:lvlJc w:val="left"/>
      <w:pPr>
        <w:ind w:left="2609" w:hanging="197"/>
      </w:pPr>
      <w:rPr>
        <w:rFonts w:hint="default"/>
        <w:lang w:val="tr-TR" w:eastAsia="tr-TR" w:bidi="tr-TR"/>
      </w:rPr>
    </w:lvl>
  </w:abstractNum>
  <w:abstractNum w:abstractNumId="6">
    <w:multiLevelType w:val="hybridMultilevel"/>
    <w:lvl w:ilvl="0">
      <w:start w:val="1"/>
      <w:numFmt w:val="decimal"/>
      <w:lvlText w:val="%1-"/>
      <w:lvlJc w:val="left"/>
      <w:pPr>
        <w:ind w:left="304" w:hanging="197"/>
        <w:jc w:val="left"/>
      </w:pPr>
      <w:rPr>
        <w:rFonts w:hint="default" w:ascii="Arial" w:hAnsi="Arial" w:eastAsia="Arial" w:cs="Arial"/>
        <w:spacing w:val="-1"/>
        <w:w w:val="100"/>
        <w:sz w:val="20"/>
        <w:szCs w:val="20"/>
        <w:lang w:val="tr-TR" w:eastAsia="tr-TR" w:bidi="tr-TR"/>
      </w:rPr>
    </w:lvl>
    <w:lvl w:ilvl="1">
      <w:start w:val="0"/>
      <w:numFmt w:val="bullet"/>
      <w:lvlText w:val="•"/>
      <w:lvlJc w:val="left"/>
      <w:pPr>
        <w:ind w:left="588" w:hanging="197"/>
      </w:pPr>
      <w:rPr>
        <w:rFonts w:hint="default"/>
        <w:lang w:val="tr-TR" w:eastAsia="tr-TR" w:bidi="tr-TR"/>
      </w:rPr>
    </w:lvl>
    <w:lvl w:ilvl="2">
      <w:start w:val="0"/>
      <w:numFmt w:val="bullet"/>
      <w:lvlText w:val="•"/>
      <w:lvlJc w:val="left"/>
      <w:pPr>
        <w:ind w:left="877" w:hanging="197"/>
      </w:pPr>
      <w:rPr>
        <w:rFonts w:hint="default"/>
        <w:lang w:val="tr-TR" w:eastAsia="tr-TR" w:bidi="tr-TR"/>
      </w:rPr>
    </w:lvl>
    <w:lvl w:ilvl="3">
      <w:start w:val="0"/>
      <w:numFmt w:val="bullet"/>
      <w:lvlText w:val="•"/>
      <w:lvlJc w:val="left"/>
      <w:pPr>
        <w:ind w:left="1166" w:hanging="197"/>
      </w:pPr>
      <w:rPr>
        <w:rFonts w:hint="default"/>
        <w:lang w:val="tr-TR" w:eastAsia="tr-TR" w:bidi="tr-TR"/>
      </w:rPr>
    </w:lvl>
    <w:lvl w:ilvl="4">
      <w:start w:val="0"/>
      <w:numFmt w:val="bullet"/>
      <w:lvlText w:val="•"/>
      <w:lvlJc w:val="left"/>
      <w:pPr>
        <w:ind w:left="1454" w:hanging="197"/>
      </w:pPr>
      <w:rPr>
        <w:rFonts w:hint="default"/>
        <w:lang w:val="tr-TR" w:eastAsia="tr-TR" w:bidi="tr-TR"/>
      </w:rPr>
    </w:lvl>
    <w:lvl w:ilvl="5">
      <w:start w:val="0"/>
      <w:numFmt w:val="bullet"/>
      <w:lvlText w:val="•"/>
      <w:lvlJc w:val="left"/>
      <w:pPr>
        <w:ind w:left="1743" w:hanging="197"/>
      </w:pPr>
      <w:rPr>
        <w:rFonts w:hint="default"/>
        <w:lang w:val="tr-TR" w:eastAsia="tr-TR" w:bidi="tr-TR"/>
      </w:rPr>
    </w:lvl>
    <w:lvl w:ilvl="6">
      <w:start w:val="0"/>
      <w:numFmt w:val="bullet"/>
      <w:lvlText w:val="•"/>
      <w:lvlJc w:val="left"/>
      <w:pPr>
        <w:ind w:left="2032" w:hanging="197"/>
      </w:pPr>
      <w:rPr>
        <w:rFonts w:hint="default"/>
        <w:lang w:val="tr-TR" w:eastAsia="tr-TR" w:bidi="tr-TR"/>
      </w:rPr>
    </w:lvl>
    <w:lvl w:ilvl="7">
      <w:start w:val="0"/>
      <w:numFmt w:val="bullet"/>
      <w:lvlText w:val="•"/>
      <w:lvlJc w:val="left"/>
      <w:pPr>
        <w:ind w:left="2320" w:hanging="197"/>
      </w:pPr>
      <w:rPr>
        <w:rFonts w:hint="default"/>
        <w:lang w:val="tr-TR" w:eastAsia="tr-TR" w:bidi="tr-TR"/>
      </w:rPr>
    </w:lvl>
    <w:lvl w:ilvl="8">
      <w:start w:val="0"/>
      <w:numFmt w:val="bullet"/>
      <w:lvlText w:val="•"/>
      <w:lvlJc w:val="left"/>
      <w:pPr>
        <w:ind w:left="2609" w:hanging="197"/>
      </w:pPr>
      <w:rPr>
        <w:rFonts w:hint="default"/>
        <w:lang w:val="tr-TR" w:eastAsia="tr-TR" w:bidi="tr-TR"/>
      </w:rPr>
    </w:lvl>
  </w:abstractNum>
  <w:abstractNum w:abstractNumId="5">
    <w:multiLevelType w:val="hybridMultilevel"/>
    <w:lvl w:ilvl="0">
      <w:start w:val="1"/>
      <w:numFmt w:val="decimal"/>
      <w:lvlText w:val="%1-"/>
      <w:lvlJc w:val="left"/>
      <w:pPr>
        <w:ind w:left="304" w:hanging="197"/>
        <w:jc w:val="left"/>
      </w:pPr>
      <w:rPr>
        <w:rFonts w:hint="default" w:ascii="Arial" w:hAnsi="Arial" w:eastAsia="Arial" w:cs="Arial"/>
        <w:spacing w:val="-1"/>
        <w:w w:val="100"/>
        <w:sz w:val="20"/>
        <w:szCs w:val="20"/>
        <w:lang w:val="tr-TR" w:eastAsia="tr-TR" w:bidi="tr-TR"/>
      </w:rPr>
    </w:lvl>
    <w:lvl w:ilvl="1">
      <w:start w:val="0"/>
      <w:numFmt w:val="bullet"/>
      <w:lvlText w:val="•"/>
      <w:lvlJc w:val="left"/>
      <w:pPr>
        <w:ind w:left="588" w:hanging="197"/>
      </w:pPr>
      <w:rPr>
        <w:rFonts w:hint="default"/>
        <w:lang w:val="tr-TR" w:eastAsia="tr-TR" w:bidi="tr-TR"/>
      </w:rPr>
    </w:lvl>
    <w:lvl w:ilvl="2">
      <w:start w:val="0"/>
      <w:numFmt w:val="bullet"/>
      <w:lvlText w:val="•"/>
      <w:lvlJc w:val="left"/>
      <w:pPr>
        <w:ind w:left="877" w:hanging="197"/>
      </w:pPr>
      <w:rPr>
        <w:rFonts w:hint="default"/>
        <w:lang w:val="tr-TR" w:eastAsia="tr-TR" w:bidi="tr-TR"/>
      </w:rPr>
    </w:lvl>
    <w:lvl w:ilvl="3">
      <w:start w:val="0"/>
      <w:numFmt w:val="bullet"/>
      <w:lvlText w:val="•"/>
      <w:lvlJc w:val="left"/>
      <w:pPr>
        <w:ind w:left="1166" w:hanging="197"/>
      </w:pPr>
      <w:rPr>
        <w:rFonts w:hint="default"/>
        <w:lang w:val="tr-TR" w:eastAsia="tr-TR" w:bidi="tr-TR"/>
      </w:rPr>
    </w:lvl>
    <w:lvl w:ilvl="4">
      <w:start w:val="0"/>
      <w:numFmt w:val="bullet"/>
      <w:lvlText w:val="•"/>
      <w:lvlJc w:val="left"/>
      <w:pPr>
        <w:ind w:left="1454" w:hanging="197"/>
      </w:pPr>
      <w:rPr>
        <w:rFonts w:hint="default"/>
        <w:lang w:val="tr-TR" w:eastAsia="tr-TR" w:bidi="tr-TR"/>
      </w:rPr>
    </w:lvl>
    <w:lvl w:ilvl="5">
      <w:start w:val="0"/>
      <w:numFmt w:val="bullet"/>
      <w:lvlText w:val="•"/>
      <w:lvlJc w:val="left"/>
      <w:pPr>
        <w:ind w:left="1743" w:hanging="197"/>
      </w:pPr>
      <w:rPr>
        <w:rFonts w:hint="default"/>
        <w:lang w:val="tr-TR" w:eastAsia="tr-TR" w:bidi="tr-TR"/>
      </w:rPr>
    </w:lvl>
    <w:lvl w:ilvl="6">
      <w:start w:val="0"/>
      <w:numFmt w:val="bullet"/>
      <w:lvlText w:val="•"/>
      <w:lvlJc w:val="left"/>
      <w:pPr>
        <w:ind w:left="2032" w:hanging="197"/>
      </w:pPr>
      <w:rPr>
        <w:rFonts w:hint="default"/>
        <w:lang w:val="tr-TR" w:eastAsia="tr-TR" w:bidi="tr-TR"/>
      </w:rPr>
    </w:lvl>
    <w:lvl w:ilvl="7">
      <w:start w:val="0"/>
      <w:numFmt w:val="bullet"/>
      <w:lvlText w:val="•"/>
      <w:lvlJc w:val="left"/>
      <w:pPr>
        <w:ind w:left="2320" w:hanging="197"/>
      </w:pPr>
      <w:rPr>
        <w:rFonts w:hint="default"/>
        <w:lang w:val="tr-TR" w:eastAsia="tr-TR" w:bidi="tr-TR"/>
      </w:rPr>
    </w:lvl>
    <w:lvl w:ilvl="8">
      <w:start w:val="0"/>
      <w:numFmt w:val="bullet"/>
      <w:lvlText w:val="•"/>
      <w:lvlJc w:val="left"/>
      <w:pPr>
        <w:ind w:left="2609" w:hanging="197"/>
      </w:pPr>
      <w:rPr>
        <w:rFonts w:hint="default"/>
        <w:lang w:val="tr-TR" w:eastAsia="tr-TR" w:bidi="tr-TR"/>
      </w:rPr>
    </w:lvl>
  </w:abstractNum>
  <w:abstractNum w:abstractNumId="4">
    <w:multiLevelType w:val="hybridMultilevel"/>
    <w:lvl w:ilvl="0">
      <w:start w:val="4"/>
      <w:numFmt w:val="decimal"/>
      <w:lvlText w:val="%1-"/>
      <w:lvlJc w:val="left"/>
      <w:pPr>
        <w:ind w:left="1790" w:hanging="260"/>
        <w:jc w:val="left"/>
      </w:pPr>
      <w:rPr>
        <w:rFonts w:hint="default" w:ascii="Arial" w:hAnsi="Arial" w:eastAsia="Arial" w:cs="Arial"/>
        <w:spacing w:val="-1"/>
        <w:w w:val="100"/>
        <w:sz w:val="22"/>
        <w:szCs w:val="22"/>
        <w:lang w:val="tr-TR" w:eastAsia="tr-TR" w:bidi="tr-TR"/>
      </w:rPr>
    </w:lvl>
    <w:lvl w:ilvl="1">
      <w:start w:val="0"/>
      <w:numFmt w:val="bullet"/>
      <w:lvlText w:val="•"/>
      <w:lvlJc w:val="left"/>
      <w:pPr>
        <w:ind w:left="2662" w:hanging="260"/>
      </w:pPr>
      <w:rPr>
        <w:rFonts w:hint="default"/>
        <w:lang w:val="tr-TR" w:eastAsia="tr-TR" w:bidi="tr-TR"/>
      </w:rPr>
    </w:lvl>
    <w:lvl w:ilvl="2">
      <w:start w:val="0"/>
      <w:numFmt w:val="bullet"/>
      <w:lvlText w:val="•"/>
      <w:lvlJc w:val="left"/>
      <w:pPr>
        <w:ind w:left="3525" w:hanging="260"/>
      </w:pPr>
      <w:rPr>
        <w:rFonts w:hint="default"/>
        <w:lang w:val="tr-TR" w:eastAsia="tr-TR" w:bidi="tr-TR"/>
      </w:rPr>
    </w:lvl>
    <w:lvl w:ilvl="3">
      <w:start w:val="0"/>
      <w:numFmt w:val="bullet"/>
      <w:lvlText w:val="•"/>
      <w:lvlJc w:val="left"/>
      <w:pPr>
        <w:ind w:left="4387" w:hanging="260"/>
      </w:pPr>
      <w:rPr>
        <w:rFonts w:hint="default"/>
        <w:lang w:val="tr-TR" w:eastAsia="tr-TR" w:bidi="tr-TR"/>
      </w:rPr>
    </w:lvl>
    <w:lvl w:ilvl="4">
      <w:start w:val="0"/>
      <w:numFmt w:val="bullet"/>
      <w:lvlText w:val="•"/>
      <w:lvlJc w:val="left"/>
      <w:pPr>
        <w:ind w:left="5250" w:hanging="260"/>
      </w:pPr>
      <w:rPr>
        <w:rFonts w:hint="default"/>
        <w:lang w:val="tr-TR" w:eastAsia="tr-TR" w:bidi="tr-TR"/>
      </w:rPr>
    </w:lvl>
    <w:lvl w:ilvl="5">
      <w:start w:val="0"/>
      <w:numFmt w:val="bullet"/>
      <w:lvlText w:val="•"/>
      <w:lvlJc w:val="left"/>
      <w:pPr>
        <w:ind w:left="6113" w:hanging="260"/>
      </w:pPr>
      <w:rPr>
        <w:rFonts w:hint="default"/>
        <w:lang w:val="tr-TR" w:eastAsia="tr-TR" w:bidi="tr-TR"/>
      </w:rPr>
    </w:lvl>
    <w:lvl w:ilvl="6">
      <w:start w:val="0"/>
      <w:numFmt w:val="bullet"/>
      <w:lvlText w:val="•"/>
      <w:lvlJc w:val="left"/>
      <w:pPr>
        <w:ind w:left="6975" w:hanging="260"/>
      </w:pPr>
      <w:rPr>
        <w:rFonts w:hint="default"/>
        <w:lang w:val="tr-TR" w:eastAsia="tr-TR" w:bidi="tr-TR"/>
      </w:rPr>
    </w:lvl>
    <w:lvl w:ilvl="7">
      <w:start w:val="0"/>
      <w:numFmt w:val="bullet"/>
      <w:lvlText w:val="•"/>
      <w:lvlJc w:val="left"/>
      <w:pPr>
        <w:ind w:left="7838" w:hanging="260"/>
      </w:pPr>
      <w:rPr>
        <w:rFonts w:hint="default"/>
        <w:lang w:val="tr-TR" w:eastAsia="tr-TR" w:bidi="tr-TR"/>
      </w:rPr>
    </w:lvl>
    <w:lvl w:ilvl="8">
      <w:start w:val="0"/>
      <w:numFmt w:val="bullet"/>
      <w:lvlText w:val="•"/>
      <w:lvlJc w:val="left"/>
      <w:pPr>
        <w:ind w:left="8701" w:hanging="260"/>
      </w:pPr>
      <w:rPr>
        <w:rFonts w:hint="default"/>
        <w:lang w:val="tr-TR" w:eastAsia="tr-TR" w:bidi="tr-TR"/>
      </w:rPr>
    </w:lvl>
  </w:abstractNum>
  <w:abstractNum w:abstractNumId="3">
    <w:multiLevelType w:val="hybridMultilevel"/>
    <w:lvl w:ilvl="0">
      <w:start w:val="1"/>
      <w:numFmt w:val="decimal"/>
      <w:lvlText w:val="%1-"/>
      <w:lvlJc w:val="left"/>
      <w:pPr>
        <w:ind w:left="1814" w:hanging="284"/>
        <w:jc w:val="left"/>
      </w:pPr>
      <w:rPr>
        <w:rFonts w:hint="default" w:ascii="Arial" w:hAnsi="Arial" w:eastAsia="Arial" w:cs="Arial"/>
        <w:spacing w:val="-1"/>
        <w:w w:val="100"/>
        <w:sz w:val="22"/>
        <w:szCs w:val="22"/>
        <w:lang w:val="tr-TR" w:eastAsia="tr-TR" w:bidi="tr-TR"/>
      </w:rPr>
    </w:lvl>
    <w:lvl w:ilvl="1">
      <w:start w:val="0"/>
      <w:numFmt w:val="bullet"/>
      <w:lvlText w:val="•"/>
      <w:lvlJc w:val="left"/>
      <w:pPr>
        <w:ind w:left="2680" w:hanging="284"/>
      </w:pPr>
      <w:rPr>
        <w:rFonts w:hint="default"/>
        <w:lang w:val="tr-TR" w:eastAsia="tr-TR" w:bidi="tr-TR"/>
      </w:rPr>
    </w:lvl>
    <w:lvl w:ilvl="2">
      <w:start w:val="0"/>
      <w:numFmt w:val="bullet"/>
      <w:lvlText w:val="•"/>
      <w:lvlJc w:val="left"/>
      <w:pPr>
        <w:ind w:left="3541" w:hanging="284"/>
      </w:pPr>
      <w:rPr>
        <w:rFonts w:hint="default"/>
        <w:lang w:val="tr-TR" w:eastAsia="tr-TR" w:bidi="tr-TR"/>
      </w:rPr>
    </w:lvl>
    <w:lvl w:ilvl="3">
      <w:start w:val="0"/>
      <w:numFmt w:val="bullet"/>
      <w:lvlText w:val="•"/>
      <w:lvlJc w:val="left"/>
      <w:pPr>
        <w:ind w:left="4401" w:hanging="284"/>
      </w:pPr>
      <w:rPr>
        <w:rFonts w:hint="default"/>
        <w:lang w:val="tr-TR" w:eastAsia="tr-TR" w:bidi="tr-TR"/>
      </w:rPr>
    </w:lvl>
    <w:lvl w:ilvl="4">
      <w:start w:val="0"/>
      <w:numFmt w:val="bullet"/>
      <w:lvlText w:val="•"/>
      <w:lvlJc w:val="left"/>
      <w:pPr>
        <w:ind w:left="5262" w:hanging="284"/>
      </w:pPr>
      <w:rPr>
        <w:rFonts w:hint="default"/>
        <w:lang w:val="tr-TR" w:eastAsia="tr-TR" w:bidi="tr-TR"/>
      </w:rPr>
    </w:lvl>
    <w:lvl w:ilvl="5">
      <w:start w:val="0"/>
      <w:numFmt w:val="bullet"/>
      <w:lvlText w:val="•"/>
      <w:lvlJc w:val="left"/>
      <w:pPr>
        <w:ind w:left="6123" w:hanging="284"/>
      </w:pPr>
      <w:rPr>
        <w:rFonts w:hint="default"/>
        <w:lang w:val="tr-TR" w:eastAsia="tr-TR" w:bidi="tr-TR"/>
      </w:rPr>
    </w:lvl>
    <w:lvl w:ilvl="6">
      <w:start w:val="0"/>
      <w:numFmt w:val="bullet"/>
      <w:lvlText w:val="•"/>
      <w:lvlJc w:val="left"/>
      <w:pPr>
        <w:ind w:left="6983" w:hanging="284"/>
      </w:pPr>
      <w:rPr>
        <w:rFonts w:hint="default"/>
        <w:lang w:val="tr-TR" w:eastAsia="tr-TR" w:bidi="tr-TR"/>
      </w:rPr>
    </w:lvl>
    <w:lvl w:ilvl="7">
      <w:start w:val="0"/>
      <w:numFmt w:val="bullet"/>
      <w:lvlText w:val="•"/>
      <w:lvlJc w:val="left"/>
      <w:pPr>
        <w:ind w:left="7844" w:hanging="284"/>
      </w:pPr>
      <w:rPr>
        <w:rFonts w:hint="default"/>
        <w:lang w:val="tr-TR" w:eastAsia="tr-TR" w:bidi="tr-TR"/>
      </w:rPr>
    </w:lvl>
    <w:lvl w:ilvl="8">
      <w:start w:val="0"/>
      <w:numFmt w:val="bullet"/>
      <w:lvlText w:val="•"/>
      <w:lvlJc w:val="left"/>
      <w:pPr>
        <w:ind w:left="8705" w:hanging="284"/>
      </w:pPr>
      <w:rPr>
        <w:rFonts w:hint="default"/>
        <w:lang w:val="tr-TR" w:eastAsia="tr-TR" w:bidi="tr-TR"/>
      </w:rPr>
    </w:lvl>
  </w:abstractNum>
  <w:abstractNum w:abstractNumId="2">
    <w:multiLevelType w:val="hybridMultilevel"/>
    <w:lvl w:ilvl="0">
      <w:start w:val="1"/>
      <w:numFmt w:val="decimal"/>
      <w:lvlText w:val="%1."/>
      <w:lvlJc w:val="left"/>
      <w:pPr>
        <w:ind w:left="1608" w:hanging="360"/>
        <w:jc w:val="left"/>
      </w:pPr>
      <w:rPr>
        <w:rFonts w:hint="default" w:ascii="Arial" w:hAnsi="Arial" w:eastAsia="Arial" w:cs="Arial"/>
        <w:b/>
        <w:bCs/>
        <w:spacing w:val="-1"/>
        <w:w w:val="100"/>
        <w:sz w:val="22"/>
        <w:szCs w:val="22"/>
        <w:lang w:val="tr-TR" w:eastAsia="tr-TR" w:bidi="tr-TR"/>
      </w:rPr>
    </w:lvl>
    <w:lvl w:ilvl="1">
      <w:start w:val="1"/>
      <w:numFmt w:val="decimal"/>
      <w:lvlText w:val="%2-"/>
      <w:lvlJc w:val="left"/>
      <w:pPr>
        <w:ind w:left="1728" w:hanging="197"/>
        <w:jc w:val="left"/>
      </w:pPr>
      <w:rPr>
        <w:rFonts w:hint="default" w:ascii="Arial" w:hAnsi="Arial" w:eastAsia="Arial" w:cs="Arial"/>
        <w:spacing w:val="-1"/>
        <w:w w:val="100"/>
        <w:sz w:val="20"/>
        <w:szCs w:val="20"/>
        <w:lang w:val="tr-TR" w:eastAsia="tr-TR" w:bidi="tr-TR"/>
      </w:rPr>
    </w:lvl>
    <w:lvl w:ilvl="2">
      <w:start w:val="0"/>
      <w:numFmt w:val="bullet"/>
      <w:lvlText w:val="•"/>
      <w:lvlJc w:val="left"/>
      <w:pPr>
        <w:ind w:left="2687" w:hanging="197"/>
      </w:pPr>
      <w:rPr>
        <w:rFonts w:hint="default"/>
        <w:lang w:val="tr-TR" w:eastAsia="tr-TR" w:bidi="tr-TR"/>
      </w:rPr>
    </w:lvl>
    <w:lvl w:ilvl="3">
      <w:start w:val="0"/>
      <w:numFmt w:val="bullet"/>
      <w:lvlText w:val="•"/>
      <w:lvlJc w:val="left"/>
      <w:pPr>
        <w:ind w:left="3654" w:hanging="197"/>
      </w:pPr>
      <w:rPr>
        <w:rFonts w:hint="default"/>
        <w:lang w:val="tr-TR" w:eastAsia="tr-TR" w:bidi="tr-TR"/>
      </w:rPr>
    </w:lvl>
    <w:lvl w:ilvl="4">
      <w:start w:val="0"/>
      <w:numFmt w:val="bullet"/>
      <w:lvlText w:val="•"/>
      <w:lvlJc w:val="left"/>
      <w:pPr>
        <w:ind w:left="4622" w:hanging="197"/>
      </w:pPr>
      <w:rPr>
        <w:rFonts w:hint="default"/>
        <w:lang w:val="tr-TR" w:eastAsia="tr-TR" w:bidi="tr-TR"/>
      </w:rPr>
    </w:lvl>
    <w:lvl w:ilvl="5">
      <w:start w:val="0"/>
      <w:numFmt w:val="bullet"/>
      <w:lvlText w:val="•"/>
      <w:lvlJc w:val="left"/>
      <w:pPr>
        <w:ind w:left="5589" w:hanging="197"/>
      </w:pPr>
      <w:rPr>
        <w:rFonts w:hint="default"/>
        <w:lang w:val="tr-TR" w:eastAsia="tr-TR" w:bidi="tr-TR"/>
      </w:rPr>
    </w:lvl>
    <w:lvl w:ilvl="6">
      <w:start w:val="0"/>
      <w:numFmt w:val="bullet"/>
      <w:lvlText w:val="•"/>
      <w:lvlJc w:val="left"/>
      <w:pPr>
        <w:ind w:left="6556" w:hanging="197"/>
      </w:pPr>
      <w:rPr>
        <w:rFonts w:hint="default"/>
        <w:lang w:val="tr-TR" w:eastAsia="tr-TR" w:bidi="tr-TR"/>
      </w:rPr>
    </w:lvl>
    <w:lvl w:ilvl="7">
      <w:start w:val="0"/>
      <w:numFmt w:val="bullet"/>
      <w:lvlText w:val="•"/>
      <w:lvlJc w:val="left"/>
      <w:pPr>
        <w:ind w:left="7524" w:hanging="197"/>
      </w:pPr>
      <w:rPr>
        <w:rFonts w:hint="default"/>
        <w:lang w:val="tr-TR" w:eastAsia="tr-TR" w:bidi="tr-TR"/>
      </w:rPr>
    </w:lvl>
    <w:lvl w:ilvl="8">
      <w:start w:val="0"/>
      <w:numFmt w:val="bullet"/>
      <w:lvlText w:val="•"/>
      <w:lvlJc w:val="left"/>
      <w:pPr>
        <w:ind w:left="8491" w:hanging="197"/>
      </w:pPr>
      <w:rPr>
        <w:rFonts w:hint="default"/>
        <w:lang w:val="tr-TR" w:eastAsia="tr-TR" w:bidi="tr-TR"/>
      </w:rPr>
    </w:lvl>
  </w:abstractNum>
  <w:abstractNum w:abstractNumId="1">
    <w:multiLevelType w:val="hybridMultilevel"/>
    <w:lvl w:ilvl="0">
      <w:start w:val="1"/>
      <w:numFmt w:val="decimal"/>
      <w:lvlText w:val="%1."/>
      <w:lvlJc w:val="left"/>
      <w:pPr>
        <w:ind w:left="1493" w:hanging="245"/>
        <w:jc w:val="left"/>
      </w:pPr>
      <w:rPr>
        <w:rFonts w:hint="default" w:ascii="Arial" w:hAnsi="Arial" w:eastAsia="Arial" w:cs="Arial"/>
        <w:b/>
        <w:bCs/>
        <w:spacing w:val="-1"/>
        <w:w w:val="100"/>
        <w:sz w:val="22"/>
        <w:szCs w:val="22"/>
        <w:lang w:val="tr-TR" w:eastAsia="tr-TR" w:bidi="tr-TR"/>
      </w:rPr>
    </w:lvl>
    <w:lvl w:ilvl="1">
      <w:start w:val="1"/>
      <w:numFmt w:val="decimal"/>
      <w:lvlText w:val="%1.%2"/>
      <w:lvlJc w:val="left"/>
      <w:pPr>
        <w:ind w:left="1620" w:hanging="372"/>
        <w:jc w:val="left"/>
      </w:pPr>
      <w:rPr>
        <w:rFonts w:hint="default" w:ascii="Arial" w:hAnsi="Arial" w:eastAsia="Arial" w:cs="Arial"/>
        <w:b/>
        <w:bCs/>
        <w:spacing w:val="-1"/>
        <w:w w:val="100"/>
        <w:sz w:val="22"/>
        <w:szCs w:val="22"/>
        <w:lang w:val="tr-TR" w:eastAsia="tr-TR" w:bidi="tr-TR"/>
      </w:rPr>
    </w:lvl>
    <w:lvl w:ilvl="2">
      <w:start w:val="1"/>
      <w:numFmt w:val="decimal"/>
      <w:lvlText w:val="%1.%2.%3"/>
      <w:lvlJc w:val="left"/>
      <w:pPr>
        <w:ind w:left="1799" w:hanging="552"/>
        <w:jc w:val="right"/>
      </w:pPr>
      <w:rPr>
        <w:rFonts w:hint="default" w:ascii="Arial" w:hAnsi="Arial" w:eastAsia="Arial" w:cs="Arial"/>
        <w:b/>
        <w:bCs/>
        <w:spacing w:val="-1"/>
        <w:w w:val="100"/>
        <w:sz w:val="22"/>
        <w:szCs w:val="22"/>
        <w:lang w:val="tr-TR" w:eastAsia="tr-TR" w:bidi="tr-TR"/>
      </w:rPr>
    </w:lvl>
    <w:lvl w:ilvl="3">
      <w:start w:val="1"/>
      <w:numFmt w:val="decimal"/>
      <w:lvlText w:val="%1.%2.%3.%4"/>
      <w:lvlJc w:val="left"/>
      <w:pPr>
        <w:ind w:left="1983" w:hanging="736"/>
        <w:jc w:val="left"/>
      </w:pPr>
      <w:rPr>
        <w:rFonts w:hint="default" w:ascii="Arial" w:hAnsi="Arial" w:eastAsia="Arial" w:cs="Arial"/>
        <w:b/>
        <w:bCs/>
        <w:spacing w:val="-3"/>
        <w:w w:val="100"/>
        <w:sz w:val="22"/>
        <w:szCs w:val="22"/>
        <w:lang w:val="tr-TR" w:eastAsia="tr-TR" w:bidi="tr-TR"/>
      </w:rPr>
    </w:lvl>
    <w:lvl w:ilvl="4">
      <w:start w:val="0"/>
      <w:numFmt w:val="bullet"/>
      <w:lvlText w:val="•"/>
      <w:lvlJc w:val="left"/>
      <w:pPr>
        <w:ind w:left="1980" w:hanging="736"/>
      </w:pPr>
      <w:rPr>
        <w:rFonts w:hint="default"/>
        <w:lang w:val="tr-TR" w:eastAsia="tr-TR" w:bidi="tr-TR"/>
      </w:rPr>
    </w:lvl>
    <w:lvl w:ilvl="5">
      <w:start w:val="0"/>
      <w:numFmt w:val="bullet"/>
      <w:lvlText w:val="•"/>
      <w:lvlJc w:val="left"/>
      <w:pPr>
        <w:ind w:left="3387" w:hanging="736"/>
      </w:pPr>
      <w:rPr>
        <w:rFonts w:hint="default"/>
        <w:lang w:val="tr-TR" w:eastAsia="tr-TR" w:bidi="tr-TR"/>
      </w:rPr>
    </w:lvl>
    <w:lvl w:ilvl="6">
      <w:start w:val="0"/>
      <w:numFmt w:val="bullet"/>
      <w:lvlText w:val="•"/>
      <w:lvlJc w:val="left"/>
      <w:pPr>
        <w:ind w:left="4795" w:hanging="736"/>
      </w:pPr>
      <w:rPr>
        <w:rFonts w:hint="default"/>
        <w:lang w:val="tr-TR" w:eastAsia="tr-TR" w:bidi="tr-TR"/>
      </w:rPr>
    </w:lvl>
    <w:lvl w:ilvl="7">
      <w:start w:val="0"/>
      <w:numFmt w:val="bullet"/>
      <w:lvlText w:val="•"/>
      <w:lvlJc w:val="left"/>
      <w:pPr>
        <w:ind w:left="6203" w:hanging="736"/>
      </w:pPr>
      <w:rPr>
        <w:rFonts w:hint="default"/>
        <w:lang w:val="tr-TR" w:eastAsia="tr-TR" w:bidi="tr-TR"/>
      </w:rPr>
    </w:lvl>
    <w:lvl w:ilvl="8">
      <w:start w:val="0"/>
      <w:numFmt w:val="bullet"/>
      <w:lvlText w:val="•"/>
      <w:lvlJc w:val="left"/>
      <w:pPr>
        <w:ind w:left="7610" w:hanging="736"/>
      </w:pPr>
      <w:rPr>
        <w:rFonts w:hint="default"/>
        <w:lang w:val="tr-TR" w:eastAsia="tr-TR" w:bidi="tr-TR"/>
      </w:rPr>
    </w:lvl>
  </w:abstractNum>
  <w:abstractNum w:abstractNumId="0">
    <w:multiLevelType w:val="hybridMultilevel"/>
    <w:lvl w:ilvl="0">
      <w:start w:val="1"/>
      <w:numFmt w:val="decimal"/>
      <w:lvlText w:val="%1."/>
      <w:lvlJc w:val="left"/>
      <w:pPr>
        <w:ind w:left="1493" w:hanging="245"/>
        <w:jc w:val="left"/>
      </w:pPr>
      <w:rPr>
        <w:rFonts w:hint="default" w:ascii="Arial" w:hAnsi="Arial" w:eastAsia="Arial" w:cs="Arial"/>
        <w:b/>
        <w:bCs/>
        <w:spacing w:val="-1"/>
        <w:w w:val="100"/>
        <w:sz w:val="22"/>
        <w:szCs w:val="22"/>
        <w:lang w:val="tr-TR" w:eastAsia="tr-TR" w:bidi="tr-TR"/>
      </w:rPr>
    </w:lvl>
    <w:lvl w:ilvl="1">
      <w:start w:val="1"/>
      <w:numFmt w:val="decimal"/>
      <w:lvlText w:val="%1.%2"/>
      <w:lvlJc w:val="left"/>
      <w:pPr>
        <w:ind w:left="1617" w:hanging="370"/>
        <w:jc w:val="left"/>
      </w:pPr>
      <w:rPr>
        <w:rFonts w:hint="default" w:ascii="Arial" w:hAnsi="Arial" w:eastAsia="Arial" w:cs="Arial"/>
        <w:spacing w:val="-1"/>
        <w:w w:val="100"/>
        <w:sz w:val="22"/>
        <w:szCs w:val="22"/>
        <w:lang w:val="tr-TR" w:eastAsia="tr-TR" w:bidi="tr-TR"/>
      </w:rPr>
    </w:lvl>
    <w:lvl w:ilvl="2">
      <w:start w:val="1"/>
      <w:numFmt w:val="decimal"/>
      <w:lvlText w:val="%1.%2.%3"/>
      <w:lvlJc w:val="left"/>
      <w:pPr>
        <w:ind w:left="2239" w:hanging="552"/>
        <w:jc w:val="left"/>
      </w:pPr>
      <w:rPr>
        <w:rFonts w:hint="default" w:ascii="Arial" w:hAnsi="Arial" w:eastAsia="Arial" w:cs="Arial"/>
        <w:spacing w:val="-1"/>
        <w:w w:val="100"/>
        <w:sz w:val="22"/>
        <w:szCs w:val="22"/>
        <w:lang w:val="tr-TR" w:eastAsia="tr-TR" w:bidi="tr-TR"/>
      </w:rPr>
    </w:lvl>
    <w:lvl w:ilvl="3">
      <w:start w:val="1"/>
      <w:numFmt w:val="decimal"/>
      <w:lvlText w:val="%1.%2.%3.%4"/>
      <w:lvlJc w:val="left"/>
      <w:pPr>
        <w:ind w:left="2643" w:hanging="736"/>
        <w:jc w:val="left"/>
      </w:pPr>
      <w:rPr>
        <w:rFonts w:hint="default" w:ascii="Arial" w:hAnsi="Arial" w:eastAsia="Arial" w:cs="Arial"/>
        <w:spacing w:val="-3"/>
        <w:w w:val="100"/>
        <w:sz w:val="22"/>
        <w:szCs w:val="22"/>
        <w:lang w:val="tr-TR" w:eastAsia="tr-TR" w:bidi="tr-TR"/>
      </w:rPr>
    </w:lvl>
    <w:lvl w:ilvl="4">
      <w:start w:val="0"/>
      <w:numFmt w:val="bullet"/>
      <w:lvlText w:val="•"/>
      <w:lvlJc w:val="left"/>
      <w:pPr>
        <w:ind w:left="3752" w:hanging="736"/>
      </w:pPr>
      <w:rPr>
        <w:rFonts w:hint="default"/>
        <w:lang w:val="tr-TR" w:eastAsia="tr-TR" w:bidi="tr-TR"/>
      </w:rPr>
    </w:lvl>
    <w:lvl w:ilvl="5">
      <w:start w:val="0"/>
      <w:numFmt w:val="bullet"/>
      <w:lvlText w:val="•"/>
      <w:lvlJc w:val="left"/>
      <w:pPr>
        <w:ind w:left="4864" w:hanging="736"/>
      </w:pPr>
      <w:rPr>
        <w:rFonts w:hint="default"/>
        <w:lang w:val="tr-TR" w:eastAsia="tr-TR" w:bidi="tr-TR"/>
      </w:rPr>
    </w:lvl>
    <w:lvl w:ilvl="6">
      <w:start w:val="0"/>
      <w:numFmt w:val="bullet"/>
      <w:lvlText w:val="•"/>
      <w:lvlJc w:val="left"/>
      <w:pPr>
        <w:ind w:left="5977" w:hanging="736"/>
      </w:pPr>
      <w:rPr>
        <w:rFonts w:hint="default"/>
        <w:lang w:val="tr-TR" w:eastAsia="tr-TR" w:bidi="tr-TR"/>
      </w:rPr>
    </w:lvl>
    <w:lvl w:ilvl="7">
      <w:start w:val="0"/>
      <w:numFmt w:val="bullet"/>
      <w:lvlText w:val="•"/>
      <w:lvlJc w:val="left"/>
      <w:pPr>
        <w:ind w:left="7089" w:hanging="736"/>
      </w:pPr>
      <w:rPr>
        <w:rFonts w:hint="default"/>
        <w:lang w:val="tr-TR" w:eastAsia="tr-TR" w:bidi="tr-TR"/>
      </w:rPr>
    </w:lvl>
    <w:lvl w:ilvl="8">
      <w:start w:val="0"/>
      <w:numFmt w:val="bullet"/>
      <w:lvlText w:val="•"/>
      <w:lvlJc w:val="left"/>
      <w:pPr>
        <w:ind w:left="8201" w:hanging="736"/>
      </w:pPr>
      <w:rPr>
        <w:rFonts w:hint="default"/>
        <w:lang w:val="tr-TR" w:eastAsia="tr-TR" w:bidi="tr-TR"/>
      </w:rPr>
    </w:lvl>
  </w:abstract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tr-TR" w:eastAsia="tr-TR" w:bidi="tr-TR"/>
    </w:rPr>
  </w:style>
  <w:style w:styleId="TOC1" w:type="paragraph">
    <w:name w:val="TOC 1"/>
    <w:basedOn w:val="Normal"/>
    <w:uiPriority w:val="1"/>
    <w:qFormat/>
    <w:pPr>
      <w:spacing w:before="124"/>
      <w:ind w:left="1495" w:right="680" w:hanging="1496"/>
      <w:jc w:val="right"/>
    </w:pPr>
    <w:rPr>
      <w:rFonts w:ascii="Arial" w:hAnsi="Arial" w:eastAsia="Arial" w:cs="Arial"/>
      <w:b/>
      <w:bCs/>
      <w:sz w:val="22"/>
      <w:szCs w:val="22"/>
      <w:lang w:val="tr-TR" w:eastAsia="tr-TR" w:bidi="tr-TR"/>
    </w:rPr>
  </w:style>
  <w:style w:styleId="TOC2" w:type="paragraph">
    <w:name w:val="TOC 2"/>
    <w:basedOn w:val="Normal"/>
    <w:uiPriority w:val="1"/>
    <w:qFormat/>
    <w:pPr>
      <w:spacing w:before="126"/>
      <w:ind w:left="1617" w:right="680" w:hanging="1618"/>
      <w:jc w:val="right"/>
    </w:pPr>
    <w:rPr>
      <w:rFonts w:ascii="Arial" w:hAnsi="Arial" w:eastAsia="Arial" w:cs="Arial"/>
      <w:sz w:val="22"/>
      <w:szCs w:val="22"/>
      <w:lang w:val="tr-TR" w:eastAsia="tr-TR" w:bidi="tr-TR"/>
    </w:rPr>
  </w:style>
  <w:style w:styleId="TOC3" w:type="paragraph">
    <w:name w:val="TOC 3"/>
    <w:basedOn w:val="Normal"/>
    <w:uiPriority w:val="1"/>
    <w:qFormat/>
    <w:pPr>
      <w:spacing w:before="126"/>
      <w:ind w:left="1248"/>
    </w:pPr>
    <w:rPr>
      <w:rFonts w:ascii="Arial" w:hAnsi="Arial" w:eastAsia="Arial" w:cs="Arial"/>
      <w:b/>
      <w:bCs/>
      <w:sz w:val="22"/>
      <w:szCs w:val="22"/>
      <w:lang w:val="tr-TR" w:eastAsia="tr-TR" w:bidi="tr-TR"/>
    </w:rPr>
  </w:style>
  <w:style w:styleId="TOC4" w:type="paragraph">
    <w:name w:val="TOC 4"/>
    <w:basedOn w:val="Normal"/>
    <w:uiPriority w:val="1"/>
    <w:qFormat/>
    <w:pPr>
      <w:spacing w:before="126"/>
      <w:ind w:left="1617" w:hanging="370"/>
    </w:pPr>
    <w:rPr>
      <w:rFonts w:ascii="Arial" w:hAnsi="Arial" w:eastAsia="Arial" w:cs="Arial"/>
      <w:sz w:val="22"/>
      <w:szCs w:val="22"/>
      <w:lang w:val="tr-TR" w:eastAsia="tr-TR" w:bidi="tr-TR"/>
    </w:rPr>
  </w:style>
  <w:style w:styleId="TOC5" w:type="paragraph">
    <w:name w:val="TOC 5"/>
    <w:basedOn w:val="Normal"/>
    <w:uiPriority w:val="1"/>
    <w:qFormat/>
    <w:pPr>
      <w:spacing w:before="126"/>
      <w:ind w:left="2642" w:hanging="735"/>
    </w:pPr>
    <w:rPr>
      <w:rFonts w:ascii="Arial" w:hAnsi="Arial" w:eastAsia="Arial" w:cs="Arial"/>
      <w:sz w:val="22"/>
      <w:szCs w:val="22"/>
      <w:lang w:val="tr-TR" w:eastAsia="tr-TR" w:bidi="tr-TR"/>
    </w:rPr>
  </w:style>
  <w:style w:styleId="BodyText" w:type="paragraph">
    <w:name w:val="Body Text"/>
    <w:basedOn w:val="Normal"/>
    <w:uiPriority w:val="1"/>
    <w:qFormat/>
    <w:pPr/>
    <w:rPr>
      <w:rFonts w:ascii="Arial" w:hAnsi="Arial" w:eastAsia="Arial" w:cs="Arial"/>
      <w:sz w:val="22"/>
      <w:szCs w:val="22"/>
      <w:lang w:val="tr-TR" w:eastAsia="tr-TR" w:bidi="tr-TR"/>
    </w:rPr>
  </w:style>
  <w:style w:styleId="Heading1" w:type="paragraph">
    <w:name w:val="Heading 1"/>
    <w:basedOn w:val="Normal"/>
    <w:uiPriority w:val="1"/>
    <w:qFormat/>
    <w:pPr>
      <w:ind w:left="1248"/>
      <w:outlineLvl w:val="1"/>
    </w:pPr>
    <w:rPr>
      <w:rFonts w:ascii="Arial" w:hAnsi="Arial" w:eastAsia="Arial" w:cs="Arial"/>
      <w:b/>
      <w:bCs/>
      <w:sz w:val="22"/>
      <w:szCs w:val="22"/>
      <w:lang w:val="tr-TR" w:eastAsia="tr-TR" w:bidi="tr-TR"/>
    </w:rPr>
  </w:style>
  <w:style w:styleId="ListParagraph" w:type="paragraph">
    <w:name w:val="List Paragraph"/>
    <w:basedOn w:val="Normal"/>
    <w:uiPriority w:val="1"/>
    <w:qFormat/>
    <w:pPr>
      <w:ind w:left="1617" w:hanging="370"/>
    </w:pPr>
    <w:rPr>
      <w:rFonts w:ascii="Arial" w:hAnsi="Arial" w:eastAsia="Arial" w:cs="Arial"/>
      <w:lang w:val="tr-TR" w:eastAsia="tr-TR" w:bidi="tr-TR"/>
    </w:rPr>
  </w:style>
  <w:style w:styleId="TableParagraph" w:type="paragraph">
    <w:name w:val="Table Paragraph"/>
    <w:basedOn w:val="Normal"/>
    <w:uiPriority w:val="1"/>
    <w:qFormat/>
    <w:pPr/>
    <w:rPr>
      <w:rFonts w:ascii="Arial" w:hAnsi="Arial" w:eastAsia="Arial" w:cs="Arial"/>
      <w:lang w:val="tr-TR" w:eastAsia="tr-TR" w:bidi="tr-T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header" Target="header3.xml"/><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hyperlink" Target="https://www.ncbi.nlm.nih.gov/pmc/articles/PMC4413488/" TargetMode="External"/><Relationship Id="rId21" Type="http://schemas.openxmlformats.org/officeDocument/2006/relationships/hyperlink" Target="https://www.ncbi.nlm.nih.gov/pubmed/?term=Bluestein%20D%5BAuthor%5D&amp;amp;cauthor=true&amp;amp;cauthor_uid=19035067" TargetMode="External"/><Relationship Id="rId22" Type="http://schemas.openxmlformats.org/officeDocument/2006/relationships/hyperlink" Target="https://www.ncbi.nlm.nih.gov/pubmed/?term=Javaheri%20A%5BAuthor%5D&amp;amp;cauthor=true&amp;amp;cauthor_uid=19035067" TargetMode="External"/><Relationship Id="rId23" Type="http://schemas.openxmlformats.org/officeDocument/2006/relationships/hyperlink" Target="https://www.ncbi.nlm.nih.gov/pubmed/19035067" TargetMode="External"/><Relationship Id="rId24" Type="http://schemas.openxmlformats.org/officeDocument/2006/relationships/header" Target="header4.xml"/><Relationship Id="rId25" Type="http://schemas.openxmlformats.org/officeDocument/2006/relationships/image" Target="media/image13.jpeg"/><Relationship Id="rId26" Type="http://schemas.openxmlformats.org/officeDocument/2006/relationships/header" Target="header5.xml"/><Relationship Id="rId27" Type="http://schemas.openxmlformats.org/officeDocument/2006/relationships/image" Target="media/image14.jpeg"/><Relationship Id="rId28" Type="http://schemas.openxmlformats.org/officeDocument/2006/relationships/header" Target="header6.xml"/><Relationship Id="rId29" Type="http://schemas.openxmlformats.org/officeDocument/2006/relationships/image" Target="media/image15.jpeg"/><Relationship Id="rId30" Type="http://schemas.openxmlformats.org/officeDocument/2006/relationships/header" Target="header7.xml"/><Relationship Id="rId31" Type="http://schemas.openxmlformats.org/officeDocument/2006/relationships/header" Target="header8.xml"/><Relationship Id="rId32" Type="http://schemas.openxmlformats.org/officeDocument/2006/relationships/header" Target="header9.xml"/><Relationship Id="rId33" Type="http://schemas.openxmlformats.org/officeDocument/2006/relationships/header" Target="header10.xml"/><Relationship Id="rId34" Type="http://schemas.openxmlformats.org/officeDocument/2006/relationships/header" Target="header11.xml"/><Relationship Id="rId35" Type="http://schemas.openxmlformats.org/officeDocument/2006/relationships/header" Target="header12.xml"/><Relationship Id="rId3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2019-08-28T07:49:29Z</dcterms:created>
  <dcterms:modified xsi:type="dcterms:W3CDTF">2019-08-28T07:49:29Z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2019-08-28T00:00:00Z</vt:filetime>
  </property>
</Properties>
</file>