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Default Extension="png" ContentType="image/png"/>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7476" w:val="left" w:leader="none"/>
        </w:tabs>
        <w:spacing w:line="240" w:lineRule="auto"/>
        <w:ind w:left="108" w:right="0" w:firstLine="0"/>
        <w:rPr>
          <w:rFonts w:ascii="Times New Roman"/>
          <w:sz w:val="20"/>
        </w:rPr>
      </w:pPr>
      <w:r>
        <w:rPr>
          <w:rFonts w:ascii="Times New Roman"/>
          <w:sz w:val="20"/>
        </w:rPr>
        <w:drawing>
          <wp:inline distT="0" distB="0" distL="0" distR="0">
            <wp:extent cx="954140" cy="1001268"/>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954140" cy="1001268"/>
                    </a:xfrm>
                    <a:prstGeom prst="rect">
                      <a:avLst/>
                    </a:prstGeom>
                  </pic:spPr>
                </pic:pic>
              </a:graphicData>
            </a:graphic>
          </wp:inline>
        </w:drawing>
      </w:r>
      <w:r>
        <w:rPr>
          <w:rFonts w:ascii="Times New Roman"/>
          <w:sz w:val="20"/>
        </w:rPr>
      </w:r>
      <w:r>
        <w:rPr>
          <w:rFonts w:ascii="Times New Roman"/>
          <w:sz w:val="20"/>
        </w:rPr>
        <w:tab/>
      </w:r>
      <w:r>
        <w:rPr>
          <w:rFonts w:ascii="Times New Roman"/>
          <w:position w:val="2"/>
          <w:sz w:val="20"/>
        </w:rPr>
        <w:drawing>
          <wp:inline distT="0" distB="0" distL="0" distR="0">
            <wp:extent cx="987075" cy="987075"/>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987075" cy="987075"/>
                    </a:xfrm>
                    <a:prstGeom prst="rect">
                      <a:avLst/>
                    </a:prstGeom>
                  </pic:spPr>
                </pic:pic>
              </a:graphicData>
            </a:graphic>
          </wp:inline>
        </w:drawing>
      </w:r>
      <w:r>
        <w:rPr>
          <w:rFonts w:ascii="Times New Roman"/>
          <w:position w:val="2"/>
          <w:sz w:val="20"/>
        </w:rPr>
      </w:r>
    </w:p>
    <w:p>
      <w:pPr>
        <w:spacing w:before="1"/>
        <w:ind w:left="2902" w:right="2971" w:firstLine="1406"/>
        <w:jc w:val="left"/>
        <w:rPr>
          <w:b/>
          <w:sz w:val="24"/>
        </w:rPr>
      </w:pPr>
      <w:r>
        <w:rPr>
          <w:b/>
          <w:sz w:val="24"/>
        </w:rPr>
        <w:t>T.C. PAMUKKALE ÜNİVERSİTESİ</w:t>
      </w:r>
    </w:p>
    <w:p>
      <w:pPr>
        <w:spacing w:before="0"/>
        <w:ind w:left="2737" w:right="0" w:firstLine="0"/>
        <w:jc w:val="left"/>
        <w:rPr>
          <w:b/>
          <w:sz w:val="24"/>
        </w:rPr>
      </w:pPr>
      <w:r>
        <w:rPr>
          <w:b/>
          <w:sz w:val="24"/>
        </w:rPr>
        <w:t>SAĞLIK BİLİMLERİ ENSTİTÜSÜ</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6"/>
        </w:rPr>
      </w:pPr>
    </w:p>
    <w:p>
      <w:pPr>
        <w:spacing w:before="92"/>
        <w:ind w:left="3332" w:right="580" w:hanging="1733"/>
        <w:jc w:val="left"/>
        <w:rPr>
          <w:b/>
          <w:sz w:val="24"/>
        </w:rPr>
      </w:pPr>
      <w:r>
        <w:rPr>
          <w:b/>
          <w:sz w:val="24"/>
        </w:rPr>
        <w:t>FİZİK TEDAVİ VE REHABİLİTASYON ANABİLİM DALI YÜKSEK LİSANS TEZİ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0"/>
        </w:rPr>
      </w:pPr>
    </w:p>
    <w:p>
      <w:pPr>
        <w:spacing w:before="92"/>
        <w:ind w:left="1577" w:right="0" w:hanging="1323"/>
        <w:jc w:val="left"/>
        <w:rPr>
          <w:b/>
          <w:sz w:val="28"/>
        </w:rPr>
      </w:pPr>
      <w:r>
        <w:rPr>
          <w:b/>
          <w:sz w:val="28"/>
        </w:rPr>
        <w:t>KOLOREKTAL CERRAHİ GEÇİREN HASTALARDA EKSPİRATUAR KAS EĞİTİMİNİN ETKİNLİĞİNİN İNCELENMESİ</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24"/>
        </w:rPr>
      </w:pPr>
    </w:p>
    <w:p>
      <w:pPr>
        <w:spacing w:before="92"/>
        <w:ind w:left="3613" w:right="3577" w:firstLine="0"/>
        <w:jc w:val="center"/>
        <w:rPr>
          <w:b/>
          <w:sz w:val="28"/>
        </w:rPr>
      </w:pPr>
      <w:r>
        <w:rPr>
          <w:b/>
          <w:sz w:val="28"/>
        </w:rPr>
        <w:t>Erhan KIZMAZ</w:t>
      </w:r>
    </w:p>
    <w:p>
      <w:pPr>
        <w:pStyle w:val="BodyText"/>
        <w:rPr>
          <w:b/>
          <w:sz w:val="30"/>
        </w:rPr>
      </w:pPr>
    </w:p>
    <w:p>
      <w:pPr>
        <w:pStyle w:val="BodyText"/>
        <w:rPr>
          <w:b/>
          <w:sz w:val="30"/>
        </w:rPr>
      </w:pPr>
    </w:p>
    <w:p>
      <w:pPr>
        <w:pStyle w:val="BodyText"/>
        <w:rPr>
          <w:b/>
          <w:sz w:val="30"/>
        </w:rPr>
      </w:pPr>
    </w:p>
    <w:p>
      <w:pPr>
        <w:pStyle w:val="BodyText"/>
        <w:rPr>
          <w:b/>
          <w:sz w:val="30"/>
        </w:rPr>
      </w:pPr>
    </w:p>
    <w:p>
      <w:pPr>
        <w:spacing w:line="379" w:lineRule="auto" w:before="217"/>
        <w:ind w:left="3613" w:right="3570" w:firstLine="0"/>
        <w:jc w:val="center"/>
        <w:rPr>
          <w:b/>
          <w:sz w:val="24"/>
        </w:rPr>
      </w:pPr>
      <w:r>
        <w:rPr>
          <w:b/>
          <w:sz w:val="24"/>
        </w:rPr>
        <w:t>Temmuz 2019 Denizli</w:t>
      </w:r>
    </w:p>
    <w:p>
      <w:pPr>
        <w:spacing w:after="0" w:line="379" w:lineRule="auto"/>
        <w:jc w:val="center"/>
        <w:rPr>
          <w:sz w:val="24"/>
        </w:rPr>
        <w:sectPr>
          <w:type w:val="continuous"/>
          <w:pgSz w:w="11900" w:h="16850"/>
          <w:pgMar w:top="740" w:bottom="280" w:left="1680" w:right="1060"/>
        </w:sectPr>
      </w:pPr>
    </w:p>
    <w:p>
      <w:pPr>
        <w:spacing w:before="75"/>
        <w:ind w:left="2902" w:right="2971" w:firstLine="1406"/>
        <w:jc w:val="left"/>
        <w:rPr>
          <w:b/>
          <w:sz w:val="24"/>
        </w:rPr>
      </w:pPr>
      <w:r>
        <w:rPr>
          <w:b/>
          <w:sz w:val="24"/>
        </w:rPr>
        <w:t>T.C. PAMUKKALE ÜNİVERSİTESİ</w:t>
      </w:r>
    </w:p>
    <w:p>
      <w:pPr>
        <w:spacing w:before="0"/>
        <w:ind w:left="2737" w:right="0" w:firstLine="0"/>
        <w:jc w:val="left"/>
        <w:rPr>
          <w:b/>
          <w:sz w:val="24"/>
        </w:rPr>
      </w:pPr>
      <w:r>
        <w:rPr>
          <w:b/>
          <w:sz w:val="24"/>
        </w:rPr>
        <w:t>SAĞLIK BİLİMLERİ ENSTİTÜSÜ</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8"/>
        <w:rPr>
          <w:b/>
          <w:sz w:val="31"/>
        </w:rPr>
      </w:pPr>
    </w:p>
    <w:p>
      <w:pPr>
        <w:spacing w:before="0"/>
        <w:ind w:left="233" w:right="112" w:firstLine="0"/>
        <w:jc w:val="center"/>
        <w:rPr>
          <w:b/>
          <w:sz w:val="28"/>
        </w:rPr>
      </w:pPr>
      <w:r>
        <w:rPr>
          <w:b/>
          <w:sz w:val="28"/>
        </w:rPr>
        <w:t>KOLOREKTAL CERRAHİ GEÇİREN HASTALARDA EKSPİRATUAR KAS EĞİTİMİNİN ETKİNLİĞİNİN İNCELENMESİ</w:t>
      </w:r>
    </w:p>
    <w:p>
      <w:pPr>
        <w:pStyle w:val="BodyText"/>
        <w:rPr>
          <w:b/>
          <w:sz w:val="30"/>
        </w:rPr>
      </w:pPr>
    </w:p>
    <w:p>
      <w:pPr>
        <w:pStyle w:val="BodyText"/>
        <w:rPr>
          <w:b/>
          <w:sz w:val="30"/>
        </w:rPr>
      </w:pPr>
    </w:p>
    <w:p>
      <w:pPr>
        <w:pStyle w:val="BodyText"/>
        <w:rPr>
          <w:b/>
          <w:sz w:val="30"/>
        </w:rPr>
      </w:pPr>
    </w:p>
    <w:p>
      <w:pPr>
        <w:pStyle w:val="BodyText"/>
        <w:rPr>
          <w:b/>
          <w:sz w:val="30"/>
        </w:rPr>
      </w:pPr>
    </w:p>
    <w:p>
      <w:pPr>
        <w:pStyle w:val="BodyText"/>
        <w:rPr>
          <w:b/>
          <w:sz w:val="30"/>
        </w:rPr>
      </w:pPr>
    </w:p>
    <w:p>
      <w:pPr>
        <w:spacing w:before="204"/>
        <w:ind w:left="1578" w:right="1541" w:firstLine="0"/>
        <w:jc w:val="center"/>
        <w:rPr>
          <w:b/>
          <w:sz w:val="24"/>
        </w:rPr>
      </w:pPr>
      <w:r>
        <w:rPr>
          <w:b/>
          <w:sz w:val="24"/>
        </w:rPr>
        <w:t>FİZİK TEDAVİ VE REHABİLİTASYON ANABİLİM DALI YÜKSEK LİSANS TEZİ</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1"/>
        <w:rPr>
          <w:b/>
          <w:sz w:val="38"/>
        </w:rPr>
      </w:pPr>
    </w:p>
    <w:p>
      <w:pPr>
        <w:spacing w:before="0"/>
        <w:ind w:left="3613" w:right="3577" w:firstLine="0"/>
        <w:jc w:val="center"/>
        <w:rPr>
          <w:b/>
          <w:sz w:val="28"/>
        </w:rPr>
      </w:pPr>
      <w:r>
        <w:rPr>
          <w:b/>
          <w:sz w:val="28"/>
        </w:rPr>
        <w:t>Erhan KIZMAZ</w:t>
      </w:r>
    </w:p>
    <w:p>
      <w:pPr>
        <w:pStyle w:val="BodyText"/>
        <w:rPr>
          <w:b/>
          <w:sz w:val="30"/>
        </w:rPr>
      </w:pPr>
    </w:p>
    <w:p>
      <w:pPr>
        <w:pStyle w:val="BodyText"/>
        <w:rPr>
          <w:b/>
          <w:sz w:val="30"/>
        </w:rPr>
      </w:pPr>
    </w:p>
    <w:p>
      <w:pPr>
        <w:pStyle w:val="BodyText"/>
        <w:rPr>
          <w:b/>
          <w:sz w:val="30"/>
        </w:rPr>
      </w:pPr>
    </w:p>
    <w:p>
      <w:pPr>
        <w:pStyle w:val="BodyText"/>
        <w:rPr>
          <w:b/>
          <w:sz w:val="30"/>
        </w:rPr>
      </w:pPr>
    </w:p>
    <w:p>
      <w:pPr>
        <w:spacing w:before="227"/>
        <w:ind w:left="155" w:right="112" w:firstLine="0"/>
        <w:jc w:val="center"/>
        <w:rPr>
          <w:b/>
          <w:sz w:val="24"/>
        </w:rPr>
      </w:pPr>
      <w:r>
        <w:rPr>
          <w:b/>
          <w:sz w:val="24"/>
        </w:rPr>
        <w:t>Tez Danışmanı: Dr. Öğr. Üyesi Süleyman GÜRSOY</w:t>
      </w:r>
    </w:p>
    <w:p>
      <w:pPr>
        <w:pStyle w:val="BodyText"/>
        <w:rPr>
          <w:b/>
          <w:sz w:val="26"/>
        </w:rPr>
      </w:pPr>
    </w:p>
    <w:p>
      <w:pPr>
        <w:pStyle w:val="BodyText"/>
        <w:rPr>
          <w:b/>
          <w:sz w:val="26"/>
        </w:rPr>
      </w:pPr>
    </w:p>
    <w:p>
      <w:pPr>
        <w:pStyle w:val="BodyText"/>
        <w:rPr>
          <w:b/>
          <w:sz w:val="26"/>
        </w:rPr>
      </w:pPr>
    </w:p>
    <w:p>
      <w:pPr>
        <w:pStyle w:val="BodyText"/>
        <w:rPr>
          <w:b/>
          <w:sz w:val="26"/>
        </w:rPr>
      </w:pPr>
    </w:p>
    <w:p>
      <w:pPr>
        <w:pStyle w:val="BodyText"/>
        <w:rPr>
          <w:b/>
          <w:sz w:val="26"/>
        </w:rPr>
      </w:pPr>
    </w:p>
    <w:p>
      <w:pPr>
        <w:pStyle w:val="BodyText"/>
        <w:spacing w:before="10"/>
        <w:rPr>
          <w:b/>
          <w:sz w:val="24"/>
        </w:rPr>
      </w:pPr>
    </w:p>
    <w:p>
      <w:pPr>
        <w:pStyle w:val="Heading2"/>
        <w:ind w:left="3613" w:right="3571"/>
        <w:jc w:val="center"/>
      </w:pPr>
      <w:r>
        <w:rPr/>
        <w:t>Denizli, 2019</w:t>
      </w:r>
    </w:p>
    <w:p>
      <w:pPr>
        <w:spacing w:after="0"/>
        <w:jc w:val="center"/>
        <w:sectPr>
          <w:pgSz w:w="11900" w:h="16850"/>
          <w:pgMar w:top="1420" w:bottom="280" w:left="1680" w:right="1060"/>
        </w:sectPr>
      </w:pPr>
    </w:p>
    <w:p>
      <w:pPr>
        <w:pStyle w:val="BodyText"/>
        <w:spacing w:before="4"/>
        <w:rPr>
          <w:rFonts w:ascii="Times New Roman"/>
          <w:sz w:val="17"/>
        </w:rPr>
      </w:pPr>
      <w:r>
        <w:rPr/>
        <w:drawing>
          <wp:anchor distT="0" distB="0" distL="0" distR="0" allowOverlap="1" layoutInCell="1" locked="0" behindDoc="1" simplePos="0" relativeHeight="246349824">
            <wp:simplePos x="0" y="0"/>
            <wp:positionH relativeFrom="page">
              <wp:posOffset>159675</wp:posOffset>
            </wp:positionH>
            <wp:positionV relativeFrom="page">
              <wp:posOffset>0</wp:posOffset>
            </wp:positionV>
            <wp:extent cx="7237145" cy="10681206"/>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7237145" cy="10681206"/>
                    </a:xfrm>
                    <a:prstGeom prst="rect">
                      <a:avLst/>
                    </a:prstGeom>
                  </pic:spPr>
                </pic:pic>
              </a:graphicData>
            </a:graphic>
          </wp:anchor>
        </w:drawing>
      </w:r>
    </w:p>
    <w:p>
      <w:pPr>
        <w:spacing w:after="0"/>
        <w:rPr>
          <w:rFonts w:ascii="Times New Roman"/>
          <w:sz w:val="17"/>
        </w:rPr>
        <w:sectPr>
          <w:pgSz w:w="11900" w:h="16840"/>
          <w:pgMar w:top="1600" w:bottom="280" w:left="1680" w:right="1060"/>
        </w:sectPr>
      </w:pPr>
    </w:p>
    <w:p>
      <w:pPr>
        <w:pStyle w:val="BodyText"/>
        <w:spacing w:before="4"/>
        <w:rPr>
          <w:rFonts w:ascii="Times New Roman"/>
          <w:sz w:val="17"/>
        </w:rPr>
      </w:pPr>
      <w:r>
        <w:rPr/>
        <w:drawing>
          <wp:anchor distT="0" distB="0" distL="0" distR="0" allowOverlap="1" layoutInCell="1" locked="0" behindDoc="1" simplePos="0" relativeHeight="246350848">
            <wp:simplePos x="0" y="0"/>
            <wp:positionH relativeFrom="page">
              <wp:posOffset>189910</wp:posOffset>
            </wp:positionH>
            <wp:positionV relativeFrom="page">
              <wp:posOffset>0</wp:posOffset>
            </wp:positionV>
            <wp:extent cx="7170583" cy="10693400"/>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7170583" cy="10693400"/>
                    </a:xfrm>
                    <a:prstGeom prst="rect">
                      <a:avLst/>
                    </a:prstGeom>
                  </pic:spPr>
                </pic:pic>
              </a:graphicData>
            </a:graphic>
          </wp:anchor>
        </w:drawing>
      </w:r>
    </w:p>
    <w:p>
      <w:pPr>
        <w:spacing w:after="0"/>
        <w:rPr>
          <w:rFonts w:ascii="Times New Roman"/>
          <w:sz w:val="17"/>
        </w:rPr>
        <w:sectPr>
          <w:pgSz w:w="11900" w:h="16840"/>
          <w:pgMar w:top="1600" w:bottom="280" w:left="1680" w:right="1060"/>
        </w:sectPr>
      </w:pPr>
    </w:p>
    <w:p>
      <w:pPr>
        <w:pStyle w:val="Heading2"/>
        <w:spacing w:before="165"/>
        <w:ind w:left="682" w:right="386"/>
        <w:jc w:val="center"/>
      </w:pPr>
      <w:bookmarkStart w:name="_bookmark0" w:id="1"/>
      <w:bookmarkEnd w:id="1"/>
      <w:r>
        <w:rPr>
          <w:b w:val="0"/>
        </w:rPr>
      </w:r>
      <w:r>
        <w:rPr/>
        <w:t>ÖZET</w:t>
      </w:r>
    </w:p>
    <w:p>
      <w:pPr>
        <w:spacing w:line="357" w:lineRule="auto" w:before="126"/>
        <w:ind w:left="677" w:right="389" w:firstLine="0"/>
        <w:jc w:val="center"/>
        <w:rPr>
          <w:b/>
          <w:sz w:val="22"/>
        </w:rPr>
      </w:pPr>
      <w:r>
        <w:rPr>
          <w:b/>
          <w:sz w:val="22"/>
        </w:rPr>
        <w:t>KOLOREKTAL CERRAHİ GEÇİREN HASTALARDA EKSPİRATUAR KAS EĞİTİMİNİN ETKİNLİĞİNİN İNCELENMESİ</w:t>
      </w:r>
    </w:p>
    <w:p>
      <w:pPr>
        <w:pStyle w:val="BodyText"/>
        <w:spacing w:before="168"/>
        <w:ind w:left="682" w:right="389"/>
        <w:jc w:val="center"/>
      </w:pPr>
      <w:r>
        <w:rPr/>
        <w:t>Erhan KIZMAZ</w:t>
      </w:r>
    </w:p>
    <w:p>
      <w:pPr>
        <w:pStyle w:val="BodyText"/>
        <w:spacing w:line="360" w:lineRule="auto" w:before="126"/>
        <w:ind w:left="2161" w:right="1867"/>
        <w:jc w:val="center"/>
      </w:pPr>
      <w:r>
        <w:rPr/>
        <w:t>Yüksek Lisans Tezi, Fizik Tedavi ve Rehabilitasyon AD Tez Yöneticisi: Dr. Öğr. Üyesi Süleyman GÜRSOY</w:t>
      </w:r>
    </w:p>
    <w:p>
      <w:pPr>
        <w:pStyle w:val="BodyText"/>
        <w:spacing w:before="2"/>
        <w:rPr>
          <w:sz w:val="33"/>
        </w:rPr>
      </w:pPr>
    </w:p>
    <w:p>
      <w:pPr>
        <w:pStyle w:val="BodyText"/>
        <w:ind w:left="682" w:right="385"/>
        <w:jc w:val="center"/>
      </w:pPr>
      <w:r>
        <w:rPr/>
        <w:t>Temmuz 2019, 54 Sayfa</w:t>
      </w:r>
    </w:p>
    <w:p>
      <w:pPr>
        <w:pStyle w:val="BodyText"/>
        <w:spacing w:before="10"/>
        <w:rPr>
          <w:sz w:val="32"/>
        </w:rPr>
      </w:pPr>
    </w:p>
    <w:p>
      <w:pPr>
        <w:pStyle w:val="BodyText"/>
        <w:spacing w:line="360" w:lineRule="auto"/>
        <w:ind w:left="588" w:right="287" w:firstLine="708"/>
        <w:jc w:val="both"/>
      </w:pPr>
      <w:r>
        <w:rPr/>
        <w:t>Bu çalışmanın amacı, Kolorektal cerrahi geçirmiş hastalarda konvansiyonel göğüs fizyoterapisine ek olarak uygulanan ekspiratuar kas eğitiminin (EMT) etkinliğini incelemektir. Çalışmaya kolorektal cerrahi geçiren 24 birey (13 erkek, 11 kadın) dahil edilmiştir. Randomize olarak (ÇG yaş ortalaması 61,75±7,4 yıl KG yaş ortalaması 56,42±12,5 yıl) iki gruba ayrıldı. Çalışma grubuna (n=12) konvansiyonel göğüs fizyoterapisine ek olarak günde 6 kez, haftada 5 gün olmak üzere EMT postoperatif dönemde</w:t>
      </w:r>
      <w:r>
        <w:rPr>
          <w:spacing w:val="-9"/>
        </w:rPr>
        <w:t> </w:t>
      </w:r>
      <w:r>
        <w:rPr/>
        <w:t>uygulandı.</w:t>
      </w:r>
      <w:r>
        <w:rPr>
          <w:spacing w:val="-6"/>
        </w:rPr>
        <w:t> </w:t>
      </w:r>
      <w:r>
        <w:rPr/>
        <w:t>Kontrol</w:t>
      </w:r>
      <w:r>
        <w:rPr>
          <w:spacing w:val="-11"/>
        </w:rPr>
        <w:t> </w:t>
      </w:r>
      <w:r>
        <w:rPr/>
        <w:t>grubuna</w:t>
      </w:r>
      <w:r>
        <w:rPr>
          <w:spacing w:val="-7"/>
        </w:rPr>
        <w:t> </w:t>
      </w:r>
      <w:r>
        <w:rPr/>
        <w:t>(n=12)</w:t>
      </w:r>
      <w:r>
        <w:rPr>
          <w:spacing w:val="-10"/>
        </w:rPr>
        <w:t> </w:t>
      </w:r>
      <w:r>
        <w:rPr/>
        <w:t>ise</w:t>
      </w:r>
      <w:r>
        <w:rPr>
          <w:spacing w:val="-10"/>
        </w:rPr>
        <w:t> </w:t>
      </w:r>
      <w:r>
        <w:rPr/>
        <w:t>konvansiyonel</w:t>
      </w:r>
      <w:r>
        <w:rPr>
          <w:spacing w:val="-8"/>
        </w:rPr>
        <w:t> </w:t>
      </w:r>
      <w:r>
        <w:rPr/>
        <w:t>göğüs</w:t>
      </w:r>
      <w:r>
        <w:rPr>
          <w:spacing w:val="-12"/>
        </w:rPr>
        <w:t> </w:t>
      </w:r>
      <w:r>
        <w:rPr/>
        <w:t>fizyoterapisine</w:t>
      </w:r>
      <w:r>
        <w:rPr>
          <w:spacing w:val="-8"/>
        </w:rPr>
        <w:t> </w:t>
      </w:r>
      <w:r>
        <w:rPr/>
        <w:t>ek olarak insentif spirometre (İS) ile derin solunum egzersizleri günde 6 kez, haftada 5 gün olarak postoperatif dönemde uygulandı. Tedaviye taburcu olana kadar devam edildi. Tüm</w:t>
      </w:r>
      <w:r>
        <w:rPr>
          <w:spacing w:val="-17"/>
        </w:rPr>
        <w:t> </w:t>
      </w:r>
      <w:r>
        <w:rPr/>
        <w:t>bireylerin</w:t>
      </w:r>
      <w:r>
        <w:rPr>
          <w:spacing w:val="-17"/>
        </w:rPr>
        <w:t> </w:t>
      </w:r>
      <w:r>
        <w:rPr/>
        <w:t>preoperatif,</w:t>
      </w:r>
      <w:r>
        <w:rPr>
          <w:spacing w:val="-17"/>
        </w:rPr>
        <w:t> </w:t>
      </w:r>
      <w:r>
        <w:rPr/>
        <w:t>postoperatif</w:t>
      </w:r>
      <w:r>
        <w:rPr>
          <w:spacing w:val="-17"/>
        </w:rPr>
        <w:t> </w:t>
      </w:r>
      <w:r>
        <w:rPr/>
        <w:t>ve</w:t>
      </w:r>
      <w:r>
        <w:rPr>
          <w:spacing w:val="-18"/>
        </w:rPr>
        <w:t> </w:t>
      </w:r>
      <w:r>
        <w:rPr/>
        <w:t>taburculuk</w:t>
      </w:r>
      <w:r>
        <w:rPr>
          <w:spacing w:val="-18"/>
        </w:rPr>
        <w:t> </w:t>
      </w:r>
      <w:r>
        <w:rPr/>
        <w:t>öncesinde</w:t>
      </w:r>
      <w:r>
        <w:rPr>
          <w:spacing w:val="-18"/>
        </w:rPr>
        <w:t> </w:t>
      </w:r>
      <w:r>
        <w:rPr/>
        <w:t>solunum</w:t>
      </w:r>
      <w:r>
        <w:rPr>
          <w:spacing w:val="-19"/>
        </w:rPr>
        <w:t> </w:t>
      </w:r>
      <w:r>
        <w:rPr/>
        <w:t>kas</w:t>
      </w:r>
      <w:r>
        <w:rPr>
          <w:spacing w:val="-19"/>
        </w:rPr>
        <w:t> </w:t>
      </w:r>
      <w:r>
        <w:rPr/>
        <w:t>gücü</w:t>
      </w:r>
      <w:r>
        <w:rPr>
          <w:spacing w:val="-21"/>
        </w:rPr>
        <w:t> </w:t>
      </w:r>
      <w:r>
        <w:rPr/>
        <w:t>(MİP- MEP), fonksiyonel kapasite (6DYT), süreklilik ve durumluluk kaygı düzeyi (STAI) değerlendirilirken</w:t>
      </w:r>
      <w:r>
        <w:rPr>
          <w:spacing w:val="-15"/>
        </w:rPr>
        <w:t> </w:t>
      </w:r>
      <w:r>
        <w:rPr/>
        <w:t>postoperatif</w:t>
      </w:r>
      <w:r>
        <w:rPr>
          <w:spacing w:val="-9"/>
        </w:rPr>
        <w:t> </w:t>
      </w:r>
      <w:r>
        <w:rPr/>
        <w:t>ve</w:t>
      </w:r>
      <w:r>
        <w:rPr>
          <w:spacing w:val="-14"/>
        </w:rPr>
        <w:t> </w:t>
      </w:r>
      <w:r>
        <w:rPr/>
        <w:t>taburculuk</w:t>
      </w:r>
      <w:r>
        <w:rPr>
          <w:spacing w:val="-12"/>
        </w:rPr>
        <w:t> </w:t>
      </w:r>
      <w:r>
        <w:rPr/>
        <w:t>öncesi</w:t>
      </w:r>
      <w:r>
        <w:rPr>
          <w:spacing w:val="-15"/>
        </w:rPr>
        <w:t> </w:t>
      </w:r>
      <w:r>
        <w:rPr/>
        <w:t>hareket</w:t>
      </w:r>
      <w:r>
        <w:rPr>
          <w:spacing w:val="-16"/>
        </w:rPr>
        <w:t> </w:t>
      </w:r>
      <w:r>
        <w:rPr/>
        <w:t>ve</w:t>
      </w:r>
      <w:r>
        <w:rPr>
          <w:spacing w:val="-14"/>
        </w:rPr>
        <w:t> </w:t>
      </w:r>
      <w:r>
        <w:rPr/>
        <w:t>bağımsızlık</w:t>
      </w:r>
      <w:r>
        <w:rPr>
          <w:spacing w:val="-12"/>
        </w:rPr>
        <w:t> </w:t>
      </w:r>
      <w:r>
        <w:rPr/>
        <w:t>düzeyi</w:t>
      </w:r>
      <w:r>
        <w:rPr>
          <w:spacing w:val="-15"/>
        </w:rPr>
        <w:t> </w:t>
      </w:r>
      <w:r>
        <w:rPr/>
        <w:t>(hasta hareketlilik ve gözlemci hareketlilik ölçeği), PPK (Melbourne grup skalası versiyon 2) postoperatif dönemde değerlendirildi. Hastanede kalış süreleri kaydedildi. Cerrahi sonrası azalan solunum kas gücünün tedavi sonrası her iki grupta da arttığı (p&lt;0,05) ancak</w:t>
      </w:r>
      <w:r>
        <w:rPr>
          <w:spacing w:val="-8"/>
        </w:rPr>
        <w:t> </w:t>
      </w:r>
      <w:r>
        <w:rPr/>
        <w:t>iki</w:t>
      </w:r>
      <w:r>
        <w:rPr>
          <w:spacing w:val="-11"/>
        </w:rPr>
        <w:t> </w:t>
      </w:r>
      <w:r>
        <w:rPr/>
        <w:t>grup</w:t>
      </w:r>
      <w:r>
        <w:rPr>
          <w:spacing w:val="-11"/>
        </w:rPr>
        <w:t> </w:t>
      </w:r>
      <w:r>
        <w:rPr/>
        <w:t>arasında</w:t>
      </w:r>
      <w:r>
        <w:rPr>
          <w:spacing w:val="-10"/>
        </w:rPr>
        <w:t> </w:t>
      </w:r>
      <w:r>
        <w:rPr/>
        <w:t>fark</w:t>
      </w:r>
      <w:r>
        <w:rPr>
          <w:spacing w:val="-5"/>
        </w:rPr>
        <w:t> </w:t>
      </w:r>
      <w:r>
        <w:rPr/>
        <w:t>olmadığı</w:t>
      </w:r>
      <w:r>
        <w:rPr>
          <w:spacing w:val="-12"/>
        </w:rPr>
        <w:t> </w:t>
      </w:r>
      <w:r>
        <w:rPr/>
        <w:t>belirlendi</w:t>
      </w:r>
      <w:r>
        <w:rPr>
          <w:spacing w:val="-8"/>
        </w:rPr>
        <w:t> </w:t>
      </w:r>
      <w:r>
        <w:rPr/>
        <w:t>(p&gt;0,05).</w:t>
      </w:r>
      <w:r>
        <w:rPr>
          <w:spacing w:val="-7"/>
        </w:rPr>
        <w:t> </w:t>
      </w:r>
      <w:r>
        <w:rPr/>
        <w:t>Fonksiyonel</w:t>
      </w:r>
      <w:r>
        <w:rPr>
          <w:spacing w:val="-8"/>
        </w:rPr>
        <w:t> </w:t>
      </w:r>
      <w:r>
        <w:rPr/>
        <w:t>kapasitenin</w:t>
      </w:r>
      <w:r>
        <w:rPr>
          <w:spacing w:val="-8"/>
        </w:rPr>
        <w:t> </w:t>
      </w:r>
      <w:r>
        <w:rPr/>
        <w:t>her</w:t>
      </w:r>
      <w:r>
        <w:rPr>
          <w:spacing w:val="-6"/>
        </w:rPr>
        <w:t> </w:t>
      </w:r>
      <w:r>
        <w:rPr/>
        <w:t>iki grupta da azaldığı, tedaviye rağmen preoperatif düzeye ulaşmadığı ve gruplar arasında bir</w:t>
      </w:r>
      <w:r>
        <w:rPr>
          <w:spacing w:val="-14"/>
        </w:rPr>
        <w:t> </w:t>
      </w:r>
      <w:r>
        <w:rPr/>
        <w:t>farklılığın</w:t>
      </w:r>
      <w:r>
        <w:rPr>
          <w:spacing w:val="-12"/>
        </w:rPr>
        <w:t> </w:t>
      </w:r>
      <w:r>
        <w:rPr/>
        <w:t>olmadığı</w:t>
      </w:r>
      <w:r>
        <w:rPr>
          <w:spacing w:val="-15"/>
        </w:rPr>
        <w:t> </w:t>
      </w:r>
      <w:r>
        <w:rPr/>
        <w:t>gözlendi</w:t>
      </w:r>
      <w:r>
        <w:rPr>
          <w:spacing w:val="-13"/>
        </w:rPr>
        <w:t> </w:t>
      </w:r>
      <w:r>
        <w:rPr/>
        <w:t>(p&gt;0,05).</w:t>
      </w:r>
      <w:r>
        <w:rPr>
          <w:spacing w:val="-13"/>
        </w:rPr>
        <w:t> </w:t>
      </w:r>
      <w:r>
        <w:rPr/>
        <w:t>Bireylerin</w:t>
      </w:r>
      <w:r>
        <w:rPr>
          <w:spacing w:val="-11"/>
        </w:rPr>
        <w:t> </w:t>
      </w:r>
      <w:r>
        <w:rPr/>
        <w:t>kaygı</w:t>
      </w:r>
      <w:r>
        <w:rPr>
          <w:spacing w:val="-16"/>
        </w:rPr>
        <w:t> </w:t>
      </w:r>
      <w:r>
        <w:rPr/>
        <w:t>düzeyleri</w:t>
      </w:r>
      <w:r>
        <w:rPr>
          <w:spacing w:val="-12"/>
        </w:rPr>
        <w:t> </w:t>
      </w:r>
      <w:r>
        <w:rPr/>
        <w:t>iki</w:t>
      </w:r>
      <w:r>
        <w:rPr>
          <w:spacing w:val="-14"/>
        </w:rPr>
        <w:t> </w:t>
      </w:r>
      <w:r>
        <w:rPr/>
        <w:t>grupta</w:t>
      </w:r>
      <w:r>
        <w:rPr>
          <w:spacing w:val="-12"/>
        </w:rPr>
        <w:t> </w:t>
      </w:r>
      <w:r>
        <w:rPr/>
        <w:t>da</w:t>
      </w:r>
      <w:r>
        <w:rPr>
          <w:spacing w:val="-13"/>
        </w:rPr>
        <w:t> </w:t>
      </w:r>
      <w:r>
        <w:rPr/>
        <w:t>benzerdi (p&gt;0,05). Hiçbir bireyde PPK gelişmedi ve grupların hastanede kalış süreleri birbiriyle benzerdi (p&gt;0,05). Hareketlilik ve bağımsızlık düzeyleri her iki grupta da taburculuk döneminde iyileşti (p&gt;0,05) ancak iki grup arasında farklılık yoktu (p&gt;0,05). Çalışmamızın sonuçları kolorektal cerrahi geçiren bireylerde konvansiyonel göğüs fizyoterapisine ek olarak İS ve EMT’nin solunum kas gücünü geliştirdiği, yan etkilerinin olmadığı ve birbirinin alternatifi olarak klinikte rahatlıkla kullanılabileceğini</w:t>
      </w:r>
      <w:r>
        <w:rPr>
          <w:spacing w:val="-29"/>
        </w:rPr>
        <w:t> </w:t>
      </w:r>
      <w:r>
        <w:rPr/>
        <w:t>gösterdi.</w:t>
      </w:r>
    </w:p>
    <w:p>
      <w:pPr>
        <w:pStyle w:val="BodyText"/>
        <w:spacing w:before="2"/>
        <w:rPr>
          <w:sz w:val="33"/>
        </w:rPr>
      </w:pPr>
    </w:p>
    <w:p>
      <w:pPr>
        <w:pStyle w:val="BodyText"/>
        <w:ind w:left="588"/>
      </w:pPr>
      <w:r>
        <w:rPr/>
        <w:t>Anahtar Kelimler: Kolorektal Cerrahi, Ekspiratuar Kas Eğitimi, Pulmoner Fizyoterapi</w:t>
      </w:r>
    </w:p>
    <w:p>
      <w:pPr>
        <w:spacing w:after="0"/>
        <w:sectPr>
          <w:headerReference w:type="default" r:id="rId9"/>
          <w:pgSz w:w="11910" w:h="16840"/>
          <w:pgMar w:header="749" w:footer="0" w:top="1320" w:bottom="280" w:left="1680" w:right="840"/>
          <w:pgNumType w:start="1"/>
        </w:sectPr>
      </w:pPr>
    </w:p>
    <w:p>
      <w:pPr>
        <w:pStyle w:val="Heading2"/>
        <w:spacing w:before="86"/>
        <w:ind w:left="681" w:right="389"/>
        <w:jc w:val="center"/>
      </w:pPr>
      <w:bookmarkStart w:name="_bookmark1" w:id="2"/>
      <w:bookmarkEnd w:id="2"/>
      <w:r>
        <w:rPr>
          <w:b w:val="0"/>
        </w:rPr>
      </w:r>
      <w:r>
        <w:rPr/>
        <w:t>ABSTRACT</w:t>
      </w:r>
    </w:p>
    <w:p>
      <w:pPr>
        <w:pStyle w:val="BodyText"/>
        <w:spacing w:before="5"/>
        <w:rPr>
          <w:b/>
          <w:sz w:val="21"/>
        </w:rPr>
      </w:pPr>
    </w:p>
    <w:p>
      <w:pPr>
        <w:spacing w:line="360" w:lineRule="auto" w:before="0"/>
        <w:ind w:left="682" w:right="389" w:firstLine="0"/>
        <w:jc w:val="center"/>
        <w:rPr>
          <w:b/>
          <w:sz w:val="22"/>
        </w:rPr>
      </w:pPr>
      <w:r>
        <w:rPr>
          <w:b/>
          <w:sz w:val="22"/>
        </w:rPr>
        <w:t>ANALAYZING OF THE EFFECTİVENESS OF EKSPIRATORY MUSCLE TRAINING AFTER COLORECTAL SURGERY</w:t>
      </w:r>
    </w:p>
    <w:p>
      <w:pPr>
        <w:pStyle w:val="BodyText"/>
        <w:spacing w:before="122"/>
        <w:ind w:left="681" w:right="389"/>
        <w:jc w:val="center"/>
      </w:pPr>
      <w:r>
        <w:rPr/>
        <w:t>KIZMAZ, Erhan</w:t>
      </w:r>
    </w:p>
    <w:p>
      <w:pPr>
        <w:pStyle w:val="BodyText"/>
        <w:spacing w:before="4"/>
        <w:rPr>
          <w:sz w:val="21"/>
        </w:rPr>
      </w:pPr>
    </w:p>
    <w:p>
      <w:pPr>
        <w:pStyle w:val="BodyText"/>
        <w:spacing w:line="472" w:lineRule="auto"/>
        <w:ind w:left="2792" w:right="1236" w:hanging="1249"/>
      </w:pPr>
      <w:r>
        <w:rPr/>
        <w:t>M. Sc. Thesis in Department of Physical Therapy and Rehabilitation Supervisor: Süleyman GÜRSOY (Pt, Phd)</w:t>
      </w:r>
    </w:p>
    <w:p>
      <w:pPr>
        <w:pStyle w:val="BodyText"/>
        <w:spacing w:before="4"/>
        <w:ind w:left="682" w:right="385"/>
        <w:jc w:val="center"/>
      </w:pPr>
      <w:r>
        <w:rPr/>
        <w:t>July 2019, 54 pages</w:t>
      </w:r>
    </w:p>
    <w:p>
      <w:pPr>
        <w:pStyle w:val="BodyText"/>
        <w:rPr>
          <w:sz w:val="24"/>
        </w:rPr>
      </w:pPr>
    </w:p>
    <w:p>
      <w:pPr>
        <w:pStyle w:val="BodyText"/>
        <w:spacing w:before="5"/>
        <w:rPr>
          <w:sz w:val="25"/>
        </w:rPr>
      </w:pPr>
    </w:p>
    <w:p>
      <w:pPr>
        <w:pStyle w:val="BodyText"/>
        <w:spacing w:line="360" w:lineRule="auto"/>
        <w:ind w:left="588" w:right="286" w:firstLine="708"/>
        <w:jc w:val="both"/>
      </w:pPr>
      <w:r>
        <w:rPr/>
        <w:t>The aim of this study was to analyze the effectiveness of expiratory muscle training (EMT) in addition to convantional chest physiotherapy after colorectal surgery. 24</w:t>
      </w:r>
      <w:r>
        <w:rPr>
          <w:spacing w:val="-7"/>
        </w:rPr>
        <w:t> </w:t>
      </w:r>
      <w:r>
        <w:rPr/>
        <w:t>individuals</w:t>
      </w:r>
      <w:r>
        <w:rPr>
          <w:spacing w:val="-6"/>
        </w:rPr>
        <w:t> </w:t>
      </w:r>
      <w:r>
        <w:rPr/>
        <w:t>(13</w:t>
      </w:r>
      <w:r>
        <w:rPr>
          <w:spacing w:val="-9"/>
        </w:rPr>
        <w:t> </w:t>
      </w:r>
      <w:r>
        <w:rPr/>
        <w:t>male,</w:t>
      </w:r>
      <w:r>
        <w:rPr>
          <w:spacing w:val="-9"/>
        </w:rPr>
        <w:t> </w:t>
      </w:r>
      <w:r>
        <w:rPr/>
        <w:t>11</w:t>
      </w:r>
      <w:r>
        <w:rPr>
          <w:spacing w:val="-9"/>
        </w:rPr>
        <w:t> </w:t>
      </w:r>
      <w:r>
        <w:rPr/>
        <w:t>female)</w:t>
      </w:r>
      <w:r>
        <w:rPr>
          <w:spacing w:val="-8"/>
        </w:rPr>
        <w:t> </w:t>
      </w:r>
      <w:r>
        <w:rPr/>
        <w:t>undergoing</w:t>
      </w:r>
      <w:r>
        <w:rPr>
          <w:spacing w:val="-6"/>
        </w:rPr>
        <w:t> </w:t>
      </w:r>
      <w:r>
        <w:rPr/>
        <w:t>colorectal</w:t>
      </w:r>
      <w:r>
        <w:rPr>
          <w:spacing w:val="-10"/>
        </w:rPr>
        <w:t> </w:t>
      </w:r>
      <w:r>
        <w:rPr/>
        <w:t>surgery</w:t>
      </w:r>
      <w:r>
        <w:rPr>
          <w:spacing w:val="-8"/>
        </w:rPr>
        <w:t> </w:t>
      </w:r>
      <w:r>
        <w:rPr/>
        <w:t>were</w:t>
      </w:r>
      <w:r>
        <w:rPr>
          <w:spacing w:val="-5"/>
        </w:rPr>
        <w:t> </w:t>
      </w:r>
      <w:r>
        <w:rPr/>
        <w:t>included</w:t>
      </w:r>
      <w:r>
        <w:rPr>
          <w:spacing w:val="-7"/>
        </w:rPr>
        <w:t> </w:t>
      </w:r>
      <w:r>
        <w:rPr/>
        <w:t>into</w:t>
      </w:r>
      <w:r>
        <w:rPr>
          <w:spacing w:val="-8"/>
        </w:rPr>
        <w:t> </w:t>
      </w:r>
      <w:r>
        <w:rPr/>
        <w:t>the study.</w:t>
      </w:r>
      <w:r>
        <w:rPr>
          <w:spacing w:val="-5"/>
        </w:rPr>
        <w:t> </w:t>
      </w:r>
      <w:r>
        <w:rPr/>
        <w:t>The</w:t>
      </w:r>
      <w:r>
        <w:rPr>
          <w:spacing w:val="-5"/>
        </w:rPr>
        <w:t> </w:t>
      </w:r>
      <w:r>
        <w:rPr/>
        <w:t>individuals</w:t>
      </w:r>
      <w:r>
        <w:rPr>
          <w:spacing w:val="-4"/>
        </w:rPr>
        <w:t> </w:t>
      </w:r>
      <w:r>
        <w:rPr/>
        <w:t>were</w:t>
      </w:r>
      <w:r>
        <w:rPr>
          <w:spacing w:val="-4"/>
        </w:rPr>
        <w:t> </w:t>
      </w:r>
      <w:r>
        <w:rPr/>
        <w:t>divided</w:t>
      </w:r>
      <w:r>
        <w:rPr>
          <w:spacing w:val="-4"/>
        </w:rPr>
        <w:t> </w:t>
      </w:r>
      <w:r>
        <w:rPr/>
        <w:t>into</w:t>
      </w:r>
      <w:r>
        <w:rPr>
          <w:spacing w:val="-3"/>
        </w:rPr>
        <w:t> </w:t>
      </w:r>
      <w:r>
        <w:rPr/>
        <w:t>two</w:t>
      </w:r>
      <w:r>
        <w:rPr>
          <w:spacing w:val="-6"/>
        </w:rPr>
        <w:t> </w:t>
      </w:r>
      <w:r>
        <w:rPr/>
        <w:t>groups</w:t>
      </w:r>
      <w:r>
        <w:rPr>
          <w:spacing w:val="-4"/>
        </w:rPr>
        <w:t> </w:t>
      </w:r>
      <w:r>
        <w:rPr/>
        <w:t>(SG</w:t>
      </w:r>
      <w:r>
        <w:rPr>
          <w:spacing w:val="-5"/>
        </w:rPr>
        <w:t> </w:t>
      </w:r>
      <w:r>
        <w:rPr/>
        <w:t>mean</w:t>
      </w:r>
      <w:r>
        <w:rPr>
          <w:spacing w:val="-4"/>
        </w:rPr>
        <w:t> </w:t>
      </w:r>
      <w:r>
        <w:rPr/>
        <w:t>age</w:t>
      </w:r>
      <w:r>
        <w:rPr>
          <w:spacing w:val="-6"/>
        </w:rPr>
        <w:t> </w:t>
      </w:r>
      <w:r>
        <w:rPr/>
        <w:t>61,75±7,4</w:t>
      </w:r>
      <w:r>
        <w:rPr>
          <w:spacing w:val="-4"/>
        </w:rPr>
        <w:t> </w:t>
      </w:r>
      <w:r>
        <w:rPr/>
        <w:t>years,</w:t>
      </w:r>
      <w:r>
        <w:rPr>
          <w:spacing w:val="-5"/>
        </w:rPr>
        <w:t> </w:t>
      </w:r>
      <w:r>
        <w:rPr/>
        <w:t>KG mean age 56,42±12,5 years) randomly. The individuals who were in intervention group (n=12) in addition to conventional chest physiotherapy, expiratory muscle training was performed 6 times a day and 5 times a week during the postoperative period. In the control group (n = 12), in addition to conventional chest physiotherapy, deep breathing exercises</w:t>
      </w:r>
      <w:r>
        <w:rPr>
          <w:spacing w:val="-13"/>
        </w:rPr>
        <w:t> </w:t>
      </w:r>
      <w:r>
        <w:rPr/>
        <w:t>with</w:t>
      </w:r>
      <w:r>
        <w:rPr>
          <w:spacing w:val="-13"/>
        </w:rPr>
        <w:t> </w:t>
      </w:r>
      <w:r>
        <w:rPr/>
        <w:t>incentive</w:t>
      </w:r>
      <w:r>
        <w:rPr>
          <w:spacing w:val="-12"/>
        </w:rPr>
        <w:t> </w:t>
      </w:r>
      <w:r>
        <w:rPr/>
        <w:t>spirometry</w:t>
      </w:r>
      <w:r>
        <w:rPr>
          <w:spacing w:val="-14"/>
        </w:rPr>
        <w:t> </w:t>
      </w:r>
      <w:r>
        <w:rPr/>
        <w:t>(IC)</w:t>
      </w:r>
      <w:r>
        <w:rPr>
          <w:spacing w:val="-14"/>
        </w:rPr>
        <w:t> </w:t>
      </w:r>
      <w:r>
        <w:rPr/>
        <w:t>were</w:t>
      </w:r>
      <w:r>
        <w:rPr>
          <w:spacing w:val="-12"/>
        </w:rPr>
        <w:t> </w:t>
      </w:r>
      <w:r>
        <w:rPr/>
        <w:t>performed</w:t>
      </w:r>
      <w:r>
        <w:rPr>
          <w:spacing w:val="-16"/>
        </w:rPr>
        <w:t> </w:t>
      </w:r>
      <w:r>
        <w:rPr/>
        <w:t>6</w:t>
      </w:r>
      <w:r>
        <w:rPr>
          <w:spacing w:val="-15"/>
        </w:rPr>
        <w:t> </w:t>
      </w:r>
      <w:r>
        <w:rPr/>
        <w:t>times</w:t>
      </w:r>
      <w:r>
        <w:rPr>
          <w:spacing w:val="-16"/>
        </w:rPr>
        <w:t> </w:t>
      </w:r>
      <w:r>
        <w:rPr/>
        <w:t>a</w:t>
      </w:r>
      <w:r>
        <w:rPr>
          <w:spacing w:val="-12"/>
        </w:rPr>
        <w:t> </w:t>
      </w:r>
      <w:r>
        <w:rPr/>
        <w:t>day</w:t>
      </w:r>
      <w:r>
        <w:rPr>
          <w:spacing w:val="-16"/>
        </w:rPr>
        <w:t> </w:t>
      </w:r>
      <w:r>
        <w:rPr/>
        <w:t>and</w:t>
      </w:r>
      <w:r>
        <w:rPr>
          <w:spacing w:val="-16"/>
        </w:rPr>
        <w:t> </w:t>
      </w:r>
      <w:r>
        <w:rPr/>
        <w:t>5</w:t>
      </w:r>
      <w:r>
        <w:rPr>
          <w:spacing w:val="-18"/>
        </w:rPr>
        <w:t> </w:t>
      </w:r>
      <w:r>
        <w:rPr/>
        <w:t>days</w:t>
      </w:r>
      <w:r>
        <w:rPr>
          <w:spacing w:val="-13"/>
        </w:rPr>
        <w:t> </w:t>
      </w:r>
      <w:r>
        <w:rPr/>
        <w:t>a</w:t>
      </w:r>
      <w:r>
        <w:rPr>
          <w:spacing w:val="-12"/>
        </w:rPr>
        <w:t> </w:t>
      </w:r>
      <w:r>
        <w:rPr/>
        <w:t>week in the postoperative period. Treatment continued until discharge. Preoperative, postoperative and pre-discharge respiratory muscle strength (MIP-MEP), functional capacity (6MWT), state and trait anxiety level (STAI) of all individuals were evaluated, the level of movement and independence (patient mobility and observer mobility scale) were evaluated postoperative and pre-discharge period, Postoperatif pulmonary complications (PPC) (Melbourne group scale version 2) was evaluated postoperatively. Duration of hospital stay was recorded. Respiratory muscle strength which decreased after surgery, increased in both groups (p &lt;0.05) but no difference was found between the two groups (p&gt; 0.05). Functional capacity decreased in both groups, did not reach preoperative level despite treatment and there was no difference between the groups (p&gt; 0.05). The anxiety levels of the individuals were similar in both groups (p&gt; 0.05). None of the patients developed PPC and the duration of hospital stay was similar (p&gt; 0.05). Mobility and independence levels improved in both groups during discharge (p&gt; 0.05), but there was no difference between the two groups (p&gt; 0.05). The results of our study</w:t>
      </w:r>
      <w:r>
        <w:rPr>
          <w:spacing w:val="-16"/>
        </w:rPr>
        <w:t> </w:t>
      </w:r>
      <w:r>
        <w:rPr/>
        <w:t>showed</w:t>
      </w:r>
      <w:r>
        <w:rPr>
          <w:spacing w:val="-13"/>
        </w:rPr>
        <w:t> </w:t>
      </w:r>
      <w:r>
        <w:rPr/>
        <w:t>that</w:t>
      </w:r>
      <w:r>
        <w:rPr>
          <w:spacing w:val="-15"/>
        </w:rPr>
        <w:t> </w:t>
      </w:r>
      <w:r>
        <w:rPr/>
        <w:t>in</w:t>
      </w:r>
      <w:r>
        <w:rPr>
          <w:spacing w:val="-12"/>
        </w:rPr>
        <w:t> </w:t>
      </w:r>
      <w:r>
        <w:rPr/>
        <w:t>addition</w:t>
      </w:r>
      <w:r>
        <w:rPr>
          <w:spacing w:val="-16"/>
        </w:rPr>
        <w:t> </w:t>
      </w:r>
      <w:r>
        <w:rPr/>
        <w:t>to</w:t>
      </w:r>
      <w:r>
        <w:rPr>
          <w:spacing w:val="-15"/>
        </w:rPr>
        <w:t> </w:t>
      </w:r>
      <w:r>
        <w:rPr/>
        <w:t>conventional</w:t>
      </w:r>
      <w:r>
        <w:rPr>
          <w:spacing w:val="-14"/>
        </w:rPr>
        <w:t> </w:t>
      </w:r>
      <w:r>
        <w:rPr/>
        <w:t>chest</w:t>
      </w:r>
      <w:r>
        <w:rPr>
          <w:spacing w:val="-15"/>
        </w:rPr>
        <w:t> </w:t>
      </w:r>
      <w:r>
        <w:rPr/>
        <w:t>physiotherapy,</w:t>
      </w:r>
      <w:r>
        <w:rPr>
          <w:spacing w:val="-14"/>
        </w:rPr>
        <w:t> </w:t>
      </w:r>
      <w:r>
        <w:rPr/>
        <w:t>IC</w:t>
      </w:r>
      <w:r>
        <w:rPr>
          <w:spacing w:val="-17"/>
        </w:rPr>
        <w:t> </w:t>
      </w:r>
      <w:r>
        <w:rPr/>
        <w:t>and</w:t>
      </w:r>
      <w:r>
        <w:rPr>
          <w:spacing w:val="-15"/>
        </w:rPr>
        <w:t> </w:t>
      </w:r>
      <w:r>
        <w:rPr>
          <w:spacing w:val="-3"/>
        </w:rPr>
        <w:t>EMT</w:t>
      </w:r>
      <w:r>
        <w:rPr>
          <w:spacing w:val="-12"/>
        </w:rPr>
        <w:t> </w:t>
      </w:r>
      <w:r>
        <w:rPr/>
        <w:t>improved respiratory</w:t>
      </w:r>
      <w:r>
        <w:rPr>
          <w:spacing w:val="-18"/>
        </w:rPr>
        <w:t> </w:t>
      </w:r>
      <w:r>
        <w:rPr/>
        <w:t>muscle</w:t>
      </w:r>
      <w:r>
        <w:rPr>
          <w:spacing w:val="-16"/>
        </w:rPr>
        <w:t> </w:t>
      </w:r>
      <w:r>
        <w:rPr/>
        <w:t>strength</w:t>
      </w:r>
      <w:r>
        <w:rPr>
          <w:spacing w:val="-13"/>
        </w:rPr>
        <w:t> </w:t>
      </w:r>
      <w:r>
        <w:rPr/>
        <w:t>in</w:t>
      </w:r>
      <w:r>
        <w:rPr>
          <w:spacing w:val="-16"/>
        </w:rPr>
        <w:t> </w:t>
      </w:r>
      <w:r>
        <w:rPr/>
        <w:t>patients</w:t>
      </w:r>
      <w:r>
        <w:rPr>
          <w:spacing w:val="-16"/>
        </w:rPr>
        <w:t> </w:t>
      </w:r>
      <w:r>
        <w:rPr/>
        <w:t>undergoing</w:t>
      </w:r>
      <w:r>
        <w:rPr>
          <w:spacing w:val="-16"/>
        </w:rPr>
        <w:t> </w:t>
      </w:r>
      <w:r>
        <w:rPr/>
        <w:t>colorectal</w:t>
      </w:r>
      <w:r>
        <w:rPr>
          <w:spacing w:val="-17"/>
        </w:rPr>
        <w:t> </w:t>
      </w:r>
      <w:r>
        <w:rPr/>
        <w:t>surgery,</w:t>
      </w:r>
      <w:r>
        <w:rPr>
          <w:spacing w:val="-12"/>
        </w:rPr>
        <w:t> </w:t>
      </w:r>
      <w:r>
        <w:rPr/>
        <w:t>had</w:t>
      </w:r>
      <w:r>
        <w:rPr>
          <w:spacing w:val="-12"/>
        </w:rPr>
        <w:t> </w:t>
      </w:r>
      <w:r>
        <w:rPr/>
        <w:t>no</w:t>
      </w:r>
      <w:r>
        <w:rPr>
          <w:spacing w:val="-13"/>
        </w:rPr>
        <w:t> </w:t>
      </w:r>
      <w:r>
        <w:rPr/>
        <w:t>side</w:t>
      </w:r>
      <w:r>
        <w:rPr>
          <w:spacing w:val="-16"/>
        </w:rPr>
        <w:t> </w:t>
      </w:r>
      <w:r>
        <w:rPr/>
        <w:t>effects and could be easily used in the clinic as an</w:t>
      </w:r>
      <w:r>
        <w:rPr>
          <w:spacing w:val="-9"/>
        </w:rPr>
        <w:t> </w:t>
      </w:r>
      <w:r>
        <w:rPr/>
        <w:t>alternative.</w:t>
      </w:r>
    </w:p>
    <w:p>
      <w:pPr>
        <w:pStyle w:val="BodyText"/>
        <w:spacing w:before="122"/>
        <w:ind w:left="588"/>
        <w:jc w:val="both"/>
      </w:pPr>
      <w:r>
        <w:rPr/>
        <w:t>Key Words: Colorectal Surgery, Expiratory Muscle Training, Pulmonary Physiotherapy</w:t>
      </w:r>
    </w:p>
    <w:p>
      <w:pPr>
        <w:spacing w:after="0"/>
        <w:jc w:val="both"/>
        <w:sectPr>
          <w:pgSz w:w="11910" w:h="16840"/>
          <w:pgMar w:header="749" w:footer="0" w:top="1320" w:bottom="280" w:left="1680" w:right="840"/>
        </w:sectPr>
      </w:pPr>
    </w:p>
    <w:p>
      <w:pPr>
        <w:pStyle w:val="Heading2"/>
        <w:spacing w:before="86"/>
        <w:ind w:left="680" w:right="389"/>
        <w:jc w:val="center"/>
      </w:pPr>
      <w:bookmarkStart w:name="_bookmark2" w:id="3"/>
      <w:bookmarkEnd w:id="3"/>
      <w:r>
        <w:rPr>
          <w:b w:val="0"/>
        </w:rPr>
      </w:r>
      <w:r>
        <w:rPr/>
        <w:t>TEŞEKKÜR</w:t>
      </w:r>
    </w:p>
    <w:p>
      <w:pPr>
        <w:pStyle w:val="BodyText"/>
        <w:rPr>
          <w:b/>
          <w:sz w:val="24"/>
        </w:rPr>
      </w:pPr>
    </w:p>
    <w:p>
      <w:pPr>
        <w:pStyle w:val="BodyText"/>
        <w:spacing w:before="2"/>
        <w:rPr>
          <w:b/>
          <w:sz w:val="34"/>
        </w:rPr>
      </w:pPr>
    </w:p>
    <w:p>
      <w:pPr>
        <w:pStyle w:val="BodyText"/>
        <w:spacing w:line="360" w:lineRule="auto"/>
        <w:ind w:left="588" w:right="286" w:firstLine="708"/>
        <w:jc w:val="both"/>
      </w:pPr>
      <w:r>
        <w:rPr/>
        <w:t>Yüksek</w:t>
      </w:r>
      <w:r>
        <w:rPr>
          <w:spacing w:val="-19"/>
        </w:rPr>
        <w:t> </w:t>
      </w:r>
      <w:r>
        <w:rPr/>
        <w:t>lisans</w:t>
      </w:r>
      <w:r>
        <w:rPr>
          <w:spacing w:val="-18"/>
        </w:rPr>
        <w:t> </w:t>
      </w:r>
      <w:r>
        <w:rPr/>
        <w:t>eğitimim</w:t>
      </w:r>
      <w:r>
        <w:rPr>
          <w:spacing w:val="-19"/>
        </w:rPr>
        <w:t> </w:t>
      </w:r>
      <w:r>
        <w:rPr/>
        <w:t>süresince</w:t>
      </w:r>
      <w:r>
        <w:rPr>
          <w:spacing w:val="-19"/>
        </w:rPr>
        <w:t> </w:t>
      </w:r>
      <w:r>
        <w:rPr/>
        <w:t>bilgi</w:t>
      </w:r>
      <w:r>
        <w:rPr>
          <w:spacing w:val="-19"/>
        </w:rPr>
        <w:t> </w:t>
      </w:r>
      <w:r>
        <w:rPr/>
        <w:t>ve</w:t>
      </w:r>
      <w:r>
        <w:rPr>
          <w:spacing w:val="-19"/>
        </w:rPr>
        <w:t> </w:t>
      </w:r>
      <w:r>
        <w:rPr/>
        <w:t>tecrübeleriyle</w:t>
      </w:r>
      <w:r>
        <w:rPr>
          <w:spacing w:val="-18"/>
        </w:rPr>
        <w:t> </w:t>
      </w:r>
      <w:r>
        <w:rPr/>
        <w:t>bana</w:t>
      </w:r>
      <w:r>
        <w:rPr>
          <w:spacing w:val="-18"/>
        </w:rPr>
        <w:t> </w:t>
      </w:r>
      <w:r>
        <w:rPr/>
        <w:t>rehberlik</w:t>
      </w:r>
      <w:r>
        <w:rPr>
          <w:spacing w:val="-19"/>
        </w:rPr>
        <w:t> </w:t>
      </w:r>
      <w:r>
        <w:rPr/>
        <w:t>eden,</w:t>
      </w:r>
      <w:r>
        <w:rPr>
          <w:spacing w:val="-17"/>
        </w:rPr>
        <w:t> </w:t>
      </w:r>
      <w:r>
        <w:rPr/>
        <w:t>tezin planlanması ve yürütülmesinde desteğini esirgemeyen değerli danışmanın Pamukkale Üniversitesi Fizik Tedavi ve Rehabilitasyon Yüksekokulu Öğretim Üyesi Sayın Dr. Öğr. Üyesi Süleyman</w:t>
      </w:r>
      <w:r>
        <w:rPr>
          <w:spacing w:val="-1"/>
        </w:rPr>
        <w:t> </w:t>
      </w:r>
      <w:r>
        <w:rPr/>
        <w:t>GÜRSOY’a</w:t>
      </w:r>
    </w:p>
    <w:p>
      <w:pPr>
        <w:pStyle w:val="BodyText"/>
        <w:spacing w:line="360" w:lineRule="auto" w:before="159"/>
        <w:ind w:left="588" w:right="292" w:firstLine="708"/>
        <w:jc w:val="both"/>
      </w:pPr>
      <w:r>
        <w:rPr/>
        <w:t>Yüksek lisans eğitim hayatım boyunca bilgi ve tecrübelerini paylaşarak kişisel gelişimime katkıda bulunan, desteğini hiçbir zaman eksik etmeyen ve tez verilerinin istatistiksel yorumlanmasına katkı sağlayan Pamukkale Üniversitesi Fizik Tedavi ve Rehabilitasyon Yüksekokulu Öğretim Üyesi Sayın Doç. Dr. Orçin TELLİ ATALAY’a</w:t>
      </w:r>
    </w:p>
    <w:p>
      <w:pPr>
        <w:pStyle w:val="BodyText"/>
        <w:spacing w:line="357" w:lineRule="auto" w:before="161"/>
        <w:ind w:left="588" w:right="293" w:firstLine="708"/>
        <w:jc w:val="both"/>
      </w:pPr>
      <w:r>
        <w:rPr/>
        <w:t>Çalışma boyunca verilerin toplanmasına katkı sağlayan ve desteklerini esirgemeyen Pamukkale Üniversitesi Tıp Fakültesi Cerrahi Tıp Bilimleri Genel Cerrahi Anabilim Dalı Başkanı Prof. Dr. Uğur SUNGURTEKİN’e</w:t>
      </w:r>
    </w:p>
    <w:p>
      <w:pPr>
        <w:pStyle w:val="BodyText"/>
        <w:spacing w:line="360" w:lineRule="auto" w:before="167"/>
        <w:ind w:left="588" w:right="288" w:firstLine="708"/>
        <w:jc w:val="both"/>
      </w:pPr>
      <w:r>
        <w:rPr/>
        <w:t>Değerli iş arkadaşlarım Uzm. Fzt. Harun TAŞKIN, Uzm. Fzt. Ayşenur YILMAZ, Uzm. Fzt. Ali YALMAN, Uzm. Fzt. Fatih Tekin, Uzm. Fzt. Aziz Dengiz, Uzm. Fzt. Aybike ŞENEL,</w:t>
      </w:r>
      <w:r>
        <w:rPr>
          <w:spacing w:val="-9"/>
        </w:rPr>
        <w:t> </w:t>
      </w:r>
      <w:r>
        <w:rPr/>
        <w:t>Uzm.</w:t>
      </w:r>
      <w:r>
        <w:rPr>
          <w:spacing w:val="-8"/>
        </w:rPr>
        <w:t> </w:t>
      </w:r>
      <w:r>
        <w:rPr/>
        <w:t>Fzt.</w:t>
      </w:r>
      <w:r>
        <w:rPr>
          <w:spacing w:val="-8"/>
        </w:rPr>
        <w:t> </w:t>
      </w:r>
      <w:r>
        <w:rPr/>
        <w:t>Mücahit</w:t>
      </w:r>
      <w:r>
        <w:rPr>
          <w:spacing w:val="-8"/>
        </w:rPr>
        <w:t> </w:t>
      </w:r>
      <w:r>
        <w:rPr/>
        <w:t>ÖZTOP</w:t>
      </w:r>
      <w:r>
        <w:rPr>
          <w:spacing w:val="-10"/>
        </w:rPr>
        <w:t> </w:t>
      </w:r>
      <w:r>
        <w:rPr/>
        <w:t>ile</w:t>
      </w:r>
      <w:r>
        <w:rPr>
          <w:spacing w:val="-8"/>
        </w:rPr>
        <w:t> </w:t>
      </w:r>
      <w:r>
        <w:rPr/>
        <w:t>Fzt.</w:t>
      </w:r>
      <w:r>
        <w:rPr>
          <w:spacing w:val="-8"/>
        </w:rPr>
        <w:t> </w:t>
      </w:r>
      <w:r>
        <w:rPr/>
        <w:t>Muammer</w:t>
      </w:r>
      <w:r>
        <w:rPr>
          <w:spacing w:val="-9"/>
        </w:rPr>
        <w:t> </w:t>
      </w:r>
      <w:r>
        <w:rPr/>
        <w:t>ÇORUM’a</w:t>
      </w:r>
      <w:r>
        <w:rPr>
          <w:spacing w:val="-7"/>
        </w:rPr>
        <w:t> </w:t>
      </w:r>
      <w:r>
        <w:rPr/>
        <w:t>ve</w:t>
      </w:r>
      <w:r>
        <w:rPr>
          <w:spacing w:val="-10"/>
        </w:rPr>
        <w:t> </w:t>
      </w:r>
      <w:r>
        <w:rPr/>
        <w:t>tez</w:t>
      </w:r>
      <w:r>
        <w:rPr>
          <w:spacing w:val="-11"/>
        </w:rPr>
        <w:t> </w:t>
      </w:r>
      <w:r>
        <w:rPr/>
        <w:t>dönemi</w:t>
      </w:r>
      <w:r>
        <w:rPr>
          <w:spacing w:val="-11"/>
        </w:rPr>
        <w:t> </w:t>
      </w:r>
      <w:r>
        <w:rPr/>
        <w:t>boyunca hem maddi hem manevi yardımlarıyla bana destek olan değerli arkadaşım Uzm. Fzt. Ezgi</w:t>
      </w:r>
      <w:r>
        <w:rPr>
          <w:spacing w:val="-1"/>
        </w:rPr>
        <w:t> </w:t>
      </w:r>
      <w:r>
        <w:rPr/>
        <w:t>ERGİN’e</w:t>
      </w:r>
    </w:p>
    <w:p>
      <w:pPr>
        <w:pStyle w:val="BodyText"/>
        <w:spacing w:line="357" w:lineRule="auto" w:before="160"/>
        <w:ind w:left="588" w:right="300" w:firstLine="708"/>
        <w:jc w:val="both"/>
      </w:pPr>
      <w:r>
        <w:rPr/>
        <w:t>Hayatım boyunca destekleyen, her koşulda karşılıksız olarak seven, maddi ve manevi desteğini hiçbir zaman eksik etmeyen sevgili annem, babam ve kardeşlerime</w:t>
      </w:r>
    </w:p>
    <w:p>
      <w:pPr>
        <w:pStyle w:val="BodyText"/>
        <w:spacing w:line="357" w:lineRule="auto" w:before="166"/>
        <w:ind w:left="588" w:right="295" w:firstLine="708"/>
        <w:jc w:val="both"/>
      </w:pPr>
      <w:r>
        <w:rPr/>
        <w:t>Hüzünlü ve neşeli olduğum her anımda yanımda olan ve desteklerini hep hissettiğim</w:t>
      </w:r>
      <w:r>
        <w:rPr>
          <w:spacing w:val="-17"/>
        </w:rPr>
        <w:t> </w:t>
      </w:r>
      <w:r>
        <w:rPr/>
        <w:t>arkadaşlarım</w:t>
      </w:r>
      <w:r>
        <w:rPr>
          <w:spacing w:val="-17"/>
        </w:rPr>
        <w:t> </w:t>
      </w:r>
      <w:r>
        <w:rPr/>
        <w:t>Serdar</w:t>
      </w:r>
      <w:r>
        <w:rPr>
          <w:spacing w:val="-16"/>
        </w:rPr>
        <w:t> </w:t>
      </w:r>
      <w:r>
        <w:rPr/>
        <w:t>B.</w:t>
      </w:r>
      <w:r>
        <w:rPr>
          <w:spacing w:val="-17"/>
        </w:rPr>
        <w:t> </w:t>
      </w:r>
      <w:r>
        <w:rPr/>
        <w:t>ATAŞ,</w:t>
      </w:r>
      <w:r>
        <w:rPr>
          <w:spacing w:val="-16"/>
        </w:rPr>
        <w:t> </w:t>
      </w:r>
      <w:r>
        <w:rPr/>
        <w:t>Fatih</w:t>
      </w:r>
      <w:r>
        <w:rPr>
          <w:spacing w:val="-18"/>
        </w:rPr>
        <w:t> </w:t>
      </w:r>
      <w:r>
        <w:rPr/>
        <w:t>BİLGE,</w:t>
      </w:r>
      <w:r>
        <w:rPr>
          <w:spacing w:val="-16"/>
        </w:rPr>
        <w:t> </w:t>
      </w:r>
      <w:r>
        <w:rPr/>
        <w:t>Ahmet</w:t>
      </w:r>
      <w:r>
        <w:rPr>
          <w:spacing w:val="-19"/>
        </w:rPr>
        <w:t> </w:t>
      </w:r>
      <w:r>
        <w:rPr/>
        <w:t>TUNÇ</w:t>
      </w:r>
      <w:r>
        <w:rPr>
          <w:spacing w:val="-16"/>
        </w:rPr>
        <w:t> </w:t>
      </w:r>
      <w:r>
        <w:rPr/>
        <w:t>ve</w:t>
      </w:r>
      <w:r>
        <w:rPr>
          <w:spacing w:val="-15"/>
        </w:rPr>
        <w:t> </w:t>
      </w:r>
      <w:r>
        <w:rPr/>
        <w:t>Barış</w:t>
      </w:r>
      <w:r>
        <w:rPr>
          <w:spacing w:val="-15"/>
        </w:rPr>
        <w:t> </w:t>
      </w:r>
      <w:r>
        <w:rPr/>
        <w:t>YILMAZ’a</w:t>
      </w:r>
    </w:p>
    <w:p>
      <w:pPr>
        <w:pStyle w:val="BodyText"/>
        <w:spacing w:before="162"/>
        <w:ind w:left="1296"/>
      </w:pPr>
      <w:r>
        <w:rPr/>
        <w:t>Teze katkıda bulunan tüm katılımcılara</w:t>
      </w:r>
    </w:p>
    <w:p>
      <w:pPr>
        <w:pStyle w:val="BodyText"/>
        <w:rPr>
          <w:sz w:val="25"/>
        </w:rPr>
      </w:pPr>
    </w:p>
    <w:p>
      <w:pPr>
        <w:pStyle w:val="BodyText"/>
        <w:ind w:left="1296"/>
      </w:pPr>
      <w:r>
        <w:rPr/>
        <w:t>Sonsuz teşekkürlerimi, sevgi ve içtenlikle sunuyorum.</w:t>
      </w:r>
    </w:p>
    <w:p>
      <w:pPr>
        <w:spacing w:after="0"/>
        <w:sectPr>
          <w:headerReference w:type="default" r:id="rId10"/>
          <w:pgSz w:w="11910" w:h="16840"/>
          <w:pgMar w:header="749" w:footer="0" w:top="1320" w:bottom="280" w:left="1680" w:right="840"/>
          <w:pgNumType w:start="3"/>
        </w:sectPr>
      </w:pPr>
    </w:p>
    <w:p>
      <w:pPr>
        <w:pStyle w:val="Heading2"/>
        <w:spacing w:before="83"/>
        <w:ind w:left="681" w:right="389"/>
        <w:jc w:val="center"/>
      </w:pPr>
      <w:bookmarkStart w:name="_bookmark3" w:id="4"/>
      <w:bookmarkEnd w:id="4"/>
      <w:r>
        <w:rPr>
          <w:b w:val="0"/>
        </w:rPr>
      </w:r>
      <w:r>
        <w:rPr/>
        <w:t>İÇİNDEKİLER DİZİNİ</w:t>
      </w:r>
    </w:p>
    <w:p>
      <w:pPr>
        <w:spacing w:after="0"/>
        <w:jc w:val="center"/>
        <w:sectPr>
          <w:pgSz w:w="11910" w:h="16840"/>
          <w:pgMar w:header="749" w:footer="0" w:top="1320" w:bottom="1744" w:left="1680" w:right="840"/>
        </w:sectPr>
      </w:pPr>
    </w:p>
    <w:sdt>
      <w:sdtPr>
        <w:docPartObj>
          <w:docPartGallery w:val="Table of Contents"/>
          <w:docPartUnique/>
        </w:docPartObj>
      </w:sdtPr>
      <w:sdtEndPr/>
      <w:sdtContent>
        <w:p>
          <w:pPr>
            <w:pStyle w:val="TOC1"/>
            <w:tabs>
              <w:tab w:pos="8447" w:val="left" w:leader="dot"/>
            </w:tabs>
            <w:spacing w:before="643"/>
            <w:ind w:left="0" w:right="299" w:firstLine="0"/>
          </w:pPr>
          <w:hyperlink w:history="true" w:anchor="_bookmark0">
            <w:r>
              <w:rPr/>
              <w:t>ÖZET</w:t>
              <w:tab/>
            </w:r>
            <w:r>
              <w:rPr>
                <w:spacing w:val="-1"/>
              </w:rPr>
              <w:t>i</w:t>
            </w:r>
          </w:hyperlink>
        </w:p>
        <w:p>
          <w:pPr>
            <w:pStyle w:val="TOC1"/>
            <w:tabs>
              <w:tab w:pos="8397" w:val="left" w:leader="dot"/>
            </w:tabs>
            <w:spacing w:before="224"/>
            <w:ind w:left="0" w:right="302" w:firstLine="0"/>
          </w:pPr>
          <w:hyperlink w:history="true" w:anchor="_bookmark1">
            <w:r>
              <w:rPr/>
              <w:t>ABSTRACT</w:t>
              <w:tab/>
            </w:r>
            <w:r>
              <w:rPr>
                <w:spacing w:val="-3"/>
              </w:rPr>
              <w:t>ii</w:t>
            </w:r>
          </w:hyperlink>
        </w:p>
        <w:p>
          <w:pPr>
            <w:pStyle w:val="TOC1"/>
            <w:tabs>
              <w:tab w:pos="8349" w:val="left" w:leader="dot"/>
            </w:tabs>
            <w:ind w:left="0" w:right="302" w:firstLine="0"/>
          </w:pPr>
          <w:hyperlink w:history="true" w:anchor="_bookmark2">
            <w:r>
              <w:rPr/>
              <w:t>TEŞEKKÜR</w:t>
              <w:tab/>
            </w:r>
            <w:r>
              <w:rPr>
                <w:spacing w:val="-3"/>
              </w:rPr>
              <w:t>iii</w:t>
            </w:r>
          </w:hyperlink>
        </w:p>
        <w:p>
          <w:pPr>
            <w:pStyle w:val="TOC1"/>
            <w:tabs>
              <w:tab w:pos="8337" w:val="left" w:leader="dot"/>
            </w:tabs>
            <w:spacing w:before="228"/>
            <w:ind w:left="0" w:right="301" w:firstLine="0"/>
          </w:pPr>
          <w:hyperlink w:history="true" w:anchor="_bookmark3">
            <w:r>
              <w:rPr/>
              <w:t>İÇİNDEKİLER</w:t>
            </w:r>
            <w:r>
              <w:rPr>
                <w:spacing w:val="-4"/>
              </w:rPr>
              <w:t> </w:t>
            </w:r>
            <w:r>
              <w:rPr/>
              <w:t>DİZİNİ</w:t>
              <w:tab/>
            </w:r>
            <w:r>
              <w:rPr>
                <w:spacing w:val="-2"/>
              </w:rPr>
              <w:t>iv</w:t>
            </w:r>
          </w:hyperlink>
        </w:p>
        <w:p>
          <w:pPr>
            <w:pStyle w:val="TOC1"/>
            <w:tabs>
              <w:tab w:pos="8286" w:val="left" w:leader="dot"/>
            </w:tabs>
            <w:ind w:left="0" w:right="302" w:firstLine="0"/>
          </w:pPr>
          <w:hyperlink w:history="true" w:anchor="_bookmark4">
            <w:r>
              <w:rPr/>
              <w:t>ŞEKİLLER</w:t>
            </w:r>
            <w:r>
              <w:rPr>
                <w:spacing w:val="-1"/>
              </w:rPr>
              <w:t> </w:t>
            </w:r>
            <w:r>
              <w:rPr/>
              <w:t>DİZİNİ</w:t>
              <w:tab/>
            </w:r>
            <w:r>
              <w:rPr>
                <w:spacing w:val="-1"/>
              </w:rPr>
              <w:t>vii</w:t>
            </w:r>
          </w:hyperlink>
        </w:p>
        <w:p>
          <w:pPr>
            <w:pStyle w:val="TOC1"/>
            <w:tabs>
              <w:tab w:pos="8238" w:val="left" w:leader="dot"/>
            </w:tabs>
            <w:ind w:left="0" w:right="302" w:firstLine="0"/>
          </w:pPr>
          <w:hyperlink w:history="true" w:anchor="_bookmark5">
            <w:r>
              <w:rPr/>
              <w:t>TABLOLAR</w:t>
            </w:r>
            <w:r>
              <w:rPr>
                <w:spacing w:val="-5"/>
              </w:rPr>
              <w:t> </w:t>
            </w:r>
            <w:r>
              <w:rPr/>
              <w:t>DİZİNİ</w:t>
              <w:tab/>
            </w:r>
            <w:r>
              <w:rPr>
                <w:spacing w:val="-1"/>
              </w:rPr>
              <w:t>viii</w:t>
            </w:r>
          </w:hyperlink>
        </w:p>
        <w:p>
          <w:pPr>
            <w:pStyle w:val="TOC1"/>
            <w:tabs>
              <w:tab w:pos="8385" w:val="left" w:leader="dot"/>
            </w:tabs>
            <w:spacing w:before="225"/>
            <w:ind w:left="0" w:firstLine="0"/>
          </w:pPr>
          <w:hyperlink w:history="true" w:anchor="_bookmark6">
            <w:r>
              <w:rPr/>
              <w:t>RESİMLER</w:t>
            </w:r>
            <w:r>
              <w:rPr>
                <w:spacing w:val="-2"/>
              </w:rPr>
              <w:t> </w:t>
            </w:r>
            <w:r>
              <w:rPr/>
              <w:t>DİZİNİ</w:t>
              <w:tab/>
              <w:t>x</w:t>
            </w:r>
          </w:hyperlink>
        </w:p>
        <w:p>
          <w:pPr>
            <w:pStyle w:val="TOC1"/>
            <w:tabs>
              <w:tab w:pos="8337" w:val="left" w:leader="dot"/>
            </w:tabs>
            <w:ind w:left="0" w:right="304" w:firstLine="0"/>
          </w:pPr>
          <w:hyperlink w:history="true" w:anchor="_bookmark7">
            <w:r>
              <w:rPr/>
              <w:t>SİMGE VE</w:t>
            </w:r>
            <w:r>
              <w:rPr>
                <w:spacing w:val="-3"/>
              </w:rPr>
              <w:t> </w:t>
            </w:r>
            <w:r>
              <w:rPr/>
              <w:t>KISALTMALAR</w:t>
            </w:r>
            <w:r>
              <w:rPr>
                <w:spacing w:val="-2"/>
              </w:rPr>
              <w:t> </w:t>
            </w:r>
            <w:r>
              <w:rPr/>
              <w:t>DİZİNİ</w:t>
              <w:tab/>
            </w:r>
            <w:r>
              <w:rPr>
                <w:spacing w:val="-4"/>
              </w:rPr>
              <w:t>xi</w:t>
            </w:r>
          </w:hyperlink>
        </w:p>
        <w:p>
          <w:pPr>
            <w:pStyle w:val="TOC1"/>
            <w:numPr>
              <w:ilvl w:val="0"/>
              <w:numId w:val="1"/>
            </w:numPr>
            <w:tabs>
              <w:tab w:pos="186" w:val="left" w:leader="none"/>
              <w:tab w:pos="8373" w:val="left" w:leader="dot"/>
            </w:tabs>
            <w:spacing w:line="240" w:lineRule="auto" w:before="227" w:after="0"/>
            <w:ind w:left="773" w:right="300" w:hanging="774"/>
            <w:jc w:val="right"/>
          </w:pPr>
          <w:hyperlink w:history="true" w:anchor="_bookmark8">
            <w:r>
              <w:rPr/>
              <w:t>GİRİŞ</w:t>
              <w:tab/>
            </w:r>
            <w:r>
              <w:rPr>
                <w:spacing w:val="-1"/>
              </w:rPr>
              <w:t>1</w:t>
            </w:r>
          </w:hyperlink>
        </w:p>
        <w:p>
          <w:pPr>
            <w:pStyle w:val="TOC2"/>
            <w:numPr>
              <w:ilvl w:val="0"/>
              <w:numId w:val="1"/>
            </w:numPr>
            <w:tabs>
              <w:tab w:pos="774" w:val="left" w:leader="none"/>
              <w:tab w:pos="8659" w:val="left" w:leader="dot"/>
            </w:tabs>
            <w:spacing w:line="240" w:lineRule="auto" w:before="227" w:after="0"/>
            <w:ind w:left="773" w:right="0" w:hanging="488"/>
            <w:jc w:val="left"/>
          </w:pPr>
          <w:hyperlink w:history="true" w:anchor="_bookmark9">
            <w:r>
              <w:rPr/>
              <w:t>KURAMSAL BİLGİLER VE</w:t>
            </w:r>
            <w:r>
              <w:rPr>
                <w:spacing w:val="-11"/>
              </w:rPr>
              <w:t> </w:t>
            </w:r>
            <w:r>
              <w:rPr/>
              <w:t>LİTERATÜR</w:t>
            </w:r>
            <w:r>
              <w:rPr>
                <w:spacing w:val="-5"/>
              </w:rPr>
              <w:t> </w:t>
            </w:r>
            <w:r>
              <w:rPr/>
              <w:t>TARAMASI</w:t>
              <w:tab/>
              <w:t>4</w:t>
            </w:r>
          </w:hyperlink>
        </w:p>
        <w:p>
          <w:pPr>
            <w:pStyle w:val="TOC1"/>
            <w:numPr>
              <w:ilvl w:val="1"/>
              <w:numId w:val="1"/>
            </w:numPr>
            <w:tabs>
              <w:tab w:pos="370" w:val="left" w:leader="none"/>
              <w:tab w:pos="8152" w:val="left" w:leader="dot"/>
            </w:tabs>
            <w:spacing w:line="240" w:lineRule="auto" w:before="224" w:after="0"/>
            <w:ind w:left="1178" w:right="300" w:hanging="1179"/>
            <w:jc w:val="right"/>
          </w:pPr>
          <w:hyperlink w:history="true" w:anchor="_bookmark10">
            <w:r>
              <w:rPr/>
              <w:t>Kolon ve</w:t>
            </w:r>
            <w:r>
              <w:rPr>
                <w:spacing w:val="-2"/>
              </w:rPr>
              <w:t> </w:t>
            </w:r>
            <w:r>
              <w:rPr/>
              <w:t>Rektum</w:t>
            </w:r>
            <w:r>
              <w:rPr>
                <w:spacing w:val="-2"/>
              </w:rPr>
              <w:t> </w:t>
            </w:r>
            <w:r>
              <w:rPr/>
              <w:t>Anatomisi</w:t>
              <w:tab/>
            </w:r>
            <w:r>
              <w:rPr>
                <w:spacing w:val="-1"/>
              </w:rPr>
              <w:t>4</w:t>
            </w:r>
          </w:hyperlink>
        </w:p>
        <w:p>
          <w:pPr>
            <w:pStyle w:val="TOC1"/>
            <w:numPr>
              <w:ilvl w:val="1"/>
              <w:numId w:val="1"/>
            </w:numPr>
            <w:tabs>
              <w:tab w:pos="370" w:val="left" w:leader="none"/>
              <w:tab w:pos="8152" w:val="left" w:leader="dot"/>
            </w:tabs>
            <w:spacing w:line="240" w:lineRule="auto" w:before="227" w:after="0"/>
            <w:ind w:left="1178" w:right="300" w:hanging="1179"/>
            <w:jc w:val="right"/>
          </w:pPr>
          <w:hyperlink w:history="true" w:anchor="_bookmark11">
            <w:r>
              <w:rPr/>
              <w:t>Kolorektal</w:t>
            </w:r>
            <w:r>
              <w:rPr>
                <w:spacing w:val="-4"/>
              </w:rPr>
              <w:t> </w:t>
            </w:r>
            <w:r>
              <w:rPr/>
              <w:t>Cerrahi</w:t>
            </w:r>
            <w:r>
              <w:rPr>
                <w:spacing w:val="-2"/>
              </w:rPr>
              <w:t> </w:t>
            </w:r>
            <w:r>
              <w:rPr/>
              <w:t>Nedenleri</w:t>
              <w:tab/>
            </w:r>
            <w:r>
              <w:rPr>
                <w:spacing w:val="-1"/>
              </w:rPr>
              <w:t>5</w:t>
            </w:r>
          </w:hyperlink>
        </w:p>
        <w:p>
          <w:pPr>
            <w:pStyle w:val="TOC1"/>
            <w:numPr>
              <w:ilvl w:val="1"/>
              <w:numId w:val="1"/>
            </w:numPr>
            <w:tabs>
              <w:tab w:pos="370" w:val="left" w:leader="none"/>
              <w:tab w:pos="8152" w:val="left" w:leader="dot"/>
            </w:tabs>
            <w:spacing w:line="240" w:lineRule="auto" w:before="228" w:after="0"/>
            <w:ind w:left="1178" w:right="300" w:hanging="1179"/>
            <w:jc w:val="right"/>
          </w:pPr>
          <w:hyperlink w:history="true" w:anchor="_bookmark12">
            <w:r>
              <w:rPr/>
              <w:t>Kolorektal</w:t>
            </w:r>
            <w:r>
              <w:rPr>
                <w:spacing w:val="-4"/>
              </w:rPr>
              <w:t> </w:t>
            </w:r>
            <w:r>
              <w:rPr/>
              <w:t>Kanserler</w:t>
              <w:tab/>
            </w:r>
            <w:r>
              <w:rPr>
                <w:spacing w:val="-1"/>
              </w:rPr>
              <w:t>5</w:t>
            </w:r>
          </w:hyperlink>
        </w:p>
        <w:p>
          <w:pPr>
            <w:pStyle w:val="TOC1"/>
            <w:numPr>
              <w:ilvl w:val="1"/>
              <w:numId w:val="1"/>
            </w:numPr>
            <w:tabs>
              <w:tab w:pos="370" w:val="left" w:leader="none"/>
              <w:tab w:pos="8152" w:val="left" w:leader="dot"/>
            </w:tabs>
            <w:spacing w:line="240" w:lineRule="auto" w:before="227" w:after="0"/>
            <w:ind w:left="1178" w:right="300" w:hanging="1179"/>
            <w:jc w:val="right"/>
          </w:pPr>
          <w:hyperlink w:history="true" w:anchor="_bookmark13">
            <w:r>
              <w:rPr/>
              <w:t>Kolorektal Cerrahide</w:t>
            </w:r>
            <w:r>
              <w:rPr>
                <w:spacing w:val="-8"/>
              </w:rPr>
              <w:t> </w:t>
            </w:r>
            <w:r>
              <w:rPr/>
              <w:t>Ameliyat</w:t>
            </w:r>
            <w:r>
              <w:rPr>
                <w:spacing w:val="-2"/>
              </w:rPr>
              <w:t> </w:t>
            </w:r>
            <w:r>
              <w:rPr/>
              <w:t>Teknikleri</w:t>
              <w:tab/>
            </w:r>
            <w:r>
              <w:rPr>
                <w:spacing w:val="-1"/>
              </w:rPr>
              <w:t>6</w:t>
            </w:r>
          </w:hyperlink>
        </w:p>
        <w:p>
          <w:pPr>
            <w:pStyle w:val="TOC1"/>
            <w:numPr>
              <w:ilvl w:val="1"/>
              <w:numId w:val="1"/>
            </w:numPr>
            <w:tabs>
              <w:tab w:pos="370" w:val="left" w:leader="none"/>
              <w:tab w:pos="8152" w:val="left" w:leader="dot"/>
            </w:tabs>
            <w:spacing w:line="240" w:lineRule="auto" w:before="227" w:after="0"/>
            <w:ind w:left="1178" w:right="300" w:hanging="1179"/>
            <w:jc w:val="right"/>
          </w:pPr>
          <w:hyperlink w:history="true" w:anchor="_bookmark14">
            <w:r>
              <w:rPr/>
              <w:t>Kolorektal Cerrahilerde</w:t>
            </w:r>
            <w:r>
              <w:rPr>
                <w:spacing w:val="-15"/>
              </w:rPr>
              <w:t> </w:t>
            </w:r>
            <w:r>
              <w:rPr/>
              <w:t>Kullanılan</w:t>
            </w:r>
            <w:r>
              <w:rPr>
                <w:spacing w:val="-7"/>
              </w:rPr>
              <w:t> </w:t>
            </w:r>
            <w:r>
              <w:rPr/>
              <w:t>Kesiler</w:t>
              <w:tab/>
            </w:r>
            <w:r>
              <w:rPr>
                <w:spacing w:val="-1"/>
              </w:rPr>
              <w:t>7</w:t>
            </w:r>
          </w:hyperlink>
        </w:p>
        <w:p>
          <w:pPr>
            <w:pStyle w:val="TOC3"/>
            <w:numPr>
              <w:ilvl w:val="1"/>
              <w:numId w:val="1"/>
            </w:numPr>
            <w:tabs>
              <w:tab w:pos="1179" w:val="left" w:leader="none"/>
              <w:tab w:pos="8961" w:val="left" w:leader="dot"/>
            </w:tabs>
            <w:spacing w:line="240" w:lineRule="auto" w:before="225" w:after="0"/>
            <w:ind w:left="1178" w:right="0" w:hanging="370"/>
            <w:jc w:val="left"/>
          </w:pPr>
          <w:hyperlink w:history="true" w:anchor="_bookmark15">
            <w:r>
              <w:rPr/>
              <w:t>Kolorektal Cerrahi Sonrası</w:t>
            </w:r>
            <w:r>
              <w:rPr>
                <w:spacing w:val="-20"/>
              </w:rPr>
              <w:t> </w:t>
            </w:r>
            <w:r>
              <w:rPr/>
              <w:t>Gelişen</w:t>
            </w:r>
            <w:r>
              <w:rPr>
                <w:spacing w:val="-5"/>
              </w:rPr>
              <w:t> </w:t>
            </w:r>
            <w:r>
              <w:rPr/>
              <w:t>Komplikasyonlar</w:t>
              <w:tab/>
              <w:t>8</w:t>
            </w:r>
          </w:hyperlink>
        </w:p>
        <w:p>
          <w:pPr>
            <w:pStyle w:val="TOC1"/>
            <w:numPr>
              <w:ilvl w:val="2"/>
              <w:numId w:val="1"/>
            </w:numPr>
            <w:tabs>
              <w:tab w:pos="612" w:val="left" w:leader="none"/>
              <w:tab w:pos="7933" w:val="left" w:leader="dot"/>
            </w:tabs>
            <w:spacing w:line="240" w:lineRule="auto" w:before="227" w:after="0"/>
            <w:ind w:left="1639" w:right="300" w:hanging="1640"/>
            <w:jc w:val="right"/>
          </w:pPr>
          <w:hyperlink w:history="true" w:anchor="_bookmark16">
            <w:r>
              <w:rPr/>
              <w:t>İleus</w:t>
              <w:tab/>
            </w:r>
            <w:r>
              <w:rPr>
                <w:spacing w:val="-1"/>
              </w:rPr>
              <w:t>8</w:t>
            </w:r>
          </w:hyperlink>
        </w:p>
        <w:p>
          <w:pPr>
            <w:pStyle w:val="TOC1"/>
            <w:numPr>
              <w:ilvl w:val="2"/>
              <w:numId w:val="1"/>
            </w:numPr>
            <w:tabs>
              <w:tab w:pos="614" w:val="left" w:leader="none"/>
              <w:tab w:pos="7933" w:val="left" w:leader="dot"/>
            </w:tabs>
            <w:spacing w:line="240" w:lineRule="auto" w:before="227" w:after="0"/>
            <w:ind w:left="1641" w:right="300" w:hanging="1642"/>
            <w:jc w:val="right"/>
          </w:pPr>
          <w:hyperlink w:history="true" w:anchor="_bookmark17">
            <w:r>
              <w:rPr/>
              <w:t>Fekal</w:t>
            </w:r>
            <w:r>
              <w:rPr>
                <w:spacing w:val="-6"/>
              </w:rPr>
              <w:t> </w:t>
            </w:r>
            <w:r>
              <w:rPr/>
              <w:t>İnkontinans</w:t>
              <w:tab/>
            </w:r>
            <w:r>
              <w:rPr>
                <w:spacing w:val="-1"/>
              </w:rPr>
              <w:t>8</w:t>
            </w:r>
          </w:hyperlink>
        </w:p>
        <w:p>
          <w:pPr>
            <w:pStyle w:val="TOC1"/>
            <w:numPr>
              <w:ilvl w:val="2"/>
              <w:numId w:val="1"/>
            </w:numPr>
            <w:tabs>
              <w:tab w:pos="614" w:val="left" w:leader="none"/>
              <w:tab w:pos="7933" w:val="left" w:leader="dot"/>
            </w:tabs>
            <w:spacing w:line="240" w:lineRule="auto" w:before="227" w:after="0"/>
            <w:ind w:left="1641" w:right="300" w:hanging="1642"/>
            <w:jc w:val="right"/>
          </w:pPr>
          <w:hyperlink w:history="true" w:anchor="_bookmark18">
            <w:r>
              <w:rPr/>
              <w:t>Abdominal</w:t>
            </w:r>
            <w:r>
              <w:rPr>
                <w:spacing w:val="-4"/>
              </w:rPr>
              <w:t> </w:t>
            </w:r>
            <w:r>
              <w:rPr/>
              <w:t>Yara</w:t>
            </w:r>
            <w:r>
              <w:rPr>
                <w:spacing w:val="-3"/>
              </w:rPr>
              <w:t> </w:t>
            </w:r>
            <w:r>
              <w:rPr/>
              <w:t>Ayrışması</w:t>
              <w:tab/>
            </w:r>
            <w:r>
              <w:rPr>
                <w:spacing w:val="-1"/>
              </w:rPr>
              <w:t>8</w:t>
            </w:r>
          </w:hyperlink>
        </w:p>
        <w:p>
          <w:pPr>
            <w:pStyle w:val="TOC1"/>
            <w:numPr>
              <w:ilvl w:val="2"/>
              <w:numId w:val="1"/>
            </w:numPr>
            <w:tabs>
              <w:tab w:pos="614" w:val="left" w:leader="none"/>
              <w:tab w:pos="7933" w:val="left" w:leader="dot"/>
            </w:tabs>
            <w:spacing w:line="240" w:lineRule="auto" w:before="224" w:after="0"/>
            <w:ind w:left="1641" w:right="300" w:hanging="1642"/>
            <w:jc w:val="right"/>
          </w:pPr>
          <w:hyperlink w:history="true" w:anchor="_bookmark19">
            <w:r>
              <w:rPr/>
              <w:t>Mesane</w:t>
            </w:r>
            <w:r>
              <w:rPr>
                <w:spacing w:val="-4"/>
              </w:rPr>
              <w:t> </w:t>
            </w:r>
            <w:r>
              <w:rPr/>
              <w:t>Disfonksiyonu</w:t>
              <w:tab/>
            </w:r>
            <w:r>
              <w:rPr>
                <w:spacing w:val="-1"/>
              </w:rPr>
              <w:t>9</w:t>
            </w:r>
          </w:hyperlink>
        </w:p>
        <w:p>
          <w:pPr>
            <w:pStyle w:val="TOC1"/>
            <w:numPr>
              <w:ilvl w:val="2"/>
              <w:numId w:val="1"/>
            </w:numPr>
            <w:tabs>
              <w:tab w:pos="615" w:val="left" w:leader="none"/>
              <w:tab w:pos="7933" w:val="left" w:leader="dot"/>
            </w:tabs>
            <w:spacing w:line="240" w:lineRule="auto" w:before="227" w:after="0"/>
            <w:ind w:left="1642" w:right="300" w:hanging="1642"/>
            <w:jc w:val="right"/>
          </w:pPr>
          <w:hyperlink w:history="true" w:anchor="_bookmark20">
            <w:r>
              <w:rPr/>
              <w:t>Seksüel</w:t>
            </w:r>
            <w:r>
              <w:rPr>
                <w:spacing w:val="-6"/>
              </w:rPr>
              <w:t> </w:t>
            </w:r>
            <w:r>
              <w:rPr/>
              <w:t>disfonksiyon</w:t>
              <w:tab/>
            </w:r>
            <w:r>
              <w:rPr>
                <w:spacing w:val="-1"/>
              </w:rPr>
              <w:t>9</w:t>
            </w:r>
          </w:hyperlink>
        </w:p>
        <w:p>
          <w:pPr>
            <w:pStyle w:val="TOC1"/>
            <w:numPr>
              <w:ilvl w:val="2"/>
              <w:numId w:val="1"/>
            </w:numPr>
            <w:tabs>
              <w:tab w:pos="614" w:val="left" w:leader="none"/>
              <w:tab w:pos="7933" w:val="left" w:leader="dot"/>
            </w:tabs>
            <w:spacing w:line="240" w:lineRule="auto" w:before="228" w:after="0"/>
            <w:ind w:left="1641" w:right="300" w:hanging="1642"/>
            <w:jc w:val="right"/>
          </w:pPr>
          <w:hyperlink w:history="true" w:anchor="_bookmark21">
            <w:r>
              <w:rPr/>
              <w:t>Cerrahi</w:t>
            </w:r>
            <w:r>
              <w:rPr>
                <w:spacing w:val="-5"/>
              </w:rPr>
              <w:t> </w:t>
            </w:r>
            <w:r>
              <w:rPr/>
              <w:t>Yara</w:t>
            </w:r>
            <w:r>
              <w:rPr>
                <w:spacing w:val="-6"/>
              </w:rPr>
              <w:t> </w:t>
            </w:r>
            <w:r>
              <w:rPr/>
              <w:t>Komplikasyonları</w:t>
              <w:tab/>
            </w:r>
            <w:r>
              <w:rPr>
                <w:spacing w:val="-1"/>
              </w:rPr>
              <w:t>9</w:t>
            </w:r>
          </w:hyperlink>
        </w:p>
        <w:p>
          <w:pPr>
            <w:pStyle w:val="TOC1"/>
            <w:numPr>
              <w:ilvl w:val="2"/>
              <w:numId w:val="1"/>
            </w:numPr>
            <w:tabs>
              <w:tab w:pos="614" w:val="left" w:leader="none"/>
              <w:tab w:pos="7811" w:val="left" w:leader="dot"/>
            </w:tabs>
            <w:spacing w:line="240" w:lineRule="auto" w:before="227" w:after="0"/>
            <w:ind w:left="1641" w:right="300" w:hanging="1642"/>
            <w:jc w:val="right"/>
          </w:pPr>
          <w:hyperlink w:history="true" w:anchor="_bookmark22">
            <w:r>
              <w:rPr/>
              <w:t>Anastomoza Bağlı</w:t>
            </w:r>
            <w:r>
              <w:rPr>
                <w:spacing w:val="-11"/>
              </w:rPr>
              <w:t> </w:t>
            </w:r>
            <w:r>
              <w:rPr/>
              <w:t>Gelişen</w:t>
            </w:r>
            <w:r>
              <w:rPr>
                <w:spacing w:val="-5"/>
              </w:rPr>
              <w:t> </w:t>
            </w:r>
            <w:r>
              <w:rPr/>
              <w:t>Komplikasyonlar</w:t>
              <w:tab/>
            </w:r>
            <w:r>
              <w:rPr>
                <w:spacing w:val="-2"/>
              </w:rPr>
              <w:t>10</w:t>
            </w:r>
          </w:hyperlink>
        </w:p>
        <w:p>
          <w:pPr>
            <w:pStyle w:val="TOC3"/>
            <w:numPr>
              <w:ilvl w:val="1"/>
              <w:numId w:val="1"/>
            </w:numPr>
            <w:tabs>
              <w:tab w:pos="1179" w:val="left" w:leader="none"/>
              <w:tab w:pos="8839" w:val="left" w:leader="dot"/>
            </w:tabs>
            <w:spacing w:line="240" w:lineRule="auto" w:before="227" w:after="0"/>
            <w:ind w:left="1178" w:right="0" w:hanging="370"/>
            <w:jc w:val="left"/>
          </w:pPr>
          <w:hyperlink w:history="true" w:anchor="_bookmark23">
            <w:r>
              <w:rPr/>
              <w:t>Kolorektal Cerrahi Sonrası Gelişen</w:t>
            </w:r>
            <w:r>
              <w:rPr>
                <w:spacing w:val="-25"/>
              </w:rPr>
              <w:t> </w:t>
            </w:r>
            <w:r>
              <w:rPr/>
              <w:t>Pulmoner</w:t>
            </w:r>
            <w:r>
              <w:rPr>
                <w:spacing w:val="-5"/>
              </w:rPr>
              <w:t> </w:t>
            </w:r>
            <w:r>
              <w:rPr/>
              <w:t>Komplikasyonlar</w:t>
              <w:tab/>
              <w:t>10</w:t>
            </w:r>
          </w:hyperlink>
        </w:p>
        <w:p>
          <w:pPr>
            <w:pStyle w:val="TOC3"/>
            <w:numPr>
              <w:ilvl w:val="1"/>
              <w:numId w:val="1"/>
            </w:numPr>
            <w:tabs>
              <w:tab w:pos="1179" w:val="left" w:leader="none"/>
              <w:tab w:pos="8839" w:val="left" w:leader="dot"/>
            </w:tabs>
            <w:spacing w:line="240" w:lineRule="auto" w:before="225" w:after="0"/>
            <w:ind w:left="1178" w:right="0" w:hanging="370"/>
            <w:jc w:val="left"/>
          </w:pPr>
          <w:hyperlink w:history="true" w:anchor="_bookmark24">
            <w:r>
              <w:rPr/>
              <w:t>Kolorektal Cerrahilerde Fizyoterapi ve Rehabilitasyon</w:t>
            </w:r>
            <w:r>
              <w:rPr>
                <w:spacing w:val="-12"/>
              </w:rPr>
              <w:t> </w:t>
            </w:r>
            <w:r>
              <w:rPr/>
              <w:t>ve</w:t>
            </w:r>
            <w:r>
              <w:rPr>
                <w:spacing w:val="-3"/>
              </w:rPr>
              <w:t> </w:t>
            </w:r>
            <w:r>
              <w:rPr/>
              <w:t>Hedefleri</w:t>
              <w:tab/>
              <w:t>11</w:t>
            </w:r>
          </w:hyperlink>
        </w:p>
        <w:p>
          <w:pPr>
            <w:pStyle w:val="TOC3"/>
            <w:numPr>
              <w:ilvl w:val="1"/>
              <w:numId w:val="1"/>
            </w:numPr>
            <w:tabs>
              <w:tab w:pos="1179" w:val="left" w:leader="none"/>
              <w:tab w:pos="8839" w:val="left" w:leader="dot"/>
            </w:tabs>
            <w:spacing w:line="240" w:lineRule="auto" w:before="227" w:after="0"/>
            <w:ind w:left="1178" w:right="0" w:hanging="370"/>
            <w:jc w:val="left"/>
          </w:pPr>
          <w:hyperlink w:history="true" w:anchor="_bookmark25">
            <w:r>
              <w:rPr/>
              <w:t>Kolorektal Cerrahilerde Uygulanan Fizyoterapi ve</w:t>
            </w:r>
            <w:r>
              <w:rPr>
                <w:spacing w:val="-18"/>
              </w:rPr>
              <w:t> </w:t>
            </w:r>
            <w:r>
              <w:rPr/>
              <w:t>Rehabilitasyon</w:t>
            </w:r>
            <w:r>
              <w:rPr>
                <w:spacing w:val="-3"/>
              </w:rPr>
              <w:t> </w:t>
            </w:r>
            <w:r>
              <w:rPr/>
              <w:t>Teknikleri</w:t>
              <w:tab/>
              <w:t>11</w:t>
            </w:r>
          </w:hyperlink>
        </w:p>
        <w:p>
          <w:pPr>
            <w:pStyle w:val="TOC1"/>
            <w:numPr>
              <w:ilvl w:val="2"/>
              <w:numId w:val="1"/>
            </w:numPr>
            <w:tabs>
              <w:tab w:pos="614" w:val="left" w:leader="none"/>
              <w:tab w:pos="7811" w:val="left" w:leader="dot"/>
            </w:tabs>
            <w:spacing w:line="240" w:lineRule="auto" w:before="227" w:after="67"/>
            <w:ind w:left="1641" w:right="300" w:hanging="1642"/>
            <w:jc w:val="right"/>
          </w:pPr>
          <w:hyperlink w:history="true" w:anchor="_bookmark26">
            <w:r>
              <w:rPr/>
              <w:t>Solunum</w:t>
            </w:r>
            <w:r>
              <w:rPr>
                <w:spacing w:val="-3"/>
              </w:rPr>
              <w:t> </w:t>
            </w:r>
            <w:r>
              <w:rPr/>
              <w:t>Egzersizleri</w:t>
              <w:tab/>
            </w:r>
            <w:r>
              <w:rPr>
                <w:spacing w:val="-2"/>
              </w:rPr>
              <w:t>12</w:t>
            </w:r>
          </w:hyperlink>
        </w:p>
        <w:p>
          <w:pPr>
            <w:pStyle w:val="TOC1"/>
            <w:numPr>
              <w:ilvl w:val="2"/>
              <w:numId w:val="1"/>
            </w:numPr>
            <w:tabs>
              <w:tab w:pos="614" w:val="left" w:leader="none"/>
              <w:tab w:pos="8056" w:val="right" w:leader="dot"/>
            </w:tabs>
            <w:spacing w:line="240" w:lineRule="auto" w:before="86" w:after="0"/>
            <w:ind w:left="1641" w:right="300" w:hanging="1642"/>
            <w:jc w:val="right"/>
          </w:pPr>
          <w:hyperlink w:history="true" w:anchor="_bookmark27">
            <w:r>
              <w:rPr/>
              <w:t>Erken</w:t>
            </w:r>
            <w:r>
              <w:rPr>
                <w:spacing w:val="-1"/>
              </w:rPr>
              <w:t> </w:t>
            </w:r>
            <w:r>
              <w:rPr/>
              <w:t>Mobilizasyon</w:t>
              <w:tab/>
              <w:t>13</w:t>
            </w:r>
          </w:hyperlink>
        </w:p>
        <w:p>
          <w:pPr>
            <w:pStyle w:val="TOC1"/>
            <w:numPr>
              <w:ilvl w:val="2"/>
              <w:numId w:val="1"/>
            </w:numPr>
            <w:tabs>
              <w:tab w:pos="614" w:val="left" w:leader="none"/>
              <w:tab w:pos="8056" w:val="right" w:leader="dot"/>
            </w:tabs>
            <w:spacing w:line="240" w:lineRule="auto" w:before="227" w:after="0"/>
            <w:ind w:left="1641" w:right="300" w:hanging="1642"/>
            <w:jc w:val="right"/>
          </w:pPr>
          <w:hyperlink w:history="true" w:anchor="_bookmark28">
            <w:r>
              <w:rPr/>
              <w:t>Nöromusküler Elektrik</w:t>
            </w:r>
            <w:r>
              <w:rPr>
                <w:spacing w:val="2"/>
              </w:rPr>
              <w:t> </w:t>
            </w:r>
            <w:r>
              <w:rPr/>
              <w:t>Stimülasyonu</w:t>
              <w:tab/>
              <w:t>13</w:t>
            </w:r>
          </w:hyperlink>
        </w:p>
        <w:p>
          <w:pPr>
            <w:pStyle w:val="TOC1"/>
            <w:numPr>
              <w:ilvl w:val="2"/>
              <w:numId w:val="1"/>
            </w:numPr>
            <w:tabs>
              <w:tab w:pos="614" w:val="left" w:leader="none"/>
              <w:tab w:pos="8056" w:val="right" w:leader="dot"/>
            </w:tabs>
            <w:spacing w:line="240" w:lineRule="auto" w:before="225" w:after="0"/>
            <w:ind w:left="1641" w:right="300" w:hanging="1642"/>
            <w:jc w:val="right"/>
          </w:pPr>
          <w:hyperlink w:history="true" w:anchor="_bookmark29">
            <w:r>
              <w:rPr/>
              <w:t>Solunum</w:t>
            </w:r>
            <w:r>
              <w:rPr>
                <w:spacing w:val="-2"/>
              </w:rPr>
              <w:t> </w:t>
            </w:r>
            <w:r>
              <w:rPr/>
              <w:t>Kas Eğitimi</w:t>
              <w:tab/>
              <w:t>14</w:t>
            </w:r>
          </w:hyperlink>
        </w:p>
        <w:p>
          <w:pPr>
            <w:pStyle w:val="TOC1"/>
            <w:numPr>
              <w:ilvl w:val="0"/>
              <w:numId w:val="1"/>
            </w:numPr>
            <w:tabs>
              <w:tab w:pos="248" w:val="left" w:leader="none"/>
              <w:tab w:pos="8495" w:val="right" w:leader="dot"/>
            </w:tabs>
            <w:spacing w:line="240" w:lineRule="auto" w:before="227" w:after="0"/>
            <w:ind w:left="835" w:right="300" w:hanging="836"/>
            <w:jc w:val="right"/>
          </w:pPr>
          <w:hyperlink w:history="true" w:anchor="_bookmark30">
            <w:r>
              <w:rPr/>
              <w:t>MATERYAL</w:t>
            </w:r>
            <w:r>
              <w:rPr>
                <w:spacing w:val="-1"/>
              </w:rPr>
              <w:t> </w:t>
            </w:r>
            <w:r>
              <w:rPr/>
              <w:t>VE METOT</w:t>
              <w:tab/>
              <w:t>16</w:t>
            </w:r>
          </w:hyperlink>
        </w:p>
        <w:p>
          <w:pPr>
            <w:pStyle w:val="TOC1"/>
            <w:numPr>
              <w:ilvl w:val="1"/>
              <w:numId w:val="1"/>
            </w:numPr>
            <w:tabs>
              <w:tab w:pos="370" w:val="left" w:leader="none"/>
              <w:tab w:pos="8274" w:val="right" w:leader="dot"/>
            </w:tabs>
            <w:spacing w:line="240" w:lineRule="auto" w:before="227" w:after="0"/>
            <w:ind w:left="1178" w:right="300" w:hanging="1179"/>
            <w:jc w:val="right"/>
          </w:pPr>
          <w:hyperlink w:history="true" w:anchor="_bookmark31">
            <w:r>
              <w:rPr/>
              <w:t>Çalışmanın</w:t>
            </w:r>
            <w:r>
              <w:rPr>
                <w:spacing w:val="-1"/>
              </w:rPr>
              <w:t> </w:t>
            </w:r>
            <w:r>
              <w:rPr/>
              <w:t>Yapıldığı</w:t>
            </w:r>
            <w:r>
              <w:rPr>
                <w:spacing w:val="-1"/>
              </w:rPr>
              <w:t> </w:t>
            </w:r>
            <w:r>
              <w:rPr/>
              <w:t>Yer</w:t>
              <w:tab/>
              <w:t>16</w:t>
            </w:r>
          </w:hyperlink>
        </w:p>
        <w:p>
          <w:pPr>
            <w:pStyle w:val="TOC1"/>
            <w:numPr>
              <w:ilvl w:val="1"/>
              <w:numId w:val="1"/>
            </w:numPr>
            <w:tabs>
              <w:tab w:pos="370" w:val="left" w:leader="none"/>
              <w:tab w:pos="8274" w:val="right" w:leader="dot"/>
            </w:tabs>
            <w:spacing w:line="240" w:lineRule="auto" w:before="227" w:after="0"/>
            <w:ind w:left="1178" w:right="300" w:hanging="1179"/>
            <w:jc w:val="right"/>
          </w:pPr>
          <w:hyperlink w:history="true" w:anchor="_bookmark32">
            <w:r>
              <w:rPr/>
              <w:t>Çalışma</w:t>
            </w:r>
            <w:r>
              <w:rPr>
                <w:spacing w:val="-1"/>
              </w:rPr>
              <w:t> </w:t>
            </w:r>
            <w:r>
              <w:rPr/>
              <w:t>Süresi</w:t>
              <w:tab/>
              <w:t>16</w:t>
            </w:r>
          </w:hyperlink>
        </w:p>
        <w:p>
          <w:pPr>
            <w:pStyle w:val="TOC1"/>
            <w:numPr>
              <w:ilvl w:val="1"/>
              <w:numId w:val="1"/>
            </w:numPr>
            <w:tabs>
              <w:tab w:pos="370" w:val="left" w:leader="none"/>
              <w:tab w:pos="8274" w:val="right" w:leader="dot"/>
            </w:tabs>
            <w:spacing w:line="240" w:lineRule="auto" w:before="227" w:after="0"/>
            <w:ind w:left="1178" w:right="300" w:hanging="1179"/>
            <w:jc w:val="right"/>
          </w:pPr>
          <w:hyperlink w:history="true" w:anchor="_bookmark33">
            <w:r>
              <w:rPr/>
              <w:t>Katılımcılar</w:t>
              <w:tab/>
              <w:t>16</w:t>
            </w:r>
          </w:hyperlink>
        </w:p>
        <w:p>
          <w:pPr>
            <w:pStyle w:val="TOC1"/>
            <w:numPr>
              <w:ilvl w:val="1"/>
              <w:numId w:val="1"/>
            </w:numPr>
            <w:tabs>
              <w:tab w:pos="370" w:val="left" w:leader="none"/>
              <w:tab w:pos="8056" w:val="right" w:leader="dot"/>
            </w:tabs>
            <w:spacing w:line="240" w:lineRule="auto" w:before="224" w:after="0"/>
            <w:ind w:left="1396" w:right="300" w:hanging="1397"/>
            <w:jc w:val="right"/>
          </w:pPr>
          <w:hyperlink w:history="true" w:anchor="_bookmark34">
            <w:r>
              <w:rPr/>
              <w:t>Değerlendirme</w:t>
              <w:tab/>
              <w:t>17</w:t>
            </w:r>
          </w:hyperlink>
        </w:p>
        <w:p>
          <w:pPr>
            <w:pStyle w:val="TOC1"/>
            <w:numPr>
              <w:ilvl w:val="2"/>
              <w:numId w:val="1"/>
            </w:numPr>
            <w:tabs>
              <w:tab w:pos="614" w:val="left" w:leader="none"/>
              <w:tab w:pos="8056" w:val="right" w:leader="dot"/>
            </w:tabs>
            <w:spacing w:line="240" w:lineRule="auto" w:before="228" w:after="0"/>
            <w:ind w:left="1641" w:right="300" w:hanging="1642"/>
            <w:jc w:val="right"/>
          </w:pPr>
          <w:hyperlink w:history="true" w:anchor="_bookmark35">
            <w:r>
              <w:rPr/>
              <w:t>Solunum Kas</w:t>
            </w:r>
            <w:r>
              <w:rPr>
                <w:spacing w:val="-4"/>
              </w:rPr>
              <w:t> </w:t>
            </w:r>
            <w:r>
              <w:rPr/>
              <w:t>Gücü Değerlendirmesi</w:t>
              <w:tab/>
              <w:t>18</w:t>
            </w:r>
          </w:hyperlink>
        </w:p>
        <w:p>
          <w:pPr>
            <w:pStyle w:val="TOC1"/>
            <w:numPr>
              <w:ilvl w:val="2"/>
              <w:numId w:val="1"/>
            </w:numPr>
            <w:tabs>
              <w:tab w:pos="614" w:val="left" w:leader="none"/>
              <w:tab w:pos="8056" w:val="right" w:leader="dot"/>
            </w:tabs>
            <w:spacing w:line="240" w:lineRule="auto" w:before="227" w:after="0"/>
            <w:ind w:left="1641" w:right="300" w:hanging="1642"/>
            <w:jc w:val="right"/>
          </w:pPr>
          <w:hyperlink w:history="true" w:anchor="_bookmark36">
            <w:r>
              <w:rPr/>
              <w:t>Fonksiyonel</w:t>
            </w:r>
            <w:r>
              <w:rPr>
                <w:spacing w:val="-2"/>
              </w:rPr>
              <w:t> </w:t>
            </w:r>
            <w:r>
              <w:rPr/>
              <w:t>Düzeyin</w:t>
            </w:r>
            <w:r>
              <w:rPr>
                <w:spacing w:val="-1"/>
              </w:rPr>
              <w:t> </w:t>
            </w:r>
            <w:r>
              <w:rPr/>
              <w:t>Değerlendirmesi</w:t>
              <w:tab/>
              <w:t>19</w:t>
            </w:r>
          </w:hyperlink>
        </w:p>
        <w:p>
          <w:pPr>
            <w:pStyle w:val="TOC1"/>
            <w:numPr>
              <w:ilvl w:val="2"/>
              <w:numId w:val="1"/>
            </w:numPr>
            <w:tabs>
              <w:tab w:pos="614" w:val="left" w:leader="none"/>
              <w:tab w:pos="8056" w:val="right" w:leader="dot"/>
            </w:tabs>
            <w:spacing w:line="240" w:lineRule="auto" w:before="227" w:after="0"/>
            <w:ind w:left="1641" w:right="300" w:hanging="1642"/>
            <w:jc w:val="right"/>
          </w:pPr>
          <w:hyperlink w:history="true" w:anchor="_bookmark37">
            <w:r>
              <w:rPr/>
              <w:t>Modifiye Borg Skala’sı (MBS) ile Yorgunluk ve</w:t>
            </w:r>
            <w:r>
              <w:rPr>
                <w:spacing w:val="-30"/>
              </w:rPr>
              <w:t> </w:t>
            </w:r>
            <w:r>
              <w:rPr/>
              <w:t>Dispne</w:t>
            </w:r>
            <w:r>
              <w:rPr>
                <w:spacing w:val="-5"/>
              </w:rPr>
              <w:t> </w:t>
            </w:r>
            <w:r>
              <w:rPr/>
              <w:t>Değerlendirilmesi</w:t>
              <w:tab/>
            </w:r>
            <w:r>
              <w:rPr>
                <w:spacing w:val="-2"/>
              </w:rPr>
              <w:t>19</w:t>
            </w:r>
          </w:hyperlink>
        </w:p>
        <w:p>
          <w:pPr>
            <w:pStyle w:val="TOC1"/>
            <w:numPr>
              <w:ilvl w:val="2"/>
              <w:numId w:val="1"/>
            </w:numPr>
            <w:tabs>
              <w:tab w:pos="614" w:val="left" w:leader="none"/>
              <w:tab w:pos="8056" w:val="right" w:leader="dot"/>
            </w:tabs>
            <w:spacing w:line="240" w:lineRule="auto" w:before="225" w:after="0"/>
            <w:ind w:left="1641" w:right="300" w:hanging="1642"/>
            <w:jc w:val="right"/>
          </w:pPr>
          <w:hyperlink w:history="true" w:anchor="_bookmark38">
            <w:r>
              <w:rPr/>
              <w:t>Hasta Hareketlilik ve Bağımsızlık</w:t>
            </w:r>
            <w:r>
              <w:rPr>
                <w:spacing w:val="-6"/>
              </w:rPr>
              <w:t> </w:t>
            </w:r>
            <w:r>
              <w:rPr/>
              <w:t>Düzeyi</w:t>
            </w:r>
            <w:r>
              <w:rPr>
                <w:spacing w:val="-4"/>
              </w:rPr>
              <w:t> </w:t>
            </w:r>
            <w:r>
              <w:rPr/>
              <w:t>Değerlendirmesi</w:t>
              <w:tab/>
              <w:t>20</w:t>
            </w:r>
          </w:hyperlink>
        </w:p>
        <w:p>
          <w:pPr>
            <w:pStyle w:val="TOC1"/>
            <w:numPr>
              <w:ilvl w:val="2"/>
              <w:numId w:val="1"/>
            </w:numPr>
            <w:tabs>
              <w:tab w:pos="614" w:val="left" w:leader="none"/>
              <w:tab w:pos="8056" w:val="right" w:leader="dot"/>
            </w:tabs>
            <w:spacing w:line="240" w:lineRule="auto" w:before="227" w:after="0"/>
            <w:ind w:left="1641" w:right="300" w:hanging="1642"/>
            <w:jc w:val="right"/>
          </w:pPr>
          <w:hyperlink w:history="true" w:anchor="_bookmark39">
            <w:r>
              <w:rPr/>
              <w:t>Durumluluk ve Süreklilik Kaygı Ölçeği (State- Trait</w:t>
            </w:r>
            <w:r>
              <w:rPr>
                <w:spacing w:val="-26"/>
              </w:rPr>
              <w:t> </w:t>
            </w:r>
            <w:r>
              <w:rPr/>
              <w:t>Anxiety</w:t>
            </w:r>
            <w:r>
              <w:rPr>
                <w:spacing w:val="-5"/>
              </w:rPr>
              <w:t> </w:t>
            </w:r>
            <w:r>
              <w:rPr/>
              <w:t>Inventory)</w:t>
              <w:tab/>
            </w:r>
            <w:r>
              <w:rPr>
                <w:spacing w:val="-2"/>
              </w:rPr>
              <w:t>21</w:t>
            </w:r>
          </w:hyperlink>
        </w:p>
        <w:p>
          <w:pPr>
            <w:pStyle w:val="TOC1"/>
            <w:numPr>
              <w:ilvl w:val="2"/>
              <w:numId w:val="1"/>
            </w:numPr>
            <w:tabs>
              <w:tab w:pos="614" w:val="left" w:leader="none"/>
              <w:tab w:pos="8056" w:val="right" w:leader="dot"/>
            </w:tabs>
            <w:spacing w:line="240" w:lineRule="auto" w:before="227" w:after="0"/>
            <w:ind w:left="1641" w:right="300" w:hanging="1642"/>
            <w:jc w:val="right"/>
          </w:pPr>
          <w:hyperlink w:history="true" w:anchor="_bookmark40">
            <w:r>
              <w:rPr/>
              <w:t>Fiziki Sağlık Durumu Değerlendirmesi</w:t>
            </w:r>
            <w:r>
              <w:rPr>
                <w:spacing w:val="-5"/>
              </w:rPr>
              <w:t> </w:t>
            </w:r>
            <w:r>
              <w:rPr/>
              <w:t>(ASA</w:t>
            </w:r>
            <w:r>
              <w:rPr>
                <w:spacing w:val="-1"/>
              </w:rPr>
              <w:t> </w:t>
            </w:r>
            <w:r>
              <w:rPr/>
              <w:t>skoru)</w:t>
              <w:tab/>
              <w:t>21</w:t>
            </w:r>
          </w:hyperlink>
        </w:p>
        <w:p>
          <w:pPr>
            <w:pStyle w:val="TOC1"/>
            <w:numPr>
              <w:ilvl w:val="2"/>
              <w:numId w:val="1"/>
            </w:numPr>
            <w:tabs>
              <w:tab w:pos="614" w:val="left" w:leader="none"/>
              <w:tab w:pos="8056" w:val="right" w:leader="dot"/>
            </w:tabs>
            <w:spacing w:line="240" w:lineRule="auto" w:before="227" w:after="0"/>
            <w:ind w:left="1641" w:right="300" w:hanging="1642"/>
            <w:jc w:val="right"/>
          </w:pPr>
          <w:hyperlink w:history="true" w:anchor="_bookmark41">
            <w:r>
              <w:rPr/>
              <w:t>Postoperatif Pulmoner Komplikasyon</w:t>
            </w:r>
            <w:r>
              <w:rPr>
                <w:spacing w:val="-2"/>
              </w:rPr>
              <w:t> </w:t>
            </w:r>
            <w:r>
              <w:rPr/>
              <w:t>Değerlendirmesi</w:t>
              <w:tab/>
              <w:t>21</w:t>
            </w:r>
          </w:hyperlink>
        </w:p>
        <w:p>
          <w:pPr>
            <w:pStyle w:val="TOC1"/>
            <w:numPr>
              <w:ilvl w:val="1"/>
              <w:numId w:val="1"/>
            </w:numPr>
            <w:tabs>
              <w:tab w:pos="368" w:val="left" w:leader="none"/>
              <w:tab w:pos="8274" w:val="right" w:leader="dot"/>
            </w:tabs>
            <w:spacing w:line="240" w:lineRule="auto" w:before="227" w:after="0"/>
            <w:ind w:left="1176" w:right="300" w:hanging="1177"/>
            <w:jc w:val="right"/>
          </w:pPr>
          <w:hyperlink w:history="true" w:anchor="_bookmark42">
            <w:r>
              <w:rPr/>
              <w:t>Tedavi</w:t>
              <w:tab/>
              <w:t>22</w:t>
            </w:r>
          </w:hyperlink>
        </w:p>
        <w:p>
          <w:pPr>
            <w:pStyle w:val="TOC1"/>
            <w:numPr>
              <w:ilvl w:val="2"/>
              <w:numId w:val="1"/>
            </w:numPr>
            <w:tabs>
              <w:tab w:pos="614" w:val="left" w:leader="none"/>
              <w:tab w:pos="8056" w:val="right" w:leader="dot"/>
            </w:tabs>
            <w:spacing w:line="240" w:lineRule="auto" w:before="225" w:after="0"/>
            <w:ind w:left="1641" w:right="300" w:hanging="1642"/>
            <w:jc w:val="right"/>
          </w:pPr>
          <w:hyperlink w:history="true" w:anchor="_bookmark43">
            <w:r>
              <w:rPr/>
              <w:t>Kontrol Grubuna Uygulanan</w:t>
            </w:r>
            <w:r>
              <w:rPr>
                <w:spacing w:val="-8"/>
              </w:rPr>
              <w:t> </w:t>
            </w:r>
            <w:r>
              <w:rPr/>
              <w:t>Tedavi Programı</w:t>
              <w:tab/>
              <w:t>22</w:t>
            </w:r>
          </w:hyperlink>
        </w:p>
        <w:p>
          <w:pPr>
            <w:pStyle w:val="TOC1"/>
            <w:numPr>
              <w:ilvl w:val="2"/>
              <w:numId w:val="1"/>
            </w:numPr>
            <w:tabs>
              <w:tab w:pos="614" w:val="left" w:leader="none"/>
              <w:tab w:pos="8056" w:val="right" w:leader="dot"/>
            </w:tabs>
            <w:spacing w:line="240" w:lineRule="auto" w:before="227" w:after="0"/>
            <w:ind w:left="1641" w:right="300" w:hanging="1642"/>
            <w:jc w:val="right"/>
          </w:pPr>
          <w:hyperlink w:history="true" w:anchor="_bookmark44">
            <w:r>
              <w:rPr/>
              <w:t>Çalışma Grubuna Uygulanan</w:t>
            </w:r>
            <w:r>
              <w:rPr>
                <w:spacing w:val="-5"/>
              </w:rPr>
              <w:t> </w:t>
            </w:r>
            <w:r>
              <w:rPr/>
              <w:t>Tedavi Programı</w:t>
              <w:tab/>
              <w:t>23</w:t>
            </w:r>
          </w:hyperlink>
        </w:p>
        <w:p>
          <w:pPr>
            <w:pStyle w:val="TOC1"/>
            <w:numPr>
              <w:ilvl w:val="1"/>
              <w:numId w:val="1"/>
            </w:numPr>
            <w:tabs>
              <w:tab w:pos="368" w:val="left" w:leader="none"/>
              <w:tab w:pos="8274" w:val="right" w:leader="dot"/>
            </w:tabs>
            <w:spacing w:line="240" w:lineRule="auto" w:before="227" w:after="0"/>
            <w:ind w:left="1176" w:right="300" w:hanging="1177"/>
            <w:jc w:val="right"/>
          </w:pPr>
          <w:hyperlink w:history="true" w:anchor="_bookmark45">
            <w:r>
              <w:rPr/>
              <w:t>İstatiksel</w:t>
            </w:r>
            <w:r>
              <w:rPr>
                <w:spacing w:val="-2"/>
              </w:rPr>
              <w:t> </w:t>
            </w:r>
            <w:r>
              <w:rPr/>
              <w:t>Analiz</w:t>
              <w:tab/>
              <w:t>25</w:t>
            </w:r>
          </w:hyperlink>
        </w:p>
        <w:p>
          <w:pPr>
            <w:pStyle w:val="TOC1"/>
            <w:numPr>
              <w:ilvl w:val="0"/>
              <w:numId w:val="1"/>
            </w:numPr>
            <w:tabs>
              <w:tab w:pos="248" w:val="left" w:leader="none"/>
              <w:tab w:pos="8495" w:val="right" w:leader="dot"/>
            </w:tabs>
            <w:spacing w:line="240" w:lineRule="auto" w:before="227" w:after="0"/>
            <w:ind w:left="835" w:right="300" w:hanging="836"/>
            <w:jc w:val="right"/>
          </w:pPr>
          <w:hyperlink w:history="true" w:anchor="_bookmark46">
            <w:r>
              <w:rPr/>
              <w:t>BULGULAR</w:t>
              <w:tab/>
              <w:t>26</w:t>
            </w:r>
          </w:hyperlink>
        </w:p>
        <w:p>
          <w:pPr>
            <w:pStyle w:val="TOC1"/>
            <w:numPr>
              <w:ilvl w:val="1"/>
              <w:numId w:val="1"/>
            </w:numPr>
            <w:tabs>
              <w:tab w:pos="368" w:val="left" w:leader="none"/>
              <w:tab w:pos="8274" w:val="right" w:leader="dot"/>
            </w:tabs>
            <w:spacing w:line="240" w:lineRule="auto" w:before="224" w:after="0"/>
            <w:ind w:left="1176" w:right="300" w:hanging="1177"/>
            <w:jc w:val="right"/>
          </w:pPr>
          <w:hyperlink w:history="true" w:anchor="_bookmark47">
            <w:r>
              <w:rPr/>
              <w:t>Grupların Tedavi Öncesi ve Sonrası</w:t>
            </w:r>
            <w:r>
              <w:rPr>
                <w:spacing w:val="-13"/>
              </w:rPr>
              <w:t> </w:t>
            </w:r>
            <w:r>
              <w:rPr/>
              <w:t>Verilerinin</w:t>
            </w:r>
            <w:r>
              <w:rPr>
                <w:spacing w:val="-1"/>
              </w:rPr>
              <w:t> </w:t>
            </w:r>
            <w:r>
              <w:rPr/>
              <w:t>Karşılaştırılması</w:t>
              <w:tab/>
              <w:t>29</w:t>
            </w:r>
          </w:hyperlink>
        </w:p>
        <w:p>
          <w:pPr>
            <w:pStyle w:val="TOC1"/>
            <w:numPr>
              <w:ilvl w:val="2"/>
              <w:numId w:val="1"/>
            </w:numPr>
            <w:tabs>
              <w:tab w:pos="614" w:val="left" w:leader="none"/>
              <w:tab w:pos="8056" w:val="right" w:leader="dot"/>
            </w:tabs>
            <w:spacing w:line="240" w:lineRule="auto" w:before="227" w:after="0"/>
            <w:ind w:left="1641" w:right="300" w:hanging="1642"/>
            <w:jc w:val="right"/>
          </w:pPr>
          <w:hyperlink w:history="true" w:anchor="_bookmark48">
            <w:r>
              <w:rPr/>
              <w:t>Kontrol Grubunun Tedavi Öncesi ve Sonrası</w:t>
            </w:r>
            <w:r>
              <w:rPr>
                <w:spacing w:val="-37"/>
              </w:rPr>
              <w:t> </w:t>
            </w:r>
            <w:r>
              <w:rPr/>
              <w:t>Verilerinin</w:t>
            </w:r>
            <w:r>
              <w:rPr>
                <w:spacing w:val="-4"/>
              </w:rPr>
              <w:t> </w:t>
            </w:r>
            <w:r>
              <w:rPr/>
              <w:t>Karşılaştırılması</w:t>
              <w:tab/>
            </w:r>
            <w:r>
              <w:rPr>
                <w:spacing w:val="-2"/>
              </w:rPr>
              <w:t>29</w:t>
            </w:r>
          </w:hyperlink>
        </w:p>
        <w:p>
          <w:pPr>
            <w:pStyle w:val="TOC1"/>
            <w:numPr>
              <w:ilvl w:val="2"/>
              <w:numId w:val="1"/>
            </w:numPr>
            <w:tabs>
              <w:tab w:pos="614" w:val="left" w:leader="none"/>
            </w:tabs>
            <w:spacing w:line="240" w:lineRule="auto" w:before="227" w:after="0"/>
            <w:ind w:left="1641" w:right="300" w:hanging="1642"/>
            <w:jc w:val="right"/>
          </w:pPr>
          <w:hyperlink w:history="true" w:anchor="_bookmark49">
            <w:r>
              <w:rPr/>
              <w:t>Çalışma Grubunun Tedavi Öncesi ve Sonrası Verilerinin Karşılaştırılması</w:t>
            </w:r>
            <w:r>
              <w:rPr>
                <w:spacing w:val="-4"/>
              </w:rPr>
              <w:t> </w:t>
            </w:r>
            <w:r>
              <w:rPr/>
              <w:t>33</w:t>
            </w:r>
          </w:hyperlink>
        </w:p>
        <w:p>
          <w:pPr>
            <w:pStyle w:val="TOC1"/>
            <w:numPr>
              <w:ilvl w:val="2"/>
              <w:numId w:val="1"/>
            </w:numPr>
            <w:tabs>
              <w:tab w:pos="614" w:val="left" w:leader="none"/>
              <w:tab w:pos="8056" w:val="right" w:leader="dot"/>
            </w:tabs>
            <w:spacing w:line="240" w:lineRule="auto" w:before="228" w:after="0"/>
            <w:ind w:left="1641" w:right="300" w:hanging="1642"/>
            <w:jc w:val="right"/>
          </w:pPr>
          <w:hyperlink w:history="true" w:anchor="_bookmark50">
            <w:r>
              <w:rPr/>
              <w:t>Kontrol ve Çalışma Grubu</w:t>
            </w:r>
            <w:r>
              <w:rPr>
                <w:spacing w:val="-8"/>
              </w:rPr>
              <w:t> </w:t>
            </w:r>
            <w:r>
              <w:rPr/>
              <w:t>Verilerinin</w:t>
            </w:r>
            <w:r>
              <w:rPr>
                <w:spacing w:val="-1"/>
              </w:rPr>
              <w:t> </w:t>
            </w:r>
            <w:r>
              <w:rPr/>
              <w:t>Karşılaştırılması</w:t>
              <w:tab/>
              <w:t>37</w:t>
            </w:r>
          </w:hyperlink>
        </w:p>
        <w:p>
          <w:pPr>
            <w:pStyle w:val="TOC1"/>
            <w:numPr>
              <w:ilvl w:val="0"/>
              <w:numId w:val="1"/>
            </w:numPr>
            <w:tabs>
              <w:tab w:pos="245" w:val="left" w:leader="none"/>
              <w:tab w:pos="8495" w:val="right" w:leader="dot"/>
            </w:tabs>
            <w:spacing w:line="240" w:lineRule="auto" w:before="227" w:after="0"/>
            <w:ind w:left="833" w:right="300" w:hanging="834"/>
            <w:jc w:val="right"/>
          </w:pPr>
          <w:hyperlink w:history="true" w:anchor="_bookmark51">
            <w:r>
              <w:rPr/>
              <w:t>TARTIŞMA</w:t>
              <w:tab/>
              <w:t>43</w:t>
            </w:r>
          </w:hyperlink>
        </w:p>
        <w:p>
          <w:pPr>
            <w:pStyle w:val="TOC1"/>
            <w:numPr>
              <w:ilvl w:val="0"/>
              <w:numId w:val="1"/>
            </w:numPr>
            <w:tabs>
              <w:tab w:pos="247" w:val="left" w:leader="none"/>
              <w:tab w:pos="8495" w:val="right" w:leader="dot"/>
            </w:tabs>
            <w:spacing w:line="240" w:lineRule="auto" w:before="225" w:after="0"/>
            <w:ind w:left="835" w:right="300" w:hanging="836"/>
            <w:jc w:val="right"/>
          </w:pPr>
          <w:hyperlink w:history="true" w:anchor="_bookmark52">
            <w:r>
              <w:rPr/>
              <w:t>SONUÇ</w:t>
              <w:tab/>
              <w:t>48</w:t>
            </w:r>
          </w:hyperlink>
        </w:p>
        <w:p>
          <w:pPr>
            <w:pStyle w:val="TOC1"/>
            <w:numPr>
              <w:ilvl w:val="0"/>
              <w:numId w:val="1"/>
            </w:numPr>
            <w:tabs>
              <w:tab w:pos="186" w:val="left" w:leader="none"/>
              <w:tab w:pos="8495" w:val="right" w:leader="dot"/>
            </w:tabs>
            <w:spacing w:line="240" w:lineRule="auto" w:before="227" w:after="0"/>
            <w:ind w:left="773" w:right="300" w:hanging="774"/>
            <w:jc w:val="right"/>
          </w:pPr>
          <w:hyperlink w:history="true" w:anchor="_bookmark53">
            <w:r>
              <w:rPr/>
              <w:t>KAYNAKLAR</w:t>
              <w:tab/>
              <w:t>49</w:t>
            </w:r>
          </w:hyperlink>
        </w:p>
        <w:p>
          <w:pPr>
            <w:pStyle w:val="TOC1"/>
            <w:numPr>
              <w:ilvl w:val="0"/>
              <w:numId w:val="1"/>
            </w:numPr>
            <w:tabs>
              <w:tab w:pos="245" w:val="left" w:leader="none"/>
              <w:tab w:pos="8495" w:val="right" w:leader="dot"/>
            </w:tabs>
            <w:spacing w:line="240" w:lineRule="auto" w:before="227" w:after="0"/>
            <w:ind w:left="833" w:right="300" w:hanging="834"/>
            <w:jc w:val="right"/>
          </w:pPr>
          <w:hyperlink w:history="true" w:anchor="_bookmark54">
            <w:r>
              <w:rPr/>
              <w:t>ÖZGEÇMİŞ</w:t>
              <w:tab/>
              <w:t>55</w:t>
            </w:r>
          </w:hyperlink>
        </w:p>
      </w:sdtContent>
    </w:sdt>
    <w:p>
      <w:pPr>
        <w:spacing w:after="0" w:line="240" w:lineRule="auto"/>
        <w:jc w:val="right"/>
        <w:sectPr>
          <w:type w:val="continuous"/>
          <w:pgSz w:w="11910" w:h="16840"/>
          <w:pgMar w:top="1329" w:bottom="1744" w:left="1680" w:right="840"/>
        </w:sectPr>
      </w:pPr>
    </w:p>
    <w:p>
      <w:pPr>
        <w:pStyle w:val="ListParagraph"/>
        <w:numPr>
          <w:ilvl w:val="0"/>
          <w:numId w:val="1"/>
        </w:numPr>
        <w:tabs>
          <w:tab w:pos="836" w:val="left" w:leader="none"/>
        </w:tabs>
        <w:spacing w:line="240" w:lineRule="auto" w:before="227" w:after="0"/>
        <w:ind w:left="835" w:right="0" w:hanging="248"/>
        <w:jc w:val="left"/>
        <w:rPr>
          <w:sz w:val="22"/>
        </w:rPr>
      </w:pPr>
      <w:hyperlink w:history="true" w:anchor="_bookmark55">
        <w:r>
          <w:rPr>
            <w:sz w:val="22"/>
          </w:rPr>
          <w:t>EKLER</w:t>
        </w:r>
      </w:hyperlink>
    </w:p>
    <w:p>
      <w:pPr>
        <w:spacing w:after="0" w:line="240" w:lineRule="auto"/>
        <w:jc w:val="left"/>
        <w:rPr>
          <w:sz w:val="22"/>
        </w:rPr>
        <w:sectPr>
          <w:type w:val="continuous"/>
          <w:pgSz w:w="11910" w:h="16840"/>
          <w:pgMar w:top="1320" w:bottom="280" w:left="1680" w:right="840"/>
        </w:sectPr>
      </w:pPr>
    </w:p>
    <w:p>
      <w:pPr>
        <w:pStyle w:val="BodyText"/>
        <w:spacing w:line="456" w:lineRule="auto" w:before="86"/>
        <w:ind w:left="1296" w:right="5237" w:firstLine="28"/>
      </w:pPr>
      <w:r>
        <w:rPr/>
        <w:t>EK-1 Etik Kurul Onay Formu EK-2 Demografik Bilgi Formu</w:t>
      </w:r>
    </w:p>
    <w:p>
      <w:pPr>
        <w:pStyle w:val="BodyText"/>
        <w:spacing w:line="511" w:lineRule="auto" w:before="56"/>
        <w:ind w:left="1296" w:right="3918"/>
      </w:pPr>
      <w:r>
        <w:rPr/>
        <w:t>Ek-3 Durumluluk ve Süreklilik Kaygı Ölçeği Ek-4 ASA Sınıflandırması</w:t>
      </w:r>
    </w:p>
    <w:p>
      <w:pPr>
        <w:pStyle w:val="BodyText"/>
        <w:spacing w:before="3"/>
        <w:ind w:left="1296"/>
      </w:pPr>
      <w:r>
        <w:rPr/>
        <w:t>Ek-5 Resim Çekimi ve Kullanımı Yayın Hakkı Devir Sözleşmesi Formu</w:t>
      </w:r>
    </w:p>
    <w:p>
      <w:pPr>
        <w:spacing w:after="0"/>
        <w:sectPr>
          <w:pgSz w:w="11910" w:h="16840"/>
          <w:pgMar w:header="749" w:footer="0" w:top="1320" w:bottom="280" w:left="1680" w:right="840"/>
        </w:sectPr>
      </w:pPr>
    </w:p>
    <w:p>
      <w:pPr>
        <w:pStyle w:val="BodyText"/>
        <w:rPr>
          <w:sz w:val="20"/>
        </w:rPr>
      </w:pPr>
    </w:p>
    <w:p>
      <w:pPr>
        <w:pStyle w:val="BodyText"/>
        <w:rPr>
          <w:sz w:val="20"/>
        </w:rPr>
      </w:pPr>
    </w:p>
    <w:p>
      <w:pPr>
        <w:pStyle w:val="BodyText"/>
        <w:spacing w:before="4"/>
        <w:rPr>
          <w:sz w:val="21"/>
        </w:rPr>
      </w:pPr>
    </w:p>
    <w:p>
      <w:pPr>
        <w:pStyle w:val="Heading2"/>
        <w:ind w:left="682" w:right="389"/>
        <w:jc w:val="center"/>
      </w:pPr>
      <w:bookmarkStart w:name="_bookmark4" w:id="5"/>
      <w:bookmarkEnd w:id="5"/>
      <w:r>
        <w:rPr>
          <w:b w:val="0"/>
        </w:rPr>
      </w:r>
      <w:r>
        <w:rPr/>
        <w:t>ŞEKİLLER DİZİNİ</w:t>
      </w:r>
    </w:p>
    <w:p>
      <w:pPr>
        <w:tabs>
          <w:tab w:pos="9095" w:val="right" w:leader="dot"/>
        </w:tabs>
        <w:spacing w:before="745"/>
        <w:ind w:left="588" w:right="0" w:firstLine="0"/>
        <w:jc w:val="left"/>
        <w:rPr>
          <w:sz w:val="22"/>
        </w:rPr>
      </w:pPr>
      <w:r>
        <w:rPr>
          <w:b/>
          <w:sz w:val="22"/>
        </w:rPr>
        <w:t>Şekil 4.1 </w:t>
      </w:r>
      <w:r>
        <w:rPr>
          <w:sz w:val="22"/>
        </w:rPr>
        <w:t>Cinsiyet</w:t>
      </w:r>
      <w:r>
        <w:rPr>
          <w:spacing w:val="-19"/>
          <w:sz w:val="22"/>
        </w:rPr>
        <w:t> </w:t>
      </w:r>
      <w:r>
        <w:rPr>
          <w:sz w:val="22"/>
        </w:rPr>
        <w:t>Dağılım</w:t>
      </w:r>
      <w:r>
        <w:rPr>
          <w:spacing w:val="-8"/>
          <w:sz w:val="22"/>
        </w:rPr>
        <w:t> </w:t>
      </w:r>
      <w:r>
        <w:rPr>
          <w:sz w:val="22"/>
        </w:rPr>
        <w:t>Grafikleri</w:t>
        <w:tab/>
        <w:t>26</w:t>
      </w:r>
    </w:p>
    <w:p>
      <w:pPr>
        <w:pStyle w:val="BodyText"/>
        <w:tabs>
          <w:tab w:pos="9095" w:val="right" w:leader="dot"/>
        </w:tabs>
        <w:spacing w:before="246"/>
        <w:ind w:left="588"/>
      </w:pPr>
      <w:r>
        <w:rPr>
          <w:b/>
        </w:rPr>
        <w:t>Şekil</w:t>
      </w:r>
      <w:r>
        <w:rPr>
          <w:b/>
          <w:spacing w:val="-16"/>
        </w:rPr>
        <w:t> </w:t>
      </w:r>
      <w:r>
        <w:rPr>
          <w:b/>
        </w:rPr>
        <w:t>4.2</w:t>
      </w:r>
      <w:r>
        <w:rPr>
          <w:b/>
          <w:spacing w:val="-16"/>
        </w:rPr>
        <w:t> </w:t>
      </w:r>
      <w:r>
        <w:rPr/>
        <w:t>Çalışmaya</w:t>
      </w:r>
      <w:r>
        <w:rPr>
          <w:spacing w:val="-15"/>
        </w:rPr>
        <w:t> </w:t>
      </w:r>
      <w:r>
        <w:rPr/>
        <w:t>katılan</w:t>
      </w:r>
      <w:r>
        <w:rPr>
          <w:spacing w:val="-15"/>
        </w:rPr>
        <w:t> </w:t>
      </w:r>
      <w:r>
        <w:rPr/>
        <w:t>bireylerin</w:t>
      </w:r>
      <w:r>
        <w:rPr>
          <w:spacing w:val="-15"/>
        </w:rPr>
        <w:t> </w:t>
      </w:r>
      <w:r>
        <w:rPr/>
        <w:t>Eğitim</w:t>
      </w:r>
      <w:r>
        <w:rPr>
          <w:spacing w:val="-14"/>
        </w:rPr>
        <w:t> </w:t>
      </w:r>
      <w:r>
        <w:rPr/>
        <w:t>düzeyleri</w:t>
        <w:tab/>
        <w:t>28</w:t>
      </w:r>
    </w:p>
    <w:p>
      <w:pPr>
        <w:tabs>
          <w:tab w:pos="9095" w:val="right" w:leader="dot"/>
        </w:tabs>
        <w:spacing w:before="247"/>
        <w:ind w:left="588" w:right="0" w:firstLine="0"/>
        <w:jc w:val="left"/>
        <w:rPr>
          <w:sz w:val="22"/>
        </w:rPr>
      </w:pPr>
      <w:r>
        <w:rPr>
          <w:b/>
          <w:sz w:val="22"/>
        </w:rPr>
        <w:t>Şekil 4.3 </w:t>
      </w:r>
      <w:r>
        <w:rPr>
          <w:sz w:val="22"/>
        </w:rPr>
        <w:t>Grupların MİP</w:t>
      </w:r>
      <w:r>
        <w:rPr>
          <w:spacing w:val="-6"/>
          <w:sz w:val="22"/>
        </w:rPr>
        <w:t> </w:t>
      </w:r>
      <w:r>
        <w:rPr>
          <w:sz w:val="22"/>
        </w:rPr>
        <w:t>Değerlerinin</w:t>
      </w:r>
      <w:r>
        <w:rPr>
          <w:spacing w:val="-2"/>
          <w:sz w:val="22"/>
        </w:rPr>
        <w:t> </w:t>
      </w:r>
      <w:r>
        <w:rPr>
          <w:sz w:val="22"/>
        </w:rPr>
        <w:t>Değişimi</w:t>
        <w:tab/>
        <w:t>38</w:t>
      </w:r>
    </w:p>
    <w:p>
      <w:pPr>
        <w:tabs>
          <w:tab w:pos="9088" w:val="right" w:leader="dot"/>
        </w:tabs>
        <w:spacing w:before="248"/>
        <w:ind w:left="588" w:right="0" w:firstLine="0"/>
        <w:jc w:val="left"/>
        <w:rPr>
          <w:sz w:val="22"/>
        </w:rPr>
      </w:pPr>
      <w:r>
        <w:rPr>
          <w:b/>
          <w:sz w:val="22"/>
        </w:rPr>
        <w:t>Şekil 4.4 </w:t>
      </w:r>
      <w:r>
        <w:rPr>
          <w:sz w:val="22"/>
        </w:rPr>
        <w:t>Grupların MEP</w:t>
      </w:r>
      <w:r>
        <w:rPr>
          <w:spacing w:val="1"/>
          <w:sz w:val="22"/>
        </w:rPr>
        <w:t> </w:t>
      </w:r>
      <w:r>
        <w:rPr>
          <w:sz w:val="22"/>
        </w:rPr>
        <w:t>Değerlerinin Değişimi</w:t>
        <w:tab/>
        <w:t>39</w:t>
      </w:r>
    </w:p>
    <w:p>
      <w:pPr>
        <w:spacing w:after="0"/>
        <w:jc w:val="left"/>
        <w:rPr>
          <w:sz w:val="22"/>
        </w:rPr>
        <w:sectPr>
          <w:pgSz w:w="11910" w:h="16840"/>
          <w:pgMar w:header="749" w:footer="0" w:top="1320" w:bottom="280" w:left="1680" w:right="840"/>
        </w:sectPr>
      </w:pPr>
    </w:p>
    <w:p>
      <w:pPr>
        <w:pStyle w:val="Heading2"/>
        <w:spacing w:before="83"/>
        <w:ind w:left="682" w:right="389"/>
        <w:jc w:val="center"/>
      </w:pPr>
      <w:bookmarkStart w:name="_bookmark5" w:id="6"/>
      <w:bookmarkEnd w:id="6"/>
      <w:r>
        <w:rPr>
          <w:b w:val="0"/>
        </w:rPr>
      </w:r>
      <w:r>
        <w:rPr/>
        <w:t>TABLOLAR DİZİNİ</w:t>
      </w:r>
    </w:p>
    <w:p>
      <w:pPr>
        <w:pStyle w:val="BodyText"/>
        <w:rPr>
          <w:b/>
          <w:sz w:val="24"/>
        </w:rPr>
      </w:pPr>
    </w:p>
    <w:p>
      <w:pPr>
        <w:pStyle w:val="BodyText"/>
        <w:rPr>
          <w:b/>
          <w:sz w:val="24"/>
        </w:rPr>
      </w:pPr>
    </w:p>
    <w:p>
      <w:pPr>
        <w:tabs>
          <w:tab w:pos="8851" w:val="left" w:leader="dot"/>
        </w:tabs>
        <w:spacing w:before="196"/>
        <w:ind w:left="588" w:right="0" w:firstLine="0"/>
        <w:jc w:val="left"/>
        <w:rPr>
          <w:sz w:val="22"/>
        </w:rPr>
      </w:pPr>
      <w:r>
        <w:rPr>
          <w:b/>
          <w:sz w:val="22"/>
        </w:rPr>
        <w:t>Tablo</w:t>
      </w:r>
      <w:r>
        <w:rPr>
          <w:b/>
          <w:spacing w:val="-12"/>
          <w:sz w:val="22"/>
        </w:rPr>
        <w:t> </w:t>
      </w:r>
      <w:r>
        <w:rPr>
          <w:b/>
          <w:sz w:val="22"/>
        </w:rPr>
        <w:t>3.4.7</w:t>
      </w:r>
      <w:r>
        <w:rPr>
          <w:b/>
          <w:spacing w:val="-10"/>
          <w:sz w:val="22"/>
        </w:rPr>
        <w:t> </w:t>
      </w:r>
      <w:r>
        <w:rPr>
          <w:sz w:val="22"/>
        </w:rPr>
        <w:t>Melbourne</w:t>
      </w:r>
      <w:r>
        <w:rPr>
          <w:spacing w:val="-11"/>
          <w:sz w:val="22"/>
        </w:rPr>
        <w:t> </w:t>
      </w:r>
      <w:r>
        <w:rPr>
          <w:sz w:val="22"/>
        </w:rPr>
        <w:t>Grup</w:t>
      </w:r>
      <w:r>
        <w:rPr>
          <w:spacing w:val="-12"/>
          <w:sz w:val="22"/>
        </w:rPr>
        <w:t> </w:t>
      </w:r>
      <w:r>
        <w:rPr>
          <w:sz w:val="22"/>
        </w:rPr>
        <w:t>Skalası</w:t>
      </w:r>
      <w:r>
        <w:rPr>
          <w:spacing w:val="-15"/>
          <w:sz w:val="22"/>
        </w:rPr>
        <w:t> </w:t>
      </w:r>
      <w:r>
        <w:rPr>
          <w:sz w:val="22"/>
        </w:rPr>
        <w:t>Versiyon</w:t>
      </w:r>
      <w:r>
        <w:rPr>
          <w:spacing w:val="-12"/>
          <w:sz w:val="22"/>
        </w:rPr>
        <w:t> </w:t>
      </w:r>
      <w:r>
        <w:rPr>
          <w:sz w:val="22"/>
        </w:rPr>
        <w:t>2</w:t>
        <w:tab/>
        <w:t>22</w:t>
      </w:r>
    </w:p>
    <w:p>
      <w:pPr>
        <w:pStyle w:val="BodyText"/>
        <w:spacing w:before="5"/>
        <w:rPr>
          <w:sz w:val="21"/>
        </w:rPr>
      </w:pPr>
    </w:p>
    <w:p>
      <w:pPr>
        <w:pStyle w:val="BodyText"/>
        <w:tabs>
          <w:tab w:pos="8827" w:val="left" w:leader="dot"/>
        </w:tabs>
        <w:spacing w:line="475" w:lineRule="auto"/>
        <w:ind w:left="588" w:right="311"/>
      </w:pPr>
      <w:r>
        <w:rPr>
          <w:b/>
        </w:rPr>
        <w:t>Tablo  4.1   </w:t>
      </w:r>
      <w:r>
        <w:rPr/>
        <w:t>Gruplar   Arası   Bireylerin   Sosyo/Demografik   Verilerinin Karşılaştırılması</w:t>
        <w:tab/>
      </w:r>
      <w:r>
        <w:rPr>
          <w:spacing w:val="-9"/>
        </w:rPr>
        <w:t>27</w:t>
      </w:r>
    </w:p>
    <w:p>
      <w:pPr>
        <w:tabs>
          <w:tab w:pos="8849" w:val="left" w:leader="dot"/>
        </w:tabs>
        <w:spacing w:line="250" w:lineRule="exact" w:before="0"/>
        <w:ind w:left="588" w:right="0" w:firstLine="0"/>
        <w:jc w:val="left"/>
        <w:rPr>
          <w:sz w:val="22"/>
        </w:rPr>
      </w:pPr>
      <w:r>
        <w:rPr>
          <w:b/>
          <w:sz w:val="22"/>
        </w:rPr>
        <w:t>Tablo 4.2 </w:t>
      </w:r>
      <w:r>
        <w:rPr>
          <w:sz w:val="22"/>
        </w:rPr>
        <w:t>Bireylerin Cerrahi</w:t>
      </w:r>
      <w:r>
        <w:rPr>
          <w:spacing w:val="-19"/>
          <w:sz w:val="22"/>
        </w:rPr>
        <w:t> </w:t>
      </w:r>
      <w:r>
        <w:rPr>
          <w:sz w:val="22"/>
        </w:rPr>
        <w:t>Öncesi</w:t>
      </w:r>
      <w:r>
        <w:rPr>
          <w:spacing w:val="-9"/>
          <w:sz w:val="22"/>
        </w:rPr>
        <w:t> </w:t>
      </w:r>
      <w:r>
        <w:rPr>
          <w:sz w:val="22"/>
        </w:rPr>
        <w:t>Tanısı</w:t>
        <w:tab/>
        <w:t>28</w:t>
      </w:r>
    </w:p>
    <w:p>
      <w:pPr>
        <w:pStyle w:val="BodyText"/>
        <w:spacing w:before="7"/>
        <w:rPr>
          <w:sz w:val="21"/>
        </w:rPr>
      </w:pPr>
    </w:p>
    <w:p>
      <w:pPr>
        <w:pStyle w:val="BodyText"/>
        <w:tabs>
          <w:tab w:pos="8831" w:val="left" w:leader="dot"/>
        </w:tabs>
        <w:ind w:left="588"/>
      </w:pPr>
      <w:r>
        <w:rPr>
          <w:b/>
        </w:rPr>
        <w:t>Tablo 4.3 </w:t>
      </w:r>
      <w:r>
        <w:rPr/>
        <w:t>Gruplar Arası Anestezi</w:t>
      </w:r>
      <w:r>
        <w:rPr>
          <w:spacing w:val="-23"/>
        </w:rPr>
        <w:t> </w:t>
      </w:r>
      <w:r>
        <w:rPr/>
        <w:t>Sürelerinin</w:t>
      </w:r>
      <w:r>
        <w:rPr>
          <w:spacing w:val="-4"/>
        </w:rPr>
        <w:t> </w:t>
      </w:r>
      <w:r>
        <w:rPr/>
        <w:t>Karşılaştırılması</w:t>
        <w:tab/>
        <w:t>29</w:t>
      </w:r>
    </w:p>
    <w:p>
      <w:pPr>
        <w:pStyle w:val="BodyText"/>
        <w:spacing w:before="5"/>
        <w:rPr>
          <w:sz w:val="21"/>
        </w:rPr>
      </w:pPr>
    </w:p>
    <w:p>
      <w:pPr>
        <w:pStyle w:val="BodyText"/>
        <w:tabs>
          <w:tab w:pos="8850" w:val="left" w:leader="dot"/>
        </w:tabs>
        <w:ind w:left="588"/>
      </w:pPr>
      <w:r>
        <w:rPr>
          <w:b/>
        </w:rPr>
        <w:t>Tablo 4.4 </w:t>
      </w:r>
      <w:r>
        <w:rPr/>
        <w:t>Tüm Bireylerin Geçirdiği</w:t>
      </w:r>
      <w:r>
        <w:rPr>
          <w:spacing w:val="-26"/>
        </w:rPr>
        <w:t> </w:t>
      </w:r>
      <w:r>
        <w:rPr/>
        <w:t>Operasyon</w:t>
      </w:r>
      <w:r>
        <w:rPr>
          <w:spacing w:val="-4"/>
        </w:rPr>
        <w:t> </w:t>
      </w:r>
      <w:r>
        <w:rPr/>
        <w:t>Türleri</w:t>
        <w:tab/>
        <w:t>29</w:t>
      </w:r>
    </w:p>
    <w:p>
      <w:pPr>
        <w:pStyle w:val="BodyText"/>
        <w:spacing w:before="5"/>
        <w:rPr>
          <w:sz w:val="21"/>
        </w:rPr>
      </w:pPr>
    </w:p>
    <w:p>
      <w:pPr>
        <w:pStyle w:val="BodyText"/>
        <w:ind w:left="588"/>
      </w:pPr>
      <w:r>
        <w:rPr>
          <w:b/>
        </w:rPr>
        <w:t>Tablo 4.5 </w:t>
      </w:r>
      <w:r>
        <w:rPr/>
        <w:t>Kontrol Grubu Maksimal İnspirasyon Ve Ekspirasyon Basınç</w:t>
      </w:r>
    </w:p>
    <w:p>
      <w:pPr>
        <w:pStyle w:val="BodyText"/>
        <w:spacing w:before="7"/>
        <w:rPr>
          <w:sz w:val="21"/>
        </w:rPr>
      </w:pPr>
    </w:p>
    <w:p>
      <w:pPr>
        <w:pStyle w:val="BodyText"/>
        <w:tabs>
          <w:tab w:pos="8815" w:val="left" w:leader="dot"/>
        </w:tabs>
        <w:spacing w:before="1"/>
        <w:ind w:left="588"/>
      </w:pPr>
      <w:r>
        <w:rPr/>
        <w:t>Değerlerinin</w:t>
      </w:r>
      <w:r>
        <w:rPr>
          <w:spacing w:val="-6"/>
        </w:rPr>
        <w:t> </w:t>
      </w:r>
      <w:r>
        <w:rPr/>
        <w:t>Karşılaştırılması</w:t>
        <w:tab/>
        <w:t>30</w:t>
      </w:r>
    </w:p>
    <w:p>
      <w:pPr>
        <w:pStyle w:val="BodyText"/>
        <w:spacing w:before="2"/>
        <w:rPr>
          <w:sz w:val="21"/>
        </w:rPr>
      </w:pPr>
    </w:p>
    <w:p>
      <w:pPr>
        <w:pStyle w:val="BodyText"/>
        <w:ind w:left="588"/>
      </w:pPr>
      <w:r>
        <w:rPr>
          <w:b/>
        </w:rPr>
        <w:t>Tablo 4.6 </w:t>
      </w:r>
      <w:r>
        <w:rPr/>
        <w:t>Kontrol Grubu Maksimal İnspirasyon Ve Ekspirasyon Basınç</w:t>
      </w:r>
    </w:p>
    <w:p>
      <w:pPr>
        <w:pStyle w:val="BodyText"/>
        <w:spacing w:before="7"/>
        <w:rPr>
          <w:sz w:val="21"/>
        </w:rPr>
      </w:pPr>
    </w:p>
    <w:p>
      <w:pPr>
        <w:pStyle w:val="BodyText"/>
        <w:tabs>
          <w:tab w:pos="8757" w:val="left" w:leader="dot"/>
        </w:tabs>
        <w:ind w:left="650"/>
      </w:pPr>
      <w:r>
        <w:rPr/>
        <w:t>Değerlerinin</w:t>
      </w:r>
      <w:r>
        <w:rPr>
          <w:spacing w:val="-6"/>
        </w:rPr>
        <w:t> </w:t>
      </w:r>
      <w:r>
        <w:rPr/>
        <w:t>Karşılaştırılması</w:t>
        <w:tab/>
        <w:t>30</w:t>
      </w:r>
    </w:p>
    <w:p>
      <w:pPr>
        <w:pStyle w:val="BodyText"/>
        <w:spacing w:before="2"/>
        <w:rPr>
          <w:sz w:val="21"/>
        </w:rPr>
      </w:pPr>
    </w:p>
    <w:p>
      <w:pPr>
        <w:pStyle w:val="BodyText"/>
        <w:tabs>
          <w:tab w:pos="8783" w:val="left" w:leader="dot"/>
        </w:tabs>
        <w:ind w:left="588"/>
      </w:pPr>
      <w:r>
        <w:rPr>
          <w:b/>
        </w:rPr>
        <w:t>Tablo 4.7 </w:t>
      </w:r>
      <w:r>
        <w:rPr/>
        <w:t>Kontrol Grubu 6 Dakika Yürüme</w:t>
      </w:r>
      <w:r>
        <w:rPr>
          <w:spacing w:val="-29"/>
        </w:rPr>
        <w:t> </w:t>
      </w:r>
      <w:r>
        <w:rPr/>
        <w:t>Mesafelerinin</w:t>
      </w:r>
      <w:r>
        <w:rPr>
          <w:spacing w:val="-3"/>
        </w:rPr>
        <w:t> </w:t>
      </w:r>
      <w:r>
        <w:rPr/>
        <w:t>Karşılaştırması</w:t>
        <w:tab/>
        <w:t>31</w:t>
      </w:r>
    </w:p>
    <w:p>
      <w:pPr>
        <w:pStyle w:val="BodyText"/>
        <w:spacing w:before="5"/>
        <w:rPr>
          <w:sz w:val="21"/>
        </w:rPr>
      </w:pPr>
    </w:p>
    <w:p>
      <w:pPr>
        <w:pStyle w:val="BodyText"/>
        <w:ind w:left="588"/>
      </w:pPr>
      <w:r>
        <w:rPr>
          <w:b/>
        </w:rPr>
        <w:t>Tablo 4.8 </w:t>
      </w:r>
      <w:r>
        <w:rPr/>
        <w:t>Kontrol Grubu Kalp Hızı, Oksijen Saturasyonu, Yorgunluk Ve</w:t>
      </w:r>
    </w:p>
    <w:p>
      <w:pPr>
        <w:pStyle w:val="BodyText"/>
        <w:spacing w:before="7"/>
        <w:rPr>
          <w:sz w:val="21"/>
        </w:rPr>
      </w:pPr>
    </w:p>
    <w:p>
      <w:pPr>
        <w:pStyle w:val="BodyText"/>
        <w:tabs>
          <w:tab w:pos="8767" w:val="left" w:leader="dot"/>
        </w:tabs>
        <w:ind w:left="588"/>
      </w:pPr>
      <w:r>
        <w:rPr/>
        <w:t>Dispne</w:t>
      </w:r>
      <w:r>
        <w:rPr>
          <w:spacing w:val="-3"/>
        </w:rPr>
        <w:t> </w:t>
      </w:r>
      <w:r>
        <w:rPr/>
        <w:t>Sonuçları</w:t>
        <w:tab/>
        <w:t>32</w:t>
      </w:r>
    </w:p>
    <w:p>
      <w:pPr>
        <w:pStyle w:val="BodyText"/>
        <w:spacing w:before="5"/>
        <w:rPr>
          <w:sz w:val="21"/>
        </w:rPr>
      </w:pPr>
    </w:p>
    <w:p>
      <w:pPr>
        <w:pStyle w:val="BodyText"/>
        <w:tabs>
          <w:tab w:pos="8735" w:val="left" w:leader="dot"/>
        </w:tabs>
        <w:ind w:left="588"/>
      </w:pPr>
      <w:r>
        <w:rPr>
          <w:b/>
        </w:rPr>
        <w:t>Tablo 4.9 </w:t>
      </w:r>
      <w:r>
        <w:rPr/>
        <w:t>Kontrol Grubu Hasta Hareketlilik Ve Gözlemci</w:t>
      </w:r>
      <w:r>
        <w:rPr>
          <w:spacing w:val="-34"/>
        </w:rPr>
        <w:t> </w:t>
      </w:r>
      <w:r>
        <w:rPr/>
        <w:t>Hareketlilik</w:t>
      </w:r>
      <w:r>
        <w:rPr>
          <w:spacing w:val="-1"/>
        </w:rPr>
        <w:t> </w:t>
      </w:r>
      <w:r>
        <w:rPr/>
        <w:t>Skorları</w:t>
        <w:tab/>
        <w:t>32</w:t>
      </w:r>
    </w:p>
    <w:p>
      <w:pPr>
        <w:pStyle w:val="BodyText"/>
        <w:spacing w:before="5"/>
        <w:rPr>
          <w:sz w:val="21"/>
        </w:rPr>
      </w:pPr>
    </w:p>
    <w:p>
      <w:pPr>
        <w:pStyle w:val="BodyText"/>
        <w:tabs>
          <w:tab w:pos="8773" w:val="left" w:leader="dot"/>
        </w:tabs>
        <w:ind w:left="588"/>
      </w:pPr>
      <w:r>
        <w:rPr>
          <w:b/>
        </w:rPr>
        <w:t>Tablo 4.10 </w:t>
      </w:r>
      <w:r>
        <w:rPr/>
        <w:t>Kontrol Grubu Kaygı Skor</w:t>
      </w:r>
      <w:r>
        <w:rPr>
          <w:spacing w:val="-22"/>
        </w:rPr>
        <w:t> </w:t>
      </w:r>
      <w:r>
        <w:rPr/>
        <w:t>Sonuçlarının</w:t>
      </w:r>
      <w:r>
        <w:rPr>
          <w:spacing w:val="-3"/>
        </w:rPr>
        <w:t> </w:t>
      </w:r>
      <w:r>
        <w:rPr/>
        <w:t>Karşılaştırılması</w:t>
        <w:tab/>
        <w:t>33</w:t>
      </w:r>
    </w:p>
    <w:p>
      <w:pPr>
        <w:pStyle w:val="BodyText"/>
        <w:spacing w:before="5"/>
        <w:rPr>
          <w:sz w:val="21"/>
        </w:rPr>
      </w:pPr>
    </w:p>
    <w:p>
      <w:pPr>
        <w:pStyle w:val="BodyText"/>
        <w:tabs>
          <w:tab w:pos="8771" w:val="left" w:leader="dot"/>
        </w:tabs>
        <w:ind w:left="588"/>
      </w:pPr>
      <w:r>
        <w:rPr>
          <w:b/>
        </w:rPr>
        <w:t>Tablo 4.11 </w:t>
      </w:r>
      <w:r>
        <w:rPr/>
        <w:t>Kontrol Grubu Kaygı Skor</w:t>
      </w:r>
      <w:r>
        <w:rPr>
          <w:spacing w:val="-22"/>
        </w:rPr>
        <w:t> </w:t>
      </w:r>
      <w:r>
        <w:rPr/>
        <w:t>Sonuçlarının</w:t>
      </w:r>
      <w:r>
        <w:rPr>
          <w:spacing w:val="-3"/>
        </w:rPr>
        <w:t> </w:t>
      </w:r>
      <w:r>
        <w:rPr/>
        <w:t>Karşılaştırılması</w:t>
        <w:tab/>
        <w:t>33</w:t>
      </w:r>
    </w:p>
    <w:p>
      <w:pPr>
        <w:pStyle w:val="BodyText"/>
        <w:spacing w:before="4"/>
        <w:rPr>
          <w:sz w:val="21"/>
        </w:rPr>
      </w:pPr>
    </w:p>
    <w:p>
      <w:pPr>
        <w:pStyle w:val="BodyText"/>
        <w:spacing w:before="1"/>
        <w:ind w:left="588"/>
      </w:pPr>
      <w:r>
        <w:rPr>
          <w:b/>
        </w:rPr>
        <w:t>Tablo 4.12 </w:t>
      </w:r>
      <w:r>
        <w:rPr/>
        <w:t>Çalışma Grubu Maksimal İnspirasyon Ve Ekspirasyon Basınç</w:t>
      </w:r>
    </w:p>
    <w:p>
      <w:pPr>
        <w:pStyle w:val="BodyText"/>
        <w:spacing w:before="7"/>
        <w:rPr>
          <w:sz w:val="21"/>
        </w:rPr>
      </w:pPr>
    </w:p>
    <w:p>
      <w:pPr>
        <w:pStyle w:val="BodyText"/>
        <w:tabs>
          <w:tab w:pos="8757" w:val="left" w:leader="dot"/>
        </w:tabs>
        <w:ind w:left="588"/>
      </w:pPr>
      <w:r>
        <w:rPr/>
        <w:t>Değerlerinin</w:t>
      </w:r>
      <w:r>
        <w:rPr>
          <w:spacing w:val="-6"/>
        </w:rPr>
        <w:t> </w:t>
      </w:r>
      <w:r>
        <w:rPr/>
        <w:t>Karşılaştırılması</w:t>
        <w:tab/>
        <w:t>34</w:t>
      </w:r>
    </w:p>
    <w:p>
      <w:pPr>
        <w:pStyle w:val="BodyText"/>
        <w:spacing w:before="2"/>
        <w:rPr>
          <w:sz w:val="21"/>
        </w:rPr>
      </w:pPr>
    </w:p>
    <w:p>
      <w:pPr>
        <w:pStyle w:val="BodyText"/>
        <w:ind w:left="588"/>
      </w:pPr>
      <w:r>
        <w:rPr>
          <w:b/>
        </w:rPr>
        <w:t>Tablo 4.13 </w:t>
      </w:r>
      <w:r>
        <w:rPr/>
        <w:t>Çalışma Grubu Maksimal İnspirasyon Ve Ekspirasyon Basınç</w:t>
      </w:r>
    </w:p>
    <w:p>
      <w:pPr>
        <w:pStyle w:val="BodyText"/>
        <w:spacing w:before="7"/>
        <w:rPr>
          <w:sz w:val="21"/>
        </w:rPr>
      </w:pPr>
    </w:p>
    <w:p>
      <w:pPr>
        <w:pStyle w:val="BodyText"/>
        <w:tabs>
          <w:tab w:pos="8755" w:val="left" w:leader="dot"/>
        </w:tabs>
        <w:ind w:left="588"/>
      </w:pPr>
      <w:r>
        <w:rPr/>
        <w:t>Değerlerinin</w:t>
      </w:r>
      <w:r>
        <w:rPr>
          <w:spacing w:val="-6"/>
        </w:rPr>
        <w:t> </w:t>
      </w:r>
      <w:r>
        <w:rPr/>
        <w:t>Karşılaştırılması</w:t>
        <w:tab/>
        <w:t>34</w:t>
      </w:r>
    </w:p>
    <w:p>
      <w:pPr>
        <w:pStyle w:val="BodyText"/>
        <w:spacing w:before="3"/>
        <w:rPr>
          <w:sz w:val="21"/>
        </w:rPr>
      </w:pPr>
    </w:p>
    <w:p>
      <w:pPr>
        <w:pStyle w:val="BodyText"/>
        <w:tabs>
          <w:tab w:pos="8730" w:val="left" w:leader="dot"/>
        </w:tabs>
        <w:ind w:left="588"/>
      </w:pPr>
      <w:r>
        <w:rPr>
          <w:b/>
        </w:rPr>
        <w:t>Tablo 4.14 </w:t>
      </w:r>
      <w:r>
        <w:rPr/>
        <w:t>Çalışma Grubu 6 Dakika Yürüme</w:t>
      </w:r>
      <w:r>
        <w:rPr>
          <w:spacing w:val="-27"/>
        </w:rPr>
        <w:t> </w:t>
      </w:r>
      <w:r>
        <w:rPr/>
        <w:t>Mesafelerinin</w:t>
      </w:r>
      <w:r>
        <w:rPr>
          <w:spacing w:val="-3"/>
        </w:rPr>
        <w:t> </w:t>
      </w:r>
      <w:r>
        <w:rPr/>
        <w:t>Karşılaştırması</w:t>
        <w:tab/>
        <w:t>35</w:t>
      </w:r>
    </w:p>
    <w:p>
      <w:pPr>
        <w:pStyle w:val="BodyText"/>
        <w:spacing w:before="5"/>
        <w:rPr>
          <w:sz w:val="21"/>
        </w:rPr>
      </w:pPr>
    </w:p>
    <w:p>
      <w:pPr>
        <w:pStyle w:val="BodyText"/>
        <w:ind w:left="588"/>
      </w:pPr>
      <w:r>
        <w:rPr>
          <w:b/>
        </w:rPr>
        <w:t>Tablo 4.15 </w:t>
      </w:r>
      <w:r>
        <w:rPr/>
        <w:t>Çalışma Grubu Kalp Hızı, Oksijen Saturasyonu, Yorgunluk</w:t>
      </w:r>
    </w:p>
    <w:p>
      <w:pPr>
        <w:pStyle w:val="BodyText"/>
        <w:spacing w:before="9"/>
        <w:rPr>
          <w:sz w:val="21"/>
        </w:rPr>
      </w:pPr>
    </w:p>
    <w:p>
      <w:pPr>
        <w:pStyle w:val="BodyText"/>
        <w:tabs>
          <w:tab w:pos="8755" w:val="left" w:leader="dot"/>
        </w:tabs>
        <w:spacing w:before="1"/>
        <w:ind w:left="588"/>
      </w:pPr>
      <w:r>
        <w:rPr/>
        <w:t>Ve</w:t>
      </w:r>
      <w:r>
        <w:rPr>
          <w:spacing w:val="-2"/>
        </w:rPr>
        <w:t> </w:t>
      </w:r>
      <w:r>
        <w:rPr/>
        <w:t>Dispne</w:t>
      </w:r>
      <w:r>
        <w:rPr>
          <w:spacing w:val="-1"/>
        </w:rPr>
        <w:t> </w:t>
      </w:r>
      <w:r>
        <w:rPr/>
        <w:t>Sonuçları</w:t>
        <w:tab/>
        <w:t>36</w:t>
      </w:r>
    </w:p>
    <w:p>
      <w:pPr>
        <w:pStyle w:val="BodyText"/>
        <w:spacing w:before="2"/>
        <w:rPr>
          <w:sz w:val="21"/>
        </w:rPr>
      </w:pPr>
    </w:p>
    <w:p>
      <w:pPr>
        <w:pStyle w:val="BodyText"/>
        <w:tabs>
          <w:tab w:pos="8730" w:val="left" w:leader="dot"/>
        </w:tabs>
        <w:spacing w:line="475" w:lineRule="auto"/>
        <w:ind w:left="588" w:right="407"/>
      </w:pPr>
      <w:r>
        <w:rPr>
          <w:b/>
        </w:rPr>
        <w:t>Tablo  4.16  </w:t>
      </w:r>
      <w:r>
        <w:rPr/>
        <w:t>Çalışma  Grubu   Hasta   Hareketlilik   Ve   Gözlemci   Hareketlilik Skorları</w:t>
        <w:tab/>
      </w:r>
      <w:r>
        <w:rPr>
          <w:spacing w:val="-9"/>
        </w:rPr>
        <w:t>36</w:t>
      </w:r>
    </w:p>
    <w:p>
      <w:pPr>
        <w:spacing w:after="0" w:line="475" w:lineRule="auto"/>
        <w:sectPr>
          <w:pgSz w:w="11910" w:h="16840"/>
          <w:pgMar w:header="749" w:footer="0" w:top="1320" w:bottom="280" w:left="1680" w:right="840"/>
        </w:sectPr>
      </w:pPr>
    </w:p>
    <w:p>
      <w:pPr>
        <w:pStyle w:val="BodyText"/>
        <w:tabs>
          <w:tab w:pos="8765" w:val="left" w:leader="dot"/>
        </w:tabs>
        <w:spacing w:line="475" w:lineRule="auto" w:before="86"/>
        <w:ind w:left="588" w:right="373"/>
      </w:pPr>
      <w:r>
        <w:rPr>
          <w:b/>
        </w:rPr>
        <w:t>Tablo 4.17 </w:t>
      </w:r>
      <w:r>
        <w:rPr/>
        <w:t>Çalışma  Grubu  Kontrol  Grubu  Kaygı  Skor  Sonuçlarının Karşılaştırılması</w:t>
        <w:tab/>
      </w:r>
      <w:r>
        <w:rPr>
          <w:spacing w:val="-9"/>
        </w:rPr>
        <w:t>37</w:t>
      </w:r>
    </w:p>
    <w:p>
      <w:pPr>
        <w:spacing w:line="250" w:lineRule="exact" w:before="0"/>
        <w:ind w:left="588" w:right="0" w:firstLine="0"/>
        <w:jc w:val="left"/>
        <w:rPr>
          <w:sz w:val="22"/>
        </w:rPr>
      </w:pPr>
      <w:r>
        <w:rPr>
          <w:b/>
          <w:sz w:val="22"/>
        </w:rPr>
        <w:t>Tablo 4.18 </w:t>
      </w:r>
      <w:r>
        <w:rPr>
          <w:sz w:val="22"/>
        </w:rPr>
        <w:t>Çalışma Grubu Kontrol Grubu Kaygı Skor</w:t>
      </w:r>
    </w:p>
    <w:p>
      <w:pPr>
        <w:pStyle w:val="BodyText"/>
        <w:tabs>
          <w:tab w:pos="8744" w:val="left" w:leader="dot"/>
        </w:tabs>
        <w:spacing w:before="248"/>
        <w:ind w:left="588"/>
      </w:pPr>
      <w:r>
        <w:rPr/>
        <w:t>Sonuçlarının</w:t>
      </w:r>
      <w:r>
        <w:rPr>
          <w:spacing w:val="-6"/>
        </w:rPr>
        <w:t> </w:t>
      </w:r>
      <w:r>
        <w:rPr/>
        <w:t>Karşılaştırılması</w:t>
        <w:tab/>
        <w:t>37</w:t>
      </w:r>
    </w:p>
    <w:p>
      <w:pPr>
        <w:spacing w:before="244"/>
        <w:ind w:left="588" w:right="0" w:firstLine="0"/>
        <w:jc w:val="left"/>
        <w:rPr>
          <w:sz w:val="22"/>
        </w:rPr>
      </w:pPr>
      <w:r>
        <w:rPr>
          <w:b/>
          <w:sz w:val="22"/>
        </w:rPr>
        <w:t>Tablo 4.19 </w:t>
      </w:r>
      <w:r>
        <w:rPr>
          <w:sz w:val="22"/>
        </w:rPr>
        <w:t>Çalışma Grubu Ve Kontrol Grubu Preoperatif,</w:t>
      </w:r>
    </w:p>
    <w:p>
      <w:pPr>
        <w:pStyle w:val="BodyText"/>
        <w:tabs>
          <w:tab w:pos="8711" w:val="left" w:leader="dot"/>
        </w:tabs>
        <w:spacing w:before="249"/>
        <w:ind w:left="588"/>
      </w:pPr>
      <w:r>
        <w:rPr/>
        <w:t>Postoperatif Ve Taburculuk Öncesi</w:t>
      </w:r>
      <w:r>
        <w:rPr>
          <w:spacing w:val="-22"/>
        </w:rPr>
        <w:t> </w:t>
      </w:r>
      <w:r>
        <w:rPr/>
        <w:t>Verilerinin</w:t>
      </w:r>
      <w:r>
        <w:rPr>
          <w:spacing w:val="-6"/>
        </w:rPr>
        <w:t> </w:t>
      </w:r>
      <w:r>
        <w:rPr/>
        <w:t>Karşılaştırılması</w:t>
        <w:tab/>
        <w:t>40</w:t>
      </w:r>
    </w:p>
    <w:p>
      <w:pPr>
        <w:pStyle w:val="BodyText"/>
        <w:tabs>
          <w:tab w:pos="8734" w:val="left" w:leader="dot"/>
        </w:tabs>
        <w:spacing w:before="246"/>
        <w:ind w:left="588"/>
      </w:pPr>
      <w:r>
        <w:rPr>
          <w:b/>
        </w:rPr>
        <w:t>Tablo 4.20 </w:t>
      </w:r>
      <w:r>
        <w:rPr/>
        <w:t>Grupların 6DYTM</w:t>
      </w:r>
      <w:r>
        <w:rPr>
          <w:spacing w:val="-18"/>
        </w:rPr>
        <w:t> </w:t>
      </w:r>
      <w:r>
        <w:rPr/>
        <w:t>Verilerinin</w:t>
      </w:r>
      <w:r>
        <w:rPr>
          <w:spacing w:val="-3"/>
        </w:rPr>
        <w:t> </w:t>
      </w:r>
      <w:r>
        <w:rPr/>
        <w:t>Karşılaştırılması</w:t>
        <w:tab/>
        <w:t>41</w:t>
      </w:r>
    </w:p>
    <w:p>
      <w:pPr>
        <w:pStyle w:val="BodyText"/>
        <w:spacing w:before="246"/>
        <w:ind w:left="588"/>
      </w:pPr>
      <w:r>
        <w:rPr>
          <w:b/>
        </w:rPr>
        <w:t>Tablo 4.21 </w:t>
      </w:r>
      <w:r>
        <w:rPr/>
        <w:t>Gruplarını Postoperatif Ve Taburculuk Öncesi</w:t>
      </w:r>
    </w:p>
    <w:p>
      <w:pPr>
        <w:pStyle w:val="BodyText"/>
        <w:tabs>
          <w:tab w:pos="8707" w:val="left" w:leader="dot"/>
        </w:tabs>
        <w:spacing w:before="249"/>
        <w:ind w:left="588"/>
      </w:pPr>
      <w:r>
        <w:rPr/>
        <w:t>Verilerinin</w:t>
      </w:r>
      <w:r>
        <w:rPr>
          <w:spacing w:val="-6"/>
        </w:rPr>
        <w:t> </w:t>
      </w:r>
      <w:r>
        <w:rPr/>
        <w:t>Karşılaştırılması</w:t>
        <w:tab/>
        <w:t>41</w:t>
      </w:r>
    </w:p>
    <w:p>
      <w:pPr>
        <w:pStyle w:val="BodyText"/>
        <w:spacing w:before="244"/>
        <w:ind w:left="588"/>
      </w:pPr>
      <w:r>
        <w:rPr>
          <w:b/>
        </w:rPr>
        <w:t>Tablo 4.22 </w:t>
      </w:r>
      <w:r>
        <w:rPr/>
        <w:t>İki Grubun Hastanede Kalış Süresi Ve Devamlılık</w:t>
      </w:r>
    </w:p>
    <w:p>
      <w:pPr>
        <w:pStyle w:val="BodyText"/>
        <w:tabs>
          <w:tab w:pos="8707" w:val="left" w:leader="dot"/>
        </w:tabs>
        <w:spacing w:before="249"/>
        <w:ind w:left="588"/>
      </w:pPr>
      <w:r>
        <w:rPr/>
        <w:t>Verilerinin</w:t>
      </w:r>
      <w:r>
        <w:rPr>
          <w:spacing w:val="-6"/>
        </w:rPr>
        <w:t> </w:t>
      </w:r>
      <w:r>
        <w:rPr/>
        <w:t>Karşılaştırılması</w:t>
        <w:tab/>
        <w:t>42</w:t>
      </w:r>
    </w:p>
    <w:p>
      <w:pPr>
        <w:spacing w:after="0"/>
        <w:sectPr>
          <w:headerReference w:type="default" r:id="rId11"/>
          <w:pgSz w:w="11910" w:h="16840"/>
          <w:pgMar w:header="749" w:footer="0" w:top="1320" w:bottom="280" w:left="1680" w:right="840"/>
          <w:pgNumType w:start="9"/>
        </w:sectPr>
      </w:pPr>
    </w:p>
    <w:p>
      <w:pPr>
        <w:pStyle w:val="Heading2"/>
        <w:spacing w:before="86"/>
        <w:ind w:left="681" w:right="389"/>
        <w:jc w:val="center"/>
      </w:pPr>
      <w:bookmarkStart w:name="_bookmark6" w:id="7"/>
      <w:bookmarkEnd w:id="7"/>
      <w:r>
        <w:rPr>
          <w:b w:val="0"/>
        </w:rPr>
      </w:r>
      <w:r>
        <w:rPr/>
        <w:t>RESİMLER DİZİNİ</w:t>
      </w:r>
    </w:p>
    <w:p>
      <w:pPr>
        <w:pStyle w:val="BodyText"/>
        <w:rPr>
          <w:b/>
          <w:sz w:val="24"/>
        </w:rPr>
      </w:pPr>
    </w:p>
    <w:p>
      <w:pPr>
        <w:pStyle w:val="BodyText"/>
        <w:spacing w:before="8"/>
        <w:rPr>
          <w:b/>
          <w:sz w:val="33"/>
        </w:rPr>
      </w:pPr>
    </w:p>
    <w:p>
      <w:pPr>
        <w:tabs>
          <w:tab w:pos="8806" w:val="left" w:leader="dot"/>
        </w:tabs>
        <w:spacing w:before="0"/>
        <w:ind w:left="588" w:right="0" w:firstLine="0"/>
        <w:jc w:val="left"/>
        <w:rPr>
          <w:sz w:val="22"/>
        </w:rPr>
      </w:pPr>
      <w:r>
        <w:rPr>
          <w:b/>
          <w:sz w:val="22"/>
        </w:rPr>
        <w:t>Resim 2.1 </w:t>
      </w:r>
      <w:r>
        <w:rPr>
          <w:sz w:val="22"/>
        </w:rPr>
        <w:t>Kolon ve</w:t>
      </w:r>
      <w:r>
        <w:rPr>
          <w:spacing w:val="-5"/>
          <w:sz w:val="22"/>
        </w:rPr>
        <w:t> </w:t>
      </w:r>
      <w:r>
        <w:rPr>
          <w:sz w:val="22"/>
        </w:rPr>
        <w:t>Rektum</w:t>
      </w:r>
      <w:r>
        <w:rPr>
          <w:spacing w:val="-2"/>
          <w:sz w:val="22"/>
        </w:rPr>
        <w:t> </w:t>
      </w:r>
      <w:r>
        <w:rPr>
          <w:sz w:val="22"/>
        </w:rPr>
        <w:t>Anatomisi</w:t>
        <w:tab/>
        <w:t>5</w:t>
      </w:r>
    </w:p>
    <w:p>
      <w:pPr>
        <w:pStyle w:val="BodyText"/>
        <w:rPr>
          <w:sz w:val="25"/>
        </w:rPr>
      </w:pPr>
    </w:p>
    <w:p>
      <w:pPr>
        <w:tabs>
          <w:tab w:pos="8731" w:val="left" w:leader="dot"/>
        </w:tabs>
        <w:spacing w:before="0"/>
        <w:ind w:left="588" w:right="0" w:firstLine="0"/>
        <w:jc w:val="left"/>
        <w:rPr>
          <w:sz w:val="22"/>
        </w:rPr>
      </w:pPr>
      <w:r>
        <w:rPr>
          <w:b/>
          <w:sz w:val="22"/>
        </w:rPr>
        <w:t>Resim 3.4.1 </w:t>
      </w:r>
      <w:r>
        <w:rPr>
          <w:sz w:val="22"/>
        </w:rPr>
        <w:t>Solunum</w:t>
      </w:r>
      <w:r>
        <w:rPr>
          <w:spacing w:val="-6"/>
          <w:sz w:val="22"/>
        </w:rPr>
        <w:t> </w:t>
      </w:r>
      <w:r>
        <w:rPr>
          <w:sz w:val="22"/>
        </w:rPr>
        <w:t>Kas</w:t>
      </w:r>
      <w:r>
        <w:rPr>
          <w:spacing w:val="-1"/>
          <w:sz w:val="22"/>
        </w:rPr>
        <w:t> </w:t>
      </w:r>
      <w:r>
        <w:rPr>
          <w:sz w:val="22"/>
        </w:rPr>
        <w:t>Ölçümü</w:t>
        <w:tab/>
        <w:t>18</w:t>
      </w:r>
    </w:p>
    <w:p>
      <w:pPr>
        <w:pStyle w:val="BodyText"/>
        <w:spacing w:before="8"/>
        <w:rPr>
          <w:sz w:val="24"/>
        </w:rPr>
      </w:pPr>
    </w:p>
    <w:p>
      <w:pPr>
        <w:tabs>
          <w:tab w:pos="8705" w:val="left" w:leader="dot"/>
        </w:tabs>
        <w:spacing w:before="1"/>
        <w:ind w:left="588" w:right="0" w:firstLine="0"/>
        <w:jc w:val="left"/>
        <w:rPr>
          <w:sz w:val="22"/>
        </w:rPr>
      </w:pPr>
      <w:r>
        <w:rPr>
          <w:b/>
          <w:sz w:val="22"/>
        </w:rPr>
        <w:t>Resim 3.4.2 </w:t>
      </w:r>
      <w:r>
        <w:rPr>
          <w:sz w:val="22"/>
        </w:rPr>
        <w:t>6 Dakika</w:t>
      </w:r>
      <w:r>
        <w:rPr>
          <w:spacing w:val="-8"/>
          <w:sz w:val="22"/>
        </w:rPr>
        <w:t> </w:t>
      </w:r>
      <w:r>
        <w:rPr>
          <w:sz w:val="22"/>
        </w:rPr>
        <w:t>Yürüme</w:t>
      </w:r>
      <w:r>
        <w:rPr>
          <w:spacing w:val="-5"/>
          <w:sz w:val="22"/>
        </w:rPr>
        <w:t> </w:t>
      </w:r>
      <w:r>
        <w:rPr>
          <w:sz w:val="22"/>
        </w:rPr>
        <w:t>Testi</w:t>
        <w:tab/>
        <w:t>19</w:t>
      </w:r>
    </w:p>
    <w:p>
      <w:pPr>
        <w:pStyle w:val="BodyText"/>
        <w:spacing w:before="10"/>
        <w:rPr>
          <w:sz w:val="24"/>
        </w:rPr>
      </w:pPr>
    </w:p>
    <w:p>
      <w:pPr>
        <w:tabs>
          <w:tab w:pos="8734" w:val="left" w:leader="dot"/>
        </w:tabs>
        <w:spacing w:before="1"/>
        <w:ind w:left="588" w:right="0" w:firstLine="0"/>
        <w:jc w:val="left"/>
        <w:rPr>
          <w:sz w:val="22"/>
        </w:rPr>
      </w:pPr>
      <w:r>
        <w:rPr>
          <w:b/>
          <w:sz w:val="22"/>
        </w:rPr>
        <w:t>Resim 3.4.3 </w:t>
      </w:r>
      <w:r>
        <w:rPr>
          <w:sz w:val="22"/>
        </w:rPr>
        <w:t>Modifiye</w:t>
      </w:r>
      <w:r>
        <w:rPr>
          <w:spacing w:val="-6"/>
          <w:sz w:val="22"/>
        </w:rPr>
        <w:t> </w:t>
      </w:r>
      <w:r>
        <w:rPr>
          <w:sz w:val="22"/>
        </w:rPr>
        <w:t>Borg</w:t>
      </w:r>
      <w:r>
        <w:rPr>
          <w:spacing w:val="-2"/>
          <w:sz w:val="22"/>
        </w:rPr>
        <w:t> </w:t>
      </w:r>
      <w:r>
        <w:rPr>
          <w:sz w:val="22"/>
        </w:rPr>
        <w:t>Skalası</w:t>
        <w:tab/>
        <w:t>20</w:t>
      </w:r>
    </w:p>
    <w:p>
      <w:pPr>
        <w:pStyle w:val="BodyText"/>
        <w:spacing w:before="10"/>
        <w:rPr>
          <w:sz w:val="24"/>
        </w:rPr>
      </w:pPr>
    </w:p>
    <w:p>
      <w:pPr>
        <w:tabs>
          <w:tab w:pos="8721" w:val="left" w:leader="dot"/>
        </w:tabs>
        <w:spacing w:before="1"/>
        <w:ind w:left="588" w:right="0" w:firstLine="0"/>
        <w:jc w:val="left"/>
        <w:rPr>
          <w:sz w:val="22"/>
        </w:rPr>
      </w:pPr>
      <w:r>
        <w:rPr>
          <w:b/>
          <w:sz w:val="22"/>
        </w:rPr>
        <w:t>Resim 3.5.1 </w:t>
      </w:r>
      <w:r>
        <w:rPr>
          <w:sz w:val="22"/>
        </w:rPr>
        <w:t>Kontrol Grubu</w:t>
      </w:r>
      <w:r>
        <w:rPr>
          <w:spacing w:val="-11"/>
          <w:sz w:val="22"/>
        </w:rPr>
        <w:t> </w:t>
      </w:r>
      <w:r>
        <w:rPr>
          <w:sz w:val="22"/>
        </w:rPr>
        <w:t>Tedavi</w:t>
      </w:r>
      <w:r>
        <w:rPr>
          <w:spacing w:val="-2"/>
          <w:sz w:val="22"/>
        </w:rPr>
        <w:t> </w:t>
      </w:r>
      <w:r>
        <w:rPr>
          <w:sz w:val="22"/>
        </w:rPr>
        <w:t>Programı</w:t>
        <w:tab/>
        <w:t>23</w:t>
      </w:r>
    </w:p>
    <w:p>
      <w:pPr>
        <w:pStyle w:val="BodyText"/>
        <w:rPr>
          <w:sz w:val="25"/>
        </w:rPr>
      </w:pPr>
    </w:p>
    <w:p>
      <w:pPr>
        <w:tabs>
          <w:tab w:pos="8734" w:val="left" w:leader="dot"/>
        </w:tabs>
        <w:spacing w:before="0"/>
        <w:ind w:left="588" w:right="0" w:firstLine="0"/>
        <w:jc w:val="left"/>
        <w:rPr>
          <w:sz w:val="22"/>
        </w:rPr>
      </w:pPr>
      <w:r>
        <w:rPr>
          <w:b/>
          <w:sz w:val="22"/>
        </w:rPr>
        <w:t>Resim 3.5.2 </w:t>
      </w:r>
      <w:r>
        <w:rPr>
          <w:sz w:val="22"/>
        </w:rPr>
        <w:t>Çalışma Grubu</w:t>
      </w:r>
      <w:r>
        <w:rPr>
          <w:spacing w:val="-9"/>
          <w:sz w:val="22"/>
        </w:rPr>
        <w:t> </w:t>
      </w:r>
      <w:r>
        <w:rPr>
          <w:sz w:val="22"/>
        </w:rPr>
        <w:t>Tedavi</w:t>
      </w:r>
      <w:r>
        <w:rPr>
          <w:spacing w:val="-2"/>
          <w:sz w:val="22"/>
        </w:rPr>
        <w:t> </w:t>
      </w:r>
      <w:r>
        <w:rPr>
          <w:sz w:val="22"/>
        </w:rPr>
        <w:t>Programı</w:t>
        <w:tab/>
        <w:t>24</w:t>
      </w:r>
    </w:p>
    <w:p>
      <w:pPr>
        <w:pStyle w:val="BodyText"/>
        <w:spacing w:before="8"/>
        <w:rPr>
          <w:sz w:val="24"/>
        </w:rPr>
      </w:pPr>
    </w:p>
    <w:p>
      <w:pPr>
        <w:pStyle w:val="BodyText"/>
        <w:tabs>
          <w:tab w:pos="8699" w:val="left" w:leader="dot"/>
        </w:tabs>
        <w:ind w:left="588"/>
      </w:pPr>
      <w:r>
        <w:rPr>
          <w:b/>
        </w:rPr>
        <w:t>Resim 3.5.3 </w:t>
      </w:r>
      <w:r>
        <w:rPr/>
        <w:t>Ekspiratuar Kas Eğitimi ve Threshold</w:t>
      </w:r>
      <w:r>
        <w:rPr>
          <w:spacing w:val="-20"/>
        </w:rPr>
        <w:t> </w:t>
      </w:r>
      <w:r>
        <w:rPr/>
        <w:t>PEP</w:t>
      </w:r>
      <w:r>
        <w:rPr>
          <w:spacing w:val="-2"/>
        </w:rPr>
        <w:t> </w:t>
      </w:r>
      <w:r>
        <w:rPr/>
        <w:t>Cihazı</w:t>
        <w:tab/>
        <w:t>25</w:t>
      </w:r>
    </w:p>
    <w:p>
      <w:pPr>
        <w:spacing w:after="0"/>
        <w:sectPr>
          <w:pgSz w:w="11910" w:h="16840"/>
          <w:pgMar w:header="749" w:footer="0" w:top="1320" w:bottom="280" w:left="1680" w:right="840"/>
        </w:sectPr>
      </w:pPr>
    </w:p>
    <w:p>
      <w:pPr>
        <w:pStyle w:val="Heading2"/>
        <w:spacing w:before="83"/>
        <w:ind w:left="681" w:right="389"/>
        <w:jc w:val="center"/>
      </w:pPr>
      <w:bookmarkStart w:name="_bookmark7" w:id="8"/>
      <w:bookmarkEnd w:id="8"/>
      <w:r>
        <w:rPr>
          <w:b w:val="0"/>
        </w:rPr>
      </w:r>
      <w:r>
        <w:rPr/>
        <w:t>SİMGE VE KISALTMALAR DİZİNİ</w:t>
      </w:r>
    </w:p>
    <w:p>
      <w:pPr>
        <w:pStyle w:val="BodyText"/>
        <w:rPr>
          <w:b/>
          <w:sz w:val="24"/>
        </w:rPr>
      </w:pPr>
    </w:p>
    <w:p>
      <w:pPr>
        <w:pStyle w:val="BodyText"/>
        <w:spacing w:before="5"/>
        <w:rPr>
          <w:b/>
          <w:sz w:val="34"/>
        </w:rPr>
      </w:pPr>
    </w:p>
    <w:p>
      <w:pPr>
        <w:pStyle w:val="BodyText"/>
        <w:tabs>
          <w:tab w:pos="3378" w:val="left" w:leader="dot"/>
        </w:tabs>
        <w:ind w:left="588"/>
      </w:pPr>
      <w:r>
        <w:rPr/>
        <w:t>6DYT</w:t>
        <w:tab/>
        <w:t>Dakika Yürüme</w:t>
      </w:r>
      <w:r>
        <w:rPr>
          <w:spacing w:val="-5"/>
        </w:rPr>
        <w:t> </w:t>
      </w:r>
      <w:r>
        <w:rPr/>
        <w:t>Testi</w:t>
      </w:r>
    </w:p>
    <w:p>
      <w:pPr>
        <w:pStyle w:val="BodyText"/>
        <w:tabs>
          <w:tab w:pos="3401" w:val="left" w:leader="dot"/>
        </w:tabs>
        <w:spacing w:before="126"/>
        <w:ind w:left="588"/>
      </w:pPr>
      <w:r>
        <w:rPr/>
        <w:t>6DYTM</w:t>
        <w:tab/>
        <w:t>Dakika Yürüme Testi</w:t>
      </w:r>
      <w:r>
        <w:rPr>
          <w:spacing w:val="-5"/>
        </w:rPr>
        <w:t> </w:t>
      </w:r>
      <w:r>
        <w:rPr/>
        <w:t>Mesafesi</w:t>
      </w:r>
    </w:p>
    <w:p>
      <w:pPr>
        <w:pStyle w:val="BodyText"/>
        <w:tabs>
          <w:tab w:pos="3209" w:val="left" w:leader="dot"/>
        </w:tabs>
        <w:spacing w:before="128"/>
        <w:ind w:left="588"/>
      </w:pPr>
      <w:r>
        <w:rPr>
          <w:rFonts w:ascii="Cambria Math" w:hAnsi="Cambria Math"/>
        </w:rPr>
        <w:t>℃</w:t>
        <w:tab/>
      </w:r>
      <w:r>
        <w:rPr/>
        <w:t>Santigrat</w:t>
      </w:r>
      <w:r>
        <w:rPr>
          <w:spacing w:val="-2"/>
        </w:rPr>
        <w:t> </w:t>
      </w:r>
      <w:r>
        <w:rPr/>
        <w:t>derece</w:t>
      </w:r>
    </w:p>
    <w:p>
      <w:pPr>
        <w:pStyle w:val="BodyText"/>
        <w:tabs>
          <w:tab w:pos="3230" w:val="left" w:leader="dot"/>
        </w:tabs>
        <w:spacing w:before="127"/>
        <w:ind w:left="588"/>
      </w:pPr>
      <w:r>
        <w:rPr/>
        <w:t>ASA</w:t>
        <w:tab/>
        <w:t>American Society of</w:t>
      </w:r>
      <w:r>
        <w:rPr>
          <w:spacing w:val="-3"/>
        </w:rPr>
        <w:t> </w:t>
      </w:r>
      <w:r>
        <w:rPr/>
        <w:t>Anesthesiologists</w:t>
      </w:r>
    </w:p>
    <w:p>
      <w:pPr>
        <w:pStyle w:val="BodyText"/>
        <w:tabs>
          <w:tab w:pos="3207" w:val="left" w:leader="dot"/>
        </w:tabs>
        <w:spacing w:before="126"/>
        <w:ind w:left="588"/>
      </w:pPr>
      <w:r>
        <w:rPr/>
        <w:t>cm</w:t>
        <w:tab/>
        <w:t>Santimetre</w:t>
      </w:r>
    </w:p>
    <w:p>
      <w:pPr>
        <w:pStyle w:val="BodyText"/>
        <w:tabs>
          <w:tab w:pos="3236" w:val="left" w:leader="dot"/>
        </w:tabs>
        <w:spacing w:before="125"/>
        <w:ind w:left="588"/>
      </w:pPr>
      <w:r>
        <w:rPr>
          <w:position w:val="2"/>
        </w:rPr>
        <w:t>cmH</w:t>
      </w:r>
      <w:r>
        <w:rPr>
          <w:sz w:val="14"/>
        </w:rPr>
        <w:t>2</w:t>
      </w:r>
      <w:r>
        <w:rPr>
          <w:position w:val="2"/>
        </w:rPr>
        <w:t>O</w:t>
        <w:tab/>
        <w:t>Santimetre</w:t>
      </w:r>
      <w:r>
        <w:rPr>
          <w:spacing w:val="-4"/>
          <w:position w:val="2"/>
        </w:rPr>
        <w:t> </w:t>
      </w:r>
      <w:r>
        <w:rPr>
          <w:position w:val="2"/>
        </w:rPr>
        <w:t>su</w:t>
      </w:r>
    </w:p>
    <w:p>
      <w:pPr>
        <w:pStyle w:val="BodyText"/>
        <w:tabs>
          <w:tab w:pos="3195" w:val="left" w:leader="dot"/>
        </w:tabs>
        <w:spacing w:before="124"/>
        <w:ind w:left="588"/>
      </w:pPr>
      <w:r>
        <w:rPr/>
        <w:t>ÇG</w:t>
        <w:tab/>
        <w:t>Çalışma</w:t>
      </w:r>
      <w:r>
        <w:rPr>
          <w:spacing w:val="-5"/>
        </w:rPr>
        <w:t> </w:t>
      </w:r>
      <w:r>
        <w:rPr/>
        <w:t>grubu</w:t>
      </w:r>
    </w:p>
    <w:p>
      <w:pPr>
        <w:pStyle w:val="BodyText"/>
        <w:tabs>
          <w:tab w:pos="3243" w:val="left" w:leader="dot"/>
        </w:tabs>
        <w:spacing w:before="129"/>
        <w:ind w:left="588"/>
      </w:pPr>
      <w:r>
        <w:rPr/>
        <w:t>Dk</w:t>
        <w:tab/>
        <w:t>Dakika</w:t>
      </w:r>
    </w:p>
    <w:p>
      <w:pPr>
        <w:pStyle w:val="BodyText"/>
        <w:tabs>
          <w:tab w:pos="3254" w:val="left" w:leader="dot"/>
        </w:tabs>
        <w:spacing w:before="127"/>
        <w:ind w:left="588"/>
      </w:pPr>
      <w:r>
        <w:rPr/>
        <w:t>EMT</w:t>
        <w:tab/>
        <w:t>Expiratory muscle</w:t>
      </w:r>
      <w:r>
        <w:rPr>
          <w:spacing w:val="-21"/>
        </w:rPr>
        <w:t> </w:t>
      </w:r>
      <w:r>
        <w:rPr/>
        <w:t>training</w:t>
      </w:r>
    </w:p>
    <w:p>
      <w:pPr>
        <w:pStyle w:val="BodyText"/>
        <w:tabs>
          <w:tab w:pos="3231" w:val="left" w:leader="dot"/>
        </w:tabs>
        <w:spacing w:before="126"/>
        <w:ind w:left="588"/>
      </w:pPr>
      <w:r>
        <w:rPr/>
        <w:t>İMT</w:t>
        <w:tab/>
        <w:t>İnspiratory muscle</w:t>
      </w:r>
      <w:r>
        <w:rPr>
          <w:spacing w:val="-21"/>
        </w:rPr>
        <w:t> </w:t>
      </w:r>
      <w:r>
        <w:rPr/>
        <w:t>training</w:t>
      </w:r>
    </w:p>
    <w:p>
      <w:pPr>
        <w:pStyle w:val="BodyText"/>
        <w:tabs>
          <w:tab w:pos="3216" w:val="left" w:leader="dot"/>
        </w:tabs>
        <w:spacing w:before="126"/>
        <w:ind w:left="588"/>
      </w:pPr>
      <w:r>
        <w:rPr/>
        <w:t>İS</w:t>
        <w:tab/>
        <w:t>İnsentif</w:t>
      </w:r>
      <w:r>
        <w:rPr>
          <w:spacing w:val="4"/>
        </w:rPr>
        <w:t> </w:t>
      </w:r>
      <w:r>
        <w:rPr/>
        <w:t>spirometre</w:t>
      </w:r>
    </w:p>
    <w:p>
      <w:pPr>
        <w:pStyle w:val="BodyText"/>
        <w:tabs>
          <w:tab w:pos="3232" w:val="left" w:leader="dot"/>
        </w:tabs>
        <w:spacing w:before="126"/>
        <w:ind w:left="588"/>
      </w:pPr>
      <w:r>
        <w:rPr/>
        <w:t>KG</w:t>
        <w:tab/>
        <w:t>Kontrol</w:t>
      </w:r>
      <w:r>
        <w:rPr>
          <w:spacing w:val="-4"/>
        </w:rPr>
        <w:t> </w:t>
      </w:r>
      <w:r>
        <w:rPr/>
        <w:t>grubu</w:t>
      </w:r>
    </w:p>
    <w:p>
      <w:pPr>
        <w:pStyle w:val="BodyText"/>
        <w:tabs>
          <w:tab w:pos="3242" w:val="left" w:leader="dot"/>
        </w:tabs>
        <w:spacing w:before="127"/>
        <w:ind w:left="588"/>
      </w:pPr>
      <w:r>
        <w:rPr/>
        <w:t>Kg</w:t>
        <w:tab/>
        <w:t>Kilogram</w:t>
      </w:r>
    </w:p>
    <w:p>
      <w:pPr>
        <w:pStyle w:val="BodyText"/>
        <w:tabs>
          <w:tab w:pos="3254" w:val="left" w:leader="dot"/>
        </w:tabs>
        <w:spacing w:before="126"/>
        <w:ind w:left="588"/>
      </w:pPr>
      <w:r>
        <w:rPr/>
        <w:t>KOAH</w:t>
        <w:tab/>
        <w:t>Kronik obstrüktif akciğer</w:t>
      </w:r>
      <w:r>
        <w:rPr>
          <w:spacing w:val="2"/>
        </w:rPr>
        <w:t> </w:t>
      </w:r>
      <w:r>
        <w:rPr/>
        <w:t>hastalığı</w:t>
      </w:r>
    </w:p>
    <w:p>
      <w:pPr>
        <w:pStyle w:val="BodyText"/>
        <w:tabs>
          <w:tab w:pos="3256" w:val="left" w:leader="dot"/>
        </w:tabs>
        <w:spacing w:before="126"/>
        <w:ind w:left="588"/>
      </w:pPr>
      <w:r>
        <w:rPr/>
        <w:t>L</w:t>
        <w:tab/>
        <w:t>Litre</w:t>
      </w:r>
    </w:p>
    <w:p>
      <w:pPr>
        <w:pStyle w:val="BodyText"/>
        <w:tabs>
          <w:tab w:pos="3254" w:val="left" w:leader="dot"/>
        </w:tabs>
        <w:spacing w:before="126"/>
        <w:ind w:left="588"/>
      </w:pPr>
      <w:r>
        <w:rPr/>
        <w:t>m</w:t>
        <w:tab/>
        <w:t>Metre</w:t>
      </w:r>
    </w:p>
    <w:p>
      <w:pPr>
        <w:pStyle w:val="BodyText"/>
        <w:tabs>
          <w:tab w:pos="3278" w:val="left" w:leader="dot"/>
        </w:tabs>
        <w:spacing w:before="129"/>
        <w:ind w:left="588"/>
      </w:pPr>
      <w:r>
        <w:rPr/>
        <w:t>Maks</w:t>
        <w:tab/>
        <w:t>Maksimum</w:t>
      </w:r>
    </w:p>
    <w:p>
      <w:pPr>
        <w:pStyle w:val="BodyText"/>
        <w:tabs>
          <w:tab w:pos="3266" w:val="left" w:leader="dot"/>
        </w:tabs>
        <w:spacing w:before="126"/>
        <w:ind w:left="588"/>
      </w:pPr>
      <w:r>
        <w:rPr/>
        <w:t>MBS</w:t>
        <w:tab/>
        <w:t>Modifiye Borg</w:t>
      </w:r>
      <w:r>
        <w:rPr>
          <w:spacing w:val="1"/>
        </w:rPr>
        <w:t> </w:t>
      </w:r>
      <w:r>
        <w:rPr/>
        <w:t>skalası</w:t>
      </w:r>
    </w:p>
    <w:p>
      <w:pPr>
        <w:pStyle w:val="BodyText"/>
        <w:tabs>
          <w:tab w:pos="3266" w:val="left" w:leader="dot"/>
        </w:tabs>
        <w:spacing w:before="127"/>
        <w:ind w:left="588"/>
      </w:pPr>
      <w:r>
        <w:rPr/>
        <w:t>MEP</w:t>
        <w:tab/>
        <w:t>Maximum ekspiratory</w:t>
      </w:r>
      <w:r>
        <w:rPr>
          <w:spacing w:val="-2"/>
        </w:rPr>
        <w:t> </w:t>
      </w:r>
      <w:r>
        <w:rPr/>
        <w:t>pressure</w:t>
      </w:r>
    </w:p>
    <w:p>
      <w:pPr>
        <w:pStyle w:val="BodyText"/>
        <w:tabs>
          <w:tab w:pos="3268" w:val="left" w:leader="dot"/>
        </w:tabs>
        <w:spacing w:before="126"/>
        <w:ind w:left="588"/>
      </w:pPr>
      <w:r>
        <w:rPr/>
        <w:t>Min</w:t>
        <w:tab/>
        <w:t>Minimum</w:t>
      </w:r>
    </w:p>
    <w:p>
      <w:pPr>
        <w:pStyle w:val="BodyText"/>
        <w:tabs>
          <w:tab w:pos="3304" w:val="left" w:leader="dot"/>
        </w:tabs>
        <w:spacing w:before="126"/>
        <w:ind w:left="588"/>
      </w:pPr>
      <w:r>
        <w:rPr/>
        <w:t>MİP</w:t>
        <w:tab/>
        <w:t>Maximum inspiratory</w:t>
      </w:r>
      <w:r>
        <w:rPr>
          <w:spacing w:val="-2"/>
        </w:rPr>
        <w:t> </w:t>
      </w:r>
      <w:r>
        <w:rPr/>
        <w:t>pressure</w:t>
      </w:r>
    </w:p>
    <w:p>
      <w:pPr>
        <w:pStyle w:val="BodyText"/>
        <w:tabs>
          <w:tab w:pos="3317" w:val="left" w:leader="dot"/>
        </w:tabs>
        <w:spacing w:before="126"/>
        <w:ind w:left="588"/>
      </w:pPr>
      <w:r>
        <w:rPr/>
        <w:t>n</w:t>
        <w:tab/>
        <w:t>Denek sayısı</w:t>
      </w:r>
    </w:p>
    <w:p>
      <w:pPr>
        <w:pStyle w:val="BodyText"/>
        <w:tabs>
          <w:tab w:pos="3307" w:val="left" w:leader="dot"/>
        </w:tabs>
        <w:spacing w:before="126"/>
        <w:ind w:left="588"/>
      </w:pPr>
      <w:r>
        <w:rPr>
          <w:position w:val="2"/>
        </w:rPr>
        <w:t>PaO</w:t>
      </w:r>
      <w:r>
        <w:rPr>
          <w:sz w:val="14"/>
        </w:rPr>
        <w:t>2</w:t>
        <w:tab/>
      </w:r>
      <w:r>
        <w:rPr>
          <w:position w:val="2"/>
        </w:rPr>
        <w:t>Parsiyel oksijen</w:t>
      </w:r>
      <w:r>
        <w:rPr>
          <w:spacing w:val="-2"/>
          <w:position w:val="2"/>
        </w:rPr>
        <w:t> </w:t>
      </w:r>
      <w:r>
        <w:rPr>
          <w:position w:val="2"/>
        </w:rPr>
        <w:t>basıncı</w:t>
      </w:r>
    </w:p>
    <w:p>
      <w:pPr>
        <w:pStyle w:val="BodyText"/>
        <w:tabs>
          <w:tab w:pos="3292" w:val="left" w:leader="dot"/>
        </w:tabs>
        <w:spacing w:before="124"/>
        <w:ind w:left="588"/>
      </w:pPr>
      <w:r>
        <w:rPr/>
        <w:t>PEP</w:t>
        <w:tab/>
        <w:t>Positive expiratory</w:t>
      </w:r>
      <w:r>
        <w:rPr>
          <w:spacing w:val="-3"/>
        </w:rPr>
        <w:t> </w:t>
      </w:r>
      <w:r>
        <w:rPr/>
        <w:t>pressure</w:t>
      </w:r>
    </w:p>
    <w:p>
      <w:pPr>
        <w:pStyle w:val="BodyText"/>
        <w:tabs>
          <w:tab w:pos="3292" w:val="left" w:leader="dot"/>
        </w:tabs>
        <w:spacing w:before="126"/>
        <w:ind w:left="588"/>
      </w:pPr>
      <w:r>
        <w:rPr/>
        <w:t>PPK</w:t>
        <w:tab/>
        <w:t>Postoperatif pulmoner</w:t>
      </w:r>
      <w:r>
        <w:rPr>
          <w:spacing w:val="-2"/>
        </w:rPr>
        <w:t> </w:t>
      </w:r>
      <w:r>
        <w:rPr/>
        <w:t>komplikasyon</w:t>
      </w:r>
    </w:p>
    <w:p>
      <w:pPr>
        <w:pStyle w:val="BodyText"/>
        <w:tabs>
          <w:tab w:pos="3303" w:val="left" w:leader="dot"/>
        </w:tabs>
        <w:spacing w:before="129"/>
        <w:ind w:left="588"/>
      </w:pPr>
      <w:r>
        <w:rPr/>
        <w:t>ROM</w:t>
        <w:tab/>
        <w:t>Range of</w:t>
      </w:r>
      <w:r>
        <w:rPr>
          <w:spacing w:val="-2"/>
        </w:rPr>
        <w:t> </w:t>
      </w:r>
      <w:r>
        <w:rPr/>
        <w:t>motion</w:t>
      </w:r>
    </w:p>
    <w:p>
      <w:pPr>
        <w:pStyle w:val="BodyText"/>
        <w:tabs>
          <w:tab w:pos="3281" w:val="left" w:leader="dot"/>
        </w:tabs>
        <w:spacing w:before="126"/>
        <w:ind w:left="588"/>
      </w:pPr>
      <w:r>
        <w:rPr/>
        <w:t>SPSS</w:t>
        <w:tab/>
        <w:t>Statistical package for social</w:t>
      </w:r>
      <w:r>
        <w:rPr>
          <w:spacing w:val="-6"/>
        </w:rPr>
        <w:t> </w:t>
      </w:r>
      <w:r>
        <w:rPr/>
        <w:t>sciences</w:t>
      </w:r>
    </w:p>
    <w:p>
      <w:pPr>
        <w:pStyle w:val="BodyText"/>
        <w:tabs>
          <w:tab w:pos="3303" w:val="left" w:leader="dot"/>
        </w:tabs>
        <w:spacing w:before="127"/>
        <w:ind w:left="588"/>
      </w:pPr>
      <w:r>
        <w:rPr/>
        <w:t>SS</w:t>
        <w:tab/>
        <w:t>Standart</w:t>
      </w:r>
      <w:r>
        <w:rPr>
          <w:spacing w:val="-2"/>
        </w:rPr>
        <w:t> </w:t>
      </w:r>
      <w:r>
        <w:rPr/>
        <w:t>sapma</w:t>
      </w:r>
    </w:p>
    <w:p>
      <w:pPr>
        <w:pStyle w:val="BodyText"/>
        <w:tabs>
          <w:tab w:pos="3305" w:val="left" w:leader="dot"/>
        </w:tabs>
        <w:spacing w:before="126"/>
        <w:ind w:left="588"/>
      </w:pPr>
      <w:r>
        <w:rPr/>
        <w:t>STAI</w:t>
        <w:tab/>
        <w:t>State Trait Anxiety</w:t>
      </w:r>
      <w:r>
        <w:rPr>
          <w:spacing w:val="-4"/>
        </w:rPr>
        <w:t> </w:t>
      </w:r>
      <w:r>
        <w:rPr/>
        <w:t>Inventory</w:t>
      </w:r>
    </w:p>
    <w:p>
      <w:pPr>
        <w:pStyle w:val="BodyText"/>
        <w:tabs>
          <w:tab w:pos="3293" w:val="left" w:leader="dot"/>
        </w:tabs>
        <w:spacing w:before="126"/>
        <w:ind w:left="588"/>
      </w:pPr>
      <w:r>
        <w:rPr/>
        <w:t>V/Q</w:t>
        <w:tab/>
        <w:t>Ventilasyon perfüzyon</w:t>
      </w:r>
      <w:r>
        <w:rPr>
          <w:spacing w:val="-1"/>
        </w:rPr>
        <w:t> </w:t>
      </w:r>
      <w:r>
        <w:rPr/>
        <w:t>oranı</w:t>
      </w:r>
    </w:p>
    <w:p>
      <w:pPr>
        <w:pStyle w:val="BodyText"/>
        <w:tabs>
          <w:tab w:pos="3293" w:val="left" w:leader="dot"/>
        </w:tabs>
        <w:spacing w:before="126"/>
        <w:ind w:left="588"/>
      </w:pPr>
      <w:r>
        <w:rPr/>
        <w:t>VAS</w:t>
        <w:tab/>
        <w:t>Vizüel analog</w:t>
      </w:r>
      <w:r>
        <w:rPr>
          <w:spacing w:val="1"/>
        </w:rPr>
        <w:t> </w:t>
      </w:r>
      <w:r>
        <w:rPr/>
        <w:t>skalası</w:t>
      </w:r>
    </w:p>
    <w:p>
      <w:pPr>
        <w:pStyle w:val="BodyText"/>
        <w:tabs>
          <w:tab w:pos="3303" w:val="left" w:leader="dot"/>
        </w:tabs>
        <w:spacing w:before="127"/>
        <w:ind w:left="588"/>
      </w:pPr>
      <w:r>
        <w:rPr/>
        <w:t>VK</w:t>
        <w:tab/>
        <w:t>Vital</w:t>
      </w:r>
      <w:r>
        <w:rPr>
          <w:spacing w:val="-3"/>
        </w:rPr>
        <w:t> </w:t>
      </w:r>
      <w:r>
        <w:rPr/>
        <w:t>kapasite</w:t>
      </w:r>
    </w:p>
    <w:p>
      <w:pPr>
        <w:pStyle w:val="BodyText"/>
        <w:tabs>
          <w:tab w:pos="3329" w:val="left" w:leader="dot"/>
        </w:tabs>
        <w:spacing w:before="126"/>
        <w:ind w:left="588"/>
      </w:pPr>
      <w:r>
        <w:rPr/>
        <w:t>VKİ</w:t>
        <w:tab/>
        <w:t>Vücut kitle</w:t>
      </w:r>
      <w:r>
        <w:rPr>
          <w:spacing w:val="-6"/>
        </w:rPr>
        <w:t> </w:t>
      </w:r>
      <w:r>
        <w:rPr/>
        <w:t>indeksi</w:t>
      </w:r>
    </w:p>
    <w:p>
      <w:pPr>
        <w:pStyle w:val="BodyText"/>
        <w:tabs>
          <w:tab w:pos="3339" w:val="left" w:leader="dot"/>
        </w:tabs>
        <w:spacing w:before="126"/>
        <w:ind w:left="588"/>
      </w:pPr>
      <w:r>
        <w:rPr/>
        <w:t>X</w:t>
        <w:tab/>
        <w:t>Ortalama</w:t>
      </w:r>
    </w:p>
    <w:p>
      <w:pPr>
        <w:spacing w:after="0"/>
        <w:sectPr>
          <w:pgSz w:w="11910" w:h="16840"/>
          <w:pgMar w:header="749" w:footer="0" w:top="1320" w:bottom="280" w:left="1680" w:right="840"/>
        </w:sectPr>
      </w:pPr>
    </w:p>
    <w:p>
      <w:pPr>
        <w:pStyle w:val="BodyText"/>
        <w:tabs>
          <w:tab w:pos="3358" w:val="left" w:leader="dot"/>
        </w:tabs>
        <w:spacing w:before="88"/>
        <w:ind w:left="588"/>
      </w:pPr>
      <w:r>
        <w:rPr/>
        <w:t>&lt;</w:t>
        <w:tab/>
        <w:t>Küçüktür</w:t>
      </w:r>
    </w:p>
    <w:p>
      <w:pPr>
        <w:pStyle w:val="BodyText"/>
        <w:tabs>
          <w:tab w:pos="3358" w:val="left" w:leader="dot"/>
        </w:tabs>
        <w:spacing w:before="127"/>
        <w:ind w:left="588"/>
      </w:pPr>
      <w:r>
        <w:rPr/>
        <w:t>&gt;</w:t>
        <w:tab/>
        <w:t>Büyüktür</w:t>
      </w:r>
    </w:p>
    <w:p>
      <w:pPr>
        <w:pStyle w:val="BodyText"/>
        <w:tabs>
          <w:tab w:pos="3353" w:val="left" w:leader="dot"/>
        </w:tabs>
        <w:spacing w:before="126"/>
        <w:ind w:left="588"/>
      </w:pPr>
      <w:r>
        <w:rPr/>
        <w:t>%</w:t>
        <w:tab/>
        <w:t>Yüzde</w:t>
      </w:r>
    </w:p>
    <w:p>
      <w:pPr>
        <w:pStyle w:val="BodyText"/>
        <w:tabs>
          <w:tab w:pos="3358" w:val="left" w:leader="dot"/>
        </w:tabs>
        <w:spacing w:before="126"/>
        <w:ind w:left="588"/>
      </w:pPr>
      <w:r>
        <w:rPr/>
        <w:t>=</w:t>
        <w:tab/>
        <w:t>Eşittir</w:t>
      </w:r>
    </w:p>
    <w:p>
      <w:pPr>
        <w:pStyle w:val="BodyText"/>
        <w:tabs>
          <w:tab w:pos="3353" w:val="left" w:leader="dot"/>
        </w:tabs>
        <w:spacing w:before="126"/>
        <w:ind w:left="588"/>
      </w:pPr>
      <w:r>
        <w:rPr/>
        <w:t>p</w:t>
        <w:tab/>
        <w:t>Anlamlılık</w:t>
      </w:r>
      <w:r>
        <w:rPr>
          <w:spacing w:val="2"/>
        </w:rPr>
        <w:t> </w:t>
      </w:r>
      <w:r>
        <w:rPr/>
        <w:t>düzeyi</w:t>
      </w:r>
    </w:p>
    <w:p>
      <w:pPr>
        <w:spacing w:after="0"/>
        <w:sectPr>
          <w:pgSz w:w="11910" w:h="16840"/>
          <w:pgMar w:header="749" w:footer="0" w:top="1320" w:bottom="280" w:left="168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Heading2"/>
        <w:numPr>
          <w:ilvl w:val="0"/>
          <w:numId w:val="2"/>
        </w:numPr>
        <w:tabs>
          <w:tab w:pos="774" w:val="left" w:leader="none"/>
        </w:tabs>
        <w:spacing w:line="240" w:lineRule="auto" w:before="0" w:after="0"/>
        <w:ind w:left="773" w:right="0" w:hanging="186"/>
        <w:jc w:val="left"/>
      </w:pPr>
      <w:bookmarkStart w:name="_bookmark8" w:id="9"/>
      <w:bookmarkEnd w:id="9"/>
      <w:r>
        <w:rPr>
          <w:b w:val="0"/>
        </w:rPr>
      </w:r>
      <w:bookmarkStart w:name="_bookmark8" w:id="10"/>
      <w:bookmarkEnd w:id="10"/>
      <w:r>
        <w:rPr/>
        <w:t>G</w:t>
      </w:r>
      <w:r>
        <w:rPr/>
        <w:t>İRİŞ</w:t>
      </w:r>
    </w:p>
    <w:p>
      <w:pPr>
        <w:pStyle w:val="BodyText"/>
        <w:rPr>
          <w:b/>
          <w:sz w:val="24"/>
        </w:rPr>
      </w:pPr>
    </w:p>
    <w:p>
      <w:pPr>
        <w:pStyle w:val="BodyText"/>
        <w:spacing w:before="1"/>
        <w:rPr>
          <w:b/>
          <w:sz w:val="34"/>
        </w:rPr>
      </w:pPr>
    </w:p>
    <w:p>
      <w:pPr>
        <w:pStyle w:val="BodyText"/>
        <w:spacing w:line="360" w:lineRule="auto" w:before="1"/>
        <w:ind w:left="588" w:right="285" w:firstLine="708"/>
        <w:jc w:val="both"/>
      </w:pPr>
      <w:r>
        <w:rPr/>
        <w:t>Pulmoner komplikasyonlar (hipoksi, atelektazi, sekresyon birikimi, bronkopulmoner enfeksiyonlar, pnömoni, plevral effüzyon, akut respiratuar distres sendromu,</w:t>
      </w:r>
      <w:r>
        <w:rPr>
          <w:spacing w:val="-9"/>
        </w:rPr>
        <w:t> </w:t>
      </w:r>
      <w:r>
        <w:rPr/>
        <w:t>akut</w:t>
      </w:r>
      <w:r>
        <w:rPr>
          <w:spacing w:val="-10"/>
        </w:rPr>
        <w:t> </w:t>
      </w:r>
      <w:r>
        <w:rPr/>
        <w:t>solunum</w:t>
      </w:r>
      <w:r>
        <w:rPr>
          <w:spacing w:val="-11"/>
        </w:rPr>
        <w:t> </w:t>
      </w:r>
      <w:r>
        <w:rPr/>
        <w:t>yetmezliği</w:t>
      </w:r>
      <w:r>
        <w:rPr>
          <w:spacing w:val="-8"/>
        </w:rPr>
        <w:t> </w:t>
      </w:r>
      <w:r>
        <w:rPr/>
        <w:t>vb.)</w:t>
      </w:r>
      <w:r>
        <w:rPr>
          <w:spacing w:val="-7"/>
        </w:rPr>
        <w:t> </w:t>
      </w:r>
      <w:r>
        <w:rPr/>
        <w:t>cerrahi</w:t>
      </w:r>
      <w:r>
        <w:rPr>
          <w:spacing w:val="-11"/>
        </w:rPr>
        <w:t> </w:t>
      </w:r>
      <w:r>
        <w:rPr/>
        <w:t>sonrası</w:t>
      </w:r>
      <w:r>
        <w:rPr>
          <w:spacing w:val="-11"/>
        </w:rPr>
        <w:t> </w:t>
      </w:r>
      <w:r>
        <w:rPr/>
        <w:t>morbidite</w:t>
      </w:r>
      <w:r>
        <w:rPr>
          <w:spacing w:val="-11"/>
        </w:rPr>
        <w:t> </w:t>
      </w:r>
      <w:r>
        <w:rPr/>
        <w:t>ve</w:t>
      </w:r>
      <w:r>
        <w:rPr>
          <w:spacing w:val="-7"/>
        </w:rPr>
        <w:t> </w:t>
      </w:r>
      <w:r>
        <w:rPr/>
        <w:t>mortalitenin</w:t>
      </w:r>
      <w:r>
        <w:rPr>
          <w:spacing w:val="-8"/>
        </w:rPr>
        <w:t> </w:t>
      </w:r>
      <w:r>
        <w:rPr/>
        <w:t>önemli nedenlerinden biridir. Hastanede kalış süresini uzatır ve hastane maliyetini artırır. Pulmoner komplikasyonların cerrahi sonrasında görülme sıklığı %6-76 arasında değişmektedir ve anestezinin özellikleri, uygulanan cerrahi tipi, hastanın cerrahi öncesindeki durumu ve gelişen komplikasyonun tipine bağlıdır. Abdominal cerrahilerde ise</w:t>
      </w:r>
      <w:r>
        <w:rPr>
          <w:spacing w:val="-6"/>
        </w:rPr>
        <w:t> </w:t>
      </w:r>
      <w:r>
        <w:rPr/>
        <w:t>bu</w:t>
      </w:r>
      <w:r>
        <w:rPr>
          <w:spacing w:val="-7"/>
        </w:rPr>
        <w:t> </w:t>
      </w:r>
      <w:r>
        <w:rPr/>
        <w:t>oran</w:t>
      </w:r>
      <w:r>
        <w:rPr>
          <w:spacing w:val="-6"/>
        </w:rPr>
        <w:t> </w:t>
      </w:r>
      <w:r>
        <w:rPr/>
        <w:t>%25-80</w:t>
      </w:r>
      <w:r>
        <w:rPr>
          <w:spacing w:val="-7"/>
        </w:rPr>
        <w:t> </w:t>
      </w:r>
      <w:r>
        <w:rPr/>
        <w:t>arasında</w:t>
      </w:r>
      <w:r>
        <w:rPr>
          <w:spacing w:val="-6"/>
        </w:rPr>
        <w:t> </w:t>
      </w:r>
      <w:r>
        <w:rPr/>
        <w:t>değişmektedir</w:t>
      </w:r>
      <w:r>
        <w:rPr>
          <w:spacing w:val="-6"/>
        </w:rPr>
        <w:t> </w:t>
      </w:r>
      <w:r>
        <w:rPr/>
        <w:t>(Givón</w:t>
      </w:r>
      <w:r>
        <w:rPr>
          <w:spacing w:val="-6"/>
        </w:rPr>
        <w:t> </w:t>
      </w:r>
      <w:r>
        <w:rPr/>
        <w:t>ve</w:t>
      </w:r>
      <w:r>
        <w:rPr>
          <w:spacing w:val="-6"/>
        </w:rPr>
        <w:t> </w:t>
      </w:r>
      <w:r>
        <w:rPr/>
        <w:t>Young</w:t>
      </w:r>
      <w:r>
        <w:rPr>
          <w:spacing w:val="-4"/>
        </w:rPr>
        <w:t> </w:t>
      </w:r>
      <w:r>
        <w:rPr/>
        <w:t>2002,</w:t>
      </w:r>
      <w:r>
        <w:rPr>
          <w:spacing w:val="-5"/>
        </w:rPr>
        <w:t> </w:t>
      </w:r>
      <w:r>
        <w:rPr/>
        <w:t>Srikaya</w:t>
      </w:r>
      <w:r>
        <w:rPr>
          <w:spacing w:val="-6"/>
        </w:rPr>
        <w:t> </w:t>
      </w:r>
      <w:r>
        <w:rPr/>
        <w:t>2006).</w:t>
      </w:r>
      <w:r>
        <w:rPr>
          <w:spacing w:val="-7"/>
        </w:rPr>
        <w:t> </w:t>
      </w:r>
      <w:r>
        <w:rPr/>
        <w:t>Tüm cerrahi yöntemler düşünüldüğünde en fazla post-operatif pulmoner komplikasyonların (PPK) görüldüğü cerrahiler, toraks ve üst abdominal cerrahilerdir. Kesinin diyafragmaa olan yakınlığı ile PPK arasında doğru orantı vardır. Üst abdominal organlara yapılan müdahaleler ile solunumun mekanik olarak inhibisyona uğradığı belirtilmiştir (Dureuil B vd 1986, Simonneau vd. 1983). Yapılan bir araştırmada, vertikal cerrahi kesinin horizontal cerrahi kesiye göre daha fazla PPK’a neden olduğu gösterilmiştir. Bu sonuç, horizontal</w:t>
      </w:r>
      <w:r>
        <w:rPr>
          <w:spacing w:val="-13"/>
        </w:rPr>
        <w:t> </w:t>
      </w:r>
      <w:r>
        <w:rPr/>
        <w:t>kesinin</w:t>
      </w:r>
      <w:r>
        <w:rPr>
          <w:spacing w:val="-12"/>
        </w:rPr>
        <w:t> </w:t>
      </w:r>
      <w:r>
        <w:rPr/>
        <w:t>daha</w:t>
      </w:r>
      <w:r>
        <w:rPr>
          <w:spacing w:val="-13"/>
        </w:rPr>
        <w:t> </w:t>
      </w:r>
      <w:r>
        <w:rPr/>
        <w:t>az</w:t>
      </w:r>
      <w:r>
        <w:rPr>
          <w:spacing w:val="-15"/>
        </w:rPr>
        <w:t> </w:t>
      </w:r>
      <w:r>
        <w:rPr/>
        <w:t>dermatom</w:t>
      </w:r>
      <w:r>
        <w:rPr>
          <w:spacing w:val="-11"/>
        </w:rPr>
        <w:t> </w:t>
      </w:r>
      <w:r>
        <w:rPr/>
        <w:t>alanını</w:t>
      </w:r>
      <w:r>
        <w:rPr>
          <w:spacing w:val="-12"/>
        </w:rPr>
        <w:t> </w:t>
      </w:r>
      <w:r>
        <w:rPr/>
        <w:t>etkilemesi</w:t>
      </w:r>
      <w:r>
        <w:rPr>
          <w:spacing w:val="-13"/>
        </w:rPr>
        <w:t> </w:t>
      </w:r>
      <w:r>
        <w:rPr/>
        <w:t>ve</w:t>
      </w:r>
      <w:r>
        <w:rPr>
          <w:spacing w:val="-12"/>
        </w:rPr>
        <w:t> </w:t>
      </w:r>
      <w:r>
        <w:rPr/>
        <w:t>böylece</w:t>
      </w:r>
      <w:r>
        <w:rPr>
          <w:spacing w:val="-13"/>
        </w:rPr>
        <w:t> </w:t>
      </w:r>
      <w:r>
        <w:rPr/>
        <w:t>daha</w:t>
      </w:r>
      <w:r>
        <w:rPr>
          <w:spacing w:val="-13"/>
        </w:rPr>
        <w:t> </w:t>
      </w:r>
      <w:r>
        <w:rPr/>
        <w:t>az</w:t>
      </w:r>
      <w:r>
        <w:rPr>
          <w:spacing w:val="-11"/>
        </w:rPr>
        <w:t> </w:t>
      </w:r>
      <w:r>
        <w:rPr/>
        <w:t>post-operatif ağrı ve refleks diyafragma inhibisyonu oluşturmasına bağlanmıştır (Halasz</w:t>
      </w:r>
      <w:r>
        <w:rPr>
          <w:spacing w:val="-15"/>
        </w:rPr>
        <w:t> </w:t>
      </w:r>
      <w:r>
        <w:rPr/>
        <w:t>1964).</w:t>
      </w:r>
    </w:p>
    <w:p>
      <w:pPr>
        <w:pStyle w:val="BodyText"/>
        <w:spacing w:line="360" w:lineRule="auto" w:before="162"/>
        <w:ind w:left="588" w:right="288" w:firstLine="708"/>
        <w:jc w:val="both"/>
      </w:pPr>
      <w:r>
        <w:rPr/>
        <w:t>Pulmoner fizyoterapinin post-operatif pulmoner komplikasyonları önlemede etkili olduğunu</w:t>
      </w:r>
      <w:r>
        <w:rPr>
          <w:spacing w:val="-16"/>
        </w:rPr>
        <w:t> </w:t>
      </w:r>
      <w:r>
        <w:rPr/>
        <w:t>gösteren</w:t>
      </w:r>
      <w:r>
        <w:rPr>
          <w:spacing w:val="-15"/>
        </w:rPr>
        <w:t> </w:t>
      </w:r>
      <w:r>
        <w:rPr/>
        <w:t>çalışmalar</w:t>
      </w:r>
      <w:r>
        <w:rPr>
          <w:spacing w:val="-11"/>
        </w:rPr>
        <w:t> </w:t>
      </w:r>
      <w:r>
        <w:rPr/>
        <w:t>literatürde</w:t>
      </w:r>
      <w:r>
        <w:rPr>
          <w:spacing w:val="-15"/>
        </w:rPr>
        <w:t> </w:t>
      </w:r>
      <w:r>
        <w:rPr/>
        <w:t>mevcuttur.</w:t>
      </w:r>
      <w:r>
        <w:rPr>
          <w:spacing w:val="-13"/>
        </w:rPr>
        <w:t> </w:t>
      </w:r>
      <w:r>
        <w:rPr/>
        <w:t>Pulmoner</w:t>
      </w:r>
      <w:r>
        <w:rPr>
          <w:spacing w:val="-16"/>
        </w:rPr>
        <w:t> </w:t>
      </w:r>
      <w:r>
        <w:rPr/>
        <w:t>fizyoterapi;</w:t>
      </w:r>
      <w:r>
        <w:rPr>
          <w:spacing w:val="-16"/>
        </w:rPr>
        <w:t> </w:t>
      </w:r>
      <w:r>
        <w:rPr/>
        <w:t>derin</w:t>
      </w:r>
      <w:r>
        <w:rPr>
          <w:spacing w:val="-13"/>
        </w:rPr>
        <w:t> </w:t>
      </w:r>
      <w:r>
        <w:rPr/>
        <w:t>solunum egzersizleri,</w:t>
      </w:r>
      <w:r>
        <w:rPr>
          <w:spacing w:val="-14"/>
        </w:rPr>
        <w:t> </w:t>
      </w:r>
      <w:r>
        <w:rPr/>
        <w:t>postüral</w:t>
      </w:r>
      <w:r>
        <w:rPr>
          <w:spacing w:val="-15"/>
        </w:rPr>
        <w:t> </w:t>
      </w:r>
      <w:r>
        <w:rPr/>
        <w:t>drenaj,</w:t>
      </w:r>
      <w:r>
        <w:rPr>
          <w:spacing w:val="-18"/>
        </w:rPr>
        <w:t> </w:t>
      </w:r>
      <w:r>
        <w:rPr/>
        <w:t>manuel</w:t>
      </w:r>
      <w:r>
        <w:rPr>
          <w:spacing w:val="-16"/>
        </w:rPr>
        <w:t> </w:t>
      </w:r>
      <w:r>
        <w:rPr/>
        <w:t>drenaj</w:t>
      </w:r>
      <w:r>
        <w:rPr>
          <w:spacing w:val="-18"/>
        </w:rPr>
        <w:t> </w:t>
      </w:r>
      <w:r>
        <w:rPr/>
        <w:t>teknikleri</w:t>
      </w:r>
      <w:r>
        <w:rPr>
          <w:spacing w:val="-14"/>
        </w:rPr>
        <w:t> </w:t>
      </w:r>
      <w:r>
        <w:rPr/>
        <w:t>(perküsyon,</w:t>
      </w:r>
      <w:r>
        <w:rPr>
          <w:spacing w:val="-14"/>
        </w:rPr>
        <w:t> </w:t>
      </w:r>
      <w:r>
        <w:rPr/>
        <w:t>vibrasyon</w:t>
      </w:r>
      <w:r>
        <w:rPr>
          <w:spacing w:val="-15"/>
        </w:rPr>
        <w:t> </w:t>
      </w:r>
      <w:r>
        <w:rPr/>
        <w:t>ve</w:t>
      </w:r>
      <w:r>
        <w:rPr>
          <w:spacing w:val="-15"/>
        </w:rPr>
        <w:t> </w:t>
      </w:r>
      <w:r>
        <w:rPr/>
        <w:t>shaking), öksürme, akciğer ekspansiyon ve hiperinflasyon teknikleri, insentif spirometre, aralıklı pozitif basınçlı solunum, positif eksipiratuar basınç maske uygulaması, sürekli pozitif hava yolu basıncı ve solunum kas eğitimi gibi teknikler PPK’ın önlenmesinde ve tedavisinde sıklıkla kullanılmaktadır. Solunum egzersizleri veya yardımcı cihazlar kullanarak</w:t>
      </w:r>
      <w:r>
        <w:rPr>
          <w:spacing w:val="-7"/>
        </w:rPr>
        <w:t> </w:t>
      </w:r>
      <w:r>
        <w:rPr/>
        <w:t>cerrahi</w:t>
      </w:r>
      <w:r>
        <w:rPr>
          <w:spacing w:val="-6"/>
        </w:rPr>
        <w:t> </w:t>
      </w:r>
      <w:r>
        <w:rPr/>
        <w:t>sonrasında</w:t>
      </w:r>
      <w:r>
        <w:rPr>
          <w:spacing w:val="-6"/>
        </w:rPr>
        <w:t> </w:t>
      </w:r>
      <w:r>
        <w:rPr/>
        <w:t>derin</w:t>
      </w:r>
      <w:r>
        <w:rPr>
          <w:spacing w:val="-7"/>
        </w:rPr>
        <w:t> </w:t>
      </w:r>
      <w:r>
        <w:rPr/>
        <w:t>inspirasyon</w:t>
      </w:r>
      <w:r>
        <w:rPr>
          <w:spacing w:val="-4"/>
        </w:rPr>
        <w:t> </w:t>
      </w:r>
      <w:r>
        <w:rPr/>
        <w:t>sağlanması,</w:t>
      </w:r>
      <w:r>
        <w:rPr>
          <w:spacing w:val="-3"/>
        </w:rPr>
        <w:t> </w:t>
      </w:r>
      <w:r>
        <w:rPr/>
        <w:t>normal</w:t>
      </w:r>
      <w:r>
        <w:rPr>
          <w:spacing w:val="-7"/>
        </w:rPr>
        <w:t> </w:t>
      </w:r>
      <w:r>
        <w:rPr/>
        <w:t>bir</w:t>
      </w:r>
      <w:r>
        <w:rPr>
          <w:spacing w:val="-7"/>
        </w:rPr>
        <w:t> </w:t>
      </w:r>
      <w:r>
        <w:rPr/>
        <w:t>solunum</w:t>
      </w:r>
      <w:r>
        <w:rPr>
          <w:spacing w:val="-5"/>
        </w:rPr>
        <w:t> </w:t>
      </w:r>
      <w:r>
        <w:rPr/>
        <w:t>paterni elde edilmesi, normal kas tonusunun korunması ve egzersizlere aktif katılım ile kan dolaşımının düzenlenmesi ve erken bağımsız mobilitenin sağlanması amaçlanır. Öksürme, postüral drenaj ve manuel drenaj teknikleri gibi sekresyon klirensini sağlayan tekniklerle</w:t>
      </w:r>
      <w:r>
        <w:rPr>
          <w:spacing w:val="-11"/>
        </w:rPr>
        <w:t> </w:t>
      </w:r>
      <w:r>
        <w:rPr/>
        <w:t>hava</w:t>
      </w:r>
      <w:r>
        <w:rPr>
          <w:spacing w:val="-10"/>
        </w:rPr>
        <w:t> </w:t>
      </w:r>
      <w:r>
        <w:rPr/>
        <w:t>yollarında</w:t>
      </w:r>
      <w:r>
        <w:rPr>
          <w:spacing w:val="-9"/>
        </w:rPr>
        <w:t> </w:t>
      </w:r>
      <w:r>
        <w:rPr/>
        <w:t>biriken</w:t>
      </w:r>
      <w:r>
        <w:rPr>
          <w:spacing w:val="-11"/>
        </w:rPr>
        <w:t> </w:t>
      </w:r>
      <w:r>
        <w:rPr/>
        <w:t>sekresyonların</w:t>
      </w:r>
      <w:r>
        <w:rPr>
          <w:spacing w:val="-8"/>
        </w:rPr>
        <w:t> </w:t>
      </w:r>
      <w:r>
        <w:rPr/>
        <w:t>atılımı</w:t>
      </w:r>
      <w:r>
        <w:rPr>
          <w:spacing w:val="-13"/>
        </w:rPr>
        <w:t> </w:t>
      </w:r>
      <w:r>
        <w:rPr/>
        <w:t>sağlanır.</w:t>
      </w:r>
      <w:r>
        <w:rPr>
          <w:spacing w:val="-9"/>
        </w:rPr>
        <w:t> </w:t>
      </w:r>
      <w:r>
        <w:rPr/>
        <w:t>Böylelikle</w:t>
      </w:r>
      <w:r>
        <w:rPr>
          <w:spacing w:val="-10"/>
        </w:rPr>
        <w:t> </w:t>
      </w:r>
      <w:r>
        <w:rPr/>
        <w:t>atelektaziler engellenir ve akciğerlerde enfeksiyon oluşma riski azaltılır (Elay vd.</w:t>
      </w:r>
      <w:r>
        <w:rPr>
          <w:spacing w:val="-10"/>
        </w:rPr>
        <w:t> </w:t>
      </w:r>
      <w:r>
        <w:rPr/>
        <w:t>2015).</w:t>
      </w:r>
    </w:p>
    <w:p>
      <w:pPr>
        <w:spacing w:after="0" w:line="360" w:lineRule="auto"/>
        <w:jc w:val="both"/>
        <w:sectPr>
          <w:headerReference w:type="default" r:id="rId12"/>
          <w:pgSz w:w="11910" w:h="16840"/>
          <w:pgMar w:header="749" w:footer="0" w:top="1320" w:bottom="280" w:left="1680" w:right="840"/>
          <w:pgNumType w:start="1"/>
        </w:sectPr>
      </w:pPr>
    </w:p>
    <w:p>
      <w:pPr>
        <w:pStyle w:val="BodyText"/>
        <w:spacing w:line="360" w:lineRule="auto" w:before="88"/>
        <w:ind w:left="588" w:right="286" w:firstLine="708"/>
        <w:jc w:val="both"/>
      </w:pPr>
      <w:r>
        <w:rPr/>
        <w:t>Üst</w:t>
      </w:r>
      <w:r>
        <w:rPr>
          <w:spacing w:val="-8"/>
        </w:rPr>
        <w:t> </w:t>
      </w:r>
      <w:r>
        <w:rPr/>
        <w:t>abdominal</w:t>
      </w:r>
      <w:r>
        <w:rPr>
          <w:spacing w:val="-10"/>
        </w:rPr>
        <w:t> </w:t>
      </w:r>
      <w:r>
        <w:rPr/>
        <w:t>cerrahilerde</w:t>
      </w:r>
      <w:r>
        <w:rPr>
          <w:spacing w:val="-8"/>
        </w:rPr>
        <w:t> </w:t>
      </w:r>
      <w:r>
        <w:rPr/>
        <w:t>diyafragma</w:t>
      </w:r>
      <w:r>
        <w:rPr>
          <w:spacing w:val="-9"/>
        </w:rPr>
        <w:t> </w:t>
      </w:r>
      <w:r>
        <w:rPr/>
        <w:t>fonksiyonlarının</w:t>
      </w:r>
      <w:r>
        <w:rPr>
          <w:spacing w:val="-9"/>
        </w:rPr>
        <w:t> </w:t>
      </w:r>
      <w:r>
        <w:rPr/>
        <w:t>normal</w:t>
      </w:r>
      <w:r>
        <w:rPr>
          <w:spacing w:val="-9"/>
        </w:rPr>
        <w:t> </w:t>
      </w:r>
      <w:r>
        <w:rPr/>
        <w:t>düzeye</w:t>
      </w:r>
      <w:r>
        <w:rPr>
          <w:spacing w:val="-9"/>
        </w:rPr>
        <w:t> </w:t>
      </w:r>
      <w:r>
        <w:rPr/>
        <w:t>ulaşması iki haftayı bulabilmektedir. Yetersiz öksürme ve post-operatif pulmoner restriksiyon ve buna</w:t>
      </w:r>
      <w:r>
        <w:rPr>
          <w:spacing w:val="-14"/>
        </w:rPr>
        <w:t> </w:t>
      </w:r>
      <w:r>
        <w:rPr/>
        <w:t>bağlı</w:t>
      </w:r>
      <w:r>
        <w:rPr>
          <w:spacing w:val="-17"/>
        </w:rPr>
        <w:t> </w:t>
      </w:r>
      <w:r>
        <w:rPr/>
        <w:t>olarak</w:t>
      </w:r>
      <w:r>
        <w:rPr>
          <w:spacing w:val="-10"/>
        </w:rPr>
        <w:t> </w:t>
      </w:r>
      <w:r>
        <w:rPr/>
        <w:t>PPK</w:t>
      </w:r>
      <w:r>
        <w:rPr>
          <w:spacing w:val="-15"/>
        </w:rPr>
        <w:t> </w:t>
      </w:r>
      <w:r>
        <w:rPr/>
        <w:t>gelişimi</w:t>
      </w:r>
      <w:r>
        <w:rPr>
          <w:spacing w:val="-12"/>
        </w:rPr>
        <w:t> </w:t>
      </w:r>
      <w:r>
        <w:rPr/>
        <w:t>bu</w:t>
      </w:r>
      <w:r>
        <w:rPr>
          <w:spacing w:val="-14"/>
        </w:rPr>
        <w:t> </w:t>
      </w:r>
      <w:r>
        <w:rPr/>
        <w:t>süreç</w:t>
      </w:r>
      <w:r>
        <w:rPr>
          <w:spacing w:val="-15"/>
        </w:rPr>
        <w:t> </w:t>
      </w:r>
      <w:r>
        <w:rPr/>
        <w:t>ile</w:t>
      </w:r>
      <w:r>
        <w:rPr>
          <w:spacing w:val="-13"/>
        </w:rPr>
        <w:t> </w:t>
      </w:r>
      <w:r>
        <w:rPr/>
        <w:t>ilişkilendirilebilir.</w:t>
      </w:r>
      <w:r>
        <w:rPr>
          <w:spacing w:val="-12"/>
        </w:rPr>
        <w:t> </w:t>
      </w:r>
      <w:r>
        <w:rPr/>
        <w:t>Abdominal</w:t>
      </w:r>
      <w:r>
        <w:rPr>
          <w:spacing w:val="-13"/>
        </w:rPr>
        <w:t> </w:t>
      </w:r>
      <w:r>
        <w:rPr/>
        <w:t>cerrahi</w:t>
      </w:r>
      <w:r>
        <w:rPr>
          <w:spacing w:val="-14"/>
        </w:rPr>
        <w:t> </w:t>
      </w:r>
      <w:r>
        <w:rPr/>
        <w:t>sırasında major abdominal kasların kesilmesi nedeniyle etkili öksürme olumsuz etkilenir ve sekresyon klirensi bozulur (Sarikaya 2006). Kolorektal cerrahilerde vertikal (orta hat) veya transvers (yatay) insizyonlar kullanılmaktadır. En çok tercih edilen kesi tipi ise orta hat insizyondur. Orta hat insizyonu karnın alt bölgesinden başlar ve umblikusu soldan geçerek epigastriuma kadar uzanır. Orta hat kesisinde, zorlu ekspiratuar kaslar olan rectus abdominis , ekternal oblikler, internal oblikler ve transversus abdominis kası kesilmektedir (Teodor P. Grantcharov 2011). Bu kasların güçlü olması öksürme kalitesinin artmasında ve sekresyonların temizlenmesinde büyük öneme sahiptir. Bu yüzden solunum kaslarının özellikle de ekspiratuar solunum kaslarının eğitilmesi gerekliliği ortaya çıkmıştır. Solunum kasları hem kuvvet hem de endurans bakımından farklı şekillerde eğitilebilmektedir. Leith ve Bradley 1976 yılında ilk kez sağlıklı bireyler üzerinde uygulanan solunum kas eğitim çalışmasını yapmışlardır. Bu çalışmanın sonucunda sağlıklı bireylerde solunum kas enduransının artırılabildiği görülmüştür ve solunum kas güçsüzlüğü oluşan durumlarda bu eğitimin verilebileceği sonucuna ulaşılmıştır. Bundan sonraki yıllarda da solunum kas eğitimi pek çok klinik alanda kullanılmıştır.</w:t>
      </w:r>
    </w:p>
    <w:p>
      <w:pPr>
        <w:pStyle w:val="BodyText"/>
        <w:spacing w:line="360" w:lineRule="auto" w:before="162"/>
        <w:ind w:left="588" w:right="287" w:firstLine="708"/>
        <w:jc w:val="both"/>
      </w:pPr>
      <w:r>
        <w:rPr/>
        <w:t>Solunum kaslarının eğitimi iskelet kaslarında olduğu gibi egzersiz eğitiminin yükleme, özelleşme ve geri dönüşlülük prensiplerine dayanmaktadır. Literatürde nöromusküler hastalıklar, kronik obstrüktif akciğer hastlığı, torakal cerrahi öncesi ve sonrası, konjestif kalp yetmezliği ve abdominal cerrahilerde yapılan solunum kas eğitimi çalışmaları bulunmaktadır. Ancak cerrahilerde yapılan solunum kas eğitiminlerinde inspiratuar kas eğitimine yoğunlaşıldığı göze çarpmaktadır (Langer Westerdahl Andreasen Brocki ve Souza 2015). Ekspiratuar kaslar adına Positive Ekspiratory Pressure (PEP) cihazlarıyla ekspirasyon çalışılmış ama ekspiratuar kas eğitimi verilmemiştir.</w:t>
      </w:r>
    </w:p>
    <w:p>
      <w:pPr>
        <w:pStyle w:val="Heading2"/>
        <w:numPr>
          <w:ilvl w:val="1"/>
          <w:numId w:val="2"/>
        </w:numPr>
        <w:tabs>
          <w:tab w:pos="961" w:val="left" w:leader="none"/>
        </w:tabs>
        <w:spacing w:line="240" w:lineRule="auto" w:before="154" w:after="0"/>
        <w:ind w:left="960" w:right="0" w:hanging="373"/>
        <w:jc w:val="both"/>
      </w:pPr>
      <w:r>
        <w:rPr>
          <w:spacing w:val="-3"/>
        </w:rPr>
        <w:t>Amaç</w:t>
      </w:r>
    </w:p>
    <w:p>
      <w:pPr>
        <w:pStyle w:val="BodyText"/>
        <w:spacing w:before="4"/>
        <w:rPr>
          <w:b/>
          <w:sz w:val="25"/>
        </w:rPr>
      </w:pPr>
    </w:p>
    <w:p>
      <w:pPr>
        <w:pStyle w:val="BodyText"/>
        <w:spacing w:line="360" w:lineRule="auto"/>
        <w:ind w:left="588" w:right="289" w:firstLine="708"/>
        <w:jc w:val="both"/>
      </w:pPr>
      <w:r>
        <w:rPr/>
        <w:t>Bu çalışma, kolorektal cerrahi sonrası konvansiyonel fizyoterapiye ek olarak uygulanan ekspiratuar kas eğitiminin etkilerini incelemek amacıyla Pamukkale Üniversitesi Fizik Tedavi ve Rehabilitasyon Yüksekokulu, Kardiyopulmoner Rehabilitasyon Ünitesi ve Pamukkale Üniversitesi, Genel Cerrahi Kliniği’nde yapıldı. 18 yaş ve üzerindeki 24 birey kapalı zarf yöntemiyle randomize olarak Çalışma (n=12) ve Kontrol Grubu (n=12) olarak iki gruba ayrıldı. Toplam 24 birey ile çalışmamız</w:t>
      </w:r>
    </w:p>
    <w:p>
      <w:pPr>
        <w:spacing w:after="0" w:line="360" w:lineRule="auto"/>
        <w:jc w:val="both"/>
        <w:sectPr>
          <w:pgSz w:w="11910" w:h="16840"/>
          <w:pgMar w:header="749" w:footer="0" w:top="1320" w:bottom="280" w:left="1680" w:right="840"/>
        </w:sectPr>
      </w:pPr>
    </w:p>
    <w:p>
      <w:pPr>
        <w:pStyle w:val="BodyText"/>
        <w:spacing w:line="360" w:lineRule="auto" w:before="88"/>
        <w:ind w:left="588" w:right="286"/>
        <w:jc w:val="both"/>
      </w:pPr>
      <w:r>
        <w:rPr/>
        <w:t>sonlandırıldı. Solunum kas eğitimi; Pamukkale Üniversite Hastanesi Genel Cerrahi Servisi’nde, hastaların kolorektal cerrahi sonrası hastanede yattığı süre boyunca, çalışma</w:t>
      </w:r>
      <w:r>
        <w:rPr>
          <w:spacing w:val="-18"/>
        </w:rPr>
        <w:t> </w:t>
      </w:r>
      <w:r>
        <w:rPr/>
        <w:t>gurubuna</w:t>
      </w:r>
      <w:r>
        <w:rPr>
          <w:spacing w:val="-20"/>
        </w:rPr>
        <w:t> </w:t>
      </w:r>
      <w:r>
        <w:rPr/>
        <w:t>konvansiyonel</w:t>
      </w:r>
      <w:r>
        <w:rPr>
          <w:spacing w:val="-16"/>
        </w:rPr>
        <w:t> </w:t>
      </w:r>
      <w:r>
        <w:rPr/>
        <w:t>pulmoner</w:t>
      </w:r>
      <w:r>
        <w:rPr>
          <w:spacing w:val="-16"/>
        </w:rPr>
        <w:t> </w:t>
      </w:r>
      <w:r>
        <w:rPr/>
        <w:t>fizyoterapiye</w:t>
      </w:r>
      <w:r>
        <w:rPr>
          <w:spacing w:val="-15"/>
        </w:rPr>
        <w:t> </w:t>
      </w:r>
      <w:r>
        <w:rPr/>
        <w:t>ek</w:t>
      </w:r>
      <w:r>
        <w:rPr>
          <w:spacing w:val="-14"/>
        </w:rPr>
        <w:t> </w:t>
      </w:r>
      <w:r>
        <w:rPr/>
        <w:t>olarak</w:t>
      </w:r>
      <w:r>
        <w:rPr>
          <w:spacing w:val="36"/>
        </w:rPr>
        <w:t> </w:t>
      </w:r>
      <w:r>
        <w:rPr/>
        <w:t>haftada</w:t>
      </w:r>
      <w:r>
        <w:rPr>
          <w:spacing w:val="-15"/>
        </w:rPr>
        <w:t> </w:t>
      </w:r>
      <w:r>
        <w:rPr/>
        <w:t>5</w:t>
      </w:r>
      <w:r>
        <w:rPr>
          <w:spacing w:val="-17"/>
        </w:rPr>
        <w:t> </w:t>
      </w:r>
      <w:r>
        <w:rPr/>
        <w:t>gün,</w:t>
      </w:r>
      <w:r>
        <w:rPr>
          <w:spacing w:val="-17"/>
        </w:rPr>
        <w:t> </w:t>
      </w:r>
      <w:r>
        <w:rPr/>
        <w:t>günde 2 kez fizyoterapist gözetiminde olacak şekilde toplam 6 kez taburcu oluncaya kadar uygulandı. Kontrol grubuna ise konvansiyonel pulmoner fizyoterapiye ek olarak insentif spirometre (İS) solunum kas eğitimi ile aynı protokolde uygulandı. Her iki gruba da cerrahi öncesi, cerrahi sonrası ve taburcu olurken aşağıdaki hipotezi test etmek için, solunum kas gücü taşınabilir spirometre cihazına takılan ek aparat ile ağız içi basınç ölçülüp, Maksimum Ekspiratuar Pressure (MEP) ve Maksimum İnspiratuar Pressure (MİP) belirlenerek değerlendirildi. Yapılan değerlendirmeler sonucunda ulaşılan veriler uygun</w:t>
      </w:r>
      <w:r>
        <w:rPr>
          <w:spacing w:val="-13"/>
        </w:rPr>
        <w:t> </w:t>
      </w:r>
      <w:r>
        <w:rPr/>
        <w:t>istatistiksel</w:t>
      </w:r>
      <w:r>
        <w:rPr>
          <w:spacing w:val="-15"/>
        </w:rPr>
        <w:t> </w:t>
      </w:r>
      <w:r>
        <w:rPr/>
        <w:t>yöntemler</w:t>
      </w:r>
      <w:r>
        <w:rPr>
          <w:spacing w:val="-14"/>
        </w:rPr>
        <w:t> </w:t>
      </w:r>
      <w:r>
        <w:rPr/>
        <w:t>ile</w:t>
      </w:r>
      <w:r>
        <w:rPr>
          <w:spacing w:val="-13"/>
        </w:rPr>
        <w:t> </w:t>
      </w:r>
      <w:r>
        <w:rPr/>
        <w:t>analiz</w:t>
      </w:r>
      <w:r>
        <w:rPr>
          <w:spacing w:val="-14"/>
        </w:rPr>
        <w:t> </w:t>
      </w:r>
      <w:r>
        <w:rPr/>
        <w:t>edildi</w:t>
      </w:r>
      <w:r>
        <w:rPr>
          <w:spacing w:val="-14"/>
        </w:rPr>
        <w:t> </w:t>
      </w:r>
      <w:r>
        <w:rPr/>
        <w:t>ve</w:t>
      </w:r>
      <w:r>
        <w:rPr>
          <w:spacing w:val="-12"/>
        </w:rPr>
        <w:t> </w:t>
      </w:r>
      <w:r>
        <w:rPr/>
        <w:t>sonuçlar</w:t>
      </w:r>
      <w:r>
        <w:rPr>
          <w:spacing w:val="-12"/>
        </w:rPr>
        <w:t> </w:t>
      </w:r>
      <w:r>
        <w:rPr/>
        <w:t>literatür</w:t>
      </w:r>
      <w:r>
        <w:rPr>
          <w:spacing w:val="-12"/>
        </w:rPr>
        <w:t> </w:t>
      </w:r>
      <w:r>
        <w:rPr/>
        <w:t>doğrultusunda</w:t>
      </w:r>
      <w:r>
        <w:rPr>
          <w:spacing w:val="-15"/>
        </w:rPr>
        <w:t> </w:t>
      </w:r>
      <w:r>
        <w:rPr/>
        <w:t>tartışıldı.</w:t>
      </w:r>
    </w:p>
    <w:p>
      <w:pPr>
        <w:pStyle w:val="BodyText"/>
        <w:spacing w:before="159"/>
        <w:ind w:left="588"/>
        <w:jc w:val="both"/>
      </w:pPr>
      <w:r>
        <w:rPr/>
        <w:t>Çalışmamızda kurulan hipotez şudur;</w:t>
      </w:r>
    </w:p>
    <w:p>
      <w:pPr>
        <w:pStyle w:val="BodyText"/>
        <w:spacing w:before="2"/>
        <w:rPr>
          <w:sz w:val="25"/>
        </w:rPr>
      </w:pPr>
    </w:p>
    <w:p>
      <w:pPr>
        <w:pStyle w:val="BodyText"/>
        <w:spacing w:line="357" w:lineRule="auto"/>
        <w:ind w:left="588" w:right="292"/>
        <w:jc w:val="both"/>
      </w:pPr>
      <w:r>
        <w:rPr>
          <w:i/>
          <w:u w:val="single"/>
        </w:rPr>
        <w:t>Hipotez 1:</w:t>
      </w:r>
      <w:r>
        <w:rPr>
          <w:i/>
        </w:rPr>
        <w:t> </w:t>
      </w:r>
      <w:r>
        <w:rPr/>
        <w:t>Kolorektal cerrahi sonrasında ekspiratuar kas eğitimi konvansiyonel fizyoterapiye ek olarak uygulandığında etkilidir.</w:t>
      </w:r>
    </w:p>
    <w:p>
      <w:pPr>
        <w:spacing w:after="0" w:line="357" w:lineRule="auto"/>
        <w:jc w:val="both"/>
        <w:sectPr>
          <w:pgSz w:w="11910" w:h="16840"/>
          <w:pgMar w:header="749" w:footer="0" w:top="1320" w:bottom="280" w:left="168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Heading2"/>
        <w:numPr>
          <w:ilvl w:val="0"/>
          <w:numId w:val="2"/>
        </w:numPr>
        <w:tabs>
          <w:tab w:pos="774" w:val="left" w:leader="none"/>
        </w:tabs>
        <w:spacing w:line="240" w:lineRule="auto" w:before="0" w:after="0"/>
        <w:ind w:left="773" w:right="0" w:hanging="186"/>
        <w:jc w:val="both"/>
      </w:pPr>
      <w:bookmarkStart w:name="_bookmark9" w:id="11"/>
      <w:bookmarkEnd w:id="11"/>
      <w:r>
        <w:rPr>
          <w:b w:val="0"/>
        </w:rPr>
      </w:r>
      <w:bookmarkStart w:name="_bookmark9" w:id="12"/>
      <w:bookmarkEnd w:id="12"/>
      <w:r>
        <w:rPr/>
        <w:t>K</w:t>
      </w:r>
      <w:r>
        <w:rPr/>
        <w:t>URAMSAL BİLGİLER VE LİTERATÜR</w:t>
      </w:r>
      <w:r>
        <w:rPr>
          <w:spacing w:val="-2"/>
        </w:rPr>
        <w:t> </w:t>
      </w:r>
      <w:r>
        <w:rPr/>
        <w:t>TARAMASI</w:t>
      </w:r>
    </w:p>
    <w:p>
      <w:pPr>
        <w:pStyle w:val="BodyText"/>
        <w:rPr>
          <w:b/>
          <w:sz w:val="24"/>
        </w:rPr>
      </w:pPr>
    </w:p>
    <w:p>
      <w:pPr>
        <w:pStyle w:val="BodyText"/>
        <w:spacing w:before="11"/>
        <w:rPr>
          <w:b/>
          <w:sz w:val="33"/>
        </w:rPr>
      </w:pPr>
    </w:p>
    <w:p>
      <w:pPr>
        <w:pStyle w:val="Heading2"/>
        <w:numPr>
          <w:ilvl w:val="1"/>
          <w:numId w:val="2"/>
        </w:numPr>
        <w:tabs>
          <w:tab w:pos="958" w:val="left" w:leader="none"/>
        </w:tabs>
        <w:spacing w:line="240" w:lineRule="auto" w:before="0" w:after="0"/>
        <w:ind w:left="958" w:right="0" w:hanging="370"/>
        <w:jc w:val="left"/>
      </w:pPr>
      <w:bookmarkStart w:name="_bookmark10" w:id="13"/>
      <w:bookmarkEnd w:id="13"/>
      <w:r>
        <w:rPr>
          <w:b w:val="0"/>
        </w:rPr>
      </w:r>
      <w:bookmarkStart w:name="_bookmark10" w:id="14"/>
      <w:bookmarkEnd w:id="14"/>
      <w:r>
        <w:rPr/>
        <w:t>K</w:t>
      </w:r>
      <w:r>
        <w:rPr/>
        <w:t>olon ve Rektum</w:t>
      </w:r>
      <w:r>
        <w:rPr>
          <w:spacing w:val="-2"/>
        </w:rPr>
        <w:t> </w:t>
      </w:r>
      <w:r>
        <w:rPr/>
        <w:t>Anatomisi</w:t>
      </w:r>
    </w:p>
    <w:p>
      <w:pPr>
        <w:pStyle w:val="BodyText"/>
        <w:spacing w:before="7"/>
        <w:rPr>
          <w:b/>
          <w:sz w:val="21"/>
        </w:rPr>
      </w:pPr>
    </w:p>
    <w:p>
      <w:pPr>
        <w:pStyle w:val="BodyText"/>
        <w:spacing w:line="360" w:lineRule="auto"/>
        <w:ind w:left="588" w:right="287"/>
        <w:jc w:val="both"/>
      </w:pPr>
      <w:r>
        <w:rPr/>
        <w:t>Kolon ve rektum gastrointestinal sistemin parçalarıdır. Kolon ileoçekal valv ile başlayıp rektosigmoid köşeye kadar devam ederek rektum ile birleşir. Kolon sırasıyla çekum, ascendens (çıkan) kolon, transvers kolon, descendens (inen) kolon ve sigmoid kolon bölümlerinden oluşmaktadır. Çekum kolonun başlangıç kısmıdır. Yaklaşık 7,5 – 8,5 cm çap</w:t>
      </w:r>
      <w:r>
        <w:rPr>
          <w:spacing w:val="-15"/>
        </w:rPr>
        <w:t> </w:t>
      </w:r>
      <w:r>
        <w:rPr/>
        <w:t>ile</w:t>
      </w:r>
      <w:r>
        <w:rPr>
          <w:spacing w:val="-16"/>
        </w:rPr>
        <w:t> </w:t>
      </w:r>
      <w:r>
        <w:rPr/>
        <w:t>kolonun</w:t>
      </w:r>
      <w:r>
        <w:rPr>
          <w:spacing w:val="-14"/>
        </w:rPr>
        <w:t> </w:t>
      </w:r>
      <w:r>
        <w:rPr/>
        <w:t>en</w:t>
      </w:r>
      <w:r>
        <w:rPr>
          <w:spacing w:val="-17"/>
        </w:rPr>
        <w:t> </w:t>
      </w:r>
      <w:r>
        <w:rPr/>
        <w:t>geniş</w:t>
      </w:r>
      <w:r>
        <w:rPr>
          <w:spacing w:val="-18"/>
        </w:rPr>
        <w:t> </w:t>
      </w:r>
      <w:r>
        <w:rPr/>
        <w:t>bölgesidir.</w:t>
      </w:r>
      <w:r>
        <w:rPr>
          <w:spacing w:val="-15"/>
        </w:rPr>
        <w:t> </w:t>
      </w:r>
      <w:r>
        <w:rPr/>
        <w:t>İliak</w:t>
      </w:r>
      <w:r>
        <w:rPr>
          <w:spacing w:val="-13"/>
        </w:rPr>
        <w:t> </w:t>
      </w:r>
      <w:r>
        <w:rPr/>
        <w:t>kas,</w:t>
      </w:r>
      <w:r>
        <w:rPr>
          <w:spacing w:val="-13"/>
        </w:rPr>
        <w:t> </w:t>
      </w:r>
      <w:r>
        <w:rPr/>
        <w:t>psoas</w:t>
      </w:r>
      <w:r>
        <w:rPr>
          <w:spacing w:val="-16"/>
        </w:rPr>
        <w:t> </w:t>
      </w:r>
      <w:r>
        <w:rPr/>
        <w:t>kası</w:t>
      </w:r>
      <w:r>
        <w:rPr>
          <w:spacing w:val="-17"/>
        </w:rPr>
        <w:t> </w:t>
      </w:r>
      <w:r>
        <w:rPr/>
        <w:t>ve</w:t>
      </w:r>
      <w:r>
        <w:rPr>
          <w:spacing w:val="-14"/>
        </w:rPr>
        <w:t> </w:t>
      </w:r>
      <w:r>
        <w:rPr/>
        <w:t>lateral</w:t>
      </w:r>
      <w:r>
        <w:rPr>
          <w:spacing w:val="-18"/>
        </w:rPr>
        <w:t> </w:t>
      </w:r>
      <w:r>
        <w:rPr/>
        <w:t>kütenöz</w:t>
      </w:r>
      <w:r>
        <w:rPr>
          <w:spacing w:val="-19"/>
        </w:rPr>
        <w:t> </w:t>
      </w:r>
      <w:r>
        <w:rPr/>
        <w:t>sinirin</w:t>
      </w:r>
      <w:r>
        <w:rPr>
          <w:spacing w:val="-14"/>
        </w:rPr>
        <w:t> </w:t>
      </w:r>
      <w:r>
        <w:rPr/>
        <w:t>önünde bulunmaktadır. Çekumdan sonra devam eden ve yaklaşık 20 cm uzunluğunda olan ascendens kolon, karaciğerin sağ lobuna kadar uzanarak hepatik fleksurayı oluşturur. Transvers kolon, hepatik fleksuradan başlar ve batını sağdan sola yaklaşık 50 </w:t>
      </w:r>
      <w:r>
        <w:rPr>
          <w:spacing w:val="-3"/>
        </w:rPr>
        <w:t>cm </w:t>
      </w:r>
      <w:r>
        <w:rPr/>
        <w:t>uzunluğunda seyreder. Dalak hizasında splenik fleksurayı oluşturarak aşağı döner. descendens kolon, splenik fleksuradan iliak fossaya kadar devam eder ve uzunluğu 25 cm’</w:t>
      </w:r>
      <w:r>
        <w:rPr>
          <w:spacing w:val="-8"/>
        </w:rPr>
        <w:t> </w:t>
      </w:r>
      <w:r>
        <w:rPr/>
        <w:t>ye</w:t>
      </w:r>
      <w:r>
        <w:rPr>
          <w:spacing w:val="-10"/>
        </w:rPr>
        <w:t> </w:t>
      </w:r>
      <w:r>
        <w:rPr/>
        <w:t>kadar</w:t>
      </w:r>
      <w:r>
        <w:rPr>
          <w:spacing w:val="-8"/>
        </w:rPr>
        <w:t> </w:t>
      </w:r>
      <w:r>
        <w:rPr/>
        <w:t>ulaşabilir.</w:t>
      </w:r>
      <w:r>
        <w:rPr>
          <w:spacing w:val="-8"/>
        </w:rPr>
        <w:t> </w:t>
      </w:r>
      <w:r>
        <w:rPr/>
        <w:t>Descendens</w:t>
      </w:r>
      <w:r>
        <w:rPr>
          <w:spacing w:val="-9"/>
        </w:rPr>
        <w:t> </w:t>
      </w:r>
      <w:r>
        <w:rPr/>
        <w:t>kolonun</w:t>
      </w:r>
      <w:r>
        <w:rPr>
          <w:spacing w:val="-7"/>
        </w:rPr>
        <w:t> </w:t>
      </w:r>
      <w:r>
        <w:rPr/>
        <w:t>devamı</w:t>
      </w:r>
      <w:r>
        <w:rPr>
          <w:spacing w:val="-10"/>
        </w:rPr>
        <w:t> </w:t>
      </w:r>
      <w:r>
        <w:rPr/>
        <w:t>olan</w:t>
      </w:r>
      <w:r>
        <w:rPr>
          <w:spacing w:val="-7"/>
        </w:rPr>
        <w:t> </w:t>
      </w:r>
      <w:r>
        <w:rPr/>
        <w:t>sigmoid</w:t>
      </w:r>
      <w:r>
        <w:rPr>
          <w:spacing w:val="-12"/>
        </w:rPr>
        <w:t> </w:t>
      </w:r>
      <w:r>
        <w:rPr/>
        <w:t>kolon</w:t>
      </w:r>
      <w:r>
        <w:rPr>
          <w:spacing w:val="-7"/>
        </w:rPr>
        <w:t> </w:t>
      </w:r>
      <w:r>
        <w:rPr/>
        <w:t>S</w:t>
      </w:r>
      <w:r>
        <w:rPr>
          <w:spacing w:val="-13"/>
        </w:rPr>
        <w:t> </w:t>
      </w:r>
      <w:r>
        <w:rPr/>
        <w:t>şeklinde</w:t>
      </w:r>
      <w:r>
        <w:rPr>
          <w:spacing w:val="-9"/>
        </w:rPr>
        <w:t> </w:t>
      </w:r>
      <w:r>
        <w:rPr/>
        <w:t>olup kolonun en dar bölgesidir. Uzunluğu yaklaşık 40 cm’dir ve Rektosigmoid köşeden sonra rektum ile devam eder. Üreter, iliak arter, sakral pleksus, kadında uterus ve son olarak priformis kası ile komşudur. Rektum, 3. Sakral vertebra hizasından koksiksin </w:t>
      </w:r>
      <w:r>
        <w:rPr>
          <w:spacing w:val="2"/>
        </w:rPr>
        <w:t>2-3 </w:t>
      </w:r>
      <w:r>
        <w:rPr/>
        <w:t>cm altına</w:t>
      </w:r>
      <w:r>
        <w:rPr>
          <w:spacing w:val="-6"/>
        </w:rPr>
        <w:t> </w:t>
      </w:r>
      <w:r>
        <w:rPr/>
        <w:t>kadar</w:t>
      </w:r>
      <w:r>
        <w:rPr>
          <w:spacing w:val="-7"/>
        </w:rPr>
        <w:t> </w:t>
      </w:r>
      <w:r>
        <w:rPr/>
        <w:t>uzanır.</w:t>
      </w:r>
      <w:r>
        <w:rPr>
          <w:spacing w:val="-4"/>
        </w:rPr>
        <w:t> </w:t>
      </w:r>
      <w:r>
        <w:rPr/>
        <w:t>Kolonun</w:t>
      </w:r>
      <w:r>
        <w:rPr>
          <w:spacing w:val="-5"/>
        </w:rPr>
        <w:t> </w:t>
      </w:r>
      <w:r>
        <w:rPr/>
        <w:t>son</w:t>
      </w:r>
      <w:r>
        <w:rPr>
          <w:spacing w:val="-9"/>
        </w:rPr>
        <w:t> </w:t>
      </w:r>
      <w:r>
        <w:rPr/>
        <w:t>kısmıdır</w:t>
      </w:r>
      <w:r>
        <w:rPr>
          <w:spacing w:val="-4"/>
        </w:rPr>
        <w:t> </w:t>
      </w:r>
      <w:r>
        <w:rPr/>
        <w:t>ve</w:t>
      </w:r>
      <w:r>
        <w:rPr>
          <w:spacing w:val="-5"/>
        </w:rPr>
        <w:t> </w:t>
      </w:r>
      <w:r>
        <w:rPr/>
        <w:t>13-15</w:t>
      </w:r>
      <w:r>
        <w:rPr>
          <w:spacing w:val="-5"/>
        </w:rPr>
        <w:t> </w:t>
      </w:r>
      <w:r>
        <w:rPr/>
        <w:t>cm</w:t>
      </w:r>
      <w:r>
        <w:rPr>
          <w:spacing w:val="-7"/>
        </w:rPr>
        <w:t> </w:t>
      </w:r>
      <w:r>
        <w:rPr/>
        <w:t>uzunluğundadır.</w:t>
      </w:r>
      <w:r>
        <w:rPr>
          <w:spacing w:val="-4"/>
        </w:rPr>
        <w:t> </w:t>
      </w:r>
      <w:r>
        <w:rPr/>
        <w:t>Alt</w:t>
      </w:r>
      <w:r>
        <w:rPr>
          <w:spacing w:val="-8"/>
        </w:rPr>
        <w:t> </w:t>
      </w:r>
      <w:r>
        <w:rPr/>
        <w:t>kısmında</w:t>
      </w:r>
      <w:r>
        <w:rPr>
          <w:spacing w:val="-5"/>
        </w:rPr>
        <w:t> </w:t>
      </w:r>
      <w:r>
        <w:rPr/>
        <w:t>ise genişleyerek ampulla rektiyi meydana getirir ve anüsle son</w:t>
      </w:r>
      <w:r>
        <w:rPr>
          <w:spacing w:val="-1"/>
        </w:rPr>
        <w:t> </w:t>
      </w:r>
      <w:r>
        <w:rPr/>
        <w:t>bulur.</w:t>
      </w:r>
    </w:p>
    <w:p>
      <w:pPr>
        <w:spacing w:after="0" w:line="360" w:lineRule="auto"/>
        <w:jc w:val="both"/>
        <w:sectPr>
          <w:pgSz w:w="11910" w:h="16840"/>
          <w:pgMar w:header="749" w:footer="0" w:top="1320" w:bottom="280" w:left="1680" w:right="840"/>
        </w:sectPr>
      </w:pPr>
    </w:p>
    <w:p>
      <w:pPr>
        <w:pStyle w:val="BodyText"/>
        <w:spacing w:before="7"/>
        <w:rPr>
          <w:sz w:val="27"/>
        </w:rPr>
      </w:pPr>
    </w:p>
    <w:p>
      <w:pPr>
        <w:pStyle w:val="BodyText"/>
        <w:ind w:left="588"/>
        <w:rPr>
          <w:sz w:val="20"/>
        </w:rPr>
      </w:pPr>
      <w:r>
        <w:rPr>
          <w:sz w:val="20"/>
        </w:rPr>
        <w:drawing>
          <wp:inline distT="0" distB="0" distL="0" distR="0">
            <wp:extent cx="4982713" cy="2914935"/>
            <wp:effectExtent l="0" t="0" r="0" b="0"/>
            <wp:docPr id="9" name="image5.jpeg"/>
            <wp:cNvGraphicFramePr>
              <a:graphicFrameLocks noChangeAspect="1"/>
            </wp:cNvGraphicFramePr>
            <a:graphic>
              <a:graphicData uri="http://schemas.openxmlformats.org/drawingml/2006/picture">
                <pic:pic>
                  <pic:nvPicPr>
                    <pic:cNvPr id="10" name="image5.jpeg"/>
                    <pic:cNvPicPr/>
                  </pic:nvPicPr>
                  <pic:blipFill>
                    <a:blip r:embed="rId13" cstate="print"/>
                    <a:stretch>
                      <a:fillRect/>
                    </a:stretch>
                  </pic:blipFill>
                  <pic:spPr>
                    <a:xfrm>
                      <a:off x="0" y="0"/>
                      <a:ext cx="4982713" cy="2914935"/>
                    </a:xfrm>
                    <a:prstGeom prst="rect">
                      <a:avLst/>
                    </a:prstGeom>
                  </pic:spPr>
                </pic:pic>
              </a:graphicData>
            </a:graphic>
          </wp:inline>
        </w:drawing>
      </w:r>
      <w:r>
        <w:rPr>
          <w:sz w:val="20"/>
        </w:rPr>
      </w:r>
    </w:p>
    <w:p>
      <w:pPr>
        <w:pStyle w:val="BodyText"/>
        <w:spacing w:before="9"/>
        <w:rPr>
          <w:sz w:val="14"/>
        </w:rPr>
      </w:pPr>
    </w:p>
    <w:p>
      <w:pPr>
        <w:spacing w:before="93"/>
        <w:ind w:left="588" w:right="0" w:firstLine="0"/>
        <w:jc w:val="left"/>
        <w:rPr>
          <w:sz w:val="20"/>
        </w:rPr>
      </w:pPr>
      <w:r>
        <w:rPr>
          <w:b/>
          <w:sz w:val="20"/>
        </w:rPr>
        <w:t>Resim 2.1. </w:t>
      </w:r>
      <w:r>
        <w:rPr>
          <w:sz w:val="20"/>
        </w:rPr>
        <w:t>Kolon ve rektum anatomisi (Akın T 2009)</w:t>
      </w:r>
    </w:p>
    <w:p>
      <w:pPr>
        <w:pStyle w:val="BodyText"/>
      </w:pPr>
    </w:p>
    <w:p>
      <w:pPr>
        <w:pStyle w:val="BodyText"/>
      </w:pPr>
    </w:p>
    <w:p>
      <w:pPr>
        <w:pStyle w:val="BodyText"/>
        <w:spacing w:before="10"/>
        <w:rPr>
          <w:sz w:val="26"/>
        </w:rPr>
      </w:pPr>
    </w:p>
    <w:p>
      <w:pPr>
        <w:pStyle w:val="Heading2"/>
        <w:numPr>
          <w:ilvl w:val="1"/>
          <w:numId w:val="2"/>
        </w:numPr>
        <w:tabs>
          <w:tab w:pos="958" w:val="left" w:leader="none"/>
        </w:tabs>
        <w:spacing w:line="240" w:lineRule="auto" w:before="0" w:after="0"/>
        <w:ind w:left="957" w:right="0" w:hanging="370"/>
        <w:jc w:val="left"/>
      </w:pPr>
      <w:bookmarkStart w:name="_bookmark11" w:id="15"/>
      <w:bookmarkEnd w:id="15"/>
      <w:r>
        <w:rPr>
          <w:b w:val="0"/>
        </w:rPr>
      </w:r>
      <w:bookmarkStart w:name="_bookmark11" w:id="16"/>
      <w:bookmarkEnd w:id="16"/>
      <w:r>
        <w:rPr/>
        <w:t>K</w:t>
      </w:r>
      <w:r>
        <w:rPr/>
        <w:t>olorektal Cerrahi</w:t>
      </w:r>
      <w:r>
        <w:rPr>
          <w:spacing w:val="-2"/>
        </w:rPr>
        <w:t> </w:t>
      </w:r>
      <w:r>
        <w:rPr/>
        <w:t>Nedenleri</w:t>
      </w:r>
    </w:p>
    <w:p>
      <w:pPr>
        <w:pStyle w:val="BodyText"/>
        <w:spacing w:before="9"/>
        <w:rPr>
          <w:b/>
          <w:sz w:val="21"/>
        </w:rPr>
      </w:pPr>
    </w:p>
    <w:p>
      <w:pPr>
        <w:pStyle w:val="BodyText"/>
        <w:spacing w:line="360" w:lineRule="auto"/>
        <w:ind w:left="588" w:right="293" w:firstLine="708"/>
        <w:jc w:val="both"/>
      </w:pPr>
      <w:r>
        <w:rPr/>
        <w:t>Kolorektal cerrahiler genellikle ulseratif kolit, Crohn’s hastalığı, tekrarlayan divertikülit, mekanik bağırsak tıkanıklıkları ve kolorektal kanserler nedeniyle yapılmaktadır.</w:t>
      </w:r>
      <w:r>
        <w:rPr>
          <w:spacing w:val="-4"/>
        </w:rPr>
        <w:t> </w:t>
      </w:r>
      <w:r>
        <w:rPr/>
        <w:t>Ayrıca</w:t>
      </w:r>
      <w:r>
        <w:rPr>
          <w:spacing w:val="-6"/>
        </w:rPr>
        <w:t> </w:t>
      </w:r>
      <w:r>
        <w:rPr/>
        <w:t>travma,</w:t>
      </w:r>
      <w:r>
        <w:rPr>
          <w:spacing w:val="-6"/>
        </w:rPr>
        <w:t> </w:t>
      </w:r>
      <w:r>
        <w:rPr/>
        <w:t>rektal</w:t>
      </w:r>
      <w:r>
        <w:rPr>
          <w:spacing w:val="-9"/>
        </w:rPr>
        <w:t> </w:t>
      </w:r>
      <w:r>
        <w:rPr/>
        <w:t>prolaps,</w:t>
      </w:r>
      <w:r>
        <w:rPr>
          <w:spacing w:val="-3"/>
        </w:rPr>
        <w:t> </w:t>
      </w:r>
      <w:r>
        <w:rPr/>
        <w:t>iskemi</w:t>
      </w:r>
      <w:r>
        <w:rPr>
          <w:spacing w:val="-6"/>
        </w:rPr>
        <w:t> </w:t>
      </w:r>
      <w:r>
        <w:rPr/>
        <w:t>ve</w:t>
      </w:r>
      <w:r>
        <w:rPr>
          <w:spacing w:val="-5"/>
        </w:rPr>
        <w:t> </w:t>
      </w:r>
      <w:r>
        <w:rPr/>
        <w:t>proktolojik</w:t>
      </w:r>
      <w:r>
        <w:rPr>
          <w:spacing w:val="-5"/>
        </w:rPr>
        <w:t> </w:t>
      </w:r>
      <w:r>
        <w:rPr/>
        <w:t>bozukluklar</w:t>
      </w:r>
      <w:r>
        <w:rPr>
          <w:spacing w:val="-7"/>
        </w:rPr>
        <w:t> </w:t>
      </w:r>
      <w:r>
        <w:rPr/>
        <w:t>nedeniyle de küçük kolon ve rektum rezeksiyonları yapılabilir. Ancak kolorektal cerrahilerin en sık karşılaşılan nedeni kolorektal kanserlerdir (Kirchhoff Clavien ve Hahnloser</w:t>
      </w:r>
      <w:r>
        <w:rPr>
          <w:spacing w:val="-10"/>
        </w:rPr>
        <w:t> </w:t>
      </w:r>
      <w:r>
        <w:rPr/>
        <w:t>2010).</w:t>
      </w:r>
    </w:p>
    <w:p>
      <w:pPr>
        <w:pStyle w:val="BodyText"/>
        <w:rPr>
          <w:sz w:val="24"/>
        </w:rPr>
      </w:pPr>
    </w:p>
    <w:p>
      <w:pPr>
        <w:pStyle w:val="BodyText"/>
        <w:rPr>
          <w:sz w:val="24"/>
        </w:rPr>
      </w:pPr>
    </w:p>
    <w:p>
      <w:pPr>
        <w:pStyle w:val="Heading2"/>
        <w:numPr>
          <w:ilvl w:val="1"/>
          <w:numId w:val="2"/>
        </w:numPr>
        <w:tabs>
          <w:tab w:pos="958" w:val="left" w:leader="none"/>
        </w:tabs>
        <w:spacing w:line="240" w:lineRule="auto" w:before="146" w:after="0"/>
        <w:ind w:left="958" w:right="0" w:hanging="370"/>
        <w:jc w:val="left"/>
      </w:pPr>
      <w:bookmarkStart w:name="_bookmark12" w:id="17"/>
      <w:bookmarkEnd w:id="17"/>
      <w:r>
        <w:rPr>
          <w:b w:val="0"/>
        </w:rPr>
      </w:r>
      <w:bookmarkStart w:name="_bookmark12" w:id="18"/>
      <w:bookmarkEnd w:id="18"/>
      <w:r>
        <w:rPr/>
        <w:t>K</w:t>
      </w:r>
      <w:r>
        <w:rPr/>
        <w:t>olorektal</w:t>
      </w:r>
      <w:r>
        <w:rPr>
          <w:spacing w:val="1"/>
        </w:rPr>
        <w:t> </w:t>
      </w:r>
      <w:r>
        <w:rPr/>
        <w:t>Kanserler</w:t>
      </w:r>
    </w:p>
    <w:p>
      <w:pPr>
        <w:pStyle w:val="BodyText"/>
        <w:spacing w:before="7"/>
        <w:rPr>
          <w:b/>
          <w:sz w:val="21"/>
        </w:rPr>
      </w:pPr>
    </w:p>
    <w:p>
      <w:pPr>
        <w:pStyle w:val="BodyText"/>
        <w:spacing w:line="360" w:lineRule="auto"/>
        <w:ind w:left="588" w:right="291" w:firstLine="708"/>
        <w:jc w:val="both"/>
      </w:pPr>
      <w:r>
        <w:rPr/>
        <w:t>Kolorektal kanserler, dünya üzerinde yılda bir milyondan fazla insana teşhis konmasıyla en sık karşılaşılan kanserdir. Ayrıca en yaygın gastrointestinal sistem kanseridir. 2014 sağlık bakanlığı verilerine göre ülkemizde kanser görülme sıklığı göz önüne alındığında kolorektal kanserler kadın ve erkeklerde üçüncü sırada yer almaktadır. Gelişmiş teşhis ve tedavi yöntemlerine rağmen, kolorektal kanserler dünya üzerinde kansere bağlı ölümlerin ana nedenlerinden biri olmaya devam etmektedir.</w:t>
      </w:r>
    </w:p>
    <w:p>
      <w:pPr>
        <w:pStyle w:val="BodyText"/>
        <w:spacing w:line="357" w:lineRule="auto" w:before="160"/>
        <w:ind w:left="588" w:right="291" w:firstLine="708"/>
        <w:jc w:val="both"/>
      </w:pPr>
      <w:r>
        <w:rPr/>
        <w:t>Kolorektal</w:t>
      </w:r>
      <w:r>
        <w:rPr>
          <w:spacing w:val="-14"/>
        </w:rPr>
        <w:t> </w:t>
      </w:r>
      <w:r>
        <w:rPr/>
        <w:t>kanserlerde</w:t>
      </w:r>
      <w:r>
        <w:rPr>
          <w:spacing w:val="-12"/>
        </w:rPr>
        <w:t> </w:t>
      </w:r>
      <w:r>
        <w:rPr/>
        <w:t>primer</w:t>
      </w:r>
      <w:r>
        <w:rPr>
          <w:spacing w:val="-12"/>
        </w:rPr>
        <w:t> </w:t>
      </w:r>
      <w:r>
        <w:rPr/>
        <w:t>tedavi</w:t>
      </w:r>
      <w:r>
        <w:rPr>
          <w:spacing w:val="-10"/>
        </w:rPr>
        <w:t> </w:t>
      </w:r>
      <w:r>
        <w:rPr/>
        <w:t>yöntemi</w:t>
      </w:r>
      <w:r>
        <w:rPr>
          <w:spacing w:val="-10"/>
        </w:rPr>
        <w:t> </w:t>
      </w:r>
      <w:r>
        <w:rPr/>
        <w:t>cerrahidir.</w:t>
      </w:r>
      <w:r>
        <w:rPr>
          <w:spacing w:val="-9"/>
        </w:rPr>
        <w:t> </w:t>
      </w:r>
      <w:r>
        <w:rPr/>
        <w:t>Cerrahide</w:t>
      </w:r>
      <w:r>
        <w:rPr>
          <w:spacing w:val="-10"/>
        </w:rPr>
        <w:t> </w:t>
      </w:r>
      <w:r>
        <w:rPr/>
        <w:t>iyileşme</w:t>
      </w:r>
      <w:r>
        <w:rPr>
          <w:spacing w:val="-12"/>
        </w:rPr>
        <w:t> </w:t>
      </w:r>
      <w:r>
        <w:rPr/>
        <w:t>oranı oldukça</w:t>
      </w:r>
      <w:r>
        <w:rPr>
          <w:spacing w:val="-15"/>
        </w:rPr>
        <w:t> </w:t>
      </w:r>
      <w:r>
        <w:rPr/>
        <w:t>yüksektir.</w:t>
      </w:r>
      <w:r>
        <w:rPr>
          <w:spacing w:val="-16"/>
        </w:rPr>
        <w:t> </w:t>
      </w:r>
      <w:r>
        <w:rPr/>
        <w:t>Cerrahi</w:t>
      </w:r>
      <w:r>
        <w:rPr>
          <w:spacing w:val="-16"/>
        </w:rPr>
        <w:t> </w:t>
      </w:r>
      <w:r>
        <w:rPr/>
        <w:t>ile</w:t>
      </w:r>
      <w:r>
        <w:rPr>
          <w:spacing w:val="-14"/>
        </w:rPr>
        <w:t> </w:t>
      </w:r>
      <w:r>
        <w:rPr/>
        <w:t>birlikte</w:t>
      </w:r>
      <w:r>
        <w:rPr>
          <w:spacing w:val="-14"/>
        </w:rPr>
        <w:t> </w:t>
      </w:r>
      <w:r>
        <w:rPr/>
        <w:t>kemoterapi</w:t>
      </w:r>
      <w:r>
        <w:rPr>
          <w:spacing w:val="-16"/>
        </w:rPr>
        <w:t> </w:t>
      </w:r>
      <w:r>
        <w:rPr/>
        <w:t>ve</w:t>
      </w:r>
      <w:r>
        <w:rPr>
          <w:spacing w:val="-14"/>
        </w:rPr>
        <w:t> </w:t>
      </w:r>
      <w:r>
        <w:rPr/>
        <w:t>radyoterapi</w:t>
      </w:r>
      <w:r>
        <w:rPr>
          <w:spacing w:val="-14"/>
        </w:rPr>
        <w:t> </w:t>
      </w:r>
      <w:r>
        <w:rPr/>
        <w:t>destekleyici</w:t>
      </w:r>
      <w:r>
        <w:rPr>
          <w:spacing w:val="-15"/>
        </w:rPr>
        <w:t> </w:t>
      </w:r>
      <w:r>
        <w:rPr/>
        <w:t>tedavi</w:t>
      </w:r>
      <w:r>
        <w:rPr>
          <w:spacing w:val="-15"/>
        </w:rPr>
        <w:t> </w:t>
      </w:r>
      <w:r>
        <w:rPr/>
        <w:t>olarak uygulanmaktadır.</w:t>
      </w:r>
    </w:p>
    <w:p>
      <w:pPr>
        <w:spacing w:after="0" w:line="357" w:lineRule="auto"/>
        <w:jc w:val="both"/>
        <w:sectPr>
          <w:pgSz w:w="11910" w:h="16840"/>
          <w:pgMar w:header="749" w:footer="0" w:top="1320" w:bottom="280" w:left="1680" w:right="840"/>
        </w:sectPr>
      </w:pPr>
    </w:p>
    <w:p>
      <w:pPr>
        <w:pStyle w:val="Heading2"/>
        <w:numPr>
          <w:ilvl w:val="1"/>
          <w:numId w:val="2"/>
        </w:numPr>
        <w:tabs>
          <w:tab w:pos="958" w:val="left" w:leader="none"/>
        </w:tabs>
        <w:spacing w:line="240" w:lineRule="auto" w:before="86" w:after="0"/>
        <w:ind w:left="958" w:right="0" w:hanging="370"/>
        <w:jc w:val="left"/>
      </w:pPr>
      <w:bookmarkStart w:name="_bookmark13" w:id="19"/>
      <w:bookmarkEnd w:id="19"/>
      <w:r>
        <w:rPr>
          <w:b w:val="0"/>
        </w:rPr>
      </w:r>
      <w:bookmarkStart w:name="_bookmark13" w:id="20"/>
      <w:bookmarkEnd w:id="20"/>
      <w:r>
        <w:rPr/>
        <w:t>K</w:t>
      </w:r>
      <w:r>
        <w:rPr/>
        <w:t>olorektal Cerrahide Ameliyat</w:t>
      </w:r>
      <w:r>
        <w:rPr>
          <w:spacing w:val="5"/>
        </w:rPr>
        <w:t> </w:t>
      </w:r>
      <w:r>
        <w:rPr/>
        <w:t>Teknikleri</w:t>
      </w:r>
    </w:p>
    <w:p>
      <w:pPr>
        <w:pStyle w:val="BodyText"/>
        <w:spacing w:before="7"/>
        <w:rPr>
          <w:b/>
          <w:sz w:val="21"/>
        </w:rPr>
      </w:pPr>
    </w:p>
    <w:p>
      <w:pPr>
        <w:pStyle w:val="BodyText"/>
        <w:spacing w:line="360" w:lineRule="auto"/>
        <w:ind w:left="588" w:right="290" w:firstLine="708"/>
        <w:jc w:val="both"/>
      </w:pPr>
      <w:r>
        <w:rPr/>
        <w:t>Kolorektal kanserlerin rezeksiyon cerrahilerinde amaç, yeterli proksimal ve distal sınırlar bırakılacak şekilde bölgesel lenf nodları ile beraber dokunun bir bölümü ve tümörün bir bütün olarak rezekte edilmesidir. Tümörün yerleşim yerine göre cerrahi teknik de değişmektedir.</w:t>
      </w:r>
    </w:p>
    <w:p>
      <w:pPr>
        <w:pStyle w:val="BodyText"/>
        <w:spacing w:before="157"/>
        <w:ind w:left="1296"/>
        <w:jc w:val="both"/>
      </w:pPr>
      <w:r>
        <w:rPr/>
        <w:t>Kolon yerleşimli tümörlerde uygulanan cerrahi rezeksiyon çeşitleri şu şekildedir;</w:t>
      </w:r>
    </w:p>
    <w:p>
      <w:pPr>
        <w:pStyle w:val="BodyText"/>
        <w:spacing w:before="2"/>
        <w:rPr>
          <w:sz w:val="25"/>
        </w:rPr>
      </w:pPr>
    </w:p>
    <w:p>
      <w:pPr>
        <w:pStyle w:val="BodyText"/>
        <w:spacing w:line="360" w:lineRule="auto"/>
        <w:ind w:left="588" w:right="288" w:firstLine="708"/>
        <w:jc w:val="both"/>
      </w:pPr>
      <w:r>
        <w:rPr>
          <w:i/>
        </w:rPr>
        <w:t>Sağ hemikolektomi: </w:t>
      </w:r>
      <w:r>
        <w:rPr/>
        <w:t>Sağ kolonda (Çekum, çıkan kolon, hepatik fleksura ve transvers kolonun proksimal yarısı) yerleşimli tümörlerde uygulanan cerrahi tekniktir. İleokolik</w:t>
      </w:r>
      <w:r>
        <w:rPr>
          <w:spacing w:val="-6"/>
        </w:rPr>
        <w:t> </w:t>
      </w:r>
      <w:r>
        <w:rPr/>
        <w:t>arter,</w:t>
      </w:r>
      <w:r>
        <w:rPr>
          <w:spacing w:val="-6"/>
        </w:rPr>
        <w:t> </w:t>
      </w:r>
      <w:r>
        <w:rPr/>
        <w:t>sağ</w:t>
      </w:r>
      <w:r>
        <w:rPr>
          <w:spacing w:val="-10"/>
        </w:rPr>
        <w:t> </w:t>
      </w:r>
      <w:r>
        <w:rPr/>
        <w:t>kolik</w:t>
      </w:r>
      <w:r>
        <w:rPr>
          <w:spacing w:val="-6"/>
        </w:rPr>
        <w:t> </w:t>
      </w:r>
      <w:r>
        <w:rPr/>
        <w:t>arter</w:t>
      </w:r>
      <w:r>
        <w:rPr>
          <w:spacing w:val="-9"/>
        </w:rPr>
        <w:t> </w:t>
      </w:r>
      <w:r>
        <w:rPr/>
        <w:t>ve</w:t>
      </w:r>
      <w:r>
        <w:rPr>
          <w:spacing w:val="-7"/>
        </w:rPr>
        <w:t> </w:t>
      </w:r>
      <w:r>
        <w:rPr/>
        <w:t>orta</w:t>
      </w:r>
      <w:r>
        <w:rPr>
          <w:spacing w:val="-10"/>
        </w:rPr>
        <w:t> </w:t>
      </w:r>
      <w:r>
        <w:rPr/>
        <w:t>kolik</w:t>
      </w:r>
      <w:r>
        <w:rPr>
          <w:spacing w:val="-5"/>
        </w:rPr>
        <w:t> </w:t>
      </w:r>
      <w:r>
        <w:rPr/>
        <w:t>arterin</w:t>
      </w:r>
      <w:r>
        <w:rPr>
          <w:spacing w:val="-8"/>
        </w:rPr>
        <w:t> </w:t>
      </w:r>
      <w:r>
        <w:rPr/>
        <w:t>sağ</w:t>
      </w:r>
      <w:r>
        <w:rPr>
          <w:spacing w:val="-5"/>
        </w:rPr>
        <w:t> </w:t>
      </w:r>
      <w:r>
        <w:rPr/>
        <w:t>dalı</w:t>
      </w:r>
      <w:r>
        <w:rPr>
          <w:spacing w:val="-11"/>
        </w:rPr>
        <w:t> </w:t>
      </w:r>
      <w:r>
        <w:rPr/>
        <w:t>boyunca</w:t>
      </w:r>
      <w:r>
        <w:rPr>
          <w:spacing w:val="-7"/>
        </w:rPr>
        <w:t> </w:t>
      </w:r>
      <w:r>
        <w:rPr/>
        <w:t>uzanan</w:t>
      </w:r>
      <w:r>
        <w:rPr>
          <w:spacing w:val="-3"/>
        </w:rPr>
        <w:t> </w:t>
      </w:r>
      <w:r>
        <w:rPr/>
        <w:t>lenf</w:t>
      </w:r>
      <w:r>
        <w:rPr>
          <w:spacing w:val="-4"/>
        </w:rPr>
        <w:t> </w:t>
      </w:r>
      <w:r>
        <w:rPr/>
        <w:t>nodlarını içine alacak şekilde ileumun son 10-15 cm’lik kısmı</w:t>
      </w:r>
      <w:r>
        <w:rPr>
          <w:spacing w:val="-11"/>
        </w:rPr>
        <w:t> </w:t>
      </w:r>
      <w:r>
        <w:rPr/>
        <w:t>çıkarılmaktadır.</w:t>
      </w:r>
    </w:p>
    <w:p>
      <w:pPr>
        <w:pStyle w:val="BodyText"/>
        <w:spacing w:line="357" w:lineRule="auto" w:before="161"/>
        <w:ind w:left="588" w:right="292" w:firstLine="708"/>
        <w:jc w:val="both"/>
      </w:pPr>
      <w:r>
        <w:rPr>
          <w:i/>
        </w:rPr>
        <w:t>Transvers kolektomi: </w:t>
      </w:r>
      <w:r>
        <w:rPr/>
        <w:t>Transvers kolonun ortasında yerleşen tümörleri çıkarmak için kullanılan cerrahi tekniktir. Tüm transvers kolon ile birlikte orta kolik arter, sol kolik arterin çıkan dalı ve sağ kolik arter çıkarılmaktadır.</w:t>
      </w:r>
    </w:p>
    <w:p>
      <w:pPr>
        <w:pStyle w:val="BodyText"/>
        <w:spacing w:line="357" w:lineRule="auto" w:before="167"/>
        <w:ind w:left="588" w:right="288" w:firstLine="708"/>
        <w:jc w:val="both"/>
      </w:pPr>
      <w:r>
        <w:rPr>
          <w:i/>
        </w:rPr>
        <w:t>Sol hemikolektomi: </w:t>
      </w:r>
      <w:r>
        <w:rPr/>
        <w:t>Distal transvers kolon, splenik fleksure ve inen kolon tümörlerinde uygulanan cerrahi tekniktir. Sol kolik arter veya inferior mezenterik arter boyunca mezenterle beraber uygulanmaktadır.</w:t>
      </w:r>
    </w:p>
    <w:p>
      <w:pPr>
        <w:pStyle w:val="BodyText"/>
        <w:spacing w:line="357" w:lineRule="auto" w:before="168"/>
        <w:ind w:left="588" w:right="290" w:firstLine="708"/>
        <w:jc w:val="both"/>
      </w:pPr>
      <w:r>
        <w:rPr>
          <w:i/>
        </w:rPr>
        <w:t>Sigmoid Kolektomi: </w:t>
      </w:r>
      <w:r>
        <w:rPr/>
        <w:t>Sigmoid kolon kanserlerinde uygulanmaktadır. Sigmoid kolektomi yerine sol hemikolektomi işlemi de uygulanabilmektedir. İnferior mezenterik arterden çıkan sigmoid arter dalları bağlanarak çıkarılmaktadır.</w:t>
      </w:r>
    </w:p>
    <w:p>
      <w:pPr>
        <w:pStyle w:val="BodyText"/>
        <w:spacing w:line="360" w:lineRule="auto" w:before="168"/>
        <w:ind w:left="588" w:right="287" w:firstLine="708"/>
        <w:jc w:val="both"/>
      </w:pPr>
      <w:r>
        <w:rPr>
          <w:i/>
        </w:rPr>
        <w:t>Subtotal veya total kolektomi: </w:t>
      </w:r>
      <w:r>
        <w:rPr/>
        <w:t>Sağ ve sol kolonda beraber lokalize olmuş tümörlerde, daha önce geçirilen kolon rezeksiyonu durumunda, distal kolonda obstrüksiyon yapan tümörlerde ve teknik olarak daha kısıtlı bir rezeksiyon yapmanın mümkün olmadığı durumlarda kullanılan cerrahi tekniktir.</w:t>
      </w:r>
    </w:p>
    <w:p>
      <w:pPr>
        <w:pStyle w:val="BodyText"/>
        <w:spacing w:before="157"/>
        <w:ind w:left="1296"/>
        <w:jc w:val="both"/>
      </w:pPr>
      <w:r>
        <w:rPr/>
        <w:t>Rektum yerleşimli tümörlerde ise cerrahi rezeksiyon çeşitleri şu şekildedir;</w:t>
      </w:r>
    </w:p>
    <w:p>
      <w:pPr>
        <w:pStyle w:val="BodyText"/>
        <w:spacing w:before="2"/>
        <w:rPr>
          <w:sz w:val="25"/>
        </w:rPr>
      </w:pPr>
    </w:p>
    <w:p>
      <w:pPr>
        <w:pStyle w:val="BodyText"/>
        <w:spacing w:line="360" w:lineRule="auto"/>
        <w:ind w:left="588" w:right="287" w:firstLine="708"/>
        <w:jc w:val="both"/>
      </w:pPr>
      <w:r>
        <w:rPr>
          <w:i/>
        </w:rPr>
        <w:t>Anterior rezeksiyon ve low anterior rezeksiyon: </w:t>
      </w:r>
      <w:r>
        <w:rPr/>
        <w:t>Rektumun yapısı ve tümörün lokalizasyonu cerrahi yöntemi belirlemede önemli bir role sahiptir. Rektumun proksimal 1/3 üst bölümünde ve rektosigmoid köşede bulunan tümörlerde anterior rezeksiyon kullanılmaktadır. Rektumun 1/3 orta kısmında yerleşimli tümörlerde ise low anterior rezeksiyon cerrahisi uygulanmaktadır. Low anterior rezeksiyonda yapılan anatomozda sfinkter korunmaktadır.</w:t>
      </w:r>
    </w:p>
    <w:p>
      <w:pPr>
        <w:pStyle w:val="BodyText"/>
        <w:spacing w:line="360" w:lineRule="auto" w:before="160"/>
        <w:ind w:left="588" w:right="290" w:firstLine="708"/>
        <w:jc w:val="both"/>
      </w:pPr>
      <w:r>
        <w:rPr>
          <w:i/>
        </w:rPr>
        <w:t>Abdominoperineal rezeksiyon (Miles ameliyatı): </w:t>
      </w:r>
      <w:r>
        <w:rPr/>
        <w:t>Rektumun 1/3 alt kısmında bulunan</w:t>
      </w:r>
      <w:r>
        <w:rPr>
          <w:spacing w:val="-11"/>
        </w:rPr>
        <w:t> </w:t>
      </w:r>
      <w:r>
        <w:rPr/>
        <w:t>tümörlere</w:t>
      </w:r>
      <w:r>
        <w:rPr>
          <w:spacing w:val="-16"/>
        </w:rPr>
        <w:t> </w:t>
      </w:r>
      <w:r>
        <w:rPr/>
        <w:t>müdehale</w:t>
      </w:r>
      <w:r>
        <w:rPr>
          <w:spacing w:val="-11"/>
        </w:rPr>
        <w:t> </w:t>
      </w:r>
      <w:r>
        <w:rPr/>
        <w:t>etmek</w:t>
      </w:r>
      <w:r>
        <w:rPr>
          <w:spacing w:val="-10"/>
        </w:rPr>
        <w:t> </w:t>
      </w:r>
      <w:r>
        <w:rPr/>
        <w:t>için</w:t>
      </w:r>
      <w:r>
        <w:rPr>
          <w:spacing w:val="-13"/>
        </w:rPr>
        <w:t> </w:t>
      </w:r>
      <w:r>
        <w:rPr/>
        <w:t>kullanılan</w:t>
      </w:r>
      <w:r>
        <w:rPr>
          <w:spacing w:val="-9"/>
        </w:rPr>
        <w:t> </w:t>
      </w:r>
      <w:r>
        <w:rPr/>
        <w:t>cerrahi</w:t>
      </w:r>
      <w:r>
        <w:rPr>
          <w:spacing w:val="-13"/>
        </w:rPr>
        <w:t> </w:t>
      </w:r>
      <w:r>
        <w:rPr/>
        <w:t>çeşididir.</w:t>
      </w:r>
      <w:r>
        <w:rPr>
          <w:spacing w:val="-12"/>
        </w:rPr>
        <w:t> </w:t>
      </w:r>
      <w:r>
        <w:rPr/>
        <w:t>Bu</w:t>
      </w:r>
      <w:r>
        <w:rPr>
          <w:spacing w:val="-13"/>
        </w:rPr>
        <w:t> </w:t>
      </w:r>
      <w:r>
        <w:rPr/>
        <w:t>cerrahide</w:t>
      </w:r>
      <w:r>
        <w:rPr>
          <w:spacing w:val="-11"/>
        </w:rPr>
        <w:t> </w:t>
      </w:r>
      <w:r>
        <w:rPr/>
        <w:t>sfinkter korunmaz ve inen kolon sol iliak bölgeye kalıcı kolostomi olarak ağızlaştırılır.</w:t>
      </w:r>
      <w:r>
        <w:rPr>
          <w:spacing w:val="-27"/>
        </w:rPr>
        <w:t> </w:t>
      </w:r>
      <w:r>
        <w:rPr/>
        <w:t>Miles</w:t>
      </w:r>
    </w:p>
    <w:p>
      <w:pPr>
        <w:spacing w:after="0" w:line="360" w:lineRule="auto"/>
        <w:jc w:val="both"/>
        <w:sectPr>
          <w:pgSz w:w="11910" w:h="16840"/>
          <w:pgMar w:header="749" w:footer="0" w:top="1320" w:bottom="280" w:left="1680" w:right="840"/>
        </w:sectPr>
      </w:pPr>
    </w:p>
    <w:p>
      <w:pPr>
        <w:pStyle w:val="BodyText"/>
        <w:spacing w:line="357" w:lineRule="auto" w:before="88"/>
        <w:ind w:left="588" w:right="294"/>
        <w:jc w:val="both"/>
      </w:pPr>
      <w:r>
        <w:rPr/>
        <w:t>ameliyatı şişmanlık, dar pelvis, anal sfinkter bozukluğu, doğrudan sfinkterleri tutan tümörler gibi durumlara uygun tedavi yöntemidir.</w:t>
      </w:r>
    </w:p>
    <w:p>
      <w:pPr>
        <w:pStyle w:val="BodyText"/>
        <w:spacing w:line="360" w:lineRule="auto" w:before="166"/>
        <w:ind w:left="588" w:right="288" w:firstLine="708"/>
        <w:jc w:val="both"/>
      </w:pPr>
      <w:r>
        <w:rPr>
          <w:i/>
        </w:rPr>
        <w:t>Abdominosakral rezeksiyon: </w:t>
      </w:r>
      <w:r>
        <w:rPr/>
        <w:t>Rektum kanserlerinde lokal nüks yüksek oranda görülebilmektedir. Eğer nüks posteriora doğru oluştuysa sakrektomi yapılabilmektedir. Sakrum rezeksiyonların seviyesi morbidite etkilemesi açısından önemli bir role sahiptir. O</w:t>
      </w:r>
      <w:r>
        <w:rPr>
          <w:spacing w:val="-13"/>
        </w:rPr>
        <w:t> </w:t>
      </w:r>
      <w:r>
        <w:rPr/>
        <w:t>yüzden</w:t>
      </w:r>
      <w:r>
        <w:rPr>
          <w:spacing w:val="-14"/>
        </w:rPr>
        <w:t> </w:t>
      </w:r>
      <w:r>
        <w:rPr/>
        <w:t>sakral</w:t>
      </w:r>
      <w:r>
        <w:rPr>
          <w:spacing w:val="-17"/>
        </w:rPr>
        <w:t> </w:t>
      </w:r>
      <w:r>
        <w:rPr/>
        <w:t>rezeksiyonlar</w:t>
      </w:r>
      <w:r>
        <w:rPr>
          <w:spacing w:val="-13"/>
        </w:rPr>
        <w:t> </w:t>
      </w:r>
      <w:r>
        <w:rPr/>
        <w:t>genellikle</w:t>
      </w:r>
      <w:r>
        <w:rPr>
          <w:spacing w:val="-14"/>
        </w:rPr>
        <w:t> </w:t>
      </w:r>
      <w:r>
        <w:rPr/>
        <w:t>ikinci</w:t>
      </w:r>
      <w:r>
        <w:rPr>
          <w:spacing w:val="-14"/>
        </w:rPr>
        <w:t> </w:t>
      </w:r>
      <w:r>
        <w:rPr/>
        <w:t>sakral</w:t>
      </w:r>
      <w:r>
        <w:rPr>
          <w:spacing w:val="-15"/>
        </w:rPr>
        <w:t> </w:t>
      </w:r>
      <w:r>
        <w:rPr/>
        <w:t>vertebranın</w:t>
      </w:r>
      <w:r>
        <w:rPr>
          <w:spacing w:val="-14"/>
        </w:rPr>
        <w:t> </w:t>
      </w:r>
      <w:r>
        <w:rPr/>
        <w:t>altından</w:t>
      </w:r>
      <w:r>
        <w:rPr>
          <w:spacing w:val="-12"/>
        </w:rPr>
        <w:t> </w:t>
      </w:r>
      <w:r>
        <w:rPr/>
        <w:t>yapılmaktadır. Bu cerrahide duramaterin açılma riski ve pelvis ile omurga stabilizasyon bozuklukları meydana</w:t>
      </w:r>
      <w:r>
        <w:rPr>
          <w:spacing w:val="-1"/>
        </w:rPr>
        <w:t> </w:t>
      </w:r>
      <w:r>
        <w:rPr/>
        <w:t>gelebilmektedir.</w:t>
      </w:r>
    </w:p>
    <w:p>
      <w:pPr>
        <w:pStyle w:val="BodyText"/>
        <w:spacing w:line="360" w:lineRule="auto" w:before="159"/>
        <w:ind w:left="588" w:right="288" w:firstLine="708"/>
        <w:jc w:val="both"/>
      </w:pPr>
      <w:r>
        <w:rPr>
          <w:i/>
        </w:rPr>
        <w:t>Hartmann’s tekniği: </w:t>
      </w:r>
      <w:r>
        <w:rPr/>
        <w:t>Hartmann prosedürü 1921 yılında Fransız cerrah Henry hartman tarafından distal sigmoid kolon ve rektum kanserlerinde kullanılmak üzere tanımlanmıştır. Sigmoid kolon çıkarılmasının ardından sol iliak fossadan yapılan kolostomi ile rektum güdüğünün kapatılmasından ibarettir. Bu ameliyat özellikle sigmoid kolonun obstrüktif lezyonları için geliştirilmiştir.</w:t>
      </w:r>
    </w:p>
    <w:p>
      <w:pPr>
        <w:spacing w:line="360" w:lineRule="auto" w:before="160"/>
        <w:ind w:left="588" w:right="289" w:firstLine="708"/>
        <w:jc w:val="both"/>
        <w:rPr>
          <w:sz w:val="22"/>
        </w:rPr>
      </w:pPr>
      <w:r>
        <w:rPr>
          <w:sz w:val="22"/>
        </w:rPr>
        <w:t>Bu tekniklerin dışında “ </w:t>
      </w:r>
      <w:r>
        <w:rPr>
          <w:i/>
          <w:sz w:val="22"/>
        </w:rPr>
        <w:t>restoratif proktokolektomi ile ileal poş/anal anastomoz, </w:t>
      </w:r>
      <w:r>
        <w:rPr>
          <w:i/>
          <w:sz w:val="22"/>
        </w:rPr>
        <w:t>total proktokolektomi ile uç ileostomi ve pelvik ekzentrasyon” </w:t>
      </w:r>
      <w:r>
        <w:rPr>
          <w:sz w:val="22"/>
        </w:rPr>
        <w:t>gibi teknikler de kolorektal kanser tedavisinde tercih edilen cerrahi yöntemlerdendir (Celik ve Yılmaz 2018).</w:t>
      </w:r>
    </w:p>
    <w:p>
      <w:pPr>
        <w:pStyle w:val="BodyText"/>
        <w:spacing w:line="360" w:lineRule="auto" w:before="160"/>
        <w:ind w:left="588" w:right="289" w:firstLine="708"/>
        <w:jc w:val="both"/>
      </w:pPr>
      <w:r>
        <w:rPr>
          <w:i/>
        </w:rPr>
        <w:t>Stoma açılması: </w:t>
      </w:r>
      <w:r>
        <w:rPr/>
        <w:t>Bağırsağın abdominal duvara ağız şeklinde açılmasına stoma denir. Bazı araştırmacılar stomanın sadece rektum low rezeksiyonu geçiren ve önemli komorbidite varlığında açılmasını savunurken diğer bir grup araştırmacı ise kolorektal anastomozun rektumun alt üçte birinde olduğu durumlar dışında stoma açılmamasını önermektedir. Stoma açılırken insizyon yerine yakın olmaması, rektus kası arasında olması, daha önceki ameliyatlara ait skarlardan uzak olması, umblikustan uzak olması, stomanın kemer hizasında olması ve separe dikişlerin peritona sabitlenmesi gibi durumlara dikkat edilmelidir (Kirchhoff vd. 2010).</w:t>
      </w:r>
    </w:p>
    <w:p>
      <w:pPr>
        <w:pStyle w:val="BodyText"/>
        <w:rPr>
          <w:sz w:val="24"/>
        </w:rPr>
      </w:pPr>
    </w:p>
    <w:p>
      <w:pPr>
        <w:pStyle w:val="BodyText"/>
        <w:rPr>
          <w:sz w:val="24"/>
        </w:rPr>
      </w:pPr>
    </w:p>
    <w:p>
      <w:pPr>
        <w:pStyle w:val="Heading2"/>
        <w:numPr>
          <w:ilvl w:val="1"/>
          <w:numId w:val="2"/>
        </w:numPr>
        <w:tabs>
          <w:tab w:pos="958" w:val="left" w:leader="none"/>
        </w:tabs>
        <w:spacing w:line="240" w:lineRule="auto" w:before="145" w:after="0"/>
        <w:ind w:left="958" w:right="0" w:hanging="370"/>
        <w:jc w:val="both"/>
      </w:pPr>
      <w:bookmarkStart w:name="_bookmark14" w:id="21"/>
      <w:bookmarkEnd w:id="21"/>
      <w:r>
        <w:rPr>
          <w:b w:val="0"/>
        </w:rPr>
      </w:r>
      <w:bookmarkStart w:name="_bookmark14" w:id="22"/>
      <w:bookmarkEnd w:id="22"/>
      <w:r>
        <w:rPr/>
        <w:t>K</w:t>
      </w:r>
      <w:r>
        <w:rPr/>
        <w:t>olorektal Cerrahilerde Kullanılan</w:t>
      </w:r>
      <w:r>
        <w:rPr>
          <w:spacing w:val="2"/>
        </w:rPr>
        <w:t> </w:t>
      </w:r>
      <w:r>
        <w:rPr/>
        <w:t>Kesiler</w:t>
      </w:r>
    </w:p>
    <w:p>
      <w:pPr>
        <w:pStyle w:val="BodyText"/>
        <w:spacing w:before="10"/>
        <w:rPr>
          <w:b/>
          <w:sz w:val="21"/>
        </w:rPr>
      </w:pPr>
    </w:p>
    <w:p>
      <w:pPr>
        <w:pStyle w:val="BodyText"/>
        <w:spacing w:line="360" w:lineRule="auto"/>
        <w:ind w:left="588" w:right="289" w:firstLine="708"/>
        <w:jc w:val="both"/>
      </w:pPr>
      <w:r>
        <w:rPr/>
        <w:t>Cerrahilerde kullanılan kesiler ne kadar kısa olursa yara iyileşmesi de o kadar erken olur. Kolorektal cerrahilerde ise horizantal ve vertikal kesiler yaygın olarak kullanılmaktadır. Horizontal keside daha az dermatom alanı etkilenmesi nedeniyle post- operatif ağrı ve buna bağlı PPK riski düşüktür. Ancak cerrahın müdahele edeceği alana daha iyi hâkim olmasından dolayı vertikal kesiler daha çok tercih edilmektedir (Teodor</w:t>
      </w:r>
    </w:p>
    <w:p>
      <w:pPr>
        <w:pStyle w:val="BodyText"/>
        <w:spacing w:line="249" w:lineRule="exact"/>
        <w:ind w:left="588"/>
        <w:jc w:val="both"/>
      </w:pPr>
      <w:r>
        <w:rPr/>
        <w:t>P. Grantcharov 2011).</w:t>
      </w:r>
    </w:p>
    <w:p>
      <w:pPr>
        <w:spacing w:after="0" w:line="249" w:lineRule="exact"/>
        <w:jc w:val="both"/>
        <w:sectPr>
          <w:pgSz w:w="11910" w:h="16840"/>
          <w:pgMar w:header="749" w:footer="0" w:top="1320" w:bottom="280" w:left="1680" w:right="840"/>
        </w:sectPr>
      </w:pPr>
    </w:p>
    <w:p>
      <w:pPr>
        <w:pStyle w:val="Heading2"/>
        <w:numPr>
          <w:ilvl w:val="1"/>
          <w:numId w:val="2"/>
        </w:numPr>
        <w:tabs>
          <w:tab w:pos="958" w:val="left" w:leader="none"/>
        </w:tabs>
        <w:spacing w:line="240" w:lineRule="auto" w:before="86" w:after="0"/>
        <w:ind w:left="958" w:right="0" w:hanging="370"/>
        <w:jc w:val="left"/>
      </w:pPr>
      <w:bookmarkStart w:name="_bookmark15" w:id="23"/>
      <w:bookmarkEnd w:id="23"/>
      <w:r>
        <w:rPr>
          <w:b w:val="0"/>
        </w:rPr>
      </w:r>
      <w:bookmarkStart w:name="_bookmark15" w:id="24"/>
      <w:bookmarkEnd w:id="24"/>
      <w:r>
        <w:rPr/>
        <w:t>K</w:t>
      </w:r>
      <w:r>
        <w:rPr/>
        <w:t>olorektal Cerrahi Sonrası Gelişen</w:t>
      </w:r>
      <w:r>
        <w:rPr>
          <w:spacing w:val="-7"/>
        </w:rPr>
        <w:t> </w:t>
      </w:r>
      <w:r>
        <w:rPr/>
        <w:t>Komplikasyonlar</w:t>
      </w:r>
    </w:p>
    <w:p>
      <w:pPr>
        <w:pStyle w:val="BodyText"/>
        <w:spacing w:before="7"/>
        <w:rPr>
          <w:b/>
          <w:sz w:val="21"/>
        </w:rPr>
      </w:pPr>
    </w:p>
    <w:p>
      <w:pPr>
        <w:pStyle w:val="BodyText"/>
        <w:spacing w:line="360" w:lineRule="auto"/>
        <w:ind w:left="588" w:right="285" w:firstLine="708"/>
        <w:jc w:val="both"/>
      </w:pPr>
      <w:r>
        <w:rPr/>
        <w:t>Kolorektal kanser nedeniyle yapılan cerrahiler sonrası görülen komplikasyonlar, bening</w:t>
      </w:r>
      <w:r>
        <w:rPr>
          <w:spacing w:val="-16"/>
        </w:rPr>
        <w:t> </w:t>
      </w:r>
      <w:r>
        <w:rPr/>
        <w:t>tümörler</w:t>
      </w:r>
      <w:r>
        <w:rPr>
          <w:spacing w:val="-15"/>
        </w:rPr>
        <w:t> </w:t>
      </w:r>
      <w:r>
        <w:rPr/>
        <w:t>nedeniyle</w:t>
      </w:r>
      <w:r>
        <w:rPr>
          <w:spacing w:val="-14"/>
        </w:rPr>
        <w:t> </w:t>
      </w:r>
      <w:r>
        <w:rPr/>
        <w:t>yapılan</w:t>
      </w:r>
      <w:r>
        <w:rPr>
          <w:spacing w:val="-15"/>
        </w:rPr>
        <w:t> </w:t>
      </w:r>
      <w:r>
        <w:rPr/>
        <w:t>cerrahilerden</w:t>
      </w:r>
      <w:r>
        <w:rPr>
          <w:spacing w:val="-17"/>
        </w:rPr>
        <w:t> </w:t>
      </w:r>
      <w:r>
        <w:rPr/>
        <w:t>daha</w:t>
      </w:r>
      <w:r>
        <w:rPr>
          <w:spacing w:val="-17"/>
        </w:rPr>
        <w:t> </w:t>
      </w:r>
      <w:r>
        <w:rPr/>
        <w:t>fazladır.</w:t>
      </w:r>
      <w:r>
        <w:rPr>
          <w:spacing w:val="-13"/>
        </w:rPr>
        <w:t> </w:t>
      </w:r>
      <w:r>
        <w:rPr/>
        <w:t>Rektum</w:t>
      </w:r>
      <w:r>
        <w:rPr>
          <w:spacing w:val="-15"/>
        </w:rPr>
        <w:t> </w:t>
      </w:r>
      <w:r>
        <w:rPr/>
        <w:t>cerrahilerinde</w:t>
      </w:r>
      <w:r>
        <w:rPr>
          <w:spacing w:val="-15"/>
        </w:rPr>
        <w:t> </w:t>
      </w:r>
      <w:r>
        <w:rPr/>
        <w:t>ise cerrahideki teknik ayrıntılar ve rektumun anatomik lokalizasyonu nedeniyle kolon cerrahisindeki komplikasyonlardan daha fazla olarak bildirilmiştir. Kolon cerrahisinde görülen mortalite oranı %3-5 olmasına karşın rektumun anterior rezeksiyonunda %7-10 arasında rastlanmaktadır. Morbidite oranı ise rektumun anterior rezeksiyonlarında %50- 60 iken kolon cerrahilerinde bu oran yaklaşık yarısı kadardır (Bokey vd. 1995, Williams ve Johnston 1983). Kolorektal cerrahi sonrasında görülen komplikasyonlar; apse, fistül, yara yeri enfeksiyonu, fekal, ileus ve pyoflebitistir.</w:t>
      </w:r>
    </w:p>
    <w:p>
      <w:pPr>
        <w:pStyle w:val="BodyText"/>
        <w:rPr>
          <w:sz w:val="24"/>
        </w:rPr>
      </w:pPr>
    </w:p>
    <w:p>
      <w:pPr>
        <w:pStyle w:val="BodyText"/>
        <w:rPr>
          <w:sz w:val="24"/>
        </w:rPr>
      </w:pPr>
    </w:p>
    <w:p>
      <w:pPr>
        <w:pStyle w:val="Heading2"/>
        <w:numPr>
          <w:ilvl w:val="2"/>
          <w:numId w:val="2"/>
        </w:numPr>
        <w:tabs>
          <w:tab w:pos="1201" w:val="left" w:leader="none"/>
        </w:tabs>
        <w:spacing w:line="240" w:lineRule="auto" w:before="145" w:after="0"/>
        <w:ind w:left="1200" w:right="0" w:hanging="613"/>
        <w:jc w:val="left"/>
      </w:pPr>
      <w:bookmarkStart w:name="_bookmark16" w:id="25"/>
      <w:bookmarkEnd w:id="25"/>
      <w:r>
        <w:rPr>
          <w:b w:val="0"/>
        </w:rPr>
      </w:r>
      <w:bookmarkStart w:name="_bookmark16" w:id="26"/>
      <w:bookmarkEnd w:id="26"/>
      <w:r>
        <w:rPr/>
        <w:t>İl</w:t>
      </w:r>
      <w:r>
        <w:rPr/>
        <w:t>eus</w:t>
      </w:r>
    </w:p>
    <w:p>
      <w:pPr>
        <w:pStyle w:val="BodyText"/>
        <w:spacing w:before="9"/>
        <w:rPr>
          <w:b/>
          <w:sz w:val="21"/>
        </w:rPr>
      </w:pPr>
    </w:p>
    <w:p>
      <w:pPr>
        <w:pStyle w:val="BodyText"/>
        <w:spacing w:line="360" w:lineRule="auto"/>
        <w:ind w:left="588" w:right="287" w:firstLine="708"/>
        <w:jc w:val="both"/>
      </w:pPr>
      <w:r>
        <w:rPr/>
        <w:t>Ameliyat sonrası dönemde bağırsaklarda gelişen motor bozukluk sonucu peristaltik hareketin kaybolmasıdır. Bağırsaklara yapılan müdahale sonrasında veya diğer organlara yapılan müdahaleler veya travmalar sonucu olarak gelişebilir. İleus bir haftadan fazla sürerse sıvı elektrolit denge bozukluğu, uyuşturucu kullanımı, apse, peritonit</w:t>
      </w:r>
      <w:r>
        <w:rPr>
          <w:spacing w:val="-8"/>
        </w:rPr>
        <w:t> </w:t>
      </w:r>
      <w:r>
        <w:rPr/>
        <w:t>veya</w:t>
      </w:r>
      <w:r>
        <w:rPr>
          <w:spacing w:val="-9"/>
        </w:rPr>
        <w:t> </w:t>
      </w:r>
      <w:r>
        <w:rPr/>
        <w:t>mekanik</w:t>
      </w:r>
      <w:r>
        <w:rPr>
          <w:spacing w:val="-7"/>
        </w:rPr>
        <w:t> </w:t>
      </w:r>
      <w:r>
        <w:rPr/>
        <w:t>olarak</w:t>
      </w:r>
      <w:r>
        <w:rPr>
          <w:spacing w:val="-5"/>
        </w:rPr>
        <w:t> </w:t>
      </w:r>
      <w:r>
        <w:rPr/>
        <w:t>bağırsak</w:t>
      </w:r>
      <w:r>
        <w:rPr>
          <w:spacing w:val="-10"/>
        </w:rPr>
        <w:t> </w:t>
      </w:r>
      <w:r>
        <w:rPr/>
        <w:t>tıkanmasından</w:t>
      </w:r>
      <w:r>
        <w:rPr>
          <w:spacing w:val="-10"/>
        </w:rPr>
        <w:t> </w:t>
      </w:r>
      <w:r>
        <w:rPr/>
        <w:t>şüphelenilmelidir.</w:t>
      </w:r>
      <w:r>
        <w:rPr>
          <w:spacing w:val="-8"/>
        </w:rPr>
        <w:t> </w:t>
      </w:r>
      <w:r>
        <w:rPr/>
        <w:t>Kolon</w:t>
      </w:r>
      <w:r>
        <w:rPr>
          <w:spacing w:val="-8"/>
        </w:rPr>
        <w:t> </w:t>
      </w:r>
      <w:r>
        <w:rPr/>
        <w:t>cerrahisi sonrasında ince bağırsaklarda gelişen tıkanıklığın %90 kadarı cerrahi sonrası iki hafta içinde geliştiği gösterilmiştir (Frager ve Baer 1995). Hastanın genel durumu ve vital bulguları dengeli iken, abdominal bölgede şişlik ve kramp tarzında ağrılar olmadığı sürece 14 gün boyunca konservatif tedavi yapılabilir (Atsushi</w:t>
      </w:r>
      <w:r>
        <w:rPr>
          <w:spacing w:val="-5"/>
        </w:rPr>
        <w:t> </w:t>
      </w:r>
      <w:r>
        <w:rPr/>
        <w:t>2016).</w:t>
      </w:r>
    </w:p>
    <w:p>
      <w:pPr>
        <w:pStyle w:val="BodyText"/>
        <w:rPr>
          <w:sz w:val="24"/>
        </w:rPr>
      </w:pPr>
    </w:p>
    <w:p>
      <w:pPr>
        <w:pStyle w:val="BodyText"/>
        <w:rPr>
          <w:sz w:val="24"/>
        </w:rPr>
      </w:pPr>
    </w:p>
    <w:p>
      <w:pPr>
        <w:pStyle w:val="Heading2"/>
        <w:numPr>
          <w:ilvl w:val="2"/>
          <w:numId w:val="2"/>
        </w:numPr>
        <w:tabs>
          <w:tab w:pos="1203" w:val="left" w:leader="none"/>
        </w:tabs>
        <w:spacing w:line="240" w:lineRule="auto" w:before="142" w:after="0"/>
        <w:ind w:left="1202" w:right="0" w:hanging="615"/>
        <w:jc w:val="left"/>
      </w:pPr>
      <w:bookmarkStart w:name="_bookmark17" w:id="27"/>
      <w:bookmarkEnd w:id="27"/>
      <w:r>
        <w:rPr>
          <w:b w:val="0"/>
        </w:rPr>
      </w:r>
      <w:bookmarkStart w:name="_bookmark17" w:id="28"/>
      <w:bookmarkEnd w:id="28"/>
      <w:r>
        <w:rPr/>
        <w:t>F</w:t>
      </w:r>
      <w:r>
        <w:rPr/>
        <w:t>ekal</w:t>
      </w:r>
      <w:r>
        <w:rPr>
          <w:spacing w:val="-2"/>
        </w:rPr>
        <w:t> </w:t>
      </w:r>
      <w:r>
        <w:rPr/>
        <w:t>İnkontinans</w:t>
      </w:r>
    </w:p>
    <w:p>
      <w:pPr>
        <w:pStyle w:val="BodyText"/>
        <w:spacing w:before="10"/>
        <w:rPr>
          <w:b/>
          <w:sz w:val="21"/>
        </w:rPr>
      </w:pPr>
    </w:p>
    <w:p>
      <w:pPr>
        <w:pStyle w:val="BodyText"/>
        <w:spacing w:line="360" w:lineRule="auto"/>
        <w:ind w:left="588" w:right="288" w:firstLine="708"/>
        <w:jc w:val="both"/>
      </w:pPr>
      <w:r>
        <w:rPr/>
        <w:t>İleri aşağı rezeksiyonlar nedeniyle anterior rezeksiyon hastalık tablosu ve anal inkontinans görülebilir. Anterior rezeksiyon cerrahisi uygulanan hastalarda %5-6 oranında fekal inkontinans ve dışkılama sayısında artış nedeniyle yaşam kalitesinde azalmalar görülebilmektedir. Post-operatif dönemde karşılaşılan bu sorunların en büyük nedeni rektumun rezervuar kapasitesinin kaybolmasıdır. Bunun yanında pelvik sinirde ve sfinkterde meydana gelen hasar, ileri yaş ve ek hastalıklar etkili olabilmektedir.</w:t>
      </w:r>
    </w:p>
    <w:p>
      <w:pPr>
        <w:pStyle w:val="BodyText"/>
        <w:rPr>
          <w:sz w:val="24"/>
        </w:rPr>
      </w:pPr>
    </w:p>
    <w:p>
      <w:pPr>
        <w:pStyle w:val="BodyText"/>
        <w:rPr>
          <w:sz w:val="24"/>
        </w:rPr>
      </w:pPr>
    </w:p>
    <w:p>
      <w:pPr>
        <w:pStyle w:val="Heading2"/>
        <w:numPr>
          <w:ilvl w:val="2"/>
          <w:numId w:val="2"/>
        </w:numPr>
        <w:tabs>
          <w:tab w:pos="1206" w:val="left" w:leader="none"/>
        </w:tabs>
        <w:spacing w:line="240" w:lineRule="auto" w:before="145" w:after="0"/>
        <w:ind w:left="1205" w:right="0" w:hanging="618"/>
        <w:jc w:val="left"/>
      </w:pPr>
      <w:bookmarkStart w:name="_bookmark18" w:id="29"/>
      <w:bookmarkEnd w:id="29"/>
      <w:r>
        <w:rPr>
          <w:b w:val="0"/>
        </w:rPr>
      </w:r>
      <w:bookmarkStart w:name="_bookmark18" w:id="30"/>
      <w:bookmarkEnd w:id="30"/>
      <w:r>
        <w:rPr/>
        <w:t>A</w:t>
      </w:r>
      <w:r>
        <w:rPr/>
        <w:t>bdominal Yara</w:t>
      </w:r>
      <w:r>
        <w:rPr>
          <w:spacing w:val="-3"/>
        </w:rPr>
        <w:t> </w:t>
      </w:r>
      <w:r>
        <w:rPr/>
        <w:t>Ayrışması</w:t>
      </w:r>
    </w:p>
    <w:p>
      <w:pPr>
        <w:pStyle w:val="BodyText"/>
        <w:spacing w:before="7"/>
        <w:rPr>
          <w:b/>
          <w:sz w:val="21"/>
        </w:rPr>
      </w:pPr>
    </w:p>
    <w:p>
      <w:pPr>
        <w:pStyle w:val="BodyText"/>
        <w:spacing w:line="360" w:lineRule="auto" w:before="1"/>
        <w:ind w:left="588" w:right="291" w:firstLine="708"/>
        <w:jc w:val="both"/>
      </w:pPr>
      <w:r>
        <w:rPr/>
        <w:t>Kullanılan dikiş malzemesi, düğüm kayması, dikişlerin kopması gibi nedenlerle birlikte hastada bulunan ek hastalıklar, yara yerinde gelişen enfeksiyon, kötü beslenme,</w:t>
      </w:r>
    </w:p>
    <w:p>
      <w:pPr>
        <w:spacing w:after="0" w:line="360" w:lineRule="auto"/>
        <w:jc w:val="both"/>
        <w:sectPr>
          <w:pgSz w:w="11910" w:h="16840"/>
          <w:pgMar w:header="749" w:footer="0" w:top="1320" w:bottom="280" w:left="1680" w:right="840"/>
        </w:sectPr>
      </w:pPr>
    </w:p>
    <w:p>
      <w:pPr>
        <w:pStyle w:val="BodyText"/>
        <w:spacing w:line="360" w:lineRule="auto" w:before="88"/>
        <w:ind w:left="588" w:right="288"/>
        <w:jc w:val="both"/>
      </w:pPr>
      <w:r>
        <w:rPr/>
        <w:t>abdominal distansiyon ve inflamatuar hastalıklar yara ayrışmasında önemli etkenlerdendir. Yara ayrışması morbidite ve mortaliteye neden olabilir. Kolorektal cerrahilerde yara ayrışması %0-4 oranında görülebilir. Eğer ileri derecede bir yara ayrışması gözlenirse genel anestezi altında onarım yapılır (Richards Balch ve Aldrete 1983).</w:t>
      </w:r>
    </w:p>
    <w:p>
      <w:pPr>
        <w:pStyle w:val="BodyText"/>
        <w:rPr>
          <w:sz w:val="24"/>
        </w:rPr>
      </w:pPr>
    </w:p>
    <w:p>
      <w:pPr>
        <w:pStyle w:val="BodyText"/>
        <w:rPr>
          <w:sz w:val="24"/>
        </w:rPr>
      </w:pPr>
    </w:p>
    <w:p>
      <w:pPr>
        <w:pStyle w:val="Heading2"/>
        <w:numPr>
          <w:ilvl w:val="2"/>
          <w:numId w:val="2"/>
        </w:numPr>
        <w:tabs>
          <w:tab w:pos="1201" w:val="left" w:leader="none"/>
        </w:tabs>
        <w:spacing w:line="240" w:lineRule="auto" w:before="146" w:after="0"/>
        <w:ind w:left="1200" w:right="0" w:hanging="613"/>
        <w:jc w:val="left"/>
      </w:pPr>
      <w:bookmarkStart w:name="_bookmark19" w:id="31"/>
      <w:bookmarkEnd w:id="31"/>
      <w:r>
        <w:rPr>
          <w:b w:val="0"/>
        </w:rPr>
      </w:r>
      <w:bookmarkStart w:name="_bookmark19" w:id="32"/>
      <w:bookmarkEnd w:id="32"/>
      <w:r>
        <w:rPr/>
        <w:t>M</w:t>
      </w:r>
      <w:r>
        <w:rPr/>
        <w:t>esane</w:t>
      </w:r>
      <w:r>
        <w:rPr>
          <w:spacing w:val="-1"/>
        </w:rPr>
        <w:t> </w:t>
      </w:r>
      <w:r>
        <w:rPr/>
        <w:t>Disfonksiyonu</w:t>
      </w:r>
    </w:p>
    <w:p>
      <w:pPr>
        <w:pStyle w:val="BodyText"/>
        <w:spacing w:before="6"/>
        <w:rPr>
          <w:b/>
          <w:sz w:val="21"/>
        </w:rPr>
      </w:pPr>
    </w:p>
    <w:p>
      <w:pPr>
        <w:pStyle w:val="BodyText"/>
        <w:spacing w:line="360" w:lineRule="auto" w:before="1"/>
        <w:ind w:left="588" w:right="293" w:firstLine="708"/>
        <w:jc w:val="both"/>
      </w:pPr>
      <w:r>
        <w:rPr/>
        <w:t>Kolorektal cerrahi geçiren bireylerin yaklaşık %25’ inde mesane fonksiyon bozuklukları görülebilir. Sinir yaralanması, anovazal refleks stimülasyonu, uygulanan anestezi, lokal ağrı ve anal kanala konulan tampon oluşan idrar retansiyonunda önemli etkenlerdir. Eğer sorun nöral yapılardan kaynaklanıyorsa mesanede oluşan problem uzun sürebilir. Mesane disfonksiyonu zamanla düzelebilir. Cerrahi sonrası tedbir amaçlı yaklaşık 7 gün süreyle idrar sondası mesanede tutulmalı ve mesane uyarımı sonda ile gerçeleştirilmelidir. Mesane disfonksiyonunun kalıcı olduğu durumlar nadir gözlenmiştir (Hinman 1976).</w:t>
      </w:r>
    </w:p>
    <w:p>
      <w:pPr>
        <w:pStyle w:val="BodyText"/>
        <w:rPr>
          <w:sz w:val="24"/>
        </w:rPr>
      </w:pPr>
    </w:p>
    <w:p>
      <w:pPr>
        <w:pStyle w:val="BodyText"/>
        <w:rPr>
          <w:sz w:val="24"/>
        </w:rPr>
      </w:pPr>
    </w:p>
    <w:p>
      <w:pPr>
        <w:pStyle w:val="Heading2"/>
        <w:numPr>
          <w:ilvl w:val="2"/>
          <w:numId w:val="2"/>
        </w:numPr>
        <w:tabs>
          <w:tab w:pos="1203" w:val="left" w:leader="none"/>
        </w:tabs>
        <w:spacing w:line="240" w:lineRule="auto" w:before="145" w:after="0"/>
        <w:ind w:left="1202" w:right="0" w:hanging="615"/>
        <w:jc w:val="left"/>
      </w:pPr>
      <w:bookmarkStart w:name="_bookmark20" w:id="33"/>
      <w:bookmarkEnd w:id="33"/>
      <w:r>
        <w:rPr>
          <w:b w:val="0"/>
        </w:rPr>
      </w:r>
      <w:bookmarkStart w:name="_bookmark20" w:id="34"/>
      <w:bookmarkEnd w:id="34"/>
      <w:r>
        <w:rPr/>
        <w:t>Seksü</w:t>
      </w:r>
      <w:r>
        <w:rPr/>
        <w:t>el</w:t>
      </w:r>
      <w:r>
        <w:rPr>
          <w:spacing w:val="1"/>
        </w:rPr>
        <w:t> </w:t>
      </w:r>
      <w:r>
        <w:rPr/>
        <w:t>Disfonksiyon</w:t>
      </w:r>
    </w:p>
    <w:p>
      <w:pPr>
        <w:pStyle w:val="BodyText"/>
        <w:spacing w:before="7"/>
        <w:rPr>
          <w:b/>
          <w:sz w:val="21"/>
        </w:rPr>
      </w:pPr>
    </w:p>
    <w:p>
      <w:pPr>
        <w:pStyle w:val="BodyText"/>
        <w:spacing w:line="360" w:lineRule="auto"/>
        <w:ind w:left="588" w:right="291" w:firstLine="708"/>
        <w:jc w:val="both"/>
      </w:pPr>
      <w:r>
        <w:rPr/>
        <w:t>Sempatik ve parasempatik sinirlerin hasarına bağlı olarak özellikle rektum cerrahilerinde hastalarda impotans ve ejekülasyon bozukluğu gözlenebilir. Hasarın derecesine göre bozukluğun seviyesi farklılık gösterebilir. Gelişen disfonksiyonlar genellikle cerrahi sonrası bir yıl içerisinde kendiliğinden iyileşebilir. Bu tip hasarları önlemek için rektumun lateral diseksiyonunda dikkatli olmak ve aşırı traksiyondan kaçınmak gerekir (Zugor vd. 2010).</w:t>
      </w:r>
    </w:p>
    <w:p>
      <w:pPr>
        <w:pStyle w:val="BodyText"/>
        <w:rPr>
          <w:sz w:val="24"/>
        </w:rPr>
      </w:pPr>
    </w:p>
    <w:p>
      <w:pPr>
        <w:pStyle w:val="BodyText"/>
        <w:rPr>
          <w:sz w:val="24"/>
        </w:rPr>
      </w:pPr>
    </w:p>
    <w:p>
      <w:pPr>
        <w:pStyle w:val="Heading2"/>
        <w:numPr>
          <w:ilvl w:val="2"/>
          <w:numId w:val="2"/>
        </w:numPr>
        <w:tabs>
          <w:tab w:pos="1203" w:val="left" w:leader="none"/>
        </w:tabs>
        <w:spacing w:line="475" w:lineRule="auto" w:before="145" w:after="0"/>
        <w:ind w:left="1296" w:right="4982" w:hanging="708"/>
        <w:jc w:val="both"/>
      </w:pPr>
      <w:bookmarkStart w:name="_bookmark21" w:id="35"/>
      <w:bookmarkEnd w:id="35"/>
      <w:r>
        <w:rPr>
          <w:b w:val="0"/>
        </w:rPr>
      </w:r>
      <w:bookmarkStart w:name="_bookmark21" w:id="36"/>
      <w:bookmarkEnd w:id="36"/>
      <w:r>
        <w:rPr/>
        <w:t>C</w:t>
      </w:r>
      <w:r>
        <w:rPr/>
        <w:t>errahi Yara</w:t>
      </w:r>
      <w:r>
        <w:rPr>
          <w:spacing w:val="-21"/>
        </w:rPr>
        <w:t> </w:t>
      </w:r>
      <w:r>
        <w:rPr/>
        <w:t>Komplikasyonları Enfeksiyon</w:t>
      </w:r>
    </w:p>
    <w:p>
      <w:pPr>
        <w:pStyle w:val="BodyText"/>
        <w:spacing w:line="360" w:lineRule="auto" w:before="40"/>
        <w:ind w:left="588" w:right="287"/>
        <w:jc w:val="both"/>
      </w:pPr>
      <w:r>
        <w:rPr/>
        <w:t>Antibiyotik kullanımı ve mekanik bağırsak temizliği ile enfeksiyon gelişme oranı azaltılmıştır. Cerrahi yarada genellikle 3 veya 4’üncü günlerde enfeksiyon görülür. Enfeksiyonun</w:t>
      </w:r>
      <w:r>
        <w:rPr>
          <w:spacing w:val="-6"/>
        </w:rPr>
        <w:t> </w:t>
      </w:r>
      <w:r>
        <w:rPr/>
        <w:t>ciddi</w:t>
      </w:r>
      <w:r>
        <w:rPr>
          <w:spacing w:val="-7"/>
        </w:rPr>
        <w:t> </w:t>
      </w:r>
      <w:r>
        <w:rPr/>
        <w:t>olduğu</w:t>
      </w:r>
      <w:r>
        <w:rPr>
          <w:spacing w:val="-6"/>
        </w:rPr>
        <w:t> </w:t>
      </w:r>
      <w:r>
        <w:rPr/>
        <w:t>durumlarda</w:t>
      </w:r>
      <w:r>
        <w:rPr>
          <w:spacing w:val="-6"/>
        </w:rPr>
        <w:t> </w:t>
      </w:r>
      <w:r>
        <w:rPr/>
        <w:t>yüksek</w:t>
      </w:r>
      <w:r>
        <w:rPr>
          <w:spacing w:val="-6"/>
        </w:rPr>
        <w:t> </w:t>
      </w:r>
      <w:r>
        <w:rPr/>
        <w:t>ateş</w:t>
      </w:r>
      <w:r>
        <w:rPr>
          <w:spacing w:val="-6"/>
        </w:rPr>
        <w:t> </w:t>
      </w:r>
      <w:r>
        <w:rPr/>
        <w:t>olabilir.</w:t>
      </w:r>
      <w:r>
        <w:rPr>
          <w:spacing w:val="-5"/>
        </w:rPr>
        <w:t> </w:t>
      </w:r>
      <w:r>
        <w:rPr/>
        <w:t>Yarada</w:t>
      </w:r>
      <w:r>
        <w:rPr>
          <w:spacing w:val="-5"/>
        </w:rPr>
        <w:t> </w:t>
      </w:r>
      <w:r>
        <w:rPr/>
        <w:t>ödem,</w:t>
      </w:r>
      <w:r>
        <w:rPr>
          <w:spacing w:val="-9"/>
        </w:rPr>
        <w:t> </w:t>
      </w:r>
      <w:r>
        <w:rPr/>
        <w:t>sertlik,</w:t>
      </w:r>
      <w:r>
        <w:rPr>
          <w:spacing w:val="-5"/>
        </w:rPr>
        <w:t> </w:t>
      </w:r>
      <w:r>
        <w:rPr/>
        <w:t>eritem ve ısı artışı gelişebilir. Lokal muayenede bölgede ağrı ve hassasiyet belirlenir. Yaradan akıntı gelişi olur. Eğer apse tespit edilirse drene edilmelidir. Drenaj ve pansuman en önemli tedavi şekilleridir. Yaranın durumuna göre pansuman sık sık</w:t>
      </w:r>
      <w:r>
        <w:rPr>
          <w:spacing w:val="-32"/>
        </w:rPr>
        <w:t> </w:t>
      </w:r>
      <w:r>
        <w:rPr/>
        <w:t>değiştirilmelidir.</w:t>
      </w:r>
    </w:p>
    <w:p>
      <w:pPr>
        <w:spacing w:after="0" w:line="360" w:lineRule="auto"/>
        <w:jc w:val="both"/>
        <w:sectPr>
          <w:pgSz w:w="11910" w:h="16840"/>
          <w:pgMar w:header="749" w:footer="0" w:top="1320" w:bottom="280" w:left="1680" w:right="840"/>
        </w:sectPr>
      </w:pPr>
    </w:p>
    <w:p>
      <w:pPr>
        <w:pStyle w:val="Heading2"/>
        <w:spacing w:before="83"/>
        <w:ind w:left="1296"/>
      </w:pPr>
      <w:r>
        <w:rPr/>
        <w:t>Hematom</w:t>
      </w:r>
    </w:p>
    <w:p>
      <w:pPr>
        <w:pStyle w:val="BodyText"/>
        <w:spacing w:before="5"/>
        <w:rPr>
          <w:b/>
          <w:sz w:val="25"/>
        </w:rPr>
      </w:pPr>
    </w:p>
    <w:p>
      <w:pPr>
        <w:pStyle w:val="BodyText"/>
        <w:spacing w:line="360" w:lineRule="auto"/>
        <w:ind w:left="588" w:right="286"/>
        <w:jc w:val="both"/>
      </w:pPr>
      <w:r>
        <w:rPr/>
        <w:t>Cerrahi</w:t>
      </w:r>
      <w:r>
        <w:rPr>
          <w:spacing w:val="-9"/>
        </w:rPr>
        <w:t> </w:t>
      </w:r>
      <w:r>
        <w:rPr/>
        <w:t>bölgede</w:t>
      </w:r>
      <w:r>
        <w:rPr>
          <w:spacing w:val="-7"/>
        </w:rPr>
        <w:t> </w:t>
      </w:r>
      <w:r>
        <w:rPr/>
        <w:t>antikoagülan</w:t>
      </w:r>
      <w:r>
        <w:rPr>
          <w:spacing w:val="-9"/>
        </w:rPr>
        <w:t> </w:t>
      </w:r>
      <w:r>
        <w:rPr/>
        <w:t>ilaç</w:t>
      </w:r>
      <w:r>
        <w:rPr>
          <w:spacing w:val="-8"/>
        </w:rPr>
        <w:t> </w:t>
      </w:r>
      <w:r>
        <w:rPr/>
        <w:t>kullanımı</w:t>
      </w:r>
      <w:r>
        <w:rPr>
          <w:spacing w:val="-12"/>
        </w:rPr>
        <w:t> </w:t>
      </w:r>
      <w:r>
        <w:rPr/>
        <w:t>veya</w:t>
      </w:r>
      <w:r>
        <w:rPr>
          <w:spacing w:val="-8"/>
        </w:rPr>
        <w:t> </w:t>
      </w:r>
      <w:r>
        <w:rPr/>
        <w:t>yetersiz</w:t>
      </w:r>
      <w:r>
        <w:rPr>
          <w:spacing w:val="-9"/>
        </w:rPr>
        <w:t> </w:t>
      </w:r>
      <w:r>
        <w:rPr/>
        <w:t>hemostaz</w:t>
      </w:r>
      <w:r>
        <w:rPr>
          <w:spacing w:val="-11"/>
        </w:rPr>
        <w:t> </w:t>
      </w:r>
      <w:r>
        <w:rPr/>
        <w:t>nedeniyle</w:t>
      </w:r>
      <w:r>
        <w:rPr>
          <w:spacing w:val="-8"/>
        </w:rPr>
        <w:t> </w:t>
      </w:r>
      <w:r>
        <w:rPr/>
        <w:t>hematom görülebilir. Hematomun büyüklüğüne göre hastada hipotansiyon, düşük seviye hematokrit ve taşikardı oluşabilir. Küçük hematomlar oluştuğu bölgeye ve yaranın tipine bağlı olarak hafif basınçlı pansumanlarla müdahale edilir ve hematomun kendiliğinden emilmesi</w:t>
      </w:r>
      <w:r>
        <w:rPr>
          <w:spacing w:val="-1"/>
        </w:rPr>
        <w:t> </w:t>
      </w:r>
      <w:r>
        <w:rPr/>
        <w:t>beklenir.</w:t>
      </w:r>
    </w:p>
    <w:p>
      <w:pPr>
        <w:pStyle w:val="Heading2"/>
        <w:spacing w:before="155"/>
        <w:ind w:left="1296"/>
      </w:pPr>
      <w:r>
        <w:rPr/>
        <w:t>Seroma</w:t>
      </w:r>
    </w:p>
    <w:p>
      <w:pPr>
        <w:pStyle w:val="BodyText"/>
        <w:spacing w:before="4"/>
        <w:rPr>
          <w:b/>
          <w:sz w:val="25"/>
        </w:rPr>
      </w:pPr>
    </w:p>
    <w:p>
      <w:pPr>
        <w:pStyle w:val="BodyText"/>
        <w:spacing w:line="360" w:lineRule="auto"/>
        <w:ind w:left="588" w:right="294"/>
        <w:jc w:val="both"/>
      </w:pPr>
      <w:r>
        <w:rPr/>
        <w:t>Cerrahi bölgede deri katmanları arasında açık pembe renkli seröz sıvı birikmesidir. Oluşan bölgeye dren yerleştirerek veya enjektör ile aspire edilerek tedavisi sağlanır (Kirchhoff vd. 2010).</w:t>
      </w:r>
    </w:p>
    <w:p>
      <w:pPr>
        <w:pStyle w:val="BodyText"/>
        <w:rPr>
          <w:sz w:val="24"/>
        </w:rPr>
      </w:pPr>
    </w:p>
    <w:p>
      <w:pPr>
        <w:pStyle w:val="BodyText"/>
        <w:rPr>
          <w:sz w:val="24"/>
        </w:rPr>
      </w:pPr>
    </w:p>
    <w:p>
      <w:pPr>
        <w:pStyle w:val="Heading2"/>
        <w:numPr>
          <w:ilvl w:val="2"/>
          <w:numId w:val="2"/>
        </w:numPr>
        <w:tabs>
          <w:tab w:pos="1205" w:val="left" w:leader="none"/>
        </w:tabs>
        <w:spacing w:line="240" w:lineRule="auto" w:before="144" w:after="0"/>
        <w:ind w:left="1204" w:right="0" w:hanging="617"/>
        <w:jc w:val="left"/>
      </w:pPr>
      <w:bookmarkStart w:name="_bookmark22" w:id="37"/>
      <w:bookmarkEnd w:id="37"/>
      <w:r>
        <w:rPr>
          <w:b w:val="0"/>
        </w:rPr>
      </w:r>
      <w:bookmarkStart w:name="_bookmark22" w:id="38"/>
      <w:bookmarkEnd w:id="38"/>
      <w:r>
        <w:rPr/>
        <w:t>A</w:t>
      </w:r>
      <w:r>
        <w:rPr/>
        <w:t>nastomoza Bağlı Gelişen</w:t>
      </w:r>
      <w:r>
        <w:rPr>
          <w:spacing w:val="-3"/>
        </w:rPr>
        <w:t> </w:t>
      </w:r>
      <w:r>
        <w:rPr/>
        <w:t>Komplikasyonlar</w:t>
      </w:r>
    </w:p>
    <w:p>
      <w:pPr>
        <w:pStyle w:val="BodyText"/>
        <w:spacing w:before="9"/>
        <w:rPr>
          <w:b/>
          <w:sz w:val="21"/>
        </w:rPr>
      </w:pPr>
    </w:p>
    <w:p>
      <w:pPr>
        <w:pStyle w:val="BodyText"/>
        <w:spacing w:line="360" w:lineRule="auto"/>
        <w:ind w:left="588" w:right="291" w:firstLine="708"/>
        <w:jc w:val="both"/>
      </w:pPr>
      <w:r>
        <w:rPr/>
        <w:t>Cerrahiyi takiben 4-6. günlerde gelişebilen anastomoz kaçakları, çok sık görülmese</w:t>
      </w:r>
      <w:r>
        <w:rPr>
          <w:spacing w:val="-9"/>
        </w:rPr>
        <w:t> </w:t>
      </w:r>
      <w:r>
        <w:rPr/>
        <w:t>de</w:t>
      </w:r>
      <w:r>
        <w:rPr>
          <w:spacing w:val="-9"/>
        </w:rPr>
        <w:t> </w:t>
      </w:r>
      <w:r>
        <w:rPr/>
        <w:t>anastomoz</w:t>
      </w:r>
      <w:r>
        <w:rPr>
          <w:spacing w:val="-7"/>
        </w:rPr>
        <w:t> </w:t>
      </w:r>
      <w:r>
        <w:rPr/>
        <w:t>hattında</w:t>
      </w:r>
      <w:r>
        <w:rPr>
          <w:spacing w:val="-6"/>
        </w:rPr>
        <w:t> </w:t>
      </w:r>
      <w:r>
        <w:rPr/>
        <w:t>oluşan</w:t>
      </w:r>
      <w:r>
        <w:rPr>
          <w:spacing w:val="-11"/>
        </w:rPr>
        <w:t> </w:t>
      </w:r>
      <w:r>
        <w:rPr/>
        <w:t>kanamalar</w:t>
      </w:r>
      <w:r>
        <w:rPr>
          <w:spacing w:val="-5"/>
        </w:rPr>
        <w:t> </w:t>
      </w:r>
      <w:r>
        <w:rPr/>
        <w:t>ve</w:t>
      </w:r>
      <w:r>
        <w:rPr>
          <w:spacing w:val="-6"/>
        </w:rPr>
        <w:t> </w:t>
      </w:r>
      <w:r>
        <w:rPr/>
        <w:t>anastomoz</w:t>
      </w:r>
      <w:r>
        <w:rPr>
          <w:spacing w:val="-8"/>
        </w:rPr>
        <w:t> </w:t>
      </w:r>
      <w:r>
        <w:rPr/>
        <w:t>darlığı</w:t>
      </w:r>
      <w:r>
        <w:rPr>
          <w:spacing w:val="-8"/>
        </w:rPr>
        <w:t> </w:t>
      </w:r>
      <w:r>
        <w:rPr/>
        <w:t>anastomozla ilişkili komplikasyonlardır. Bu komplikasyonlar genellikle acil kolorektal cerrahilerde elektiflere göre daha sık görülür. Bunun nedeni ise acil vakalarda kolonu cerrahiye hazırlayamamaktan kaynaklanır (Golub Cantu ve Stein 1997, Karanjia Corder Bearn </w:t>
      </w:r>
      <w:r>
        <w:rPr>
          <w:spacing w:val="-3"/>
        </w:rPr>
        <w:t>ve </w:t>
      </w:r>
      <w:r>
        <w:rPr/>
        <w:t>Heald</w:t>
      </w:r>
      <w:r>
        <w:rPr>
          <w:spacing w:val="-1"/>
        </w:rPr>
        <w:t> </w:t>
      </w:r>
      <w:r>
        <w:rPr/>
        <w:t>1994).</w:t>
      </w:r>
    </w:p>
    <w:p>
      <w:pPr>
        <w:pStyle w:val="BodyText"/>
        <w:rPr>
          <w:sz w:val="24"/>
        </w:rPr>
      </w:pPr>
    </w:p>
    <w:p>
      <w:pPr>
        <w:pStyle w:val="BodyText"/>
        <w:rPr>
          <w:sz w:val="24"/>
        </w:rPr>
      </w:pPr>
    </w:p>
    <w:p>
      <w:pPr>
        <w:pStyle w:val="Heading2"/>
        <w:numPr>
          <w:ilvl w:val="1"/>
          <w:numId w:val="2"/>
        </w:numPr>
        <w:tabs>
          <w:tab w:pos="958" w:val="left" w:leader="none"/>
        </w:tabs>
        <w:spacing w:line="240" w:lineRule="auto" w:before="146" w:after="0"/>
        <w:ind w:left="957" w:right="0" w:hanging="370"/>
        <w:jc w:val="left"/>
      </w:pPr>
      <w:bookmarkStart w:name="_bookmark23" w:id="39"/>
      <w:bookmarkEnd w:id="39"/>
      <w:r>
        <w:rPr>
          <w:b w:val="0"/>
        </w:rPr>
      </w:r>
      <w:bookmarkStart w:name="_bookmark23" w:id="40"/>
      <w:bookmarkEnd w:id="40"/>
      <w:r>
        <w:rPr/>
        <w:t>K</w:t>
      </w:r>
      <w:r>
        <w:rPr/>
        <w:t>olorektal Cerrahi Sonrası Gelişen Pulmoner</w:t>
      </w:r>
      <w:r>
        <w:rPr>
          <w:spacing w:val="-8"/>
        </w:rPr>
        <w:t> </w:t>
      </w:r>
      <w:r>
        <w:rPr/>
        <w:t>Komplikasyonlar</w:t>
      </w:r>
    </w:p>
    <w:p>
      <w:pPr>
        <w:pStyle w:val="BodyText"/>
        <w:spacing w:before="7"/>
        <w:rPr>
          <w:b/>
          <w:sz w:val="21"/>
        </w:rPr>
      </w:pPr>
    </w:p>
    <w:p>
      <w:pPr>
        <w:pStyle w:val="BodyText"/>
        <w:spacing w:line="360" w:lineRule="auto"/>
        <w:ind w:left="588" w:right="287" w:firstLine="708"/>
        <w:jc w:val="both"/>
      </w:pPr>
      <w:r>
        <w:rPr/>
        <w:t>Post-operatif pulmoner komplikasyonlar (akut solunum yetmezliği, hipoksi, atelektazi, pnömoni ve pulmoner embolizm vb.) majör abdominal cerrahi sonrasında görülen önemli bir problemdir. Üst abdominal cerrahilerde alt abdominal cerrahilere kıyasla PPK daha yaygındır. Literatürde major abdominal cerrahilerde PPK görülme sıklığı %25-80 arasında rapor edilmiş ve buna bağlı mortalite oranı da %3-4 arasında gösterilmiştir.</w:t>
      </w:r>
      <w:r>
        <w:rPr>
          <w:spacing w:val="-13"/>
        </w:rPr>
        <w:t> </w:t>
      </w:r>
      <w:r>
        <w:rPr/>
        <w:t>Yapılan</w:t>
      </w:r>
      <w:r>
        <w:rPr>
          <w:spacing w:val="-13"/>
        </w:rPr>
        <w:t> </w:t>
      </w:r>
      <w:r>
        <w:rPr/>
        <w:t>bir</w:t>
      </w:r>
      <w:r>
        <w:rPr>
          <w:spacing w:val="-14"/>
        </w:rPr>
        <w:t> </w:t>
      </w:r>
      <w:r>
        <w:rPr/>
        <w:t>çalışmada</w:t>
      </w:r>
      <w:r>
        <w:rPr>
          <w:spacing w:val="-12"/>
        </w:rPr>
        <w:t> </w:t>
      </w:r>
      <w:r>
        <w:rPr/>
        <w:t>ise</w:t>
      </w:r>
      <w:r>
        <w:rPr>
          <w:spacing w:val="-17"/>
        </w:rPr>
        <w:t> </w:t>
      </w:r>
      <w:r>
        <w:rPr/>
        <w:t>kolorektal</w:t>
      </w:r>
      <w:r>
        <w:rPr>
          <w:spacing w:val="-16"/>
        </w:rPr>
        <w:t> </w:t>
      </w:r>
      <w:r>
        <w:rPr/>
        <w:t>cerrahilerde</w:t>
      </w:r>
      <w:r>
        <w:rPr>
          <w:spacing w:val="-14"/>
        </w:rPr>
        <w:t> </w:t>
      </w:r>
      <w:r>
        <w:rPr/>
        <w:t>PPK</w:t>
      </w:r>
      <w:r>
        <w:rPr>
          <w:spacing w:val="-12"/>
        </w:rPr>
        <w:t> </w:t>
      </w:r>
      <w:r>
        <w:rPr/>
        <w:t>gelişme</w:t>
      </w:r>
      <w:r>
        <w:rPr>
          <w:spacing w:val="-12"/>
        </w:rPr>
        <w:t> </w:t>
      </w:r>
      <w:r>
        <w:rPr/>
        <w:t>oranı</w:t>
      </w:r>
      <w:r>
        <w:rPr>
          <w:spacing w:val="-16"/>
        </w:rPr>
        <w:t> </w:t>
      </w:r>
      <w:r>
        <w:rPr/>
        <w:t>%34.4 oranında belirtilmiştir (Hall Tarala Hall ve Mander 1991). Cerrahi sonrasında PPK gelişmesi, insizyon bölgesindeki ağrı, yetersiz ventilasyon sonucu oluşan atelektaziler, ventilasyon mekanizmasının bozulması ve diyafragma disfonksiyonuyla ilişkilendirilir. (Celik ve Yılmaz 2018).</w:t>
      </w:r>
    </w:p>
    <w:p>
      <w:pPr>
        <w:pStyle w:val="BodyText"/>
        <w:spacing w:line="357" w:lineRule="auto" w:before="161"/>
        <w:ind w:left="588" w:right="293" w:firstLine="708"/>
        <w:jc w:val="both"/>
      </w:pPr>
      <w:r>
        <w:rPr/>
        <w:t>Pulmoner</w:t>
      </w:r>
      <w:r>
        <w:rPr>
          <w:spacing w:val="-13"/>
        </w:rPr>
        <w:t> </w:t>
      </w:r>
      <w:r>
        <w:rPr/>
        <w:t>fonksiyonların</w:t>
      </w:r>
      <w:r>
        <w:rPr>
          <w:spacing w:val="-11"/>
        </w:rPr>
        <w:t> </w:t>
      </w:r>
      <w:r>
        <w:rPr/>
        <w:t>etkilenmesinde</w:t>
      </w:r>
      <w:r>
        <w:rPr>
          <w:spacing w:val="-11"/>
        </w:rPr>
        <w:t> </w:t>
      </w:r>
      <w:r>
        <w:rPr/>
        <w:t>cerrahi</w:t>
      </w:r>
      <w:r>
        <w:rPr>
          <w:spacing w:val="-15"/>
        </w:rPr>
        <w:t> </w:t>
      </w:r>
      <w:r>
        <w:rPr/>
        <w:t>tipi,</w:t>
      </w:r>
      <w:r>
        <w:rPr>
          <w:spacing w:val="-9"/>
        </w:rPr>
        <w:t> </w:t>
      </w:r>
      <w:r>
        <w:rPr/>
        <w:t>tercih</w:t>
      </w:r>
      <w:r>
        <w:rPr>
          <w:spacing w:val="-11"/>
        </w:rPr>
        <w:t> </w:t>
      </w:r>
      <w:r>
        <w:rPr/>
        <w:t>edilen</w:t>
      </w:r>
      <w:r>
        <w:rPr>
          <w:spacing w:val="-12"/>
        </w:rPr>
        <w:t> </w:t>
      </w:r>
      <w:r>
        <w:rPr/>
        <w:t>cerrahi</w:t>
      </w:r>
      <w:r>
        <w:rPr>
          <w:spacing w:val="-12"/>
        </w:rPr>
        <w:t> </w:t>
      </w:r>
      <w:r>
        <w:rPr/>
        <w:t>yöntem, anestezik maddeler, cerrahi süresinde vücut pozisyonu, cerrahinin süresi, insizyonun yeri ve tipi gibi faktörler</w:t>
      </w:r>
      <w:r>
        <w:rPr>
          <w:spacing w:val="-5"/>
        </w:rPr>
        <w:t> </w:t>
      </w:r>
      <w:r>
        <w:rPr/>
        <w:t>etkilidir.</w:t>
      </w:r>
    </w:p>
    <w:p>
      <w:pPr>
        <w:spacing w:after="0" w:line="357" w:lineRule="auto"/>
        <w:jc w:val="both"/>
        <w:sectPr>
          <w:pgSz w:w="11910" w:h="16840"/>
          <w:pgMar w:header="749" w:footer="0" w:top="1320" w:bottom="280" w:left="1680" w:right="840"/>
        </w:sectPr>
      </w:pPr>
    </w:p>
    <w:p>
      <w:pPr>
        <w:pStyle w:val="BodyText"/>
        <w:spacing w:line="360" w:lineRule="auto" w:before="88"/>
        <w:ind w:left="588" w:right="290" w:firstLine="708"/>
        <w:jc w:val="both"/>
      </w:pPr>
      <w:r>
        <w:rPr/>
        <w:t>Cerrahiden sonra en çok etkilenen akciğer kapasitesi vital kapasitedir (VK) ve cerrahinin yerine göre VK’deki etkilenim değişir. VK’deki azalma sırasıyla büyükten küçüğe doğru üst abdominal cerrahiler, alt abdominal cerrahiler ve rezeksiyon yapılmayan torakotomi cerrahileridir (Ali 1974).</w:t>
      </w:r>
    </w:p>
    <w:p>
      <w:pPr>
        <w:pStyle w:val="BodyText"/>
        <w:spacing w:line="360" w:lineRule="auto" w:before="160"/>
        <w:ind w:left="588" w:right="290" w:firstLine="708"/>
        <w:jc w:val="both"/>
      </w:pPr>
      <w:r>
        <w:rPr/>
        <w:t>Solunum kaslarının cerrahi sonrasında kasılma paternleri ve tonusları etkilenir. Kolorektal cerrahilerde de kullanılan supin pozisyonu en çok tercih edilen pozisyondur ve bu pozisyonda uzun süre kalan hastalarda zorlu vital kapasitede %20 ye varan azalmalar görülmektedir. Bu değişim nöromusküler hastalık, obezite, kronik obstüriktif akciğer</w:t>
      </w:r>
      <w:r>
        <w:rPr>
          <w:spacing w:val="-9"/>
        </w:rPr>
        <w:t> </w:t>
      </w:r>
      <w:r>
        <w:rPr/>
        <w:t>hastalığı</w:t>
      </w:r>
      <w:r>
        <w:rPr>
          <w:spacing w:val="-9"/>
        </w:rPr>
        <w:t> </w:t>
      </w:r>
      <w:r>
        <w:rPr/>
        <w:t>ve</w:t>
      </w:r>
      <w:r>
        <w:rPr>
          <w:spacing w:val="-6"/>
        </w:rPr>
        <w:t> </w:t>
      </w:r>
      <w:r>
        <w:rPr/>
        <w:t>diyafragma</w:t>
      </w:r>
      <w:r>
        <w:rPr>
          <w:spacing w:val="-7"/>
        </w:rPr>
        <w:t> </w:t>
      </w:r>
      <w:r>
        <w:rPr/>
        <w:t>disfonksiyonu</w:t>
      </w:r>
      <w:r>
        <w:rPr>
          <w:spacing w:val="-7"/>
        </w:rPr>
        <w:t> </w:t>
      </w:r>
      <w:r>
        <w:rPr/>
        <w:t>gibi</w:t>
      </w:r>
      <w:r>
        <w:rPr>
          <w:spacing w:val="-9"/>
        </w:rPr>
        <w:t> </w:t>
      </w:r>
      <w:r>
        <w:rPr/>
        <w:t>ek</w:t>
      </w:r>
      <w:r>
        <w:rPr>
          <w:spacing w:val="-6"/>
        </w:rPr>
        <w:t> </w:t>
      </w:r>
      <w:r>
        <w:rPr/>
        <w:t>sorunların</w:t>
      </w:r>
      <w:r>
        <w:rPr>
          <w:spacing w:val="-7"/>
        </w:rPr>
        <w:t> </w:t>
      </w:r>
      <w:r>
        <w:rPr/>
        <w:t>varlığında</w:t>
      </w:r>
      <w:r>
        <w:rPr>
          <w:spacing w:val="-6"/>
        </w:rPr>
        <w:t> </w:t>
      </w:r>
      <w:r>
        <w:rPr/>
        <w:t>daha</w:t>
      </w:r>
      <w:r>
        <w:rPr>
          <w:spacing w:val="-10"/>
        </w:rPr>
        <w:t> </w:t>
      </w:r>
      <w:r>
        <w:rPr/>
        <w:t>fazladır (Allen ve Hunt 1985).</w:t>
      </w:r>
    </w:p>
    <w:p>
      <w:pPr>
        <w:pStyle w:val="BodyText"/>
        <w:spacing w:line="360" w:lineRule="auto" w:before="160"/>
        <w:ind w:left="588" w:right="287" w:firstLine="708"/>
        <w:jc w:val="both"/>
      </w:pPr>
      <w:r>
        <w:rPr/>
        <w:t>Cerrahi yöntemler karşılaştırıldığında PPK en çok toraks ve üst abdominal cerrahilerinde görülür. PPK görülme riski kesinin diyafragmaya olan yakınlığıyla doğru orantılıdır.</w:t>
      </w:r>
      <w:r>
        <w:rPr>
          <w:spacing w:val="-13"/>
        </w:rPr>
        <w:t> </w:t>
      </w:r>
      <w:r>
        <w:rPr/>
        <w:t>Ayrıca</w:t>
      </w:r>
      <w:r>
        <w:rPr>
          <w:spacing w:val="-14"/>
        </w:rPr>
        <w:t> </w:t>
      </w:r>
      <w:r>
        <w:rPr/>
        <w:t>vertikal</w:t>
      </w:r>
      <w:r>
        <w:rPr>
          <w:spacing w:val="-20"/>
        </w:rPr>
        <w:t> </w:t>
      </w:r>
      <w:r>
        <w:rPr/>
        <w:t>kesilerin</w:t>
      </w:r>
      <w:r>
        <w:rPr>
          <w:spacing w:val="-16"/>
        </w:rPr>
        <w:t> </w:t>
      </w:r>
      <w:r>
        <w:rPr/>
        <w:t>horizontal</w:t>
      </w:r>
      <w:r>
        <w:rPr>
          <w:spacing w:val="-18"/>
        </w:rPr>
        <w:t> </w:t>
      </w:r>
      <w:r>
        <w:rPr/>
        <w:t>kesilere</w:t>
      </w:r>
      <w:r>
        <w:rPr>
          <w:spacing w:val="-15"/>
        </w:rPr>
        <w:t> </w:t>
      </w:r>
      <w:r>
        <w:rPr/>
        <w:t>kıyasla</w:t>
      </w:r>
      <w:r>
        <w:rPr>
          <w:spacing w:val="-14"/>
        </w:rPr>
        <w:t> </w:t>
      </w:r>
      <w:r>
        <w:rPr/>
        <w:t>daha</w:t>
      </w:r>
      <w:r>
        <w:rPr>
          <w:spacing w:val="-15"/>
        </w:rPr>
        <w:t> </w:t>
      </w:r>
      <w:r>
        <w:rPr/>
        <w:t>çok</w:t>
      </w:r>
      <w:r>
        <w:rPr>
          <w:spacing w:val="-14"/>
        </w:rPr>
        <w:t> </w:t>
      </w:r>
      <w:r>
        <w:rPr/>
        <w:t>dermatom</w:t>
      </w:r>
      <w:r>
        <w:rPr>
          <w:spacing w:val="-14"/>
        </w:rPr>
        <w:t> </w:t>
      </w:r>
      <w:r>
        <w:rPr/>
        <w:t>alanını etkilemesi ve daha çok post-operatif ağrı ile refleksi diyafragma inhibisyonu nedeniyle PPK oranında artışa neden olduğu yapılan çalışmalarda gösterilmiştir. Kolorektal cerrahilerde</w:t>
      </w:r>
      <w:r>
        <w:rPr>
          <w:spacing w:val="-17"/>
        </w:rPr>
        <w:t> </w:t>
      </w:r>
      <w:r>
        <w:rPr/>
        <w:t>de</w:t>
      </w:r>
      <w:r>
        <w:rPr>
          <w:spacing w:val="-20"/>
        </w:rPr>
        <w:t> </w:t>
      </w:r>
      <w:r>
        <w:rPr/>
        <w:t>en</w:t>
      </w:r>
      <w:r>
        <w:rPr>
          <w:spacing w:val="-17"/>
        </w:rPr>
        <w:t> </w:t>
      </w:r>
      <w:r>
        <w:rPr/>
        <w:t>sık</w:t>
      </w:r>
      <w:r>
        <w:rPr>
          <w:spacing w:val="-17"/>
        </w:rPr>
        <w:t> </w:t>
      </w:r>
      <w:r>
        <w:rPr/>
        <w:t>tercih</w:t>
      </w:r>
      <w:r>
        <w:rPr>
          <w:spacing w:val="-17"/>
        </w:rPr>
        <w:t> </w:t>
      </w:r>
      <w:r>
        <w:rPr/>
        <w:t>edilen</w:t>
      </w:r>
      <w:r>
        <w:rPr>
          <w:spacing w:val="-16"/>
        </w:rPr>
        <w:t> </w:t>
      </w:r>
      <w:r>
        <w:rPr/>
        <w:t>vertikal</w:t>
      </w:r>
      <w:r>
        <w:rPr>
          <w:spacing w:val="-20"/>
        </w:rPr>
        <w:t> </w:t>
      </w:r>
      <w:r>
        <w:rPr/>
        <w:t>kesinin</w:t>
      </w:r>
      <w:r>
        <w:rPr>
          <w:spacing w:val="-19"/>
        </w:rPr>
        <w:t> </w:t>
      </w:r>
      <w:r>
        <w:rPr/>
        <w:t>zorlu</w:t>
      </w:r>
      <w:r>
        <w:rPr>
          <w:spacing w:val="-17"/>
        </w:rPr>
        <w:t> </w:t>
      </w:r>
      <w:r>
        <w:rPr/>
        <w:t>ekspiratuar</w:t>
      </w:r>
      <w:r>
        <w:rPr>
          <w:spacing w:val="-20"/>
        </w:rPr>
        <w:t> </w:t>
      </w:r>
      <w:r>
        <w:rPr/>
        <w:t>kasların</w:t>
      </w:r>
      <w:r>
        <w:rPr>
          <w:spacing w:val="-17"/>
        </w:rPr>
        <w:t> </w:t>
      </w:r>
      <w:r>
        <w:rPr/>
        <w:t>bütünlüğünü bozması, etkin olmayan öksürüğe ve dolayısıyla sekresyon temizlenmesindeki bozulmayla birlikte enfeksiyon gelişmesine sebep olur (Sarikaya</w:t>
      </w:r>
      <w:r>
        <w:rPr>
          <w:spacing w:val="-5"/>
        </w:rPr>
        <w:t> </w:t>
      </w:r>
      <w:r>
        <w:rPr/>
        <w:t>2006).</w:t>
      </w:r>
    </w:p>
    <w:p>
      <w:pPr>
        <w:pStyle w:val="BodyText"/>
        <w:rPr>
          <w:sz w:val="24"/>
        </w:rPr>
      </w:pPr>
    </w:p>
    <w:p>
      <w:pPr>
        <w:pStyle w:val="BodyText"/>
        <w:rPr>
          <w:sz w:val="24"/>
        </w:rPr>
      </w:pPr>
    </w:p>
    <w:p>
      <w:pPr>
        <w:pStyle w:val="Heading2"/>
        <w:numPr>
          <w:ilvl w:val="1"/>
          <w:numId w:val="2"/>
        </w:numPr>
        <w:tabs>
          <w:tab w:pos="958" w:val="left" w:leader="none"/>
        </w:tabs>
        <w:spacing w:line="240" w:lineRule="auto" w:before="145" w:after="0"/>
        <w:ind w:left="957" w:right="0" w:hanging="370"/>
        <w:jc w:val="left"/>
      </w:pPr>
      <w:bookmarkStart w:name="_bookmark24" w:id="41"/>
      <w:bookmarkEnd w:id="41"/>
      <w:r>
        <w:rPr>
          <w:b w:val="0"/>
        </w:rPr>
      </w:r>
      <w:bookmarkStart w:name="_bookmark24" w:id="42"/>
      <w:bookmarkEnd w:id="42"/>
      <w:r>
        <w:rPr/>
        <w:t>K</w:t>
      </w:r>
      <w:r>
        <w:rPr/>
        <w:t>olorektal Cerrahilerde Fizyoterapi ve Rehabilitasyon ve</w:t>
      </w:r>
      <w:r>
        <w:rPr>
          <w:spacing w:val="1"/>
        </w:rPr>
        <w:t> </w:t>
      </w:r>
      <w:r>
        <w:rPr/>
        <w:t>Hedefleri</w:t>
      </w:r>
    </w:p>
    <w:p>
      <w:pPr>
        <w:pStyle w:val="BodyText"/>
        <w:spacing w:before="9"/>
        <w:rPr>
          <w:b/>
          <w:sz w:val="21"/>
        </w:rPr>
      </w:pPr>
    </w:p>
    <w:p>
      <w:pPr>
        <w:pStyle w:val="BodyText"/>
        <w:spacing w:line="360" w:lineRule="auto"/>
        <w:ind w:left="588" w:right="288" w:firstLine="708"/>
        <w:jc w:val="both"/>
      </w:pPr>
      <w:r>
        <w:rPr/>
        <w:t>Kolorektal cerrahi geçiren hastalarda ameliyat öncesi ve sonrası uygulanan fizyoterapi uygulamaları PPK’nin önlenmesinde ve tedavisinde büyük önem taşır. Cerrahi sonrası derin inspirasyonu sağlamak, normal solunum paternini elde etmek, biriken sekresyonların hava yollarından temizlenmesini sağlayarak atelektazileri ve bronkopulmoner enfeksiyonları önlemek, göğüs duvarının mobilizasyonunu artırmak, solunum kaslarının gücünü artırmak ve hastanade kalış süresini azaltmak pulmoner rehabilitasyonun amaçlarındandır (Elay vd. 2015, Sarikaya 2006).</w:t>
      </w:r>
    </w:p>
    <w:p>
      <w:pPr>
        <w:pStyle w:val="BodyText"/>
        <w:rPr>
          <w:sz w:val="24"/>
        </w:rPr>
      </w:pPr>
    </w:p>
    <w:p>
      <w:pPr>
        <w:pStyle w:val="BodyText"/>
        <w:rPr>
          <w:sz w:val="24"/>
        </w:rPr>
      </w:pPr>
    </w:p>
    <w:p>
      <w:pPr>
        <w:pStyle w:val="Heading2"/>
        <w:numPr>
          <w:ilvl w:val="1"/>
          <w:numId w:val="2"/>
        </w:numPr>
        <w:tabs>
          <w:tab w:pos="958" w:val="left" w:leader="none"/>
        </w:tabs>
        <w:spacing w:line="240" w:lineRule="auto" w:before="145" w:after="0"/>
        <w:ind w:left="958" w:right="0" w:hanging="370"/>
        <w:jc w:val="left"/>
      </w:pPr>
      <w:bookmarkStart w:name="_bookmark25" w:id="43"/>
      <w:bookmarkEnd w:id="43"/>
      <w:r>
        <w:rPr>
          <w:b w:val="0"/>
        </w:rPr>
      </w:r>
      <w:bookmarkStart w:name="_bookmark25" w:id="44"/>
      <w:bookmarkEnd w:id="44"/>
      <w:r>
        <w:rPr/>
        <w:t>K</w:t>
      </w:r>
      <w:r>
        <w:rPr/>
        <w:t>olorektal Cerrahilerde Uygulanan Fizyoterapi ve Rehabilitasyon</w:t>
      </w:r>
      <w:r>
        <w:rPr>
          <w:spacing w:val="-7"/>
        </w:rPr>
        <w:t> </w:t>
      </w:r>
      <w:r>
        <w:rPr/>
        <w:t>Teknikleri</w:t>
      </w:r>
    </w:p>
    <w:p>
      <w:pPr>
        <w:pStyle w:val="BodyText"/>
        <w:spacing w:before="7"/>
        <w:rPr>
          <w:b/>
          <w:sz w:val="21"/>
        </w:rPr>
      </w:pPr>
    </w:p>
    <w:p>
      <w:pPr>
        <w:pStyle w:val="BodyText"/>
        <w:spacing w:line="360" w:lineRule="auto" w:before="1"/>
        <w:ind w:left="588" w:right="292" w:firstLine="708"/>
        <w:jc w:val="both"/>
      </w:pPr>
      <w:r>
        <w:rPr/>
        <w:t>Cerrahi sonrasında akciğer hacimlerini artırmak, biriken sekresyonların solunum yollarından</w:t>
      </w:r>
      <w:r>
        <w:rPr>
          <w:spacing w:val="-15"/>
        </w:rPr>
        <w:t> </w:t>
      </w:r>
      <w:r>
        <w:rPr/>
        <w:t>temizlenmesini</w:t>
      </w:r>
      <w:r>
        <w:rPr>
          <w:spacing w:val="-15"/>
        </w:rPr>
        <w:t> </w:t>
      </w:r>
      <w:r>
        <w:rPr/>
        <w:t>sağlamak</w:t>
      </w:r>
      <w:r>
        <w:rPr>
          <w:spacing w:val="-14"/>
        </w:rPr>
        <w:t> </w:t>
      </w:r>
      <w:r>
        <w:rPr/>
        <w:t>ve</w:t>
      </w:r>
      <w:r>
        <w:rPr>
          <w:spacing w:val="-13"/>
        </w:rPr>
        <w:t> </w:t>
      </w:r>
      <w:r>
        <w:rPr/>
        <w:t>solunum</w:t>
      </w:r>
      <w:r>
        <w:rPr>
          <w:spacing w:val="-15"/>
        </w:rPr>
        <w:t> </w:t>
      </w:r>
      <w:r>
        <w:rPr/>
        <w:t>iş</w:t>
      </w:r>
      <w:r>
        <w:rPr>
          <w:spacing w:val="-14"/>
        </w:rPr>
        <w:t> </w:t>
      </w:r>
      <w:r>
        <w:rPr/>
        <w:t>yükünü</w:t>
      </w:r>
      <w:r>
        <w:rPr>
          <w:spacing w:val="-16"/>
        </w:rPr>
        <w:t> </w:t>
      </w:r>
      <w:r>
        <w:rPr/>
        <w:t>azaltmak</w:t>
      </w:r>
      <w:r>
        <w:rPr>
          <w:spacing w:val="-14"/>
        </w:rPr>
        <w:t> </w:t>
      </w:r>
      <w:r>
        <w:rPr/>
        <w:t>için;</w:t>
      </w:r>
      <w:r>
        <w:rPr>
          <w:spacing w:val="-16"/>
        </w:rPr>
        <w:t> </w:t>
      </w:r>
      <w:r>
        <w:rPr/>
        <w:t>derin</w:t>
      </w:r>
      <w:r>
        <w:rPr>
          <w:spacing w:val="-15"/>
        </w:rPr>
        <w:t> </w:t>
      </w:r>
      <w:r>
        <w:rPr/>
        <w:t>solunum egzersizleri, destekli öksürme, huffing, postüral drenaj ve manuel drenaj teknikleri, insentif spirometre, solunum kas eğitimi, erken mobilizasyon, pozisyonlama gibi pulmoner rehabilitasyon teknikleri kullanılmaktadır (Overend vd. 2001, Raff GW</w:t>
      </w:r>
      <w:r>
        <w:rPr>
          <w:spacing w:val="-21"/>
        </w:rPr>
        <w:t> </w:t>
      </w:r>
      <w:r>
        <w:rPr/>
        <w:t>1999).</w:t>
      </w:r>
    </w:p>
    <w:p>
      <w:pPr>
        <w:spacing w:after="0" w:line="360" w:lineRule="auto"/>
        <w:jc w:val="both"/>
        <w:sectPr>
          <w:pgSz w:w="11910" w:h="16840"/>
          <w:pgMar w:header="749" w:footer="0" w:top="1320" w:bottom="280" w:left="1680" w:right="840"/>
        </w:sectPr>
      </w:pPr>
    </w:p>
    <w:p>
      <w:pPr>
        <w:pStyle w:val="BodyText"/>
        <w:rPr>
          <w:sz w:val="20"/>
        </w:rPr>
      </w:pPr>
    </w:p>
    <w:p>
      <w:pPr>
        <w:pStyle w:val="BodyText"/>
        <w:spacing w:before="6"/>
        <w:rPr>
          <w:sz w:val="26"/>
        </w:rPr>
      </w:pPr>
    </w:p>
    <w:p>
      <w:pPr>
        <w:pStyle w:val="BodyText"/>
        <w:spacing w:line="360" w:lineRule="auto" w:before="93"/>
        <w:ind w:left="588" w:right="286" w:firstLine="708"/>
        <w:jc w:val="both"/>
      </w:pPr>
      <w:r>
        <w:rPr/>
        <w:t>Pozisyonlama; durumu stabil olmayan hastalarda sıkça tercih edilen pozisyonlama ventilasyon perfüzyon oranını (V/Q) iyileştirerek oksijenizasyonu artırır. Akut solunum yetmezliği bulunan hastalarda hasta akciğer üstte kalacak şekilde pozisyonlandığında</w:t>
      </w:r>
      <w:r>
        <w:rPr>
          <w:spacing w:val="-18"/>
        </w:rPr>
        <w:t> </w:t>
      </w:r>
      <w:r>
        <w:rPr/>
        <w:t>oksijenin</w:t>
      </w:r>
      <w:r>
        <w:rPr>
          <w:spacing w:val="-17"/>
        </w:rPr>
        <w:t> </w:t>
      </w:r>
      <w:r>
        <w:rPr/>
        <w:t>etkin</w:t>
      </w:r>
      <w:r>
        <w:rPr>
          <w:spacing w:val="-18"/>
        </w:rPr>
        <w:t> </w:t>
      </w:r>
      <w:r>
        <w:rPr/>
        <w:t>kullanımının</w:t>
      </w:r>
      <w:r>
        <w:rPr>
          <w:spacing w:val="-17"/>
        </w:rPr>
        <w:t> </w:t>
      </w:r>
      <w:r>
        <w:rPr/>
        <w:t>arttığı</w:t>
      </w:r>
      <w:r>
        <w:rPr>
          <w:spacing w:val="-20"/>
        </w:rPr>
        <w:t> </w:t>
      </w:r>
      <w:r>
        <w:rPr/>
        <w:t>gösterilmiştir.</w:t>
      </w:r>
      <w:r>
        <w:rPr>
          <w:spacing w:val="-15"/>
        </w:rPr>
        <w:t> </w:t>
      </w:r>
      <w:r>
        <w:rPr/>
        <w:t>Yan</w:t>
      </w:r>
      <w:r>
        <w:rPr>
          <w:spacing w:val="-17"/>
        </w:rPr>
        <w:t> </w:t>
      </w:r>
      <w:r>
        <w:rPr/>
        <w:t>yatış</w:t>
      </w:r>
      <w:r>
        <w:rPr>
          <w:spacing w:val="-17"/>
        </w:rPr>
        <w:t> </w:t>
      </w:r>
      <w:r>
        <w:rPr/>
        <w:t>pozisyonu sırt</w:t>
      </w:r>
      <w:r>
        <w:rPr>
          <w:spacing w:val="-6"/>
        </w:rPr>
        <w:t> </w:t>
      </w:r>
      <w:r>
        <w:rPr/>
        <w:t>üstü</w:t>
      </w:r>
      <w:r>
        <w:rPr>
          <w:spacing w:val="-5"/>
        </w:rPr>
        <w:t> </w:t>
      </w:r>
      <w:r>
        <w:rPr/>
        <w:t>pozisyon</w:t>
      </w:r>
      <w:r>
        <w:rPr>
          <w:spacing w:val="-6"/>
        </w:rPr>
        <w:t> </w:t>
      </w:r>
      <w:r>
        <w:rPr/>
        <w:t>ile</w:t>
      </w:r>
      <w:r>
        <w:rPr>
          <w:spacing w:val="-6"/>
        </w:rPr>
        <w:t> </w:t>
      </w:r>
      <w:r>
        <w:rPr/>
        <w:t>karşılaştırıldığında</w:t>
      </w:r>
      <w:r>
        <w:rPr>
          <w:spacing w:val="-6"/>
        </w:rPr>
        <w:t> </w:t>
      </w:r>
      <w:r>
        <w:rPr/>
        <w:t>V/Q</w:t>
      </w:r>
      <w:r>
        <w:rPr>
          <w:spacing w:val="-5"/>
        </w:rPr>
        <w:t> </w:t>
      </w:r>
      <w:r>
        <w:rPr/>
        <w:t>oranını</w:t>
      </w:r>
      <w:r>
        <w:rPr>
          <w:spacing w:val="-7"/>
        </w:rPr>
        <w:t> </w:t>
      </w:r>
      <w:r>
        <w:rPr/>
        <w:t>daha</w:t>
      </w:r>
      <w:r>
        <w:rPr>
          <w:spacing w:val="-6"/>
        </w:rPr>
        <w:t> </w:t>
      </w:r>
      <w:r>
        <w:rPr/>
        <w:t>çok</w:t>
      </w:r>
      <w:r>
        <w:rPr>
          <w:spacing w:val="-4"/>
        </w:rPr>
        <w:t> </w:t>
      </w:r>
      <w:r>
        <w:rPr/>
        <w:t>iyileştirdiği</w:t>
      </w:r>
      <w:r>
        <w:rPr>
          <w:spacing w:val="-7"/>
        </w:rPr>
        <w:t> </w:t>
      </w:r>
      <w:r>
        <w:rPr/>
        <w:t>ve</w:t>
      </w:r>
      <w:r>
        <w:rPr>
          <w:spacing w:val="-4"/>
        </w:rPr>
        <w:t> </w:t>
      </w:r>
      <w:r>
        <w:rPr/>
        <w:t>fonksiyonel rezidüel kapasiteyi artırdığı belirlenmiştir. Pozisyonlama yöntemlerinden bir tanesi de postüral drenajdır. Yer çekiminden faydalanarak akciğer segmentlerini uygun şekilde pozisyonlamak sekresyonların atılımını kolaylaştıracaktır. (Savcı S</w:t>
      </w:r>
      <w:r>
        <w:rPr>
          <w:spacing w:val="-4"/>
        </w:rPr>
        <w:t> </w:t>
      </w:r>
      <w:r>
        <w:rPr/>
        <w:t>2001).</w:t>
      </w:r>
    </w:p>
    <w:p>
      <w:pPr>
        <w:pStyle w:val="BodyText"/>
        <w:spacing w:line="360" w:lineRule="auto" w:before="160"/>
        <w:ind w:left="588" w:right="289" w:firstLine="708"/>
        <w:jc w:val="both"/>
      </w:pPr>
      <w:r>
        <w:rPr/>
        <w:t>İnspiratuar kapasiteyi ve akciğer kompliyansını artırmak amacıyla saatte bir uygulanan 5-6 derin nefesle birlikte inspirasyon sonunda 5-6 sn nefes tutulmasından oluşan solunum egzersizlerinin cerrahi sonrası oluşan atelektazileri önlediği ve tedavi ettiği gösterilmiştir (Stiller 2000).</w:t>
      </w:r>
    </w:p>
    <w:p>
      <w:pPr>
        <w:pStyle w:val="BodyText"/>
        <w:rPr>
          <w:sz w:val="24"/>
        </w:rPr>
      </w:pPr>
    </w:p>
    <w:p>
      <w:pPr>
        <w:pStyle w:val="BodyText"/>
        <w:rPr>
          <w:sz w:val="24"/>
        </w:rPr>
      </w:pPr>
    </w:p>
    <w:p>
      <w:pPr>
        <w:pStyle w:val="Heading2"/>
        <w:numPr>
          <w:ilvl w:val="2"/>
          <w:numId w:val="2"/>
        </w:numPr>
        <w:tabs>
          <w:tab w:pos="1203" w:val="left" w:leader="none"/>
        </w:tabs>
        <w:spacing w:line="240" w:lineRule="auto" w:before="143" w:after="0"/>
        <w:ind w:left="1202" w:right="0" w:hanging="615"/>
        <w:jc w:val="left"/>
      </w:pPr>
      <w:bookmarkStart w:name="_bookmark26" w:id="45"/>
      <w:bookmarkEnd w:id="45"/>
      <w:r>
        <w:rPr>
          <w:b w:val="0"/>
        </w:rPr>
      </w:r>
      <w:bookmarkStart w:name="_bookmark26" w:id="46"/>
      <w:bookmarkEnd w:id="46"/>
      <w:r>
        <w:rPr/>
        <w:t>S</w:t>
      </w:r>
      <w:r>
        <w:rPr/>
        <w:t>olunum</w:t>
      </w:r>
      <w:r>
        <w:rPr>
          <w:spacing w:val="-3"/>
        </w:rPr>
        <w:t> </w:t>
      </w:r>
      <w:r>
        <w:rPr/>
        <w:t>Egzersizleri</w:t>
      </w:r>
    </w:p>
    <w:p>
      <w:pPr>
        <w:pStyle w:val="BodyText"/>
        <w:spacing w:before="9"/>
        <w:rPr>
          <w:b/>
          <w:sz w:val="21"/>
        </w:rPr>
      </w:pPr>
    </w:p>
    <w:p>
      <w:pPr>
        <w:pStyle w:val="BodyText"/>
        <w:spacing w:line="360" w:lineRule="auto"/>
        <w:ind w:left="588" w:right="291" w:firstLine="708"/>
        <w:jc w:val="both"/>
      </w:pPr>
      <w:r>
        <w:rPr/>
        <w:t>Koopere ve spontan soluyabilen hastalarda solunum egzersizleri akciğer volümünün artmasını sağlar. Solunum egzersizleri ile derin inspirasyon stimüle edilir ve tidal volüm ile toraks mobilitesi artırılır. Ayrıca etkin ve destekli öksürme ile sekresyon atılımı</w:t>
      </w:r>
      <w:r>
        <w:rPr>
          <w:spacing w:val="-11"/>
        </w:rPr>
        <w:t> </w:t>
      </w:r>
      <w:r>
        <w:rPr/>
        <w:t>kolaylaşır.</w:t>
      </w:r>
      <w:r>
        <w:rPr>
          <w:spacing w:val="-6"/>
        </w:rPr>
        <w:t> </w:t>
      </w:r>
      <w:r>
        <w:rPr/>
        <w:t>Solunum</w:t>
      </w:r>
      <w:r>
        <w:rPr>
          <w:spacing w:val="-7"/>
        </w:rPr>
        <w:t> </w:t>
      </w:r>
      <w:r>
        <w:rPr/>
        <w:t>egzersizleri</w:t>
      </w:r>
      <w:r>
        <w:rPr>
          <w:spacing w:val="-8"/>
        </w:rPr>
        <w:t> </w:t>
      </w:r>
      <w:r>
        <w:rPr/>
        <w:t>cerrahi</w:t>
      </w:r>
      <w:r>
        <w:rPr>
          <w:spacing w:val="-10"/>
        </w:rPr>
        <w:t> </w:t>
      </w:r>
      <w:r>
        <w:rPr/>
        <w:t>geçiren</w:t>
      </w:r>
      <w:r>
        <w:rPr>
          <w:spacing w:val="-8"/>
        </w:rPr>
        <w:t> </w:t>
      </w:r>
      <w:r>
        <w:rPr/>
        <w:t>hastalarda</w:t>
      </w:r>
      <w:r>
        <w:rPr>
          <w:spacing w:val="-9"/>
        </w:rPr>
        <w:t> </w:t>
      </w:r>
      <w:r>
        <w:rPr/>
        <w:t>rahatlıkla</w:t>
      </w:r>
      <w:r>
        <w:rPr>
          <w:spacing w:val="-9"/>
        </w:rPr>
        <w:t> </w:t>
      </w:r>
      <w:r>
        <w:rPr/>
        <w:t>kullanılabilir (Pryor ve Webber</w:t>
      </w:r>
      <w:r>
        <w:rPr>
          <w:spacing w:val="-3"/>
        </w:rPr>
        <w:t> </w:t>
      </w:r>
      <w:r>
        <w:rPr/>
        <w:t>1998).</w:t>
      </w:r>
    </w:p>
    <w:p>
      <w:pPr>
        <w:pStyle w:val="BodyText"/>
        <w:spacing w:line="360" w:lineRule="auto" w:before="160"/>
        <w:ind w:left="588" w:right="290" w:firstLine="708"/>
        <w:jc w:val="both"/>
      </w:pPr>
      <w:r>
        <w:rPr/>
        <w:t>Hava yolu temizleme teknikleri olarak öksürme ve huffingin yanı sıra manuel drenaj</w:t>
      </w:r>
      <w:r>
        <w:rPr>
          <w:spacing w:val="-20"/>
        </w:rPr>
        <w:t> </w:t>
      </w:r>
      <w:r>
        <w:rPr/>
        <w:t>teknikleri</w:t>
      </w:r>
      <w:r>
        <w:rPr>
          <w:spacing w:val="-18"/>
        </w:rPr>
        <w:t> </w:t>
      </w:r>
      <w:r>
        <w:rPr/>
        <w:t>de</w:t>
      </w:r>
      <w:r>
        <w:rPr>
          <w:spacing w:val="-21"/>
        </w:rPr>
        <w:t> </w:t>
      </w:r>
      <w:r>
        <w:rPr/>
        <w:t>kullanılmaktadır.</w:t>
      </w:r>
      <w:r>
        <w:rPr>
          <w:spacing w:val="-16"/>
        </w:rPr>
        <w:t> </w:t>
      </w:r>
      <w:r>
        <w:rPr/>
        <w:t>Hipoksemi,</w:t>
      </w:r>
      <w:r>
        <w:rPr>
          <w:spacing w:val="-18"/>
        </w:rPr>
        <w:t> </w:t>
      </w:r>
      <w:r>
        <w:rPr/>
        <w:t>su</w:t>
      </w:r>
      <w:r>
        <w:rPr>
          <w:spacing w:val="-21"/>
        </w:rPr>
        <w:t> </w:t>
      </w:r>
      <w:r>
        <w:rPr/>
        <w:t>kaybı,</w:t>
      </w:r>
      <w:r>
        <w:rPr>
          <w:spacing w:val="-16"/>
        </w:rPr>
        <w:t> </w:t>
      </w:r>
      <w:r>
        <w:rPr/>
        <w:t>immobilite,</w:t>
      </w:r>
      <w:r>
        <w:rPr>
          <w:spacing w:val="-18"/>
        </w:rPr>
        <w:t> </w:t>
      </w:r>
      <w:r>
        <w:rPr/>
        <w:t>ve</w:t>
      </w:r>
      <w:r>
        <w:rPr>
          <w:spacing w:val="-17"/>
        </w:rPr>
        <w:t> </w:t>
      </w:r>
      <w:r>
        <w:rPr/>
        <w:t>yeterli</w:t>
      </w:r>
      <w:r>
        <w:rPr>
          <w:spacing w:val="-18"/>
        </w:rPr>
        <w:t> </w:t>
      </w:r>
      <w:r>
        <w:rPr/>
        <w:t>nemliliğin bulunmadığı durumlarda siliyer aktiviteyi bozarak sekresyon birikimini artırır. Ayrıca abdominal kasların cerrahi sırasında bütünlüğünün bozulması ve solunum kaslarının anestezik</w:t>
      </w:r>
      <w:r>
        <w:rPr>
          <w:spacing w:val="-8"/>
        </w:rPr>
        <w:t> </w:t>
      </w:r>
      <w:r>
        <w:rPr/>
        <w:t>maddeden</w:t>
      </w:r>
      <w:r>
        <w:rPr>
          <w:spacing w:val="-8"/>
        </w:rPr>
        <w:t> </w:t>
      </w:r>
      <w:r>
        <w:rPr/>
        <w:t>etkilenmesi</w:t>
      </w:r>
      <w:r>
        <w:rPr>
          <w:spacing w:val="-8"/>
        </w:rPr>
        <w:t> </w:t>
      </w:r>
      <w:r>
        <w:rPr/>
        <w:t>nedeniyle</w:t>
      </w:r>
      <w:r>
        <w:rPr>
          <w:spacing w:val="-7"/>
        </w:rPr>
        <w:t> </w:t>
      </w:r>
      <w:r>
        <w:rPr/>
        <w:t>ekspiratuar</w:t>
      </w:r>
      <w:r>
        <w:rPr>
          <w:spacing w:val="-8"/>
        </w:rPr>
        <w:t> </w:t>
      </w:r>
      <w:r>
        <w:rPr/>
        <w:t>hava</w:t>
      </w:r>
      <w:r>
        <w:rPr>
          <w:spacing w:val="-7"/>
        </w:rPr>
        <w:t> </w:t>
      </w:r>
      <w:r>
        <w:rPr/>
        <w:t>akım</w:t>
      </w:r>
      <w:r>
        <w:rPr>
          <w:spacing w:val="-8"/>
        </w:rPr>
        <w:t> </w:t>
      </w:r>
      <w:r>
        <w:rPr/>
        <w:t>hızını</w:t>
      </w:r>
      <w:r>
        <w:rPr>
          <w:spacing w:val="-10"/>
        </w:rPr>
        <w:t> </w:t>
      </w:r>
      <w:r>
        <w:rPr/>
        <w:t>bozarak</w:t>
      </w:r>
      <w:r>
        <w:rPr>
          <w:spacing w:val="-7"/>
        </w:rPr>
        <w:t> </w:t>
      </w:r>
      <w:r>
        <w:rPr/>
        <w:t>etkisiz öksürükle sonuçlanır. Fizyoterapi programında bu tür durumlarla birlikte yapışkan sekresyonu bulunan hastalarda manüel drenaj tekniklerini tercih edilmektedir. En çok kullanılan teknikler perküsyon, vibrasyon ve shakingtir. Bu teknikler tercih edilirken hastanın durumu ve kontraendike durumlar dikkate alınmalıdır (Pryor ve Webber 1998, Spapen De Regt ve Honoré 2017, Wong</w:t>
      </w:r>
      <w:r>
        <w:rPr>
          <w:spacing w:val="-6"/>
        </w:rPr>
        <w:t> </w:t>
      </w:r>
      <w:r>
        <w:rPr/>
        <w:t>2000).</w:t>
      </w:r>
    </w:p>
    <w:p>
      <w:pPr>
        <w:pStyle w:val="BodyText"/>
        <w:spacing w:line="357" w:lineRule="auto" w:before="161"/>
        <w:ind w:left="588" w:right="294" w:firstLine="708"/>
        <w:jc w:val="both"/>
      </w:pPr>
      <w:r>
        <w:rPr/>
        <w:t>Akciğer ekspansiyon teknikleri de cerrahi sonrası derin inspirasyonu stimüle etmek ve göğüs kafesi mobilitesini artırmak böylelikle akciğer hacimlerinin artışına yardımcı olmak adına uygulanmaktadır.</w:t>
      </w:r>
    </w:p>
    <w:p>
      <w:pPr>
        <w:spacing w:after="0" w:line="357" w:lineRule="auto"/>
        <w:jc w:val="both"/>
        <w:sectPr>
          <w:pgSz w:w="11910" w:h="16840"/>
          <w:pgMar w:header="749" w:footer="0" w:top="1320" w:bottom="280" w:left="1680" w:right="840"/>
        </w:sectPr>
      </w:pPr>
    </w:p>
    <w:p>
      <w:pPr>
        <w:pStyle w:val="BodyText"/>
        <w:spacing w:line="360" w:lineRule="auto" w:before="88"/>
        <w:ind w:left="588" w:right="287" w:firstLine="708"/>
        <w:jc w:val="both"/>
      </w:pPr>
      <w:r>
        <w:rPr/>
        <w:t>Solunum egzersizlerinde yardımcı cihazlar da tercih edilmektedir. Özellikle klinikte sıkça kullanılan insentif spirometre bunlardan bir tanesidir. İS hastaların normal inspiratuar</w:t>
      </w:r>
      <w:r>
        <w:rPr>
          <w:spacing w:val="-7"/>
        </w:rPr>
        <w:t> </w:t>
      </w:r>
      <w:r>
        <w:rPr/>
        <w:t>çabasından</w:t>
      </w:r>
      <w:r>
        <w:rPr>
          <w:spacing w:val="-7"/>
        </w:rPr>
        <w:t> </w:t>
      </w:r>
      <w:r>
        <w:rPr/>
        <w:t>daha</w:t>
      </w:r>
      <w:r>
        <w:rPr>
          <w:spacing w:val="-10"/>
        </w:rPr>
        <w:t> </w:t>
      </w:r>
      <w:r>
        <w:rPr/>
        <w:t>fazla</w:t>
      </w:r>
      <w:r>
        <w:rPr>
          <w:spacing w:val="-7"/>
        </w:rPr>
        <w:t> </w:t>
      </w:r>
      <w:r>
        <w:rPr/>
        <w:t>bir</w:t>
      </w:r>
      <w:r>
        <w:rPr>
          <w:spacing w:val="-6"/>
        </w:rPr>
        <w:t> </w:t>
      </w:r>
      <w:r>
        <w:rPr/>
        <w:t>çaba</w:t>
      </w:r>
      <w:r>
        <w:rPr>
          <w:spacing w:val="-10"/>
        </w:rPr>
        <w:t> </w:t>
      </w:r>
      <w:r>
        <w:rPr/>
        <w:t>göstermesini</w:t>
      </w:r>
      <w:r>
        <w:rPr>
          <w:spacing w:val="-8"/>
        </w:rPr>
        <w:t> </w:t>
      </w:r>
      <w:r>
        <w:rPr/>
        <w:t>ve</w:t>
      </w:r>
      <w:r>
        <w:rPr>
          <w:spacing w:val="-7"/>
        </w:rPr>
        <w:t> </w:t>
      </w:r>
      <w:r>
        <w:rPr/>
        <w:t>bu</w:t>
      </w:r>
      <w:r>
        <w:rPr>
          <w:spacing w:val="-8"/>
        </w:rPr>
        <w:t> </w:t>
      </w:r>
      <w:r>
        <w:rPr/>
        <w:t>yolla</w:t>
      </w:r>
      <w:r>
        <w:rPr>
          <w:spacing w:val="-7"/>
        </w:rPr>
        <w:t> </w:t>
      </w:r>
      <w:r>
        <w:rPr/>
        <w:t>solunumu</w:t>
      </w:r>
      <w:r>
        <w:rPr>
          <w:spacing w:val="-7"/>
        </w:rPr>
        <w:t> </w:t>
      </w:r>
      <w:r>
        <w:rPr/>
        <w:t>uyarmayı amaçlar. Genc A ve ark. (2004) yaptığı çalışmada İS ‘nin parsiyel oksijen basıncını (PaO2) artırdığı ve herhangi bir yan etkisi bulunmadığı için alternatif bir tedavi seçeneği olduğu sonucuna ulaşmıştır. Tyson AF vd. (2015) yaptığı çalışmada ise İS’nin akciğer fonksiyonları üzerine anlamlı bir etkisinin olmadığını derin solunum egzersizlerine ek olarak kullanılmasını önermediklerini</w:t>
      </w:r>
      <w:r>
        <w:rPr>
          <w:spacing w:val="-7"/>
        </w:rPr>
        <w:t> </w:t>
      </w:r>
      <w:r>
        <w:rPr/>
        <w:t>söylemiştir.</w:t>
      </w:r>
    </w:p>
    <w:p>
      <w:pPr>
        <w:pStyle w:val="BodyText"/>
        <w:rPr>
          <w:sz w:val="24"/>
        </w:rPr>
      </w:pPr>
    </w:p>
    <w:p>
      <w:pPr>
        <w:pStyle w:val="BodyText"/>
        <w:rPr>
          <w:sz w:val="24"/>
        </w:rPr>
      </w:pPr>
    </w:p>
    <w:p>
      <w:pPr>
        <w:pStyle w:val="Heading2"/>
        <w:numPr>
          <w:ilvl w:val="2"/>
          <w:numId w:val="2"/>
        </w:numPr>
        <w:tabs>
          <w:tab w:pos="1203" w:val="left" w:leader="none"/>
        </w:tabs>
        <w:spacing w:line="240" w:lineRule="auto" w:before="145" w:after="0"/>
        <w:ind w:left="1202" w:right="0" w:hanging="615"/>
        <w:jc w:val="left"/>
      </w:pPr>
      <w:bookmarkStart w:name="_bookmark27" w:id="47"/>
      <w:bookmarkEnd w:id="47"/>
      <w:r>
        <w:rPr>
          <w:b w:val="0"/>
        </w:rPr>
      </w:r>
      <w:bookmarkStart w:name="_bookmark27" w:id="48"/>
      <w:bookmarkEnd w:id="48"/>
      <w:r>
        <w:rPr/>
        <w:t>E</w:t>
      </w:r>
      <w:r>
        <w:rPr/>
        <w:t>rken</w:t>
      </w:r>
      <w:r>
        <w:rPr>
          <w:spacing w:val="-6"/>
        </w:rPr>
        <w:t> </w:t>
      </w:r>
      <w:r>
        <w:rPr/>
        <w:t>Mobilizasyon</w:t>
      </w:r>
    </w:p>
    <w:p>
      <w:pPr>
        <w:pStyle w:val="BodyText"/>
        <w:spacing w:before="7"/>
        <w:rPr>
          <w:b/>
          <w:sz w:val="21"/>
        </w:rPr>
      </w:pPr>
    </w:p>
    <w:p>
      <w:pPr>
        <w:pStyle w:val="BodyText"/>
        <w:spacing w:line="360" w:lineRule="auto"/>
        <w:ind w:left="588" w:right="293" w:firstLine="708"/>
        <w:jc w:val="both"/>
      </w:pPr>
      <w:r>
        <w:rPr/>
        <w:t>Cerrahi sonrası uzun süreli yatak istirahati multiple organ sistemleri disfonksiyonuna katkıda bulunur. İmmobilite akciğer ve doku oksijenizasyonu dahil oksijen transportunda bozulmalara neden olur. Pulmoner tromboembolizm ve derin ven trombozu oluşmasında etkiliyken ayrıca kas kütlesi ve kuvvetinde de kayıplara neden olabilir (Ramos dos Santos ve Dias Chiavegato 2017).</w:t>
      </w:r>
    </w:p>
    <w:p>
      <w:pPr>
        <w:pStyle w:val="BodyText"/>
        <w:spacing w:line="360" w:lineRule="auto" w:before="162"/>
        <w:ind w:left="588" w:right="288" w:firstLine="708"/>
        <w:jc w:val="both"/>
      </w:pPr>
      <w:r>
        <w:rPr/>
        <w:t>Erken mobilizasyon fonksiyonel kapasiteyi ilerletmesi, ventilasyonu artırması, V/Q</w:t>
      </w:r>
      <w:r>
        <w:rPr>
          <w:spacing w:val="-9"/>
        </w:rPr>
        <w:t> </w:t>
      </w:r>
      <w:r>
        <w:rPr/>
        <w:t>eşletirmesi</w:t>
      </w:r>
      <w:r>
        <w:rPr>
          <w:spacing w:val="-11"/>
        </w:rPr>
        <w:t> </w:t>
      </w:r>
      <w:r>
        <w:rPr/>
        <w:t>ve</w:t>
      </w:r>
      <w:r>
        <w:rPr>
          <w:spacing w:val="-8"/>
        </w:rPr>
        <w:t> </w:t>
      </w:r>
      <w:r>
        <w:rPr/>
        <w:t>iyileşmeye</w:t>
      </w:r>
      <w:r>
        <w:rPr>
          <w:spacing w:val="-11"/>
        </w:rPr>
        <w:t> </w:t>
      </w:r>
      <w:r>
        <w:rPr/>
        <w:t>katkıda</w:t>
      </w:r>
      <w:r>
        <w:rPr>
          <w:spacing w:val="-9"/>
        </w:rPr>
        <w:t> </w:t>
      </w:r>
      <w:r>
        <w:rPr/>
        <w:t>bulunması</w:t>
      </w:r>
      <w:r>
        <w:rPr>
          <w:spacing w:val="-14"/>
        </w:rPr>
        <w:t> </w:t>
      </w:r>
      <w:r>
        <w:rPr/>
        <w:t>nedeniyle</w:t>
      </w:r>
      <w:r>
        <w:rPr>
          <w:spacing w:val="-8"/>
        </w:rPr>
        <w:t> </w:t>
      </w:r>
      <w:r>
        <w:rPr/>
        <w:t>önerilmektedir.</w:t>
      </w:r>
      <w:r>
        <w:rPr>
          <w:spacing w:val="-9"/>
        </w:rPr>
        <w:t> </w:t>
      </w:r>
      <w:r>
        <w:rPr/>
        <w:t>Her</w:t>
      </w:r>
      <w:r>
        <w:rPr>
          <w:spacing w:val="-10"/>
        </w:rPr>
        <w:t> </w:t>
      </w:r>
      <w:r>
        <w:rPr/>
        <w:t>ne</w:t>
      </w:r>
      <w:r>
        <w:rPr>
          <w:spacing w:val="-14"/>
        </w:rPr>
        <w:t> </w:t>
      </w:r>
      <w:r>
        <w:rPr/>
        <w:t>kadar cerrahi</w:t>
      </w:r>
      <w:r>
        <w:rPr>
          <w:spacing w:val="-14"/>
        </w:rPr>
        <w:t> </w:t>
      </w:r>
      <w:r>
        <w:rPr/>
        <w:t>sonrası</w:t>
      </w:r>
      <w:r>
        <w:rPr>
          <w:spacing w:val="-15"/>
        </w:rPr>
        <w:t> </w:t>
      </w:r>
      <w:r>
        <w:rPr/>
        <w:t>uygulanan</w:t>
      </w:r>
      <w:r>
        <w:rPr>
          <w:spacing w:val="-11"/>
        </w:rPr>
        <w:t> </w:t>
      </w:r>
      <w:r>
        <w:rPr/>
        <w:t>egzersizin</w:t>
      </w:r>
      <w:r>
        <w:rPr>
          <w:spacing w:val="-12"/>
        </w:rPr>
        <w:t> </w:t>
      </w:r>
      <w:r>
        <w:rPr/>
        <w:t>faydalarını</w:t>
      </w:r>
      <w:r>
        <w:rPr>
          <w:spacing w:val="-13"/>
        </w:rPr>
        <w:t> </w:t>
      </w:r>
      <w:r>
        <w:rPr/>
        <w:t>göstermeye</w:t>
      </w:r>
      <w:r>
        <w:rPr>
          <w:spacing w:val="-12"/>
        </w:rPr>
        <w:t> </w:t>
      </w:r>
      <w:r>
        <w:rPr/>
        <w:t>yönelik</w:t>
      </w:r>
      <w:r>
        <w:rPr>
          <w:spacing w:val="-3"/>
        </w:rPr>
        <w:t> </w:t>
      </w:r>
      <w:r>
        <w:rPr/>
        <w:t>az</w:t>
      </w:r>
      <w:r>
        <w:rPr>
          <w:spacing w:val="-13"/>
        </w:rPr>
        <w:t> </w:t>
      </w:r>
      <w:r>
        <w:rPr/>
        <w:t>çalışma</w:t>
      </w:r>
      <w:r>
        <w:rPr>
          <w:spacing w:val="-13"/>
        </w:rPr>
        <w:t> </w:t>
      </w:r>
      <w:r>
        <w:rPr/>
        <w:t>bulunsa da</w:t>
      </w:r>
      <w:r>
        <w:rPr>
          <w:spacing w:val="-23"/>
        </w:rPr>
        <w:t> </w:t>
      </w:r>
      <w:r>
        <w:rPr/>
        <w:t>fiziksel</w:t>
      </w:r>
      <w:r>
        <w:rPr>
          <w:spacing w:val="-22"/>
        </w:rPr>
        <w:t> </w:t>
      </w:r>
      <w:r>
        <w:rPr/>
        <w:t>aktivitenin</w:t>
      </w:r>
      <w:r>
        <w:rPr>
          <w:spacing w:val="-22"/>
        </w:rPr>
        <w:t> </w:t>
      </w:r>
      <w:r>
        <w:rPr/>
        <w:t>kardiyopulmoner</w:t>
      </w:r>
      <w:r>
        <w:rPr>
          <w:spacing w:val="-19"/>
        </w:rPr>
        <w:t> </w:t>
      </w:r>
      <w:r>
        <w:rPr/>
        <w:t>dayanıklılıkta</w:t>
      </w:r>
      <w:r>
        <w:rPr>
          <w:spacing w:val="-20"/>
        </w:rPr>
        <w:t> </w:t>
      </w:r>
      <w:r>
        <w:rPr/>
        <w:t>iyileşme,</w:t>
      </w:r>
      <w:r>
        <w:rPr>
          <w:spacing w:val="-20"/>
        </w:rPr>
        <w:t> </w:t>
      </w:r>
      <w:r>
        <w:rPr/>
        <w:t>yorgunluk</w:t>
      </w:r>
      <w:r>
        <w:rPr>
          <w:spacing w:val="-20"/>
        </w:rPr>
        <w:t> </w:t>
      </w:r>
      <w:r>
        <w:rPr/>
        <w:t>semptomlarında azalma,</w:t>
      </w:r>
      <w:r>
        <w:rPr>
          <w:spacing w:val="-5"/>
        </w:rPr>
        <w:t> </w:t>
      </w:r>
      <w:r>
        <w:rPr/>
        <w:t>kas</w:t>
      </w:r>
      <w:r>
        <w:rPr>
          <w:spacing w:val="-7"/>
        </w:rPr>
        <w:t> </w:t>
      </w:r>
      <w:r>
        <w:rPr/>
        <w:t>kuvvetinde</w:t>
      </w:r>
      <w:r>
        <w:rPr>
          <w:spacing w:val="-4"/>
        </w:rPr>
        <w:t> </w:t>
      </w:r>
      <w:r>
        <w:rPr/>
        <w:t>artış</w:t>
      </w:r>
      <w:r>
        <w:rPr>
          <w:spacing w:val="-5"/>
        </w:rPr>
        <w:t> </w:t>
      </w:r>
      <w:r>
        <w:rPr/>
        <w:t>ve</w:t>
      </w:r>
      <w:r>
        <w:rPr>
          <w:spacing w:val="-3"/>
        </w:rPr>
        <w:t> </w:t>
      </w:r>
      <w:r>
        <w:rPr/>
        <w:t>yaşam</w:t>
      </w:r>
      <w:r>
        <w:rPr>
          <w:spacing w:val="-7"/>
        </w:rPr>
        <w:t> </w:t>
      </w:r>
      <w:r>
        <w:rPr/>
        <w:t>kalitesinde</w:t>
      </w:r>
      <w:r>
        <w:rPr>
          <w:spacing w:val="-5"/>
        </w:rPr>
        <w:t> </w:t>
      </w:r>
      <w:r>
        <w:rPr/>
        <w:t>iyileşme</w:t>
      </w:r>
      <w:r>
        <w:rPr>
          <w:spacing w:val="-5"/>
        </w:rPr>
        <w:t> </w:t>
      </w:r>
      <w:r>
        <w:rPr/>
        <w:t>ile</w:t>
      </w:r>
      <w:r>
        <w:rPr>
          <w:spacing w:val="-5"/>
        </w:rPr>
        <w:t> </w:t>
      </w:r>
      <w:r>
        <w:rPr/>
        <w:t>ilişkisi</w:t>
      </w:r>
      <w:r>
        <w:rPr>
          <w:spacing w:val="-6"/>
        </w:rPr>
        <w:t> </w:t>
      </w:r>
      <w:r>
        <w:rPr/>
        <w:t>olduğu</w:t>
      </w:r>
      <w:r>
        <w:rPr>
          <w:spacing w:val="-5"/>
        </w:rPr>
        <w:t> </w:t>
      </w:r>
      <w:r>
        <w:rPr/>
        <w:t>bildirilmiştir (de Almeida vd.</w:t>
      </w:r>
      <w:r>
        <w:rPr>
          <w:spacing w:val="-2"/>
        </w:rPr>
        <w:t> </w:t>
      </w:r>
      <w:r>
        <w:rPr/>
        <w:t>2017).</w:t>
      </w:r>
    </w:p>
    <w:p>
      <w:pPr>
        <w:pStyle w:val="BodyText"/>
        <w:rPr>
          <w:sz w:val="24"/>
        </w:rPr>
      </w:pPr>
    </w:p>
    <w:p>
      <w:pPr>
        <w:pStyle w:val="BodyText"/>
        <w:rPr>
          <w:sz w:val="24"/>
        </w:rPr>
      </w:pPr>
    </w:p>
    <w:p>
      <w:pPr>
        <w:pStyle w:val="Heading2"/>
        <w:numPr>
          <w:ilvl w:val="2"/>
          <w:numId w:val="2"/>
        </w:numPr>
        <w:tabs>
          <w:tab w:pos="1203" w:val="left" w:leader="none"/>
        </w:tabs>
        <w:spacing w:line="240" w:lineRule="auto" w:before="146" w:after="0"/>
        <w:ind w:left="1202" w:right="0" w:hanging="615"/>
        <w:jc w:val="left"/>
      </w:pPr>
      <w:bookmarkStart w:name="_bookmark28" w:id="49"/>
      <w:bookmarkEnd w:id="49"/>
      <w:r>
        <w:rPr>
          <w:b w:val="0"/>
        </w:rPr>
      </w:r>
      <w:bookmarkStart w:name="_bookmark28" w:id="50"/>
      <w:bookmarkEnd w:id="50"/>
      <w:r>
        <w:rPr/>
        <w:t>N</w:t>
      </w:r>
      <w:r>
        <w:rPr/>
        <w:t>öromusküler Elektrik</w:t>
      </w:r>
      <w:r>
        <w:rPr>
          <w:spacing w:val="-2"/>
        </w:rPr>
        <w:t> </w:t>
      </w:r>
      <w:r>
        <w:rPr/>
        <w:t>Stimülasyonu</w:t>
      </w:r>
    </w:p>
    <w:p>
      <w:pPr>
        <w:pStyle w:val="BodyText"/>
        <w:spacing w:before="7"/>
        <w:rPr>
          <w:b/>
          <w:sz w:val="21"/>
        </w:rPr>
      </w:pPr>
    </w:p>
    <w:p>
      <w:pPr>
        <w:pStyle w:val="BodyText"/>
        <w:spacing w:line="360" w:lineRule="auto"/>
        <w:ind w:left="588" w:right="289" w:firstLine="708"/>
        <w:jc w:val="both"/>
      </w:pPr>
      <w:r>
        <w:rPr/>
        <w:t>Nöromusküler elektrik stimülasyonu (NMES) yan etkisi olmaması nedeniyle klinikte pek çok alanda uygulanabilir. Yoğun bakımda ve cerrahi sonrası hastalarda kas fonksiyonunda</w:t>
      </w:r>
      <w:r>
        <w:rPr>
          <w:spacing w:val="-10"/>
        </w:rPr>
        <w:t> </w:t>
      </w:r>
      <w:r>
        <w:rPr/>
        <w:t>değişiklik</w:t>
      </w:r>
      <w:r>
        <w:rPr>
          <w:spacing w:val="-9"/>
        </w:rPr>
        <w:t> </w:t>
      </w:r>
      <w:r>
        <w:rPr/>
        <w:t>oluşturmak</w:t>
      </w:r>
      <w:r>
        <w:rPr>
          <w:spacing w:val="-8"/>
        </w:rPr>
        <w:t> </w:t>
      </w:r>
      <w:r>
        <w:rPr/>
        <w:t>için</w:t>
      </w:r>
      <w:r>
        <w:rPr>
          <w:spacing w:val="-8"/>
        </w:rPr>
        <w:t> </w:t>
      </w:r>
      <w:r>
        <w:rPr/>
        <w:t>uygulanabilir</w:t>
      </w:r>
      <w:r>
        <w:rPr>
          <w:spacing w:val="-7"/>
        </w:rPr>
        <w:t> </w:t>
      </w:r>
      <w:r>
        <w:rPr/>
        <w:t>(Karlson</w:t>
      </w:r>
      <w:r>
        <w:rPr>
          <w:spacing w:val="-8"/>
        </w:rPr>
        <w:t> </w:t>
      </w:r>
      <w:r>
        <w:rPr/>
        <w:t>Seltzer</w:t>
      </w:r>
      <w:r>
        <w:rPr>
          <w:spacing w:val="-9"/>
        </w:rPr>
        <w:t> </w:t>
      </w:r>
      <w:r>
        <w:rPr/>
        <w:t>Lee</w:t>
      </w:r>
      <w:r>
        <w:rPr>
          <w:spacing w:val="-12"/>
        </w:rPr>
        <w:t> </w:t>
      </w:r>
      <w:r>
        <w:rPr/>
        <w:t>ve</w:t>
      </w:r>
      <w:r>
        <w:rPr>
          <w:spacing w:val="-9"/>
        </w:rPr>
        <w:t> </w:t>
      </w:r>
      <w:r>
        <w:rPr/>
        <w:t>Gliedman 1965). Literatüre bakıldığında geleneksel eğitim ile karşılaştırıldığında egzersiz toleransına</w:t>
      </w:r>
      <w:r>
        <w:rPr>
          <w:spacing w:val="-14"/>
        </w:rPr>
        <w:t> </w:t>
      </w:r>
      <w:r>
        <w:rPr/>
        <w:t>etkisinin</w:t>
      </w:r>
      <w:r>
        <w:rPr>
          <w:spacing w:val="-12"/>
        </w:rPr>
        <w:t> </w:t>
      </w:r>
      <w:r>
        <w:rPr/>
        <w:t>olduğunu</w:t>
      </w:r>
      <w:r>
        <w:rPr>
          <w:spacing w:val="-15"/>
        </w:rPr>
        <w:t> </w:t>
      </w:r>
      <w:r>
        <w:rPr/>
        <w:t>gösteren</w:t>
      </w:r>
      <w:r>
        <w:rPr>
          <w:spacing w:val="-15"/>
        </w:rPr>
        <w:t> </w:t>
      </w:r>
      <w:r>
        <w:rPr/>
        <w:t>kapsamlı</w:t>
      </w:r>
      <w:r>
        <w:rPr>
          <w:spacing w:val="-17"/>
        </w:rPr>
        <w:t> </w:t>
      </w:r>
      <w:r>
        <w:rPr/>
        <w:t>bir</w:t>
      </w:r>
      <w:r>
        <w:rPr>
          <w:spacing w:val="-11"/>
        </w:rPr>
        <w:t> </w:t>
      </w:r>
      <w:r>
        <w:rPr/>
        <w:t>çalışma</w:t>
      </w:r>
      <w:r>
        <w:rPr>
          <w:spacing w:val="-13"/>
        </w:rPr>
        <w:t> </w:t>
      </w:r>
      <w:r>
        <w:rPr/>
        <w:t>bulunmamaktadır.</w:t>
      </w:r>
      <w:r>
        <w:rPr>
          <w:spacing w:val="-12"/>
        </w:rPr>
        <w:t> </w:t>
      </w:r>
      <w:r>
        <w:rPr/>
        <w:t>By-pass ameliyatı geçiren hastalar üzerinde yapılan bir çalışmada cerrahi sonrası akciğer fonksiyonunun azalmasını önlemek adına geleneksel göğüs fizyoterapisi ile geleneksel göğüs fizyoterapisine ek olarak diyafragma üzerine uygulanan transkutaneal elektrik stimülasyonunun her ikisini de önermiş ve bu uygulamanın ekspiratuar kas gücünü geliştirmede etkili olduğunu belirtmiştir (Forti Ike</w:t>
      </w:r>
      <w:r>
        <w:rPr>
          <w:spacing w:val="54"/>
        </w:rPr>
        <w:t> </w:t>
      </w:r>
      <w:r>
        <w:rPr/>
        <w:t>2009).</w:t>
      </w:r>
    </w:p>
    <w:p>
      <w:pPr>
        <w:spacing w:after="0" w:line="360" w:lineRule="auto"/>
        <w:jc w:val="both"/>
        <w:sectPr>
          <w:pgSz w:w="11910" w:h="16840"/>
          <w:pgMar w:header="749" w:footer="0" w:top="1320" w:bottom="280" w:left="1680" w:right="840"/>
        </w:sectPr>
      </w:pPr>
    </w:p>
    <w:p>
      <w:pPr>
        <w:pStyle w:val="Heading2"/>
        <w:numPr>
          <w:ilvl w:val="2"/>
          <w:numId w:val="2"/>
        </w:numPr>
        <w:tabs>
          <w:tab w:pos="1203" w:val="left" w:leader="none"/>
        </w:tabs>
        <w:spacing w:line="240" w:lineRule="auto" w:before="86" w:after="0"/>
        <w:ind w:left="1202" w:right="0" w:hanging="615"/>
        <w:jc w:val="left"/>
      </w:pPr>
      <w:bookmarkStart w:name="_bookmark29" w:id="51"/>
      <w:bookmarkEnd w:id="51"/>
      <w:r>
        <w:rPr>
          <w:b w:val="0"/>
        </w:rPr>
      </w:r>
      <w:bookmarkStart w:name="_bookmark29" w:id="52"/>
      <w:bookmarkEnd w:id="52"/>
      <w:r>
        <w:rPr/>
        <w:t>S</w:t>
      </w:r>
      <w:r>
        <w:rPr/>
        <w:t>olunum Kas</w:t>
      </w:r>
      <w:r>
        <w:rPr>
          <w:spacing w:val="-3"/>
        </w:rPr>
        <w:t> </w:t>
      </w:r>
      <w:r>
        <w:rPr/>
        <w:t>Eğitimi</w:t>
      </w:r>
    </w:p>
    <w:p>
      <w:pPr>
        <w:pStyle w:val="BodyText"/>
        <w:spacing w:before="7"/>
        <w:rPr>
          <w:b/>
          <w:sz w:val="21"/>
        </w:rPr>
      </w:pPr>
    </w:p>
    <w:p>
      <w:pPr>
        <w:pStyle w:val="BodyText"/>
        <w:spacing w:line="360" w:lineRule="auto"/>
        <w:ind w:left="588" w:right="287" w:firstLine="708"/>
        <w:jc w:val="both"/>
      </w:pPr>
      <w:r>
        <w:rPr/>
        <w:t>İskelet kasından oluşan solunum kasları pulmoner fonksiyonlar adına önemli bir role sahiptir. Uygulanan cerrahiye göre çeşitlilik göstermekle birlikte solunum kasları, refleks</w:t>
      </w:r>
      <w:r>
        <w:rPr>
          <w:spacing w:val="-7"/>
        </w:rPr>
        <w:t> </w:t>
      </w:r>
      <w:r>
        <w:rPr/>
        <w:t>inhibisyon,</w:t>
      </w:r>
      <w:r>
        <w:rPr>
          <w:spacing w:val="-6"/>
        </w:rPr>
        <w:t> </w:t>
      </w:r>
      <w:r>
        <w:rPr/>
        <w:t>solunum</w:t>
      </w:r>
      <w:r>
        <w:rPr>
          <w:spacing w:val="-8"/>
        </w:rPr>
        <w:t> </w:t>
      </w:r>
      <w:r>
        <w:rPr/>
        <w:t>kaslarının</w:t>
      </w:r>
      <w:r>
        <w:rPr>
          <w:spacing w:val="-7"/>
        </w:rPr>
        <w:t> </w:t>
      </w:r>
      <w:r>
        <w:rPr/>
        <w:t>direk</w:t>
      </w:r>
      <w:r>
        <w:rPr>
          <w:spacing w:val="-7"/>
        </w:rPr>
        <w:t> </w:t>
      </w:r>
      <w:r>
        <w:rPr/>
        <w:t>kesisi,</w:t>
      </w:r>
      <w:r>
        <w:rPr>
          <w:spacing w:val="-7"/>
        </w:rPr>
        <w:t> </w:t>
      </w:r>
      <w:r>
        <w:rPr/>
        <w:t>cerrahi</w:t>
      </w:r>
      <w:r>
        <w:rPr>
          <w:spacing w:val="-8"/>
        </w:rPr>
        <w:t> </w:t>
      </w:r>
      <w:r>
        <w:rPr/>
        <w:t>sırasında</w:t>
      </w:r>
      <w:r>
        <w:rPr>
          <w:spacing w:val="-7"/>
        </w:rPr>
        <w:t> </w:t>
      </w:r>
      <w:r>
        <w:rPr/>
        <w:t>hastanın</w:t>
      </w:r>
      <w:r>
        <w:rPr>
          <w:spacing w:val="-7"/>
        </w:rPr>
        <w:t> </w:t>
      </w:r>
      <w:r>
        <w:rPr/>
        <w:t>pozisyonu ve anestezik maddeler gibi nedenlerle etkilenmektedir. Solunum kas gücünün azalması veya işlevini yitirmesi sonucunda total akciğer kapsitesi, tidal volüm ve vital kapasitenin azalmasına yol açar. Bu da etkisiz öksürme, akciğer fonksiyonlarında bozulma ve enfeksiyon vb. gibi etkenlerle PPK’ ye neden olabilir (Nimmo ve Drummond 1996, Nomori ve Yashima</w:t>
      </w:r>
      <w:r>
        <w:rPr>
          <w:spacing w:val="-3"/>
        </w:rPr>
        <w:t> </w:t>
      </w:r>
      <w:r>
        <w:rPr/>
        <w:t>1994).</w:t>
      </w:r>
    </w:p>
    <w:p>
      <w:pPr>
        <w:pStyle w:val="BodyText"/>
        <w:spacing w:line="360" w:lineRule="auto" w:before="162"/>
        <w:ind w:left="588" w:right="287" w:firstLine="708"/>
        <w:jc w:val="both"/>
      </w:pPr>
      <w:r>
        <w:rPr/>
        <w:t>Nefes alıp verme insan yaşamının vazgeçilemez bir parçasıdır. İnspirasyonun primer</w:t>
      </w:r>
      <w:r>
        <w:rPr>
          <w:spacing w:val="-20"/>
        </w:rPr>
        <w:t> </w:t>
      </w:r>
      <w:r>
        <w:rPr/>
        <w:t>kası</w:t>
      </w:r>
      <w:r>
        <w:rPr>
          <w:spacing w:val="-21"/>
        </w:rPr>
        <w:t> </w:t>
      </w:r>
      <w:r>
        <w:rPr/>
        <w:t>olan</w:t>
      </w:r>
      <w:r>
        <w:rPr>
          <w:spacing w:val="-16"/>
        </w:rPr>
        <w:t> </w:t>
      </w:r>
      <w:r>
        <w:rPr/>
        <w:t>diyafragma</w:t>
      </w:r>
      <w:r>
        <w:rPr>
          <w:spacing w:val="-16"/>
        </w:rPr>
        <w:t> </w:t>
      </w:r>
      <w:r>
        <w:rPr/>
        <w:t>nefes</w:t>
      </w:r>
      <w:r>
        <w:rPr>
          <w:spacing w:val="-17"/>
        </w:rPr>
        <w:t> </w:t>
      </w:r>
      <w:r>
        <w:rPr/>
        <w:t>alma</w:t>
      </w:r>
      <w:r>
        <w:rPr>
          <w:spacing w:val="-19"/>
        </w:rPr>
        <w:t> </w:t>
      </w:r>
      <w:r>
        <w:rPr/>
        <w:t>sırasında</w:t>
      </w:r>
      <w:r>
        <w:rPr>
          <w:spacing w:val="-17"/>
        </w:rPr>
        <w:t> </w:t>
      </w:r>
      <w:r>
        <w:rPr/>
        <w:t>aktif</w:t>
      </w:r>
      <w:r>
        <w:rPr>
          <w:spacing w:val="-16"/>
        </w:rPr>
        <w:t> </w:t>
      </w:r>
      <w:r>
        <w:rPr/>
        <w:t>kasılarak</w:t>
      </w:r>
      <w:r>
        <w:rPr>
          <w:spacing w:val="-17"/>
        </w:rPr>
        <w:t> </w:t>
      </w:r>
      <w:r>
        <w:rPr/>
        <w:t>süreci</w:t>
      </w:r>
      <w:r>
        <w:rPr>
          <w:spacing w:val="-18"/>
        </w:rPr>
        <w:t> </w:t>
      </w:r>
      <w:r>
        <w:rPr/>
        <w:t>başlatır</w:t>
      </w:r>
      <w:r>
        <w:rPr>
          <w:spacing w:val="-16"/>
        </w:rPr>
        <w:t> </w:t>
      </w:r>
      <w:r>
        <w:rPr/>
        <w:t>ve</w:t>
      </w:r>
      <w:r>
        <w:rPr>
          <w:spacing w:val="-17"/>
        </w:rPr>
        <w:t> </w:t>
      </w:r>
      <w:r>
        <w:rPr/>
        <w:t>devam ettirir. Diğer inspiratuar kaslar da nefes almaya katkı sağlar. Ekspirasyon da düzenli solunumun bir parçasıdır. Düzenli solunum yaparken hasta inspirasyon sonunda bir duraklama yapabilir ve bunu takiben uzun ve yavaş bir ekspirasyon fazı gerçekleşir. Ekspirasyon kasları: ekspiryumun primer kası yoktur. İnsipirasyon sonunda diafragma ve</w:t>
      </w:r>
      <w:r>
        <w:rPr>
          <w:spacing w:val="-18"/>
        </w:rPr>
        <w:t> </w:t>
      </w:r>
      <w:r>
        <w:rPr/>
        <w:t>diğer</w:t>
      </w:r>
      <w:r>
        <w:rPr>
          <w:spacing w:val="-17"/>
        </w:rPr>
        <w:t> </w:t>
      </w:r>
      <w:r>
        <w:rPr/>
        <w:t>inspiratuvar</w:t>
      </w:r>
      <w:r>
        <w:rPr>
          <w:spacing w:val="-18"/>
        </w:rPr>
        <w:t> </w:t>
      </w:r>
      <w:r>
        <w:rPr/>
        <w:t>kasların</w:t>
      </w:r>
      <w:r>
        <w:rPr>
          <w:spacing w:val="-18"/>
        </w:rPr>
        <w:t> </w:t>
      </w:r>
      <w:r>
        <w:rPr/>
        <w:t>aktivitesi</w:t>
      </w:r>
      <w:r>
        <w:rPr>
          <w:spacing w:val="-18"/>
        </w:rPr>
        <w:t> </w:t>
      </w:r>
      <w:r>
        <w:rPr/>
        <w:t>azalarak</w:t>
      </w:r>
      <w:r>
        <w:rPr>
          <w:spacing w:val="-15"/>
        </w:rPr>
        <w:t> </w:t>
      </w:r>
      <w:r>
        <w:rPr/>
        <w:t>pasif</w:t>
      </w:r>
      <w:r>
        <w:rPr>
          <w:spacing w:val="-16"/>
        </w:rPr>
        <w:t> </w:t>
      </w:r>
      <w:r>
        <w:rPr/>
        <w:t>şekilde</w:t>
      </w:r>
      <w:r>
        <w:rPr>
          <w:spacing w:val="-16"/>
        </w:rPr>
        <w:t> </w:t>
      </w:r>
      <w:r>
        <w:rPr/>
        <w:t>gerçekleştirilir.</w:t>
      </w:r>
      <w:r>
        <w:rPr>
          <w:spacing w:val="-18"/>
        </w:rPr>
        <w:t> </w:t>
      </w:r>
      <w:r>
        <w:rPr/>
        <w:t>Ekspirasyon her</w:t>
      </w:r>
      <w:r>
        <w:rPr>
          <w:spacing w:val="-5"/>
        </w:rPr>
        <w:t> </w:t>
      </w:r>
      <w:r>
        <w:rPr/>
        <w:t>zaman</w:t>
      </w:r>
      <w:r>
        <w:rPr>
          <w:spacing w:val="-8"/>
        </w:rPr>
        <w:t> </w:t>
      </w:r>
      <w:r>
        <w:rPr/>
        <w:t>pasif</w:t>
      </w:r>
      <w:r>
        <w:rPr>
          <w:spacing w:val="-4"/>
        </w:rPr>
        <w:t> </w:t>
      </w:r>
      <w:r>
        <w:rPr/>
        <w:t>değildir.</w:t>
      </w:r>
      <w:r>
        <w:rPr>
          <w:spacing w:val="-7"/>
        </w:rPr>
        <w:t> </w:t>
      </w:r>
      <w:r>
        <w:rPr/>
        <w:t>Hava</w:t>
      </w:r>
      <w:r>
        <w:rPr>
          <w:spacing w:val="-5"/>
        </w:rPr>
        <w:t> </w:t>
      </w:r>
      <w:r>
        <w:rPr/>
        <w:t>yolu</w:t>
      </w:r>
      <w:r>
        <w:rPr>
          <w:spacing w:val="-6"/>
        </w:rPr>
        <w:t> </w:t>
      </w:r>
      <w:r>
        <w:rPr/>
        <w:t>direnci</w:t>
      </w:r>
      <w:r>
        <w:rPr>
          <w:spacing w:val="-6"/>
        </w:rPr>
        <w:t> </w:t>
      </w:r>
      <w:r>
        <w:rPr/>
        <w:t>normal</w:t>
      </w:r>
      <w:r>
        <w:rPr>
          <w:spacing w:val="-7"/>
        </w:rPr>
        <w:t> </w:t>
      </w:r>
      <w:r>
        <w:rPr/>
        <w:t>olan</w:t>
      </w:r>
      <w:r>
        <w:rPr>
          <w:spacing w:val="-8"/>
        </w:rPr>
        <w:t> </w:t>
      </w:r>
      <w:r>
        <w:rPr/>
        <w:t>kişiler,</w:t>
      </w:r>
      <w:r>
        <w:rPr>
          <w:spacing w:val="-6"/>
        </w:rPr>
        <w:t> </w:t>
      </w:r>
      <w:r>
        <w:rPr/>
        <w:t>egzersiz,</w:t>
      </w:r>
      <w:r>
        <w:rPr>
          <w:spacing w:val="-6"/>
        </w:rPr>
        <w:t> </w:t>
      </w:r>
      <w:r>
        <w:rPr/>
        <w:t>konuşma,</w:t>
      </w:r>
      <w:r>
        <w:rPr>
          <w:spacing w:val="-7"/>
        </w:rPr>
        <w:t> </w:t>
      </w:r>
      <w:r>
        <w:rPr/>
        <w:t>şarkı söyleme, öksürük ve hapşırığın ekspiratuar fazlarında zorlu-aktif ekspirasyon yaparlar. Zorlu ekspirasyon kasları, hava akımına karşı oluşan direnci yenmek için kasılır. Zorlu ekspirasyon kasları, rektus abdominis, eksternal ve internal oblik kaslar, transversus abdominis gibi abdominal duvar kasları ve internal interkostal kaslardır. Abdominal kasların</w:t>
      </w:r>
      <w:r>
        <w:rPr>
          <w:spacing w:val="-12"/>
        </w:rPr>
        <w:t> </w:t>
      </w:r>
      <w:r>
        <w:rPr/>
        <w:t>kasılması</w:t>
      </w:r>
      <w:r>
        <w:rPr>
          <w:spacing w:val="-12"/>
        </w:rPr>
        <w:t> </w:t>
      </w:r>
      <w:r>
        <w:rPr/>
        <w:t>abdominal</w:t>
      </w:r>
      <w:r>
        <w:rPr>
          <w:spacing w:val="-9"/>
        </w:rPr>
        <w:t> </w:t>
      </w:r>
      <w:r>
        <w:rPr/>
        <w:t>basıncı</w:t>
      </w:r>
      <w:r>
        <w:rPr>
          <w:spacing w:val="-12"/>
        </w:rPr>
        <w:t> </w:t>
      </w:r>
      <w:r>
        <w:rPr/>
        <w:t>artırır</w:t>
      </w:r>
      <w:r>
        <w:rPr>
          <w:spacing w:val="-5"/>
        </w:rPr>
        <w:t> </w:t>
      </w:r>
      <w:r>
        <w:rPr/>
        <w:t>ve</w:t>
      </w:r>
      <w:r>
        <w:rPr>
          <w:spacing w:val="-9"/>
        </w:rPr>
        <w:t> </w:t>
      </w:r>
      <w:r>
        <w:rPr/>
        <w:t>bu</w:t>
      </w:r>
      <w:r>
        <w:rPr>
          <w:spacing w:val="-9"/>
        </w:rPr>
        <w:t> </w:t>
      </w:r>
      <w:r>
        <w:rPr/>
        <w:t>basınç</w:t>
      </w:r>
      <w:r>
        <w:rPr>
          <w:spacing w:val="-9"/>
        </w:rPr>
        <w:t> </w:t>
      </w:r>
      <w:r>
        <w:rPr/>
        <w:t>diyafragmayı</w:t>
      </w:r>
      <w:r>
        <w:rPr>
          <w:spacing w:val="-12"/>
        </w:rPr>
        <w:t> </w:t>
      </w:r>
      <w:r>
        <w:rPr/>
        <w:t>toraks</w:t>
      </w:r>
      <w:r>
        <w:rPr>
          <w:spacing w:val="-10"/>
        </w:rPr>
        <w:t> </w:t>
      </w:r>
      <w:r>
        <w:rPr/>
        <w:t>boşluğuna doğru</w:t>
      </w:r>
      <w:r>
        <w:rPr>
          <w:spacing w:val="-13"/>
        </w:rPr>
        <w:t> </w:t>
      </w:r>
      <w:r>
        <w:rPr/>
        <w:t>iter</w:t>
      </w:r>
      <w:r>
        <w:rPr>
          <w:spacing w:val="-11"/>
        </w:rPr>
        <w:t> </w:t>
      </w:r>
      <w:r>
        <w:rPr/>
        <w:t>ve</w:t>
      </w:r>
      <w:r>
        <w:rPr>
          <w:spacing w:val="-12"/>
        </w:rPr>
        <w:t> </w:t>
      </w:r>
      <w:r>
        <w:rPr/>
        <w:t>alt</w:t>
      </w:r>
      <w:r>
        <w:rPr>
          <w:spacing w:val="-16"/>
        </w:rPr>
        <w:t> </w:t>
      </w:r>
      <w:r>
        <w:rPr/>
        <w:t>kaburgaları</w:t>
      </w:r>
      <w:r>
        <w:rPr>
          <w:spacing w:val="-15"/>
        </w:rPr>
        <w:t> </w:t>
      </w:r>
      <w:r>
        <w:rPr/>
        <w:t>aşağı</w:t>
      </w:r>
      <w:r>
        <w:rPr>
          <w:spacing w:val="-16"/>
        </w:rPr>
        <w:t> </w:t>
      </w:r>
      <w:r>
        <w:rPr/>
        <w:t>çeker.</w:t>
      </w:r>
      <w:r>
        <w:rPr>
          <w:spacing w:val="-13"/>
        </w:rPr>
        <w:t> </w:t>
      </w:r>
      <w:r>
        <w:rPr/>
        <w:t>İnternal</w:t>
      </w:r>
      <w:r>
        <w:rPr>
          <w:spacing w:val="-15"/>
        </w:rPr>
        <w:t> </w:t>
      </w:r>
      <w:r>
        <w:rPr/>
        <w:t>interkostal</w:t>
      </w:r>
      <w:r>
        <w:rPr>
          <w:spacing w:val="-16"/>
        </w:rPr>
        <w:t> </w:t>
      </w:r>
      <w:r>
        <w:rPr/>
        <w:t>kasların</w:t>
      </w:r>
      <w:r>
        <w:rPr>
          <w:spacing w:val="-12"/>
        </w:rPr>
        <w:t> </w:t>
      </w:r>
      <w:r>
        <w:rPr/>
        <w:t>kasılması</w:t>
      </w:r>
      <w:r>
        <w:rPr>
          <w:spacing w:val="-16"/>
        </w:rPr>
        <w:t> </w:t>
      </w:r>
      <w:r>
        <w:rPr/>
        <w:t>ise</w:t>
      </w:r>
      <w:r>
        <w:rPr>
          <w:spacing w:val="-12"/>
        </w:rPr>
        <w:t> </w:t>
      </w:r>
      <w:r>
        <w:rPr/>
        <w:t>göğüs kafesini</w:t>
      </w:r>
      <w:r>
        <w:rPr>
          <w:spacing w:val="-9"/>
        </w:rPr>
        <w:t> </w:t>
      </w:r>
      <w:r>
        <w:rPr/>
        <w:t>içe</w:t>
      </w:r>
      <w:r>
        <w:rPr>
          <w:spacing w:val="-7"/>
        </w:rPr>
        <w:t> </w:t>
      </w:r>
      <w:r>
        <w:rPr/>
        <w:t>çeker.</w:t>
      </w:r>
      <w:r>
        <w:rPr>
          <w:spacing w:val="-8"/>
        </w:rPr>
        <w:t> </w:t>
      </w:r>
      <w:r>
        <w:rPr/>
        <w:t>Sonuç</w:t>
      </w:r>
      <w:r>
        <w:rPr>
          <w:spacing w:val="-10"/>
        </w:rPr>
        <w:t> </w:t>
      </w:r>
      <w:r>
        <w:rPr/>
        <w:t>olarak</w:t>
      </w:r>
      <w:r>
        <w:rPr>
          <w:spacing w:val="-7"/>
        </w:rPr>
        <w:t> </w:t>
      </w:r>
      <w:r>
        <w:rPr/>
        <w:t>torasik</w:t>
      </w:r>
      <w:r>
        <w:rPr>
          <w:spacing w:val="-7"/>
        </w:rPr>
        <w:t> </w:t>
      </w:r>
      <w:r>
        <w:rPr/>
        <w:t>hacim</w:t>
      </w:r>
      <w:r>
        <w:rPr>
          <w:spacing w:val="-9"/>
        </w:rPr>
        <w:t> </w:t>
      </w:r>
      <w:r>
        <w:rPr/>
        <w:t>mümkün</w:t>
      </w:r>
      <w:r>
        <w:rPr>
          <w:spacing w:val="-8"/>
        </w:rPr>
        <w:t> </w:t>
      </w:r>
      <w:r>
        <w:rPr/>
        <w:t>olduğunca</w:t>
      </w:r>
      <w:r>
        <w:rPr>
          <w:spacing w:val="-12"/>
        </w:rPr>
        <w:t> </w:t>
      </w:r>
      <w:r>
        <w:rPr/>
        <w:t>fazla</w:t>
      </w:r>
      <w:r>
        <w:rPr>
          <w:spacing w:val="-7"/>
        </w:rPr>
        <w:t> </w:t>
      </w:r>
      <w:r>
        <w:rPr/>
        <w:t>azaltılır</w:t>
      </w:r>
      <w:r>
        <w:rPr>
          <w:spacing w:val="-2"/>
        </w:rPr>
        <w:t> </w:t>
      </w:r>
      <w:r>
        <w:rPr/>
        <w:t>(Hall</w:t>
      </w:r>
      <w:r>
        <w:rPr>
          <w:spacing w:val="-8"/>
        </w:rPr>
        <w:t> </w:t>
      </w:r>
      <w:r>
        <w:rPr/>
        <w:t>JE 2016, Macklem 1995, Mead J</w:t>
      </w:r>
      <w:r>
        <w:rPr>
          <w:spacing w:val="5"/>
        </w:rPr>
        <w:t> </w:t>
      </w:r>
      <w:r>
        <w:rPr/>
        <w:t>1995).</w:t>
      </w:r>
    </w:p>
    <w:p>
      <w:pPr>
        <w:pStyle w:val="BodyText"/>
        <w:spacing w:line="360" w:lineRule="auto" w:before="159"/>
        <w:ind w:left="588" w:right="287" w:firstLine="708"/>
        <w:jc w:val="both"/>
      </w:pPr>
      <w:r>
        <w:rPr/>
        <w:t>Kolorektal cerrahilerde vertikal (orta hat) veya transvers (yatay) insizyonlar kullanılmaktadır.</w:t>
      </w:r>
      <w:r>
        <w:rPr>
          <w:spacing w:val="-8"/>
        </w:rPr>
        <w:t> </w:t>
      </w:r>
      <w:r>
        <w:rPr/>
        <w:t>En</w:t>
      </w:r>
      <w:r>
        <w:rPr>
          <w:spacing w:val="-12"/>
        </w:rPr>
        <w:t> </w:t>
      </w:r>
      <w:r>
        <w:rPr/>
        <w:t>çok</w:t>
      </w:r>
      <w:r>
        <w:rPr>
          <w:spacing w:val="-10"/>
        </w:rPr>
        <w:t> </w:t>
      </w:r>
      <w:r>
        <w:rPr/>
        <w:t>tercih</w:t>
      </w:r>
      <w:r>
        <w:rPr>
          <w:spacing w:val="-9"/>
        </w:rPr>
        <w:t> </w:t>
      </w:r>
      <w:r>
        <w:rPr/>
        <w:t>edilen</w:t>
      </w:r>
      <w:r>
        <w:rPr>
          <w:spacing w:val="-13"/>
        </w:rPr>
        <w:t> </w:t>
      </w:r>
      <w:r>
        <w:rPr/>
        <w:t>kesi</w:t>
      </w:r>
      <w:r>
        <w:rPr>
          <w:spacing w:val="-13"/>
        </w:rPr>
        <w:t> </w:t>
      </w:r>
      <w:r>
        <w:rPr/>
        <w:t>tipi</w:t>
      </w:r>
      <w:r>
        <w:rPr>
          <w:spacing w:val="-10"/>
        </w:rPr>
        <w:t> </w:t>
      </w:r>
      <w:r>
        <w:rPr/>
        <w:t>ise</w:t>
      </w:r>
      <w:r>
        <w:rPr>
          <w:spacing w:val="-7"/>
        </w:rPr>
        <w:t> </w:t>
      </w:r>
      <w:r>
        <w:rPr/>
        <w:t>orta</w:t>
      </w:r>
      <w:r>
        <w:rPr>
          <w:spacing w:val="-12"/>
        </w:rPr>
        <w:t> </w:t>
      </w:r>
      <w:r>
        <w:rPr/>
        <w:t>hat</w:t>
      </w:r>
      <w:r>
        <w:rPr>
          <w:spacing w:val="-10"/>
        </w:rPr>
        <w:t> </w:t>
      </w:r>
      <w:r>
        <w:rPr/>
        <w:t>insizyondur.</w:t>
      </w:r>
      <w:r>
        <w:rPr>
          <w:spacing w:val="-9"/>
        </w:rPr>
        <w:t> </w:t>
      </w:r>
      <w:r>
        <w:rPr/>
        <w:t>Orta</w:t>
      </w:r>
      <w:r>
        <w:rPr>
          <w:spacing w:val="-12"/>
        </w:rPr>
        <w:t> </w:t>
      </w:r>
      <w:r>
        <w:rPr/>
        <w:t>hat</w:t>
      </w:r>
      <w:r>
        <w:rPr>
          <w:spacing w:val="-8"/>
        </w:rPr>
        <w:t> </w:t>
      </w:r>
      <w:r>
        <w:rPr/>
        <w:t>insizyonu karnın alt bölgesinden başlar ve umblikusu soldan geçerek epigastriuma kadar uzanır. Orta hat kesisinde, zorlu ekspiratuar kaslar olan rectus abdominis , eksternal oblikler, internal oblikler ve transversus abdominis kası kesilmektedir (Teodor P. Grantcharov 2011). Bu kasların güçlü olması öksürme kalitesinin artmasında ve sekresyonların temizlenmesinde büyük öneme sahiptir. Bu yüzden solunum kaslarının özellikle de ekspiratuar solunum kaslarının eğitilmesi gerekliliği ortaya</w:t>
      </w:r>
      <w:r>
        <w:rPr>
          <w:spacing w:val="-9"/>
        </w:rPr>
        <w:t> </w:t>
      </w:r>
      <w:r>
        <w:rPr/>
        <w:t>çıkmıştır.</w:t>
      </w:r>
    </w:p>
    <w:p>
      <w:pPr>
        <w:spacing w:after="0" w:line="360" w:lineRule="auto"/>
        <w:jc w:val="both"/>
        <w:sectPr>
          <w:pgSz w:w="11910" w:h="16840"/>
          <w:pgMar w:header="749" w:footer="0" w:top="1320" w:bottom="280" w:left="1680" w:right="840"/>
        </w:sectPr>
      </w:pPr>
    </w:p>
    <w:p>
      <w:pPr>
        <w:pStyle w:val="BodyText"/>
        <w:spacing w:line="357" w:lineRule="auto" w:before="88"/>
        <w:ind w:left="588" w:right="286" w:firstLine="708"/>
        <w:jc w:val="both"/>
      </w:pPr>
      <w:r>
        <w:rPr/>
        <w:t>Leith</w:t>
      </w:r>
      <w:r>
        <w:rPr>
          <w:spacing w:val="-18"/>
        </w:rPr>
        <w:t> </w:t>
      </w:r>
      <w:r>
        <w:rPr/>
        <w:t>ve</w:t>
      </w:r>
      <w:r>
        <w:rPr>
          <w:spacing w:val="-17"/>
        </w:rPr>
        <w:t> </w:t>
      </w:r>
      <w:r>
        <w:rPr/>
        <w:t>Bradley</w:t>
      </w:r>
      <w:r>
        <w:rPr>
          <w:spacing w:val="-22"/>
        </w:rPr>
        <w:t> </w:t>
      </w:r>
      <w:r>
        <w:rPr/>
        <w:t>(1976)</w:t>
      </w:r>
      <w:r>
        <w:rPr>
          <w:spacing w:val="-18"/>
        </w:rPr>
        <w:t> </w:t>
      </w:r>
      <w:r>
        <w:rPr/>
        <w:t>yaptığı</w:t>
      </w:r>
      <w:r>
        <w:rPr>
          <w:spacing w:val="-18"/>
        </w:rPr>
        <w:t> </w:t>
      </w:r>
      <w:r>
        <w:rPr/>
        <w:t>çalışmada</w:t>
      </w:r>
      <w:r>
        <w:rPr>
          <w:spacing w:val="-18"/>
        </w:rPr>
        <w:t> </w:t>
      </w:r>
      <w:r>
        <w:rPr/>
        <w:t>sağlıklı</w:t>
      </w:r>
      <w:r>
        <w:rPr>
          <w:spacing w:val="-20"/>
        </w:rPr>
        <w:t> </w:t>
      </w:r>
      <w:r>
        <w:rPr/>
        <w:t>bireylerin</w:t>
      </w:r>
      <w:r>
        <w:rPr>
          <w:spacing w:val="-15"/>
        </w:rPr>
        <w:t> </w:t>
      </w:r>
      <w:r>
        <w:rPr/>
        <w:t>inspiratuar</w:t>
      </w:r>
      <w:r>
        <w:rPr>
          <w:spacing w:val="-20"/>
        </w:rPr>
        <w:t> </w:t>
      </w:r>
      <w:r>
        <w:rPr/>
        <w:t>kas</w:t>
      </w:r>
      <w:r>
        <w:rPr>
          <w:spacing w:val="-22"/>
        </w:rPr>
        <w:t> </w:t>
      </w:r>
      <w:r>
        <w:rPr/>
        <w:t>eğitimi sonucunda solunum kas kuvveti ve enduransının ilerlediği sonucuna ulaşmıştır. Böylelikle klinikte solunum kas eğitimi pek çok alanda kullanılmaya</w:t>
      </w:r>
      <w:r>
        <w:rPr>
          <w:spacing w:val="-18"/>
        </w:rPr>
        <w:t> </w:t>
      </w:r>
      <w:r>
        <w:rPr/>
        <w:t>başlamıştır.</w:t>
      </w:r>
    </w:p>
    <w:p>
      <w:pPr>
        <w:pStyle w:val="BodyText"/>
        <w:spacing w:line="357" w:lineRule="auto" w:before="168"/>
        <w:ind w:left="588" w:right="291" w:firstLine="708"/>
        <w:jc w:val="both"/>
      </w:pPr>
      <w:r>
        <w:rPr/>
        <w:t>Akciğer</w:t>
      </w:r>
      <w:r>
        <w:rPr>
          <w:spacing w:val="-10"/>
        </w:rPr>
        <w:t> </w:t>
      </w:r>
      <w:r>
        <w:rPr/>
        <w:t>kanser</w:t>
      </w:r>
      <w:r>
        <w:rPr>
          <w:spacing w:val="-4"/>
        </w:rPr>
        <w:t> </w:t>
      </w:r>
      <w:r>
        <w:rPr/>
        <w:t>cerrahisi</w:t>
      </w:r>
      <w:r>
        <w:rPr>
          <w:spacing w:val="-10"/>
        </w:rPr>
        <w:t> </w:t>
      </w:r>
      <w:r>
        <w:rPr/>
        <w:t>sonrası</w:t>
      </w:r>
      <w:r>
        <w:rPr>
          <w:spacing w:val="-9"/>
        </w:rPr>
        <w:t> </w:t>
      </w:r>
      <w:r>
        <w:rPr/>
        <w:t>yüksek</w:t>
      </w:r>
      <w:r>
        <w:rPr>
          <w:spacing w:val="-6"/>
        </w:rPr>
        <w:t> </w:t>
      </w:r>
      <w:r>
        <w:rPr/>
        <w:t>risk</w:t>
      </w:r>
      <w:r>
        <w:rPr>
          <w:spacing w:val="-7"/>
        </w:rPr>
        <w:t> </w:t>
      </w:r>
      <w:r>
        <w:rPr/>
        <w:t>grubu</w:t>
      </w:r>
      <w:r>
        <w:rPr>
          <w:spacing w:val="-6"/>
        </w:rPr>
        <w:t> </w:t>
      </w:r>
      <w:r>
        <w:rPr/>
        <w:t>hastalara</w:t>
      </w:r>
      <w:r>
        <w:rPr>
          <w:spacing w:val="-7"/>
        </w:rPr>
        <w:t> </w:t>
      </w:r>
      <w:r>
        <w:rPr/>
        <w:t>uygulanan</w:t>
      </w:r>
      <w:r>
        <w:rPr>
          <w:spacing w:val="-7"/>
        </w:rPr>
        <w:t> </w:t>
      </w:r>
      <w:r>
        <w:rPr/>
        <w:t>solunum kas eğitimi ve erken mobilizasyonunun PaO2 yi artırarak oksijenizasyonu iyileştirdiği gösterilmiştir (Langer vd. 2015).</w:t>
      </w:r>
    </w:p>
    <w:p>
      <w:pPr>
        <w:pStyle w:val="BodyText"/>
        <w:spacing w:line="360" w:lineRule="auto" w:before="168"/>
        <w:ind w:left="588" w:right="290" w:firstLine="708"/>
        <w:jc w:val="both"/>
      </w:pPr>
      <w:r>
        <w:rPr/>
        <w:t>Multiple skleroz hastalarında solunum kas zayıflığına bakılan ve solunum kas eğitimi verilen bir çalışmada ekspiratuar kas kuvvetinin azalmasının önemli derecede FVC, öksürük etkinliği ve fonksiyonel durumla ilişkili olduğu gösterilmiş. Ekspiratuar kas eğitiminin hem inspiratuar hem ekspiratuar kas kuvvetini artırma eğiliminde olduğu belirtilmiştir. Ayrıca etkin öksürüğün egzersizden 3 ay sonrasına kadar devam ettiği gösterilmiş (Gosselink ve Kovacs 2002).</w:t>
      </w:r>
    </w:p>
    <w:p>
      <w:pPr>
        <w:pStyle w:val="BodyText"/>
        <w:spacing w:line="360" w:lineRule="auto" w:before="159"/>
        <w:ind w:left="588" w:right="289" w:firstLine="708"/>
        <w:jc w:val="both"/>
      </w:pPr>
      <w:r>
        <w:rPr/>
        <w:t>Literatürde yapılan çalışmalar dirençli solunum egzersizlerinin hem inspiratuar hem</w:t>
      </w:r>
      <w:r>
        <w:rPr>
          <w:spacing w:val="-18"/>
        </w:rPr>
        <w:t> </w:t>
      </w:r>
      <w:r>
        <w:rPr/>
        <w:t>ekspiratuar</w:t>
      </w:r>
      <w:r>
        <w:rPr>
          <w:spacing w:val="-18"/>
        </w:rPr>
        <w:t> </w:t>
      </w:r>
      <w:r>
        <w:rPr/>
        <w:t>kas</w:t>
      </w:r>
      <w:r>
        <w:rPr>
          <w:spacing w:val="-21"/>
        </w:rPr>
        <w:t> </w:t>
      </w:r>
      <w:r>
        <w:rPr/>
        <w:t>kuvvetini</w:t>
      </w:r>
      <w:r>
        <w:rPr>
          <w:spacing w:val="-16"/>
        </w:rPr>
        <w:t> </w:t>
      </w:r>
      <w:r>
        <w:rPr/>
        <w:t>artırdığı</w:t>
      </w:r>
      <w:r>
        <w:rPr>
          <w:spacing w:val="-19"/>
        </w:rPr>
        <w:t> </w:t>
      </w:r>
      <w:r>
        <w:rPr/>
        <w:t>gibi</w:t>
      </w:r>
      <w:r>
        <w:rPr>
          <w:spacing w:val="-17"/>
        </w:rPr>
        <w:t> </w:t>
      </w:r>
      <w:r>
        <w:rPr/>
        <w:t>egzersiz</w:t>
      </w:r>
      <w:r>
        <w:rPr>
          <w:spacing w:val="-18"/>
        </w:rPr>
        <w:t> </w:t>
      </w:r>
      <w:r>
        <w:rPr/>
        <w:t>kapasitesini</w:t>
      </w:r>
      <w:r>
        <w:rPr>
          <w:spacing w:val="-17"/>
        </w:rPr>
        <w:t> </w:t>
      </w:r>
      <w:r>
        <w:rPr/>
        <w:t>de</w:t>
      </w:r>
      <w:r>
        <w:rPr>
          <w:spacing w:val="-13"/>
        </w:rPr>
        <w:t> </w:t>
      </w:r>
      <w:r>
        <w:rPr/>
        <w:t>artırdığını</w:t>
      </w:r>
      <w:r>
        <w:rPr>
          <w:spacing w:val="-19"/>
        </w:rPr>
        <w:t> </w:t>
      </w:r>
      <w:r>
        <w:rPr/>
        <w:t>bildirmiştir. Buna ek olarak semptomatik KOAH hastası olan bireylerde dispne düzeyini azalttığını gösteren çalışmalar bulunmaktadır (Harver Mahler ve Daubenspeck</w:t>
      </w:r>
      <w:r>
        <w:rPr>
          <w:spacing w:val="-2"/>
        </w:rPr>
        <w:t> </w:t>
      </w:r>
      <w:r>
        <w:rPr/>
        <w:t>1989).</w:t>
      </w:r>
    </w:p>
    <w:p>
      <w:pPr>
        <w:pStyle w:val="BodyText"/>
        <w:spacing w:line="360" w:lineRule="auto" w:before="160"/>
        <w:ind w:left="588" w:right="295" w:firstLine="708"/>
        <w:jc w:val="both"/>
      </w:pPr>
      <w:r>
        <w:rPr/>
        <w:t>Nomori vd. (1994) yaptığı çalışmada toraks cerrahisi geçiren hastaların düşük solunum kas kuvvetine bağlı olarak PPK risklerinin daha yüksek olduğunu göstermiş ve pre-operatif solunum kas eğitiminin hem ispiratuar hem ekspiratuar kas kuvvetini artırrarak PPK oluşumunu engelleyebileceğini bildirmişlerdir.</w:t>
      </w:r>
    </w:p>
    <w:p>
      <w:pPr>
        <w:spacing w:after="0" w:line="360" w:lineRule="auto"/>
        <w:jc w:val="both"/>
        <w:sectPr>
          <w:pgSz w:w="11910" w:h="16840"/>
          <w:pgMar w:header="749" w:footer="0" w:top="1320" w:bottom="280" w:left="168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Heading2"/>
        <w:numPr>
          <w:ilvl w:val="0"/>
          <w:numId w:val="2"/>
        </w:numPr>
        <w:tabs>
          <w:tab w:pos="834" w:val="left" w:leader="none"/>
        </w:tabs>
        <w:spacing w:line="240" w:lineRule="auto" w:before="94" w:after="0"/>
        <w:ind w:left="833" w:right="0" w:hanging="246"/>
        <w:jc w:val="left"/>
      </w:pPr>
      <w:bookmarkStart w:name="_bookmark30" w:id="53"/>
      <w:bookmarkEnd w:id="53"/>
      <w:r>
        <w:rPr>
          <w:b w:val="0"/>
        </w:rPr>
      </w:r>
      <w:bookmarkStart w:name="_bookmark30" w:id="54"/>
      <w:bookmarkEnd w:id="54"/>
      <w:r>
        <w:rPr/>
        <w:t>M</w:t>
      </w:r>
      <w:r>
        <w:rPr/>
        <w:t>ATERYAL VE</w:t>
      </w:r>
      <w:r>
        <w:rPr>
          <w:spacing w:val="-2"/>
        </w:rPr>
        <w:t> </w:t>
      </w:r>
      <w:r>
        <w:rPr/>
        <w:t>METOT</w:t>
      </w:r>
    </w:p>
    <w:p>
      <w:pPr>
        <w:pStyle w:val="BodyText"/>
        <w:rPr>
          <w:b/>
          <w:sz w:val="24"/>
        </w:rPr>
      </w:pPr>
    </w:p>
    <w:p>
      <w:pPr>
        <w:pStyle w:val="BodyText"/>
        <w:spacing w:before="10"/>
        <w:rPr>
          <w:b/>
          <w:sz w:val="33"/>
        </w:rPr>
      </w:pPr>
    </w:p>
    <w:p>
      <w:pPr>
        <w:pStyle w:val="Heading2"/>
        <w:numPr>
          <w:ilvl w:val="1"/>
          <w:numId w:val="2"/>
        </w:numPr>
        <w:tabs>
          <w:tab w:pos="958" w:val="left" w:leader="none"/>
        </w:tabs>
        <w:spacing w:line="240" w:lineRule="auto" w:before="1" w:after="0"/>
        <w:ind w:left="958" w:right="0" w:hanging="370"/>
        <w:jc w:val="left"/>
      </w:pPr>
      <w:bookmarkStart w:name="_bookmark31" w:id="55"/>
      <w:bookmarkEnd w:id="55"/>
      <w:r>
        <w:rPr>
          <w:b w:val="0"/>
        </w:rPr>
      </w:r>
      <w:bookmarkStart w:name="_bookmark31" w:id="56"/>
      <w:bookmarkEnd w:id="56"/>
      <w:r>
        <w:rPr/>
        <w:t>Ç</w:t>
      </w:r>
      <w:r>
        <w:rPr/>
        <w:t>alışmanın Yapıldığı</w:t>
      </w:r>
      <w:r>
        <w:rPr>
          <w:spacing w:val="-2"/>
        </w:rPr>
        <w:t> </w:t>
      </w:r>
      <w:r>
        <w:rPr/>
        <w:t>Yer</w:t>
      </w:r>
    </w:p>
    <w:p>
      <w:pPr>
        <w:pStyle w:val="BodyText"/>
        <w:spacing w:before="7"/>
        <w:rPr>
          <w:b/>
          <w:sz w:val="21"/>
        </w:rPr>
      </w:pPr>
    </w:p>
    <w:p>
      <w:pPr>
        <w:pStyle w:val="BodyText"/>
        <w:spacing w:line="360" w:lineRule="auto"/>
        <w:ind w:left="588" w:right="286" w:firstLine="708"/>
        <w:jc w:val="both"/>
      </w:pPr>
      <w:r>
        <w:rPr/>
        <w:t>Çalışmamız</w:t>
      </w:r>
      <w:r>
        <w:rPr>
          <w:spacing w:val="-21"/>
        </w:rPr>
        <w:t> </w:t>
      </w:r>
      <w:r>
        <w:rPr/>
        <w:t>Pamukkale</w:t>
      </w:r>
      <w:r>
        <w:rPr>
          <w:spacing w:val="-23"/>
        </w:rPr>
        <w:t> </w:t>
      </w:r>
      <w:r>
        <w:rPr/>
        <w:t>Üniversitesi,</w:t>
      </w:r>
      <w:r>
        <w:rPr>
          <w:spacing w:val="-17"/>
        </w:rPr>
        <w:t> </w:t>
      </w:r>
      <w:r>
        <w:rPr/>
        <w:t>Fizyoterapi</w:t>
      </w:r>
      <w:r>
        <w:rPr>
          <w:spacing w:val="-19"/>
        </w:rPr>
        <w:t> </w:t>
      </w:r>
      <w:r>
        <w:rPr/>
        <w:t>ve</w:t>
      </w:r>
      <w:r>
        <w:rPr>
          <w:spacing w:val="-19"/>
        </w:rPr>
        <w:t> </w:t>
      </w:r>
      <w:r>
        <w:rPr/>
        <w:t>Rehabilitasyon</w:t>
      </w:r>
      <w:r>
        <w:rPr>
          <w:spacing w:val="-19"/>
        </w:rPr>
        <w:t> </w:t>
      </w:r>
      <w:r>
        <w:rPr/>
        <w:t>Yüksekokulu, Kardiyopulmoner Rehabilitasyon Ünitesi ve Pamukkale Üniversitesi Genel Cerrahi Servisi’</w:t>
      </w:r>
      <w:r>
        <w:rPr>
          <w:spacing w:val="-9"/>
        </w:rPr>
        <w:t> </w:t>
      </w:r>
      <w:r>
        <w:rPr/>
        <w:t>nde</w:t>
      </w:r>
      <w:r>
        <w:rPr>
          <w:spacing w:val="-7"/>
        </w:rPr>
        <w:t> </w:t>
      </w:r>
      <w:r>
        <w:rPr/>
        <w:t>yapıldı.</w:t>
      </w:r>
      <w:r>
        <w:rPr>
          <w:spacing w:val="-7"/>
        </w:rPr>
        <w:t> </w:t>
      </w:r>
      <w:r>
        <w:rPr/>
        <w:t>10.07.2018</w:t>
      </w:r>
      <w:r>
        <w:rPr>
          <w:spacing w:val="-9"/>
        </w:rPr>
        <w:t> </w:t>
      </w:r>
      <w:r>
        <w:rPr/>
        <w:t>tarih</w:t>
      </w:r>
      <w:r>
        <w:rPr>
          <w:spacing w:val="-8"/>
        </w:rPr>
        <w:t> </w:t>
      </w:r>
      <w:r>
        <w:rPr/>
        <w:t>ve</w:t>
      </w:r>
      <w:r>
        <w:rPr>
          <w:spacing w:val="-8"/>
        </w:rPr>
        <w:t> </w:t>
      </w:r>
      <w:r>
        <w:rPr/>
        <w:t>14</w:t>
      </w:r>
      <w:r>
        <w:rPr>
          <w:spacing w:val="-9"/>
        </w:rPr>
        <w:t> </w:t>
      </w:r>
      <w:r>
        <w:rPr/>
        <w:t>sayılı</w:t>
      </w:r>
      <w:r>
        <w:rPr>
          <w:spacing w:val="-7"/>
        </w:rPr>
        <w:t> </w:t>
      </w:r>
      <w:r>
        <w:rPr/>
        <w:t>Girişimsel</w:t>
      </w:r>
      <w:r>
        <w:rPr>
          <w:spacing w:val="-11"/>
        </w:rPr>
        <w:t> </w:t>
      </w:r>
      <w:r>
        <w:rPr/>
        <w:t>Olmayan</w:t>
      </w:r>
      <w:r>
        <w:rPr>
          <w:spacing w:val="-9"/>
        </w:rPr>
        <w:t> </w:t>
      </w:r>
      <w:r>
        <w:rPr/>
        <w:t>Klinik</w:t>
      </w:r>
      <w:r>
        <w:rPr>
          <w:spacing w:val="-6"/>
        </w:rPr>
        <w:t> </w:t>
      </w:r>
      <w:r>
        <w:rPr/>
        <w:t>Araştırmalar Etik Kurulu’nda görüşülüp oy birliğiyle etik açıdan sakınca olmadığına karar verildi ve onay alındı</w:t>
      </w:r>
      <w:r>
        <w:rPr>
          <w:spacing w:val="-6"/>
        </w:rPr>
        <w:t> </w:t>
      </w:r>
      <w:r>
        <w:rPr/>
        <w:t>(Ek-1).</w:t>
      </w:r>
    </w:p>
    <w:p>
      <w:pPr>
        <w:pStyle w:val="BodyText"/>
        <w:rPr>
          <w:sz w:val="24"/>
        </w:rPr>
      </w:pPr>
    </w:p>
    <w:p>
      <w:pPr>
        <w:pStyle w:val="BodyText"/>
        <w:rPr>
          <w:sz w:val="24"/>
        </w:rPr>
      </w:pPr>
    </w:p>
    <w:p>
      <w:pPr>
        <w:pStyle w:val="Heading2"/>
        <w:numPr>
          <w:ilvl w:val="1"/>
          <w:numId w:val="2"/>
        </w:numPr>
        <w:tabs>
          <w:tab w:pos="958" w:val="left" w:leader="none"/>
        </w:tabs>
        <w:spacing w:line="240" w:lineRule="auto" w:before="143" w:after="0"/>
        <w:ind w:left="957" w:right="0" w:hanging="370"/>
        <w:jc w:val="left"/>
      </w:pPr>
      <w:bookmarkStart w:name="_bookmark32" w:id="57"/>
      <w:bookmarkEnd w:id="57"/>
      <w:r>
        <w:rPr>
          <w:b w:val="0"/>
        </w:rPr>
      </w:r>
      <w:bookmarkStart w:name="_bookmark32" w:id="58"/>
      <w:bookmarkEnd w:id="58"/>
      <w:r>
        <w:rPr/>
        <w:t>Ç</w:t>
      </w:r>
      <w:r>
        <w:rPr/>
        <w:t>alışma</w:t>
      </w:r>
      <w:r>
        <w:rPr>
          <w:spacing w:val="-3"/>
        </w:rPr>
        <w:t> </w:t>
      </w:r>
      <w:r>
        <w:rPr/>
        <w:t>Süresi</w:t>
      </w:r>
    </w:p>
    <w:p>
      <w:pPr>
        <w:pStyle w:val="BodyText"/>
        <w:spacing w:before="7"/>
        <w:rPr>
          <w:b/>
          <w:sz w:val="21"/>
        </w:rPr>
      </w:pPr>
    </w:p>
    <w:p>
      <w:pPr>
        <w:pStyle w:val="BodyText"/>
        <w:ind w:left="1296"/>
        <w:jc w:val="both"/>
      </w:pPr>
      <w:r>
        <w:rPr/>
        <w:t>Çalışmamız Kasım 2018 ile Haziran 2019 tarihleri arasında gerçekleştirildi.</w:t>
      </w:r>
    </w:p>
    <w:p>
      <w:pPr>
        <w:pStyle w:val="BodyText"/>
        <w:rPr>
          <w:sz w:val="24"/>
        </w:rPr>
      </w:pPr>
    </w:p>
    <w:p>
      <w:pPr>
        <w:pStyle w:val="BodyText"/>
        <w:rPr>
          <w:sz w:val="24"/>
        </w:rPr>
      </w:pPr>
    </w:p>
    <w:p>
      <w:pPr>
        <w:pStyle w:val="BodyText"/>
        <w:spacing w:before="11"/>
        <w:rPr>
          <w:sz w:val="23"/>
        </w:rPr>
      </w:pPr>
    </w:p>
    <w:p>
      <w:pPr>
        <w:pStyle w:val="Heading2"/>
        <w:numPr>
          <w:ilvl w:val="1"/>
          <w:numId w:val="2"/>
        </w:numPr>
        <w:tabs>
          <w:tab w:pos="958" w:val="left" w:leader="none"/>
        </w:tabs>
        <w:spacing w:line="240" w:lineRule="auto" w:before="0" w:after="0"/>
        <w:ind w:left="957" w:right="0" w:hanging="370"/>
        <w:jc w:val="left"/>
      </w:pPr>
      <w:bookmarkStart w:name="_bookmark33" w:id="59"/>
      <w:bookmarkEnd w:id="59"/>
      <w:r>
        <w:rPr>
          <w:b w:val="0"/>
        </w:rPr>
      </w:r>
      <w:bookmarkStart w:name="_bookmark33" w:id="60"/>
      <w:bookmarkEnd w:id="60"/>
      <w:r>
        <w:rPr/>
        <w:t>K</w:t>
      </w:r>
      <w:r>
        <w:rPr/>
        <w:t>atılımcılar</w:t>
      </w:r>
    </w:p>
    <w:p>
      <w:pPr>
        <w:pStyle w:val="BodyText"/>
        <w:spacing w:before="7"/>
        <w:rPr>
          <w:b/>
          <w:sz w:val="21"/>
        </w:rPr>
      </w:pPr>
    </w:p>
    <w:p>
      <w:pPr>
        <w:pStyle w:val="BodyText"/>
        <w:spacing w:line="357" w:lineRule="auto"/>
        <w:ind w:left="588" w:right="292" w:firstLine="708"/>
        <w:jc w:val="both"/>
      </w:pPr>
      <w:r>
        <w:rPr/>
        <w:t>Kolorektal cerrahi geçiren hastalarda ekspiratuar kas eğitiminin etkinliğinin incelenmesi amacıyla yapılan çalışmamıza, Pamukkale Üniversitesi Genel Cerrahi Kliniği’nde kolorektal cerrahi uygulanan hastalar dahil edildi.</w:t>
      </w:r>
    </w:p>
    <w:p>
      <w:pPr>
        <w:pStyle w:val="BodyText"/>
        <w:spacing w:line="360" w:lineRule="auto" w:before="168"/>
        <w:ind w:left="588" w:right="289" w:firstLine="708"/>
        <w:jc w:val="both"/>
      </w:pPr>
      <w:r>
        <w:rPr/>
        <w:t>Çalışmaya katılan 24 birey kapalı zarf yöntemiyle randomize olarak iki gruba ayrıldı. 1. Gruba (çalışma grubu; n=12) cerrahi sonrası geleneksel göğüs fizyoterapisi ve ekspiratuar kas eğitimi, 2. Gruba (kontrol grubu; n=12) ise geleneksel göğüs fizyoterapisi ve İS ile derin inspirasyon uygulandı.</w:t>
      </w:r>
    </w:p>
    <w:p>
      <w:pPr>
        <w:pStyle w:val="BodyText"/>
        <w:spacing w:before="158"/>
        <w:ind w:left="1296"/>
        <w:jc w:val="both"/>
      </w:pPr>
      <w:r>
        <w:rPr/>
        <w:t>Bütün bireyler hastanede kaldıkları süre boyunca takip edildi.</w:t>
      </w:r>
    </w:p>
    <w:p>
      <w:pPr>
        <w:pStyle w:val="BodyText"/>
        <w:rPr>
          <w:sz w:val="24"/>
        </w:rPr>
      </w:pPr>
    </w:p>
    <w:p>
      <w:pPr>
        <w:pStyle w:val="BodyText"/>
        <w:rPr>
          <w:sz w:val="24"/>
        </w:rPr>
      </w:pPr>
    </w:p>
    <w:p>
      <w:pPr>
        <w:pStyle w:val="BodyText"/>
        <w:spacing w:before="8"/>
        <w:rPr>
          <w:sz w:val="23"/>
        </w:rPr>
      </w:pPr>
    </w:p>
    <w:p>
      <w:pPr>
        <w:spacing w:before="0"/>
        <w:ind w:left="588" w:right="0" w:firstLine="0"/>
        <w:jc w:val="left"/>
        <w:rPr>
          <w:sz w:val="22"/>
        </w:rPr>
      </w:pPr>
      <w:r>
        <w:rPr>
          <w:rFonts w:ascii="Times New Roman" w:hAnsi="Times New Roman"/>
          <w:spacing w:val="-56"/>
          <w:w w:val="100"/>
          <w:sz w:val="22"/>
          <w:u w:val="single"/>
        </w:rPr>
        <w:t> </w:t>
      </w:r>
      <w:r>
        <w:rPr>
          <w:i/>
          <w:sz w:val="22"/>
          <w:u w:val="single"/>
        </w:rPr>
        <w:t>Çalışmaya dahil edilme kriterleri</w:t>
      </w:r>
      <w:r>
        <w:rPr>
          <w:sz w:val="22"/>
        </w:rPr>
        <w:t>:</w:t>
      </w:r>
    </w:p>
    <w:p>
      <w:pPr>
        <w:pStyle w:val="BodyText"/>
        <w:spacing w:before="9"/>
        <w:rPr>
          <w:sz w:val="16"/>
        </w:rPr>
      </w:pPr>
    </w:p>
    <w:p>
      <w:pPr>
        <w:pStyle w:val="BodyText"/>
        <w:spacing w:before="94"/>
        <w:ind w:left="588"/>
      </w:pPr>
      <w:r>
        <w:rPr/>
        <w:t>Pamukkale Üniversitesi Genel Cerrahi Kliniği tarafından takip edilen;</w:t>
      </w:r>
    </w:p>
    <w:p>
      <w:pPr>
        <w:pStyle w:val="BodyText"/>
        <w:spacing w:before="2"/>
        <w:rPr>
          <w:sz w:val="25"/>
        </w:rPr>
      </w:pPr>
    </w:p>
    <w:p>
      <w:pPr>
        <w:pStyle w:val="ListParagraph"/>
        <w:numPr>
          <w:ilvl w:val="0"/>
          <w:numId w:val="3"/>
        </w:numPr>
        <w:tabs>
          <w:tab w:pos="1308" w:val="left" w:leader="none"/>
          <w:tab w:pos="1309" w:val="left" w:leader="none"/>
        </w:tabs>
        <w:spacing w:line="240" w:lineRule="auto" w:before="0" w:after="0"/>
        <w:ind w:left="1308" w:right="0" w:hanging="361"/>
        <w:jc w:val="left"/>
        <w:rPr>
          <w:sz w:val="22"/>
        </w:rPr>
      </w:pPr>
      <w:r>
        <w:rPr>
          <w:sz w:val="22"/>
        </w:rPr>
        <w:t>18 ve yaş</w:t>
      </w:r>
      <w:r>
        <w:rPr>
          <w:spacing w:val="-1"/>
          <w:sz w:val="22"/>
        </w:rPr>
        <w:t> </w:t>
      </w:r>
      <w:r>
        <w:rPr>
          <w:sz w:val="22"/>
        </w:rPr>
        <w:t>üzeri</w:t>
      </w:r>
    </w:p>
    <w:p>
      <w:pPr>
        <w:pStyle w:val="ListParagraph"/>
        <w:numPr>
          <w:ilvl w:val="0"/>
          <w:numId w:val="3"/>
        </w:numPr>
        <w:tabs>
          <w:tab w:pos="1308" w:val="left" w:leader="none"/>
          <w:tab w:pos="1309" w:val="left" w:leader="none"/>
        </w:tabs>
        <w:spacing w:line="240" w:lineRule="auto" w:before="126" w:after="0"/>
        <w:ind w:left="1308" w:right="0" w:hanging="361"/>
        <w:jc w:val="left"/>
        <w:rPr>
          <w:sz w:val="22"/>
        </w:rPr>
      </w:pPr>
      <w:r>
        <w:rPr>
          <w:sz w:val="22"/>
        </w:rPr>
        <w:t>Hemodinamik olarak stabil</w:t>
      </w:r>
      <w:r>
        <w:rPr>
          <w:spacing w:val="3"/>
          <w:sz w:val="22"/>
        </w:rPr>
        <w:t> </w:t>
      </w:r>
      <w:r>
        <w:rPr>
          <w:sz w:val="22"/>
        </w:rPr>
        <w:t>durumda</w:t>
      </w:r>
    </w:p>
    <w:p>
      <w:pPr>
        <w:spacing w:after="0" w:line="240" w:lineRule="auto"/>
        <w:jc w:val="left"/>
        <w:rPr>
          <w:sz w:val="22"/>
        </w:rPr>
        <w:sectPr>
          <w:pgSz w:w="11910" w:h="16840"/>
          <w:pgMar w:header="749" w:footer="0" w:top="1320" w:bottom="280" w:left="1680" w:right="840"/>
        </w:sectPr>
      </w:pPr>
    </w:p>
    <w:p>
      <w:pPr>
        <w:pStyle w:val="ListParagraph"/>
        <w:numPr>
          <w:ilvl w:val="0"/>
          <w:numId w:val="3"/>
        </w:numPr>
        <w:tabs>
          <w:tab w:pos="1308" w:val="left" w:leader="none"/>
          <w:tab w:pos="1309" w:val="left" w:leader="none"/>
        </w:tabs>
        <w:spacing w:line="240" w:lineRule="auto" w:before="88" w:after="0"/>
        <w:ind w:left="1308" w:right="0" w:hanging="361"/>
        <w:jc w:val="left"/>
        <w:rPr>
          <w:sz w:val="22"/>
        </w:rPr>
      </w:pPr>
      <w:r>
        <w:rPr>
          <w:sz w:val="22"/>
        </w:rPr>
        <w:t>Kolorektal cerrahi</w:t>
      </w:r>
      <w:r>
        <w:rPr>
          <w:spacing w:val="-5"/>
          <w:sz w:val="22"/>
        </w:rPr>
        <w:t> </w:t>
      </w:r>
      <w:r>
        <w:rPr>
          <w:sz w:val="22"/>
        </w:rPr>
        <w:t>geçiren</w:t>
      </w:r>
    </w:p>
    <w:p>
      <w:pPr>
        <w:pStyle w:val="ListParagraph"/>
        <w:numPr>
          <w:ilvl w:val="0"/>
          <w:numId w:val="3"/>
        </w:numPr>
        <w:tabs>
          <w:tab w:pos="1308" w:val="left" w:leader="none"/>
          <w:tab w:pos="1309" w:val="left" w:leader="none"/>
        </w:tabs>
        <w:spacing w:line="240" w:lineRule="auto" w:before="127" w:after="0"/>
        <w:ind w:left="1308" w:right="0" w:hanging="361"/>
        <w:jc w:val="left"/>
        <w:rPr>
          <w:sz w:val="22"/>
        </w:rPr>
      </w:pPr>
      <w:r>
        <w:rPr>
          <w:sz w:val="22"/>
        </w:rPr>
        <w:t>Koopere ve oryante gönüllü</w:t>
      </w:r>
      <w:r>
        <w:rPr>
          <w:spacing w:val="-3"/>
          <w:sz w:val="22"/>
        </w:rPr>
        <w:t> </w:t>
      </w:r>
      <w:r>
        <w:rPr>
          <w:sz w:val="22"/>
        </w:rPr>
        <w:t>hastalar</w:t>
      </w:r>
    </w:p>
    <w:p>
      <w:pPr>
        <w:spacing w:before="123"/>
        <w:ind w:left="588" w:right="0" w:firstLine="0"/>
        <w:jc w:val="left"/>
        <w:rPr>
          <w:sz w:val="22"/>
        </w:rPr>
      </w:pPr>
      <w:r>
        <w:rPr>
          <w:rFonts w:ascii="Times New Roman" w:hAnsi="Times New Roman"/>
          <w:spacing w:val="-56"/>
          <w:w w:val="100"/>
          <w:sz w:val="22"/>
          <w:u w:val="single"/>
        </w:rPr>
        <w:t> </w:t>
      </w:r>
      <w:r>
        <w:rPr>
          <w:i/>
          <w:sz w:val="22"/>
          <w:u w:val="single"/>
        </w:rPr>
        <w:t>Çalışmadan dışlanma kriterleri</w:t>
      </w:r>
      <w:r>
        <w:rPr>
          <w:sz w:val="22"/>
        </w:rPr>
        <w:t>:</w:t>
      </w:r>
    </w:p>
    <w:p>
      <w:pPr>
        <w:pStyle w:val="BodyText"/>
        <w:rPr>
          <w:sz w:val="17"/>
        </w:rPr>
      </w:pPr>
    </w:p>
    <w:p>
      <w:pPr>
        <w:pStyle w:val="ListParagraph"/>
        <w:numPr>
          <w:ilvl w:val="0"/>
          <w:numId w:val="3"/>
        </w:numPr>
        <w:tabs>
          <w:tab w:pos="1308" w:val="left" w:leader="none"/>
          <w:tab w:pos="1309" w:val="left" w:leader="none"/>
        </w:tabs>
        <w:spacing w:line="240" w:lineRule="auto" w:before="92" w:after="0"/>
        <w:ind w:left="1308" w:right="0" w:hanging="361"/>
        <w:jc w:val="left"/>
        <w:rPr>
          <w:sz w:val="24"/>
        </w:rPr>
      </w:pPr>
      <w:r>
        <w:rPr>
          <w:sz w:val="22"/>
        </w:rPr>
        <w:t>Göğüs fizyoterapisi için kontraendike durumda</w:t>
      </w:r>
      <w:r>
        <w:rPr>
          <w:spacing w:val="-5"/>
          <w:sz w:val="22"/>
        </w:rPr>
        <w:t> </w:t>
      </w:r>
      <w:r>
        <w:rPr>
          <w:sz w:val="22"/>
        </w:rPr>
        <w:t>olan</w:t>
      </w:r>
    </w:p>
    <w:p>
      <w:pPr>
        <w:pStyle w:val="ListParagraph"/>
        <w:numPr>
          <w:ilvl w:val="0"/>
          <w:numId w:val="3"/>
        </w:numPr>
        <w:tabs>
          <w:tab w:pos="1308" w:val="left" w:leader="none"/>
          <w:tab w:pos="1309" w:val="left" w:leader="none"/>
        </w:tabs>
        <w:spacing w:line="240" w:lineRule="auto" w:before="125" w:after="0"/>
        <w:ind w:left="1308" w:right="0" w:hanging="361"/>
        <w:jc w:val="left"/>
        <w:rPr>
          <w:sz w:val="22"/>
        </w:rPr>
      </w:pPr>
      <w:r>
        <w:rPr>
          <w:sz w:val="22"/>
        </w:rPr>
        <w:t>Primer tümör dışında herhangi bir organ metastazı</w:t>
      </w:r>
      <w:r>
        <w:rPr>
          <w:spacing w:val="-12"/>
          <w:sz w:val="22"/>
        </w:rPr>
        <w:t> </w:t>
      </w:r>
      <w:r>
        <w:rPr>
          <w:sz w:val="22"/>
        </w:rPr>
        <w:t>olan</w:t>
      </w:r>
    </w:p>
    <w:p>
      <w:pPr>
        <w:pStyle w:val="ListParagraph"/>
        <w:numPr>
          <w:ilvl w:val="0"/>
          <w:numId w:val="3"/>
        </w:numPr>
        <w:tabs>
          <w:tab w:pos="1308" w:val="left" w:leader="none"/>
          <w:tab w:pos="1309" w:val="left" w:leader="none"/>
        </w:tabs>
        <w:spacing w:line="240" w:lineRule="auto" w:before="126" w:after="0"/>
        <w:ind w:left="1308" w:right="0" w:hanging="361"/>
        <w:jc w:val="left"/>
        <w:rPr>
          <w:sz w:val="22"/>
        </w:rPr>
      </w:pPr>
      <w:r>
        <w:rPr>
          <w:sz w:val="22"/>
        </w:rPr>
        <w:t>Ciddi kronik kardiyovasküler hastalığı</w:t>
      </w:r>
      <w:r>
        <w:rPr>
          <w:spacing w:val="-5"/>
          <w:sz w:val="22"/>
        </w:rPr>
        <w:t> </w:t>
      </w:r>
      <w:r>
        <w:rPr>
          <w:sz w:val="22"/>
        </w:rPr>
        <w:t>olan</w:t>
      </w:r>
    </w:p>
    <w:p>
      <w:pPr>
        <w:pStyle w:val="ListParagraph"/>
        <w:numPr>
          <w:ilvl w:val="0"/>
          <w:numId w:val="3"/>
        </w:numPr>
        <w:tabs>
          <w:tab w:pos="1308" w:val="left" w:leader="none"/>
          <w:tab w:pos="1309" w:val="left" w:leader="none"/>
        </w:tabs>
        <w:spacing w:line="240" w:lineRule="auto" w:before="126" w:after="0"/>
        <w:ind w:left="1308" w:right="0" w:hanging="361"/>
        <w:jc w:val="left"/>
        <w:rPr>
          <w:sz w:val="22"/>
        </w:rPr>
      </w:pPr>
      <w:r>
        <w:rPr>
          <w:sz w:val="22"/>
        </w:rPr>
        <w:t>Organ nakline</w:t>
      </w:r>
      <w:r>
        <w:rPr>
          <w:spacing w:val="-3"/>
          <w:sz w:val="22"/>
        </w:rPr>
        <w:t> </w:t>
      </w:r>
      <w:r>
        <w:rPr>
          <w:sz w:val="22"/>
        </w:rPr>
        <w:t>aday</w:t>
      </w:r>
    </w:p>
    <w:p>
      <w:pPr>
        <w:pStyle w:val="ListParagraph"/>
        <w:numPr>
          <w:ilvl w:val="0"/>
          <w:numId w:val="3"/>
        </w:numPr>
        <w:tabs>
          <w:tab w:pos="1308" w:val="left" w:leader="none"/>
          <w:tab w:pos="1309" w:val="left" w:leader="none"/>
        </w:tabs>
        <w:spacing w:line="240" w:lineRule="auto" w:before="126" w:after="0"/>
        <w:ind w:left="1308" w:right="0" w:hanging="361"/>
        <w:jc w:val="left"/>
        <w:rPr>
          <w:sz w:val="22"/>
        </w:rPr>
      </w:pPr>
      <w:r>
        <w:rPr>
          <w:sz w:val="22"/>
        </w:rPr>
        <w:t>Abdominal herni onarımı</w:t>
      </w:r>
      <w:r>
        <w:rPr>
          <w:spacing w:val="-6"/>
          <w:sz w:val="22"/>
        </w:rPr>
        <w:t> </w:t>
      </w:r>
      <w:r>
        <w:rPr>
          <w:sz w:val="22"/>
        </w:rPr>
        <w:t>gerektiren</w:t>
      </w:r>
    </w:p>
    <w:p>
      <w:pPr>
        <w:pStyle w:val="ListParagraph"/>
        <w:numPr>
          <w:ilvl w:val="0"/>
          <w:numId w:val="3"/>
        </w:numPr>
        <w:tabs>
          <w:tab w:pos="1308" w:val="left" w:leader="none"/>
          <w:tab w:pos="1309" w:val="left" w:leader="none"/>
        </w:tabs>
        <w:spacing w:line="240" w:lineRule="auto" w:before="127" w:after="0"/>
        <w:ind w:left="1308" w:right="0" w:hanging="361"/>
        <w:jc w:val="left"/>
        <w:rPr>
          <w:sz w:val="22"/>
        </w:rPr>
      </w:pPr>
      <w:r>
        <w:rPr>
          <w:sz w:val="22"/>
        </w:rPr>
        <w:t>Bir seneden daha yakın zamanda geçirilmiş cerrahi öyküsü</w:t>
      </w:r>
      <w:r>
        <w:rPr>
          <w:spacing w:val="-5"/>
          <w:sz w:val="22"/>
        </w:rPr>
        <w:t> </w:t>
      </w:r>
      <w:r>
        <w:rPr>
          <w:sz w:val="22"/>
        </w:rPr>
        <w:t>olan</w:t>
      </w:r>
    </w:p>
    <w:p>
      <w:pPr>
        <w:pStyle w:val="ListParagraph"/>
        <w:numPr>
          <w:ilvl w:val="0"/>
          <w:numId w:val="3"/>
        </w:numPr>
        <w:tabs>
          <w:tab w:pos="1308" w:val="left" w:leader="none"/>
          <w:tab w:pos="1309" w:val="left" w:leader="none"/>
        </w:tabs>
        <w:spacing w:line="360" w:lineRule="auto" w:before="126" w:after="0"/>
        <w:ind w:left="1308" w:right="289" w:hanging="360"/>
        <w:jc w:val="left"/>
        <w:rPr>
          <w:sz w:val="22"/>
        </w:rPr>
      </w:pPr>
      <w:r>
        <w:rPr>
          <w:sz w:val="22"/>
        </w:rPr>
        <w:t>Bağımsız yürümesini engelleyecek ortopedik ya da nörolojik hastalığı olan bireylar çalışma dışında</w:t>
      </w:r>
      <w:r>
        <w:rPr>
          <w:spacing w:val="3"/>
          <w:sz w:val="22"/>
        </w:rPr>
        <w:t> </w:t>
      </w:r>
      <w:r>
        <w:rPr>
          <w:sz w:val="22"/>
        </w:rPr>
        <w:t>bırakıldı.</w:t>
      </w:r>
    </w:p>
    <w:p>
      <w:pPr>
        <w:pStyle w:val="BodyText"/>
        <w:rPr>
          <w:sz w:val="24"/>
        </w:rPr>
      </w:pPr>
    </w:p>
    <w:p>
      <w:pPr>
        <w:pStyle w:val="BodyText"/>
        <w:spacing w:before="8"/>
      </w:pPr>
    </w:p>
    <w:p>
      <w:pPr>
        <w:spacing w:before="1"/>
        <w:ind w:left="588" w:right="0" w:firstLine="0"/>
        <w:jc w:val="left"/>
        <w:rPr>
          <w:sz w:val="22"/>
        </w:rPr>
      </w:pPr>
      <w:r>
        <w:rPr>
          <w:rFonts w:ascii="Times New Roman" w:hAnsi="Times New Roman"/>
          <w:spacing w:val="-56"/>
          <w:w w:val="100"/>
          <w:sz w:val="22"/>
          <w:u w:val="single"/>
        </w:rPr>
        <w:t> </w:t>
      </w:r>
      <w:r>
        <w:rPr>
          <w:i/>
          <w:sz w:val="22"/>
          <w:u w:val="single"/>
        </w:rPr>
        <w:t>Uyum kaynaklı dışlanma kriteleri</w:t>
      </w:r>
      <w:r>
        <w:rPr>
          <w:sz w:val="22"/>
        </w:rPr>
        <w:t>:</w:t>
      </w:r>
    </w:p>
    <w:p>
      <w:pPr>
        <w:pStyle w:val="BodyText"/>
        <w:rPr>
          <w:sz w:val="17"/>
        </w:rPr>
      </w:pPr>
    </w:p>
    <w:p>
      <w:pPr>
        <w:pStyle w:val="ListParagraph"/>
        <w:numPr>
          <w:ilvl w:val="0"/>
          <w:numId w:val="3"/>
        </w:numPr>
        <w:tabs>
          <w:tab w:pos="1308" w:val="left" w:leader="none"/>
          <w:tab w:pos="1309" w:val="left" w:leader="none"/>
        </w:tabs>
        <w:spacing w:line="240" w:lineRule="auto" w:before="94" w:after="0"/>
        <w:ind w:left="1308" w:right="0" w:hanging="361"/>
        <w:jc w:val="left"/>
        <w:rPr>
          <w:sz w:val="22"/>
        </w:rPr>
      </w:pPr>
      <w:r>
        <w:rPr>
          <w:sz w:val="22"/>
        </w:rPr>
        <w:t>Bireyların çalışmadan çıkmak istemesi</w:t>
      </w:r>
    </w:p>
    <w:p>
      <w:pPr>
        <w:pStyle w:val="ListParagraph"/>
        <w:numPr>
          <w:ilvl w:val="0"/>
          <w:numId w:val="3"/>
        </w:numPr>
        <w:tabs>
          <w:tab w:pos="1308" w:val="left" w:leader="none"/>
          <w:tab w:pos="1309" w:val="left" w:leader="none"/>
        </w:tabs>
        <w:spacing w:line="240" w:lineRule="auto" w:before="126" w:after="0"/>
        <w:ind w:left="1308" w:right="0" w:hanging="361"/>
        <w:jc w:val="left"/>
        <w:rPr>
          <w:sz w:val="22"/>
        </w:rPr>
      </w:pPr>
      <w:r>
        <w:rPr>
          <w:sz w:val="22"/>
        </w:rPr>
        <w:t>Çalışma süresi boyunca dışlanma kriterlerinden herhangi birinin ortaya</w:t>
      </w:r>
      <w:r>
        <w:rPr>
          <w:spacing w:val="-26"/>
          <w:sz w:val="22"/>
        </w:rPr>
        <w:t> </w:t>
      </w:r>
      <w:r>
        <w:rPr>
          <w:sz w:val="22"/>
        </w:rPr>
        <w:t>çıkması</w:t>
      </w:r>
    </w:p>
    <w:p>
      <w:pPr>
        <w:pStyle w:val="BodyText"/>
        <w:rPr>
          <w:sz w:val="24"/>
        </w:rPr>
      </w:pPr>
    </w:p>
    <w:p>
      <w:pPr>
        <w:pStyle w:val="BodyText"/>
        <w:spacing w:before="8"/>
        <w:rPr>
          <w:sz w:val="33"/>
        </w:rPr>
      </w:pPr>
    </w:p>
    <w:p>
      <w:pPr>
        <w:pStyle w:val="Heading2"/>
        <w:numPr>
          <w:ilvl w:val="1"/>
          <w:numId w:val="2"/>
        </w:numPr>
        <w:tabs>
          <w:tab w:pos="958" w:val="left" w:leader="none"/>
        </w:tabs>
        <w:spacing w:line="240" w:lineRule="auto" w:before="0" w:after="0"/>
        <w:ind w:left="958" w:right="0" w:hanging="370"/>
        <w:jc w:val="left"/>
      </w:pPr>
      <w:bookmarkStart w:name="_bookmark34" w:id="61"/>
      <w:bookmarkEnd w:id="61"/>
      <w:r>
        <w:rPr>
          <w:b w:val="0"/>
        </w:rPr>
      </w:r>
      <w:bookmarkStart w:name="_bookmark34" w:id="62"/>
      <w:bookmarkEnd w:id="62"/>
      <w:r>
        <w:rPr/>
        <w:t>D</w:t>
      </w:r>
      <w:r>
        <w:rPr/>
        <w:t>eğerlendirme</w:t>
      </w:r>
    </w:p>
    <w:p>
      <w:pPr>
        <w:pStyle w:val="BodyText"/>
        <w:spacing w:before="5"/>
        <w:rPr>
          <w:b/>
          <w:sz w:val="21"/>
        </w:rPr>
      </w:pPr>
    </w:p>
    <w:p>
      <w:pPr>
        <w:pStyle w:val="BodyText"/>
        <w:ind w:left="527" w:right="389"/>
        <w:jc w:val="center"/>
      </w:pPr>
      <w:r>
        <w:rPr/>
        <w:t>Tüm bireylere cerrahi öncesinde aşağıdaki değerlendirmeler uygulandı;</w:t>
      </w:r>
    </w:p>
    <w:p>
      <w:pPr>
        <w:pStyle w:val="BodyText"/>
        <w:spacing w:before="2"/>
        <w:rPr>
          <w:sz w:val="25"/>
        </w:rPr>
      </w:pPr>
    </w:p>
    <w:p>
      <w:pPr>
        <w:pStyle w:val="ListParagraph"/>
        <w:numPr>
          <w:ilvl w:val="0"/>
          <w:numId w:val="4"/>
        </w:numPr>
        <w:tabs>
          <w:tab w:pos="1308" w:val="left" w:leader="none"/>
          <w:tab w:pos="1309" w:val="left" w:leader="none"/>
        </w:tabs>
        <w:spacing w:line="240" w:lineRule="auto" w:before="0" w:after="0"/>
        <w:ind w:left="1308" w:right="0" w:hanging="361"/>
        <w:jc w:val="left"/>
        <w:rPr>
          <w:sz w:val="22"/>
        </w:rPr>
      </w:pPr>
      <w:r>
        <w:rPr>
          <w:sz w:val="22"/>
        </w:rPr>
        <w:t>Hasta tanımlayıcı</w:t>
      </w:r>
      <w:r>
        <w:rPr>
          <w:spacing w:val="-5"/>
          <w:sz w:val="22"/>
        </w:rPr>
        <w:t> </w:t>
      </w:r>
      <w:r>
        <w:rPr>
          <w:sz w:val="22"/>
        </w:rPr>
        <w:t>bilgileri</w:t>
      </w:r>
    </w:p>
    <w:p>
      <w:pPr>
        <w:pStyle w:val="ListParagraph"/>
        <w:numPr>
          <w:ilvl w:val="0"/>
          <w:numId w:val="4"/>
        </w:numPr>
        <w:tabs>
          <w:tab w:pos="1308" w:val="left" w:leader="none"/>
          <w:tab w:pos="1309" w:val="left" w:leader="none"/>
        </w:tabs>
        <w:spacing w:line="240" w:lineRule="auto" w:before="126" w:after="0"/>
        <w:ind w:left="1308" w:right="0" w:hanging="361"/>
        <w:jc w:val="left"/>
        <w:rPr>
          <w:sz w:val="22"/>
        </w:rPr>
      </w:pPr>
      <w:r>
        <w:rPr>
          <w:sz w:val="22"/>
        </w:rPr>
        <w:t>Solunum kas gücü</w:t>
      </w:r>
      <w:r>
        <w:rPr>
          <w:spacing w:val="-6"/>
          <w:sz w:val="22"/>
        </w:rPr>
        <w:t> </w:t>
      </w:r>
      <w:r>
        <w:rPr>
          <w:sz w:val="22"/>
        </w:rPr>
        <w:t>değerlendirmesi</w:t>
      </w:r>
    </w:p>
    <w:p>
      <w:pPr>
        <w:pStyle w:val="ListParagraph"/>
        <w:numPr>
          <w:ilvl w:val="0"/>
          <w:numId w:val="4"/>
        </w:numPr>
        <w:tabs>
          <w:tab w:pos="1308" w:val="left" w:leader="none"/>
          <w:tab w:pos="1309" w:val="left" w:leader="none"/>
        </w:tabs>
        <w:spacing w:line="240" w:lineRule="auto" w:before="127" w:after="0"/>
        <w:ind w:left="1308" w:right="0" w:hanging="361"/>
        <w:jc w:val="left"/>
        <w:rPr>
          <w:sz w:val="22"/>
        </w:rPr>
      </w:pPr>
      <w:r>
        <w:rPr>
          <w:sz w:val="22"/>
        </w:rPr>
        <w:t>Fonksiyonel kapasite değerlendirmesi</w:t>
      </w:r>
      <w:r>
        <w:rPr>
          <w:spacing w:val="-7"/>
          <w:sz w:val="22"/>
        </w:rPr>
        <w:t> </w:t>
      </w:r>
      <w:r>
        <w:rPr>
          <w:sz w:val="22"/>
        </w:rPr>
        <w:t>(6DYT)</w:t>
      </w:r>
    </w:p>
    <w:p>
      <w:pPr>
        <w:pStyle w:val="ListParagraph"/>
        <w:numPr>
          <w:ilvl w:val="0"/>
          <w:numId w:val="4"/>
        </w:numPr>
        <w:tabs>
          <w:tab w:pos="1308" w:val="left" w:leader="none"/>
          <w:tab w:pos="1309" w:val="left" w:leader="none"/>
        </w:tabs>
        <w:spacing w:line="240" w:lineRule="auto" w:before="126" w:after="0"/>
        <w:ind w:left="1308" w:right="0" w:hanging="361"/>
        <w:jc w:val="left"/>
        <w:rPr>
          <w:sz w:val="22"/>
        </w:rPr>
      </w:pPr>
      <w:r>
        <w:rPr>
          <w:sz w:val="22"/>
        </w:rPr>
        <w:t>Yorgunluk ve dispne değerlendirmesi (Modifiye Borg</w:t>
      </w:r>
      <w:r>
        <w:rPr>
          <w:spacing w:val="-5"/>
          <w:sz w:val="22"/>
        </w:rPr>
        <w:t> </w:t>
      </w:r>
      <w:r>
        <w:rPr>
          <w:sz w:val="22"/>
        </w:rPr>
        <w:t>skalası)</w:t>
      </w:r>
    </w:p>
    <w:p>
      <w:pPr>
        <w:pStyle w:val="ListParagraph"/>
        <w:numPr>
          <w:ilvl w:val="0"/>
          <w:numId w:val="4"/>
        </w:numPr>
        <w:tabs>
          <w:tab w:pos="1308" w:val="left" w:leader="none"/>
          <w:tab w:pos="1309" w:val="left" w:leader="none"/>
        </w:tabs>
        <w:spacing w:line="240" w:lineRule="auto" w:before="126" w:after="0"/>
        <w:ind w:left="1308" w:right="0" w:hanging="361"/>
        <w:jc w:val="left"/>
        <w:rPr>
          <w:sz w:val="22"/>
        </w:rPr>
      </w:pPr>
      <w:r>
        <w:rPr>
          <w:sz w:val="22"/>
        </w:rPr>
        <w:t>Ağrı değerlendirmesi (Numerik ağrı</w:t>
      </w:r>
      <w:r>
        <w:rPr>
          <w:spacing w:val="-5"/>
          <w:sz w:val="22"/>
        </w:rPr>
        <w:t> </w:t>
      </w:r>
      <w:r>
        <w:rPr>
          <w:sz w:val="22"/>
        </w:rPr>
        <w:t>skalası)</w:t>
      </w:r>
    </w:p>
    <w:p>
      <w:pPr>
        <w:pStyle w:val="ListParagraph"/>
        <w:numPr>
          <w:ilvl w:val="0"/>
          <w:numId w:val="4"/>
        </w:numPr>
        <w:tabs>
          <w:tab w:pos="1308" w:val="left" w:leader="none"/>
          <w:tab w:pos="1309" w:val="left" w:leader="none"/>
        </w:tabs>
        <w:spacing w:line="240" w:lineRule="auto" w:before="129" w:after="0"/>
        <w:ind w:left="1308" w:right="0" w:hanging="361"/>
        <w:jc w:val="left"/>
        <w:rPr>
          <w:sz w:val="22"/>
        </w:rPr>
      </w:pPr>
      <w:r>
        <w:rPr>
          <w:sz w:val="22"/>
        </w:rPr>
        <w:t>Kaygı durum değerlendirmesi (State- Trait Anxiety</w:t>
      </w:r>
      <w:r>
        <w:rPr>
          <w:spacing w:val="-9"/>
          <w:sz w:val="22"/>
        </w:rPr>
        <w:t> </w:t>
      </w:r>
      <w:r>
        <w:rPr>
          <w:sz w:val="22"/>
        </w:rPr>
        <w:t>Inventory)</w:t>
      </w:r>
    </w:p>
    <w:p>
      <w:pPr>
        <w:pStyle w:val="ListParagraph"/>
        <w:numPr>
          <w:ilvl w:val="0"/>
          <w:numId w:val="4"/>
        </w:numPr>
        <w:tabs>
          <w:tab w:pos="1308" w:val="left" w:leader="none"/>
          <w:tab w:pos="1309" w:val="left" w:leader="none"/>
        </w:tabs>
        <w:spacing w:line="240" w:lineRule="auto" w:before="126" w:after="0"/>
        <w:ind w:left="1308" w:right="0" w:hanging="361"/>
        <w:jc w:val="left"/>
        <w:rPr>
          <w:sz w:val="22"/>
        </w:rPr>
      </w:pPr>
      <w:r>
        <w:rPr>
          <w:sz w:val="22"/>
        </w:rPr>
        <w:t>Fiziki sağlık durumu değerlendirmesi (ASA</w:t>
      </w:r>
      <w:r>
        <w:rPr>
          <w:spacing w:val="-1"/>
          <w:sz w:val="22"/>
        </w:rPr>
        <w:t> </w:t>
      </w:r>
      <w:r>
        <w:rPr>
          <w:sz w:val="22"/>
        </w:rPr>
        <w:t>skoru)</w:t>
      </w:r>
    </w:p>
    <w:p>
      <w:pPr>
        <w:pStyle w:val="ListParagraph"/>
        <w:numPr>
          <w:ilvl w:val="0"/>
          <w:numId w:val="4"/>
        </w:numPr>
        <w:tabs>
          <w:tab w:pos="1308" w:val="left" w:leader="none"/>
          <w:tab w:pos="1309" w:val="left" w:leader="none"/>
        </w:tabs>
        <w:spacing w:line="240" w:lineRule="auto" w:before="126" w:after="0"/>
        <w:ind w:left="1308" w:right="0" w:hanging="361"/>
        <w:jc w:val="left"/>
        <w:rPr>
          <w:sz w:val="22"/>
        </w:rPr>
      </w:pPr>
      <w:r>
        <w:rPr>
          <w:sz w:val="22"/>
        </w:rPr>
        <w:t>Postoperatif pulmoner komplikasyon</w:t>
      </w:r>
      <w:r>
        <w:rPr>
          <w:spacing w:val="-3"/>
          <w:sz w:val="22"/>
        </w:rPr>
        <w:t> </w:t>
      </w:r>
      <w:r>
        <w:rPr>
          <w:sz w:val="22"/>
        </w:rPr>
        <w:t>değerlendirmesi</w:t>
      </w:r>
    </w:p>
    <w:p>
      <w:pPr>
        <w:pStyle w:val="BodyText"/>
        <w:spacing w:before="10"/>
        <w:rPr>
          <w:sz w:val="31"/>
        </w:rPr>
      </w:pPr>
    </w:p>
    <w:p>
      <w:pPr>
        <w:pStyle w:val="BodyText"/>
        <w:spacing w:line="360" w:lineRule="auto" w:before="1"/>
        <w:ind w:left="588" w:right="291" w:firstLine="708"/>
        <w:jc w:val="both"/>
      </w:pPr>
      <w:r>
        <w:rPr/>
        <w:t>Değerlendirmeler cerrahi öncesi, cerrahi sonrası ve taburculuk öncesi dönemlerde tekrarlandı.</w:t>
      </w:r>
    </w:p>
    <w:p>
      <w:pPr>
        <w:pStyle w:val="BodyText"/>
        <w:spacing w:before="9"/>
        <w:rPr>
          <w:sz w:val="20"/>
        </w:rPr>
      </w:pPr>
    </w:p>
    <w:p>
      <w:pPr>
        <w:pStyle w:val="BodyText"/>
        <w:spacing w:line="360" w:lineRule="auto"/>
        <w:ind w:left="588" w:right="289" w:firstLine="708"/>
        <w:jc w:val="both"/>
      </w:pPr>
      <w:r>
        <w:rPr/>
        <w:t>Bu</w:t>
      </w:r>
      <w:r>
        <w:rPr>
          <w:spacing w:val="-16"/>
        </w:rPr>
        <w:t> </w:t>
      </w:r>
      <w:r>
        <w:rPr/>
        <w:t>değerlendirmelere</w:t>
      </w:r>
      <w:r>
        <w:rPr>
          <w:spacing w:val="-16"/>
        </w:rPr>
        <w:t> </w:t>
      </w:r>
      <w:r>
        <w:rPr/>
        <w:t>ek</w:t>
      </w:r>
      <w:r>
        <w:rPr>
          <w:spacing w:val="-15"/>
        </w:rPr>
        <w:t> </w:t>
      </w:r>
      <w:r>
        <w:rPr/>
        <w:t>olarak</w:t>
      </w:r>
      <w:r>
        <w:rPr>
          <w:spacing w:val="-15"/>
        </w:rPr>
        <w:t> </w:t>
      </w:r>
      <w:r>
        <w:rPr/>
        <w:t>bireylerin</w:t>
      </w:r>
      <w:r>
        <w:rPr>
          <w:spacing w:val="-15"/>
        </w:rPr>
        <w:t> </w:t>
      </w:r>
      <w:r>
        <w:rPr/>
        <w:t>hareket</w:t>
      </w:r>
      <w:r>
        <w:rPr>
          <w:spacing w:val="-19"/>
        </w:rPr>
        <w:t> </w:t>
      </w:r>
      <w:r>
        <w:rPr/>
        <w:t>ve</w:t>
      </w:r>
      <w:r>
        <w:rPr>
          <w:spacing w:val="-15"/>
        </w:rPr>
        <w:t> </w:t>
      </w:r>
      <w:r>
        <w:rPr/>
        <w:t>bağımsızlık</w:t>
      </w:r>
      <w:r>
        <w:rPr>
          <w:spacing w:val="-13"/>
        </w:rPr>
        <w:t> </w:t>
      </w:r>
      <w:r>
        <w:rPr/>
        <w:t>düzeyleri</w:t>
      </w:r>
      <w:r>
        <w:rPr>
          <w:spacing w:val="-16"/>
        </w:rPr>
        <w:t> </w:t>
      </w:r>
      <w:r>
        <w:rPr/>
        <w:t>‘Hasta Haraketlilik ve Gözlemci Hareketlilik Ölçeği’ ile cerrahi sonrası ve taburculuk öncesi dönemlerde değerlendirildi (Heye vd.</w:t>
      </w:r>
      <w:r>
        <w:rPr>
          <w:spacing w:val="1"/>
        </w:rPr>
        <w:t> </w:t>
      </w:r>
      <w:r>
        <w:rPr/>
        <w:t>2002).</w:t>
      </w:r>
    </w:p>
    <w:p>
      <w:pPr>
        <w:spacing w:after="0" w:line="360" w:lineRule="auto"/>
        <w:jc w:val="both"/>
        <w:sectPr>
          <w:pgSz w:w="11910" w:h="16840"/>
          <w:pgMar w:header="749" w:footer="0" w:top="1320" w:bottom="280" w:left="1680" w:right="840"/>
        </w:sectPr>
      </w:pPr>
    </w:p>
    <w:p>
      <w:pPr>
        <w:pStyle w:val="BodyText"/>
        <w:spacing w:line="360" w:lineRule="auto" w:before="88"/>
        <w:ind w:left="588" w:right="289" w:firstLine="708"/>
        <w:jc w:val="both"/>
      </w:pPr>
      <w:r>
        <w:rPr/>
        <w:t>Hasta tanımlayıcı bilgileri; yaş, kilo, boy, vücut kitle indeksi (Vücut ağırlığı(kg)/Boy²(m²</w:t>
      </w:r>
      <w:r>
        <w:rPr>
          <w:rFonts w:ascii="Calibri" w:hAnsi="Calibri"/>
          <w:sz w:val="23"/>
        </w:rPr>
        <w:t>)</w:t>
      </w:r>
      <w:r>
        <w:rPr/>
        <w:t>), eğitim durumu, meslek, kullanılan ilaçlar, hastanede kalış süresi, sigara ve alkol öyküsü, egzersiz alışkanlıkları ve ameliyat bilgileri (anestezi süresi, anestezi çeşidi ve ameliyat şekli) demografik bilgi formuna kaydedildi (Ek-2).</w:t>
      </w:r>
    </w:p>
    <w:p>
      <w:pPr>
        <w:pStyle w:val="BodyText"/>
        <w:rPr>
          <w:sz w:val="24"/>
        </w:rPr>
      </w:pPr>
    </w:p>
    <w:p>
      <w:pPr>
        <w:pStyle w:val="BodyText"/>
        <w:rPr>
          <w:sz w:val="24"/>
        </w:rPr>
      </w:pPr>
    </w:p>
    <w:p>
      <w:pPr>
        <w:pStyle w:val="BodyText"/>
        <w:spacing w:before="7"/>
        <w:rPr>
          <w:sz w:val="26"/>
        </w:rPr>
      </w:pPr>
    </w:p>
    <w:p>
      <w:pPr>
        <w:pStyle w:val="Heading2"/>
        <w:numPr>
          <w:ilvl w:val="2"/>
          <w:numId w:val="2"/>
        </w:numPr>
        <w:tabs>
          <w:tab w:pos="1203" w:val="left" w:leader="none"/>
        </w:tabs>
        <w:spacing w:line="240" w:lineRule="auto" w:before="0" w:after="0"/>
        <w:ind w:left="1202" w:right="0" w:hanging="615"/>
        <w:jc w:val="left"/>
      </w:pPr>
      <w:bookmarkStart w:name="_bookmark35" w:id="63"/>
      <w:bookmarkEnd w:id="63"/>
      <w:r>
        <w:rPr>
          <w:b w:val="0"/>
        </w:rPr>
      </w:r>
      <w:bookmarkStart w:name="_bookmark35" w:id="64"/>
      <w:bookmarkEnd w:id="64"/>
      <w:r>
        <w:rPr/>
        <w:t>S</w:t>
      </w:r>
      <w:r>
        <w:rPr/>
        <w:t>olunum Kas Gücü</w:t>
      </w:r>
      <w:r>
        <w:rPr>
          <w:spacing w:val="-5"/>
        </w:rPr>
        <w:t> </w:t>
      </w:r>
      <w:r>
        <w:rPr/>
        <w:t>Değerlendirmesi</w:t>
      </w:r>
    </w:p>
    <w:p>
      <w:pPr>
        <w:pStyle w:val="BodyText"/>
        <w:spacing w:before="7"/>
        <w:rPr>
          <w:b/>
          <w:sz w:val="21"/>
        </w:rPr>
      </w:pPr>
    </w:p>
    <w:p>
      <w:pPr>
        <w:pStyle w:val="BodyText"/>
        <w:spacing w:line="360" w:lineRule="auto"/>
        <w:ind w:left="588" w:right="290" w:firstLine="708"/>
        <w:jc w:val="both"/>
      </w:pPr>
      <w:r>
        <w:rPr/>
        <w:t>Solunum kas gücü ölçümü, taşınabilir spirometre ‘Pony FX Desktop Spirometry’ cihazına takılan ek ağız aparatıyla maksimum inspiratuar basınç (MİP) ve maksimum ekspiratuar basınç (MEP) değerleri ölçülerek hesaplandı. Bireylerden rahat ve dik oturma pozisyonunda burunlarına klips takılarak maksimal ekspirasyon ve inspirasyon yapılması istendi.</w:t>
      </w:r>
    </w:p>
    <w:p>
      <w:pPr>
        <w:pStyle w:val="BodyText"/>
        <w:spacing w:before="6"/>
        <w:rPr>
          <w:sz w:val="17"/>
        </w:rPr>
      </w:pPr>
      <w:r>
        <w:rPr/>
        <w:pict>
          <v:group style="position:absolute;margin-left:117.239998pt;margin-top:12.040693pt;width:420.75pt;height:262.7pt;mso-position-horizontal-relative:page;mso-position-vertical-relative:paragraph;z-index:-251656192;mso-wrap-distance-left:0;mso-wrap-distance-right:0" coordorigin="2345,241" coordsize="8415,5254">
            <v:shape style="position:absolute;left:2344;top:240;width:4491;height:5244" type="#_x0000_t75" stroked="false">
              <v:imagedata r:id="rId14" o:title=""/>
            </v:shape>
            <v:shape style="position:absolute;left:6835;top:262;width:3924;height:5232" type="#_x0000_t75" stroked="false">
              <v:imagedata r:id="rId15" o:title=""/>
            </v:shape>
            <v:line style="position:absolute" from="9384,2736" to="9929,2736" stroked="true" strokeweight="4.92pt" strokecolor="#000000">
              <v:stroke dashstyle="solid"/>
            </v:line>
            <v:rect style="position:absolute;left:9384;top:2686;width:545;height:99" filled="false" stroked="true" strokeweight=".96pt" strokecolor="#000000">
              <v:stroke dashstyle="solid"/>
            </v:rect>
            <w10:wrap type="topAndBottom"/>
          </v:group>
        </w:pict>
      </w:r>
    </w:p>
    <w:p>
      <w:pPr>
        <w:pStyle w:val="BodyText"/>
        <w:rPr>
          <w:sz w:val="28"/>
        </w:rPr>
      </w:pPr>
    </w:p>
    <w:p>
      <w:pPr>
        <w:spacing w:before="0"/>
        <w:ind w:left="588" w:right="0" w:firstLine="0"/>
        <w:jc w:val="both"/>
        <w:rPr>
          <w:sz w:val="20"/>
        </w:rPr>
      </w:pPr>
      <w:r>
        <w:rPr>
          <w:b/>
          <w:sz w:val="20"/>
        </w:rPr>
        <w:t>Resim 3.4.1</w:t>
      </w:r>
      <w:r>
        <w:rPr>
          <w:sz w:val="20"/>
        </w:rPr>
        <w:t>. Solunum Kas gücü Ölçümü</w:t>
      </w:r>
    </w:p>
    <w:p>
      <w:pPr>
        <w:pStyle w:val="BodyText"/>
        <w:spacing w:before="3"/>
        <w:rPr>
          <w:sz w:val="31"/>
        </w:rPr>
      </w:pPr>
    </w:p>
    <w:p>
      <w:pPr>
        <w:pStyle w:val="BodyText"/>
        <w:spacing w:line="364" w:lineRule="auto"/>
        <w:ind w:left="588" w:right="287" w:firstLine="62"/>
        <w:jc w:val="both"/>
      </w:pPr>
      <w:r>
        <w:rPr/>
        <w:t>MIP ve MEP testlerinde başarılması pratik, çaba ve iyi bir motivasyon gerektirir. Bu nedenle MIP ve MEP ölçümlerinde hasta maksimum kuvvet ve koordinasyon için cesaretlendirildi.</w:t>
      </w:r>
      <w:r>
        <w:rPr>
          <w:spacing w:val="-13"/>
        </w:rPr>
        <w:t> </w:t>
      </w:r>
      <w:r>
        <w:rPr/>
        <w:t>Manevralar</w:t>
      </w:r>
      <w:r>
        <w:rPr>
          <w:spacing w:val="-12"/>
        </w:rPr>
        <w:t> </w:t>
      </w:r>
      <w:r>
        <w:rPr/>
        <w:t>3</w:t>
      </w:r>
      <w:r>
        <w:rPr>
          <w:spacing w:val="-13"/>
        </w:rPr>
        <w:t> </w:t>
      </w:r>
      <w:r>
        <w:rPr/>
        <w:t>kez</w:t>
      </w:r>
      <w:r>
        <w:rPr>
          <w:spacing w:val="-16"/>
        </w:rPr>
        <w:t> </w:t>
      </w:r>
      <w:r>
        <w:rPr/>
        <w:t>tekrarlandı</w:t>
      </w:r>
      <w:r>
        <w:rPr>
          <w:spacing w:val="-16"/>
        </w:rPr>
        <w:t> </w:t>
      </w:r>
      <w:r>
        <w:rPr/>
        <w:t>ve</w:t>
      </w:r>
      <w:r>
        <w:rPr>
          <w:spacing w:val="-11"/>
        </w:rPr>
        <w:t> </w:t>
      </w:r>
      <w:r>
        <w:rPr/>
        <w:t>en</w:t>
      </w:r>
      <w:r>
        <w:rPr>
          <w:spacing w:val="-17"/>
        </w:rPr>
        <w:t> </w:t>
      </w:r>
      <w:r>
        <w:rPr/>
        <w:t>fazla</w:t>
      </w:r>
      <w:r>
        <w:rPr>
          <w:spacing w:val="-14"/>
        </w:rPr>
        <w:t> </w:t>
      </w:r>
      <w:r>
        <w:rPr/>
        <w:t>%5</w:t>
      </w:r>
      <w:r>
        <w:rPr>
          <w:spacing w:val="-16"/>
        </w:rPr>
        <w:t> </w:t>
      </w:r>
      <w:r>
        <w:rPr/>
        <w:t>fark</w:t>
      </w:r>
      <w:r>
        <w:rPr>
          <w:spacing w:val="-11"/>
        </w:rPr>
        <w:t> </w:t>
      </w:r>
      <w:r>
        <w:rPr/>
        <w:t>olan</w:t>
      </w:r>
      <w:r>
        <w:rPr>
          <w:spacing w:val="-14"/>
        </w:rPr>
        <w:t> </w:t>
      </w:r>
      <w:r>
        <w:rPr/>
        <w:t>ölçümlerin</w:t>
      </w:r>
      <w:r>
        <w:rPr>
          <w:spacing w:val="-11"/>
        </w:rPr>
        <w:t> </w:t>
      </w:r>
      <w:r>
        <w:rPr/>
        <w:t>en</w:t>
      </w:r>
      <w:r>
        <w:rPr>
          <w:spacing w:val="-15"/>
        </w:rPr>
        <w:t> </w:t>
      </w:r>
      <w:r>
        <w:rPr/>
        <w:t>iyisi analiz</w:t>
      </w:r>
      <w:r>
        <w:rPr>
          <w:spacing w:val="-8"/>
        </w:rPr>
        <w:t> </w:t>
      </w:r>
      <w:r>
        <w:rPr/>
        <w:t>için</w:t>
      </w:r>
      <w:r>
        <w:rPr>
          <w:spacing w:val="-5"/>
        </w:rPr>
        <w:t> </w:t>
      </w:r>
      <w:r>
        <w:rPr/>
        <w:t>seçildi.</w:t>
      </w:r>
      <w:r>
        <w:rPr>
          <w:spacing w:val="-5"/>
        </w:rPr>
        <w:t> </w:t>
      </w:r>
      <w:r>
        <w:rPr/>
        <w:t>Her</w:t>
      </w:r>
      <w:r>
        <w:rPr>
          <w:spacing w:val="-8"/>
        </w:rPr>
        <w:t> </w:t>
      </w:r>
      <w:r>
        <w:rPr/>
        <w:t>bir</w:t>
      </w:r>
      <w:r>
        <w:rPr>
          <w:spacing w:val="-6"/>
        </w:rPr>
        <w:t> </w:t>
      </w:r>
      <w:r>
        <w:rPr/>
        <w:t>ölçüm</w:t>
      </w:r>
      <w:r>
        <w:rPr>
          <w:spacing w:val="-7"/>
        </w:rPr>
        <w:t> </w:t>
      </w:r>
      <w:r>
        <w:rPr/>
        <w:t>arasında</w:t>
      </w:r>
      <w:r>
        <w:rPr>
          <w:spacing w:val="-6"/>
        </w:rPr>
        <w:t> </w:t>
      </w:r>
      <w:r>
        <w:rPr/>
        <w:t>solunum</w:t>
      </w:r>
      <w:r>
        <w:rPr>
          <w:spacing w:val="-7"/>
        </w:rPr>
        <w:t> </w:t>
      </w:r>
      <w:r>
        <w:rPr/>
        <w:t>kaslarının</w:t>
      </w:r>
      <w:r>
        <w:rPr>
          <w:spacing w:val="-6"/>
        </w:rPr>
        <w:t> </w:t>
      </w:r>
      <w:r>
        <w:rPr/>
        <w:t>yorgunluğuna</w:t>
      </w:r>
      <w:r>
        <w:rPr>
          <w:spacing w:val="-6"/>
        </w:rPr>
        <w:t> </w:t>
      </w:r>
      <w:r>
        <w:rPr/>
        <w:t>engel</w:t>
      </w:r>
      <w:r>
        <w:rPr>
          <w:spacing w:val="-7"/>
        </w:rPr>
        <w:t> </w:t>
      </w:r>
      <w:r>
        <w:rPr/>
        <w:t>olmak </w:t>
      </w:r>
      <w:r>
        <w:rPr>
          <w:position w:val="2"/>
        </w:rPr>
        <w:t>amacıyla 1-2 dakika dinlenme arası verildi. MIP ve MEP değerleri cmH</w:t>
      </w:r>
      <w:r>
        <w:rPr>
          <w:rFonts w:ascii="Calibri" w:hAnsi="Calibri"/>
          <w:sz w:val="15"/>
        </w:rPr>
        <w:t>2</w:t>
      </w:r>
      <w:r>
        <w:rPr>
          <w:position w:val="2"/>
        </w:rPr>
        <w:t>O olarak </w:t>
      </w:r>
      <w:r>
        <w:rPr/>
        <w:t>kaydedildi (Black ve Hyatt</w:t>
      </w:r>
      <w:r>
        <w:rPr>
          <w:spacing w:val="-2"/>
        </w:rPr>
        <w:t> </w:t>
      </w:r>
      <w:r>
        <w:rPr/>
        <w:t>1969</w:t>
      </w:r>
      <w:r>
        <w:rPr>
          <w:rFonts w:ascii="Calibri" w:hAnsi="Calibri"/>
          <w:sz w:val="23"/>
        </w:rPr>
        <w:t>)</w:t>
      </w:r>
      <w:r>
        <w:rPr/>
        <w:t>.</w:t>
      </w:r>
    </w:p>
    <w:p>
      <w:pPr>
        <w:spacing w:after="0" w:line="364" w:lineRule="auto"/>
        <w:jc w:val="both"/>
        <w:sectPr>
          <w:pgSz w:w="11910" w:h="16840"/>
          <w:pgMar w:header="749" w:footer="0" w:top="1320" w:bottom="280" w:left="1680" w:right="840"/>
        </w:sectPr>
      </w:pPr>
    </w:p>
    <w:p>
      <w:pPr>
        <w:pStyle w:val="Heading2"/>
        <w:numPr>
          <w:ilvl w:val="2"/>
          <w:numId w:val="2"/>
        </w:numPr>
        <w:tabs>
          <w:tab w:pos="1203" w:val="left" w:leader="none"/>
        </w:tabs>
        <w:spacing w:line="240" w:lineRule="auto" w:before="86" w:after="0"/>
        <w:ind w:left="1202" w:right="0" w:hanging="615"/>
        <w:jc w:val="left"/>
      </w:pPr>
      <w:bookmarkStart w:name="_bookmark36" w:id="65"/>
      <w:bookmarkEnd w:id="65"/>
      <w:r>
        <w:rPr>
          <w:b w:val="0"/>
        </w:rPr>
      </w:r>
      <w:bookmarkStart w:name="_bookmark36" w:id="66"/>
      <w:bookmarkEnd w:id="66"/>
      <w:r>
        <w:rPr/>
        <w:t>F</w:t>
      </w:r>
      <w:r>
        <w:rPr/>
        <w:t>onksiyonel Düzeyin Değerlendirmesi</w:t>
      </w:r>
    </w:p>
    <w:p>
      <w:pPr>
        <w:pStyle w:val="BodyText"/>
        <w:spacing w:before="7"/>
        <w:rPr>
          <w:b/>
          <w:sz w:val="21"/>
        </w:rPr>
      </w:pPr>
    </w:p>
    <w:p>
      <w:pPr>
        <w:pStyle w:val="BodyText"/>
        <w:spacing w:line="360" w:lineRule="auto"/>
        <w:ind w:left="588" w:right="287"/>
        <w:jc w:val="both"/>
      </w:pPr>
      <w:r>
        <w:rPr/>
        <w:t>Genel cerrahi servisinde hastaların fiziksel fonksiyon düzeyleri ‘6 Dakika Yürüme Testi’ (6DYT) ile cerrahi öncesi ve taburculuk öncesinde değerlendirildi. American Thorax Society tarafından fonksiyon düzeyi belirlemede önerilen test 1963’ te Balke tarafından geliştirilmiştir. Klinikte bireylerin fonksiyonel kapasitelerini belirlemede çok pratik olması nedeniyle sıkça kullanılmaktadır.</w:t>
      </w:r>
    </w:p>
    <w:p>
      <w:pPr>
        <w:pStyle w:val="BodyText"/>
        <w:rPr>
          <w:sz w:val="21"/>
        </w:rPr>
      </w:pPr>
    </w:p>
    <w:p>
      <w:pPr>
        <w:pStyle w:val="BodyText"/>
        <w:spacing w:line="360" w:lineRule="auto"/>
        <w:ind w:left="588" w:right="290" w:firstLine="708"/>
        <w:jc w:val="both"/>
      </w:pPr>
      <w:r>
        <w:rPr/>
        <w:t>Test uygulanmadan önce hastalar en az 15 dakika dinlendirildi. Test öncesinde yorgunluk ve dispne seviyeleri ‘Modifiye Borg Skalası’ (MBS) ile belirlendi. Ayrıca kalp hızı ve periferik oksijen saturasyonu taşınabilir ‘Pulse Oksimetre’ cihazıyla ölçülerek kaydedildi. 6DYT, 30 metrelik parkurda gerçekleştirildi. Test başlamadan önce hasta bilgilendirildi (6 dakika boyunca yürüme hızınızda koridarda yürüyeceksiniz. Mide bulantısı, baş dönmesi, aşırı yorgunluk, ciddi nefes darlığı ve çarpıntı gibi durumlarda testi</w:t>
      </w:r>
      <w:r>
        <w:rPr>
          <w:spacing w:val="-16"/>
        </w:rPr>
        <w:t> </w:t>
      </w:r>
      <w:r>
        <w:rPr/>
        <w:t>sonlandırabilirsiniz.</w:t>
      </w:r>
      <w:r>
        <w:rPr>
          <w:spacing w:val="-12"/>
        </w:rPr>
        <w:t> </w:t>
      </w:r>
      <w:r>
        <w:rPr/>
        <w:t>Test</w:t>
      </w:r>
      <w:r>
        <w:rPr>
          <w:spacing w:val="-14"/>
        </w:rPr>
        <w:t> </w:t>
      </w:r>
      <w:r>
        <w:rPr/>
        <w:t>sırasında</w:t>
      </w:r>
      <w:r>
        <w:rPr>
          <w:spacing w:val="-16"/>
        </w:rPr>
        <w:t> </w:t>
      </w:r>
      <w:r>
        <w:rPr/>
        <w:t>gerekli</w:t>
      </w:r>
      <w:r>
        <w:rPr>
          <w:spacing w:val="-18"/>
        </w:rPr>
        <w:t> </w:t>
      </w:r>
      <w:r>
        <w:rPr/>
        <w:t>görürseniz</w:t>
      </w:r>
      <w:r>
        <w:rPr>
          <w:spacing w:val="-17"/>
        </w:rPr>
        <w:t> </w:t>
      </w:r>
      <w:r>
        <w:rPr/>
        <w:t>durabilir</w:t>
      </w:r>
      <w:r>
        <w:rPr>
          <w:spacing w:val="-15"/>
        </w:rPr>
        <w:t> </w:t>
      </w:r>
      <w:r>
        <w:rPr/>
        <w:t>veya</w:t>
      </w:r>
      <w:r>
        <w:rPr>
          <w:spacing w:val="-15"/>
        </w:rPr>
        <w:t> </w:t>
      </w:r>
      <w:r>
        <w:rPr/>
        <w:t>dinlenebilirsiniz. Test bitti komutuna kadar devam etmeniz gerekmektedir). Test sonunda değerlendirmeler tekrarlandı ve toplam yürüme mesafesi kaydedildi. (Resim</w:t>
      </w:r>
      <w:r>
        <w:rPr>
          <w:spacing w:val="-28"/>
        </w:rPr>
        <w:t> </w:t>
      </w:r>
      <w:r>
        <w:rPr/>
        <w:t>3.4.2.)</w:t>
      </w:r>
    </w:p>
    <w:p>
      <w:pPr>
        <w:pStyle w:val="BodyText"/>
        <w:spacing w:before="3"/>
        <w:rPr>
          <w:sz w:val="24"/>
        </w:rPr>
      </w:pPr>
      <w:r>
        <w:rPr/>
        <w:pict>
          <v:group style="position:absolute;margin-left:114.479996pt;margin-top:15.939902pt;width:422.05pt;height:245.2pt;mso-position-horizontal-relative:page;mso-position-vertical-relative:paragraph;z-index:-251655168;mso-wrap-distance-left:0;mso-wrap-distance-right:0" coordorigin="2290,319" coordsize="8441,4904">
            <v:shape style="position:absolute;left:2289;top:318;width:8441;height:4904" type="#_x0000_t75" stroked="false">
              <v:imagedata r:id="rId16" o:title=""/>
            </v:shape>
            <v:line style="position:absolute" from="4692,1633" to="4992,1633" stroked="true" strokeweight="4.2pt" strokecolor="#000000">
              <v:stroke dashstyle="solid"/>
            </v:line>
            <v:rect style="position:absolute;left:4692;top:1590;width:300;height:84" filled="false" stroked="true" strokeweight=".96pt" strokecolor="#000000">
              <v:stroke dashstyle="solid"/>
            </v:rect>
            <v:line style="position:absolute" from="8299,2432" to="8527,2432" stroked="true" strokeweight="3.72pt" strokecolor="#000000">
              <v:stroke dashstyle="solid"/>
            </v:line>
            <v:rect style="position:absolute;left:8299;top:2394;width:228;height:75" filled="false" stroked="true" strokeweight=".96pt" strokecolor="#000000">
              <v:stroke dashstyle="solid"/>
            </v:rect>
            <w10:wrap type="topAndBottom"/>
          </v:group>
        </w:pict>
      </w:r>
    </w:p>
    <w:p>
      <w:pPr>
        <w:spacing w:before="116"/>
        <w:ind w:left="588" w:right="0" w:firstLine="0"/>
        <w:jc w:val="both"/>
        <w:rPr>
          <w:sz w:val="20"/>
        </w:rPr>
      </w:pPr>
      <w:r>
        <w:rPr>
          <w:b/>
          <w:sz w:val="20"/>
        </w:rPr>
        <w:t>Resim 3.4.2. </w:t>
      </w:r>
      <w:r>
        <w:rPr>
          <w:sz w:val="20"/>
        </w:rPr>
        <w:t>6 Dakika yürüme testi</w:t>
      </w:r>
    </w:p>
    <w:p>
      <w:pPr>
        <w:pStyle w:val="BodyText"/>
      </w:pPr>
    </w:p>
    <w:p>
      <w:pPr>
        <w:pStyle w:val="BodyText"/>
      </w:pPr>
    </w:p>
    <w:p>
      <w:pPr>
        <w:pStyle w:val="BodyText"/>
        <w:spacing w:before="11"/>
        <w:rPr>
          <w:sz w:val="28"/>
        </w:rPr>
      </w:pPr>
    </w:p>
    <w:p>
      <w:pPr>
        <w:pStyle w:val="Heading2"/>
        <w:numPr>
          <w:ilvl w:val="2"/>
          <w:numId w:val="2"/>
        </w:numPr>
        <w:tabs>
          <w:tab w:pos="1203" w:val="left" w:leader="none"/>
        </w:tabs>
        <w:spacing w:line="240" w:lineRule="auto" w:before="0" w:after="0"/>
        <w:ind w:left="1202" w:right="0" w:hanging="615"/>
        <w:jc w:val="left"/>
      </w:pPr>
      <w:bookmarkStart w:name="_bookmark37" w:id="67"/>
      <w:bookmarkEnd w:id="67"/>
      <w:r>
        <w:rPr>
          <w:b w:val="0"/>
        </w:rPr>
      </w:r>
      <w:bookmarkStart w:name="_bookmark37" w:id="68"/>
      <w:bookmarkEnd w:id="68"/>
      <w:r>
        <w:rPr/>
        <w:t>Y</w:t>
      </w:r>
      <w:r>
        <w:rPr/>
        <w:t>orgunluk ve Dispne</w:t>
      </w:r>
      <w:r>
        <w:rPr>
          <w:spacing w:val="-1"/>
        </w:rPr>
        <w:t> </w:t>
      </w:r>
      <w:r>
        <w:rPr/>
        <w:t>Değerlendirilmesi</w:t>
      </w:r>
    </w:p>
    <w:p>
      <w:pPr>
        <w:pStyle w:val="BodyText"/>
        <w:spacing w:before="7"/>
        <w:rPr>
          <w:b/>
          <w:sz w:val="21"/>
        </w:rPr>
      </w:pPr>
    </w:p>
    <w:p>
      <w:pPr>
        <w:pStyle w:val="BodyText"/>
        <w:spacing w:line="360" w:lineRule="auto"/>
        <w:ind w:left="588" w:right="292" w:firstLine="708"/>
        <w:jc w:val="both"/>
      </w:pPr>
      <w:r>
        <w:rPr/>
        <w:t>1970 yılında Borg tarafından geliştirilen bu skala, fiziksel aktivite sırasında harcanan çabanın ölçülmesi için kullanılmaktadır. Sıklıkla efor ve istirahat dispnesini</w:t>
      </w:r>
    </w:p>
    <w:p>
      <w:pPr>
        <w:spacing w:after="0" w:line="360" w:lineRule="auto"/>
        <w:jc w:val="both"/>
        <w:sectPr>
          <w:pgSz w:w="11910" w:h="16840"/>
          <w:pgMar w:header="749" w:footer="0" w:top="1320" w:bottom="280" w:left="1680" w:right="840"/>
        </w:sectPr>
      </w:pPr>
    </w:p>
    <w:p>
      <w:pPr>
        <w:pStyle w:val="BodyText"/>
        <w:spacing w:line="357" w:lineRule="auto" w:before="88"/>
        <w:ind w:left="588"/>
      </w:pPr>
      <w:r>
        <w:rPr/>
        <w:t>ölçmek amacıyla kullanılmaktadır. Derecesine göre dispne şiddetini tanımlayan on maddeden oluşmaktadır (Resim 3.4.3).</w:t>
      </w:r>
    </w:p>
    <w:p>
      <w:pPr>
        <w:pStyle w:val="BodyText"/>
        <w:spacing w:line="357" w:lineRule="auto" w:before="166"/>
        <w:ind w:left="588" w:right="296" w:firstLine="708"/>
        <w:jc w:val="both"/>
      </w:pPr>
      <w:r>
        <w:rPr/>
        <w:t>MBS, 6DYT öncesi ve sonrası dispne ve yorgunluk düzeylerini belirlemek adına kullanıldı (Borg 1982).</w:t>
      </w:r>
    </w:p>
    <w:p>
      <w:pPr>
        <w:pStyle w:val="BodyText"/>
        <w:spacing w:before="1"/>
        <w:rPr>
          <w:sz w:val="28"/>
        </w:rPr>
      </w:pPr>
      <w:r>
        <w:rPr/>
        <w:drawing>
          <wp:anchor distT="0" distB="0" distL="0" distR="0" allowOverlap="1" layoutInCell="1" locked="0" behindDoc="0" simplePos="0" relativeHeight="4">
            <wp:simplePos x="0" y="0"/>
            <wp:positionH relativeFrom="page">
              <wp:posOffset>1592556</wp:posOffset>
            </wp:positionH>
            <wp:positionV relativeFrom="paragraph">
              <wp:posOffset>230081</wp:posOffset>
            </wp:positionV>
            <wp:extent cx="4571282" cy="3648075"/>
            <wp:effectExtent l="0" t="0" r="0" b="0"/>
            <wp:wrapTopAndBottom/>
            <wp:docPr id="11" name="image9.jpeg"/>
            <wp:cNvGraphicFramePr>
              <a:graphicFrameLocks noChangeAspect="1"/>
            </wp:cNvGraphicFramePr>
            <a:graphic>
              <a:graphicData uri="http://schemas.openxmlformats.org/drawingml/2006/picture">
                <pic:pic>
                  <pic:nvPicPr>
                    <pic:cNvPr id="12" name="image9.jpeg"/>
                    <pic:cNvPicPr/>
                  </pic:nvPicPr>
                  <pic:blipFill>
                    <a:blip r:embed="rId17" cstate="print"/>
                    <a:stretch>
                      <a:fillRect/>
                    </a:stretch>
                  </pic:blipFill>
                  <pic:spPr>
                    <a:xfrm>
                      <a:off x="0" y="0"/>
                      <a:ext cx="4571282" cy="3648075"/>
                    </a:xfrm>
                    <a:prstGeom prst="rect">
                      <a:avLst/>
                    </a:prstGeom>
                  </pic:spPr>
                </pic:pic>
              </a:graphicData>
            </a:graphic>
          </wp:anchor>
        </w:drawing>
      </w:r>
    </w:p>
    <w:p>
      <w:pPr>
        <w:pStyle w:val="BodyText"/>
        <w:spacing w:before="11"/>
        <w:rPr>
          <w:sz w:val="21"/>
        </w:rPr>
      </w:pPr>
    </w:p>
    <w:p>
      <w:pPr>
        <w:spacing w:before="0"/>
        <w:ind w:left="1296" w:right="0" w:firstLine="0"/>
        <w:jc w:val="left"/>
        <w:rPr>
          <w:sz w:val="20"/>
        </w:rPr>
      </w:pPr>
      <w:r>
        <w:rPr>
          <w:b/>
          <w:sz w:val="20"/>
        </w:rPr>
        <w:t>Resim 3.4.3. </w:t>
      </w:r>
      <w:r>
        <w:rPr>
          <w:sz w:val="20"/>
        </w:rPr>
        <w:t>Modifiye Borg Skala’sı</w:t>
      </w:r>
    </w:p>
    <w:p>
      <w:pPr>
        <w:pStyle w:val="BodyText"/>
      </w:pPr>
    </w:p>
    <w:p>
      <w:pPr>
        <w:pStyle w:val="BodyText"/>
      </w:pPr>
    </w:p>
    <w:p>
      <w:pPr>
        <w:pStyle w:val="BodyText"/>
        <w:spacing w:before="9"/>
        <w:rPr>
          <w:sz w:val="26"/>
        </w:rPr>
      </w:pPr>
    </w:p>
    <w:p>
      <w:pPr>
        <w:pStyle w:val="Heading2"/>
        <w:numPr>
          <w:ilvl w:val="2"/>
          <w:numId w:val="2"/>
        </w:numPr>
        <w:tabs>
          <w:tab w:pos="1203" w:val="left" w:leader="none"/>
        </w:tabs>
        <w:spacing w:line="240" w:lineRule="auto" w:before="1" w:after="0"/>
        <w:ind w:left="1202" w:right="0" w:hanging="615"/>
        <w:jc w:val="left"/>
      </w:pPr>
      <w:bookmarkStart w:name="_bookmark38" w:id="69"/>
      <w:bookmarkEnd w:id="69"/>
      <w:r>
        <w:rPr>
          <w:b w:val="0"/>
        </w:rPr>
      </w:r>
      <w:bookmarkStart w:name="_bookmark38" w:id="70"/>
      <w:bookmarkEnd w:id="70"/>
      <w:r>
        <w:rPr/>
        <w:t>H</w:t>
      </w:r>
      <w:r>
        <w:rPr/>
        <w:t>asta Hareketlilik ve Bağımsızlık Düzeyi</w:t>
      </w:r>
      <w:r>
        <w:rPr>
          <w:spacing w:val="-3"/>
        </w:rPr>
        <w:t> </w:t>
      </w:r>
      <w:r>
        <w:rPr/>
        <w:t>Değerlendirmesi</w:t>
      </w:r>
    </w:p>
    <w:p>
      <w:pPr>
        <w:pStyle w:val="BodyText"/>
        <w:spacing w:before="7"/>
        <w:rPr>
          <w:b/>
          <w:sz w:val="21"/>
        </w:rPr>
      </w:pPr>
    </w:p>
    <w:p>
      <w:pPr>
        <w:pStyle w:val="BodyText"/>
        <w:spacing w:line="360" w:lineRule="auto"/>
        <w:ind w:left="588" w:right="288" w:firstLine="708"/>
        <w:jc w:val="both"/>
      </w:pPr>
      <w:r>
        <w:rPr/>
        <w:t>Ameliyat sonrası hareketliliğe ve bağımsızlık düzeylerine ilişkin hasta algılarını ve objektif gözlemleri değerlendirmek için Heye vd. (2002) tarafından geliştirilen ‘Hasta Hareketlilik ve Gözlemci Hareketlilik Ölçeği’ kullanıldı. Ölçeğin Türkçe güvenirlik ve geçerlik çalışması Ayoğlu (2011) tarafından yapıldı. Ölçekte kolorektal cerrahi geçiren hastalarda ameliyat sonrası dönemde dört aktivitede (yatakta bir taraftan diğer tarafa dönme, oturmaya gelme, ayağa kalkma ve hasta odasında yürüme) ağrı ve zorluk düzeyleri değerlendirildi.</w:t>
      </w:r>
    </w:p>
    <w:p>
      <w:pPr>
        <w:pStyle w:val="BodyText"/>
        <w:spacing w:line="360" w:lineRule="auto" w:before="162"/>
        <w:ind w:left="588" w:right="294" w:firstLine="708"/>
        <w:jc w:val="both"/>
      </w:pPr>
      <w:r>
        <w:rPr/>
        <w:t>Çalışmacılar tarafından geliştirilen 15 cm’lik visüel analog skala (VAS) kullanıldı. VAS’ın bir tarafı hiç ağrı yok diğer tarafı ise dayanılmaz ağrı veya bir tarafında hiç zorlanmadım diğer tarafında aşırı derecede zorlandım ifadeleri ile belirtilip hastanın algıladığı ağrı ve zorluk derecesini sözlü olarak skala üzerinde belirtmesiyle ölçüldü.</w:t>
      </w:r>
    </w:p>
    <w:p>
      <w:pPr>
        <w:spacing w:after="0" w:line="360" w:lineRule="auto"/>
        <w:jc w:val="both"/>
        <w:sectPr>
          <w:pgSz w:w="11910" w:h="16840"/>
          <w:pgMar w:header="749" w:footer="0" w:top="1320" w:bottom="280" w:left="1680" w:right="840"/>
        </w:sectPr>
      </w:pPr>
    </w:p>
    <w:p>
      <w:pPr>
        <w:pStyle w:val="BodyText"/>
        <w:spacing w:line="360" w:lineRule="auto" w:before="88"/>
        <w:ind w:left="588" w:right="289" w:firstLine="708"/>
        <w:jc w:val="both"/>
      </w:pPr>
      <w:r>
        <w:rPr/>
        <w:t>Ayrıca</w:t>
      </w:r>
      <w:r>
        <w:rPr>
          <w:spacing w:val="32"/>
        </w:rPr>
        <w:t> </w:t>
      </w:r>
      <w:r>
        <w:rPr/>
        <w:t>hareketler</w:t>
      </w:r>
      <w:r>
        <w:rPr>
          <w:spacing w:val="-16"/>
        </w:rPr>
        <w:t> </w:t>
      </w:r>
      <w:r>
        <w:rPr/>
        <w:t>sırasında</w:t>
      </w:r>
      <w:r>
        <w:rPr>
          <w:spacing w:val="-15"/>
        </w:rPr>
        <w:t> </w:t>
      </w:r>
      <w:r>
        <w:rPr/>
        <w:t>gözlemci</w:t>
      </w:r>
      <w:r>
        <w:rPr>
          <w:spacing w:val="-17"/>
        </w:rPr>
        <w:t> </w:t>
      </w:r>
      <w:r>
        <w:rPr/>
        <w:t>tarafından</w:t>
      </w:r>
      <w:r>
        <w:rPr>
          <w:spacing w:val="-16"/>
        </w:rPr>
        <w:t> </w:t>
      </w:r>
      <w:r>
        <w:rPr/>
        <w:t>1-bağımsız</w:t>
      </w:r>
      <w:r>
        <w:rPr>
          <w:spacing w:val="-17"/>
        </w:rPr>
        <w:t> </w:t>
      </w:r>
      <w:r>
        <w:rPr/>
        <w:t>olarak</w:t>
      </w:r>
      <w:r>
        <w:rPr>
          <w:spacing w:val="-12"/>
        </w:rPr>
        <w:t> </w:t>
      </w:r>
      <w:r>
        <w:rPr/>
        <w:t>yaptı,</w:t>
      </w:r>
      <w:r>
        <w:rPr>
          <w:spacing w:val="-13"/>
        </w:rPr>
        <w:t> </w:t>
      </w:r>
      <w:r>
        <w:rPr/>
        <w:t>2-</w:t>
      </w:r>
      <w:r>
        <w:rPr>
          <w:spacing w:val="-17"/>
        </w:rPr>
        <w:t> </w:t>
      </w:r>
      <w:r>
        <w:rPr/>
        <w:t>sözlü uyarı ile bağımsız olarak yaptı, 3-sözlü uyarı ve fiziksel yardım, 4- fizyoterapiste bağımlı 5-yardıma rağmen yapamadı şeklinde puanlanarak bağımsızlık düzeyi belirlendi. Ölçümler</w:t>
      </w:r>
      <w:r>
        <w:rPr>
          <w:spacing w:val="-15"/>
        </w:rPr>
        <w:t> </w:t>
      </w:r>
      <w:r>
        <w:rPr/>
        <w:t>sonucunda</w:t>
      </w:r>
      <w:r>
        <w:rPr>
          <w:spacing w:val="-13"/>
        </w:rPr>
        <w:t> </w:t>
      </w:r>
      <w:r>
        <w:rPr/>
        <w:t>‘hasta</w:t>
      </w:r>
      <w:r>
        <w:rPr>
          <w:spacing w:val="-13"/>
        </w:rPr>
        <w:t> </w:t>
      </w:r>
      <w:r>
        <w:rPr/>
        <w:t>hareketlilik’</w:t>
      </w:r>
      <w:r>
        <w:rPr>
          <w:spacing w:val="-14"/>
        </w:rPr>
        <w:t> </w:t>
      </w:r>
      <w:r>
        <w:rPr/>
        <w:t>ve</w:t>
      </w:r>
      <w:r>
        <w:rPr>
          <w:spacing w:val="-13"/>
        </w:rPr>
        <w:t> </w:t>
      </w:r>
      <w:r>
        <w:rPr/>
        <w:t>‘gözlemci</w:t>
      </w:r>
      <w:r>
        <w:rPr>
          <w:spacing w:val="-13"/>
        </w:rPr>
        <w:t> </w:t>
      </w:r>
      <w:r>
        <w:rPr/>
        <w:t>hareketlilik’</w:t>
      </w:r>
      <w:r>
        <w:rPr>
          <w:spacing w:val="-14"/>
        </w:rPr>
        <w:t> </w:t>
      </w:r>
      <w:r>
        <w:rPr/>
        <w:t>global</w:t>
      </w:r>
      <w:r>
        <w:rPr>
          <w:spacing w:val="-14"/>
        </w:rPr>
        <w:t> </w:t>
      </w:r>
      <w:r>
        <w:rPr/>
        <w:t>skoru</w:t>
      </w:r>
      <w:r>
        <w:rPr>
          <w:spacing w:val="-15"/>
        </w:rPr>
        <w:t> </w:t>
      </w:r>
      <w:r>
        <w:rPr/>
        <w:t>kaydedildi.</w:t>
      </w:r>
    </w:p>
    <w:p>
      <w:pPr>
        <w:pStyle w:val="BodyText"/>
        <w:rPr>
          <w:sz w:val="24"/>
        </w:rPr>
      </w:pPr>
    </w:p>
    <w:p>
      <w:pPr>
        <w:pStyle w:val="BodyText"/>
        <w:rPr>
          <w:sz w:val="24"/>
        </w:rPr>
      </w:pPr>
    </w:p>
    <w:p>
      <w:pPr>
        <w:pStyle w:val="Heading2"/>
        <w:numPr>
          <w:ilvl w:val="2"/>
          <w:numId w:val="2"/>
        </w:numPr>
        <w:tabs>
          <w:tab w:pos="1203" w:val="left" w:leader="none"/>
        </w:tabs>
        <w:spacing w:line="240" w:lineRule="auto" w:before="146" w:after="0"/>
        <w:ind w:left="1202" w:right="0" w:hanging="615"/>
        <w:jc w:val="left"/>
      </w:pPr>
      <w:bookmarkStart w:name="_bookmark39" w:id="71"/>
      <w:bookmarkEnd w:id="71"/>
      <w:r>
        <w:rPr>
          <w:b w:val="0"/>
        </w:rPr>
      </w:r>
      <w:bookmarkStart w:name="_bookmark39" w:id="72"/>
      <w:bookmarkEnd w:id="72"/>
      <w:r>
        <w:rPr/>
        <w:t>D</w:t>
      </w:r>
      <w:r>
        <w:rPr/>
        <w:t>urumluluk ve Süreklilik Kaygı Ölçeği (State- Trait Anxiety</w:t>
      </w:r>
      <w:r>
        <w:rPr>
          <w:spacing w:val="-15"/>
        </w:rPr>
        <w:t> </w:t>
      </w:r>
      <w:r>
        <w:rPr/>
        <w:t>Inventory)</w:t>
      </w:r>
    </w:p>
    <w:p>
      <w:pPr>
        <w:pStyle w:val="BodyText"/>
        <w:spacing w:before="7"/>
        <w:rPr>
          <w:b/>
          <w:sz w:val="21"/>
        </w:rPr>
      </w:pPr>
    </w:p>
    <w:p>
      <w:pPr>
        <w:pStyle w:val="BodyText"/>
        <w:spacing w:line="360" w:lineRule="auto"/>
        <w:ind w:left="588" w:right="293" w:firstLine="708"/>
        <w:jc w:val="both"/>
      </w:pPr>
      <w:r>
        <w:rPr/>
        <w:t>Spilberger ve Gorsuch (1964) tarafından normal ve normal olmayan bireylerin durumluluk ve süreklilik kaygı durumunu değerlendirmek için geliştirilen bir ölçektir. Türkçeye çevrilmiş olan anketin geçerlik ve güvenirlik çalışması Öner ve arkadaşları tarafından yapılmıştır (1985).</w:t>
      </w:r>
    </w:p>
    <w:p>
      <w:pPr>
        <w:pStyle w:val="BodyText"/>
        <w:spacing w:line="360" w:lineRule="auto" w:before="160"/>
        <w:ind w:left="588" w:right="290" w:firstLine="708"/>
        <w:jc w:val="both"/>
      </w:pPr>
      <w:r>
        <w:rPr/>
        <w:t>State-Trait Anxiety Inventory (STAI) toplam kırk madden oluşup ilk 20 maddesi kişinin</w:t>
      </w:r>
      <w:r>
        <w:rPr>
          <w:spacing w:val="-5"/>
        </w:rPr>
        <w:t> </w:t>
      </w:r>
      <w:r>
        <w:rPr/>
        <w:t>belirli</w:t>
      </w:r>
      <w:r>
        <w:rPr>
          <w:spacing w:val="-6"/>
        </w:rPr>
        <w:t> </w:t>
      </w:r>
      <w:r>
        <w:rPr/>
        <w:t>bir</w:t>
      </w:r>
      <w:r>
        <w:rPr>
          <w:spacing w:val="-3"/>
        </w:rPr>
        <w:t> </w:t>
      </w:r>
      <w:r>
        <w:rPr/>
        <w:t>andaki</w:t>
      </w:r>
      <w:r>
        <w:rPr>
          <w:spacing w:val="-8"/>
        </w:rPr>
        <w:t> </w:t>
      </w:r>
      <w:r>
        <w:rPr/>
        <w:t>kaygısını</w:t>
      </w:r>
      <w:r>
        <w:rPr>
          <w:spacing w:val="-7"/>
        </w:rPr>
        <w:t> </w:t>
      </w:r>
      <w:r>
        <w:rPr/>
        <w:t>ölçmeye</w:t>
      </w:r>
      <w:r>
        <w:rPr>
          <w:spacing w:val="-3"/>
        </w:rPr>
        <w:t> </w:t>
      </w:r>
      <w:r>
        <w:rPr/>
        <w:t>yönelik</w:t>
      </w:r>
      <w:r>
        <w:rPr>
          <w:spacing w:val="-1"/>
        </w:rPr>
        <w:t> </w:t>
      </w:r>
      <w:r>
        <w:rPr/>
        <w:t>olan</w:t>
      </w:r>
      <w:r>
        <w:rPr>
          <w:spacing w:val="-5"/>
        </w:rPr>
        <w:t> </w:t>
      </w:r>
      <w:r>
        <w:rPr/>
        <w:t>durumluluk</w:t>
      </w:r>
      <w:r>
        <w:rPr>
          <w:spacing w:val="-6"/>
        </w:rPr>
        <w:t> </w:t>
      </w:r>
      <w:r>
        <w:rPr/>
        <w:t>kaygı</w:t>
      </w:r>
      <w:r>
        <w:rPr>
          <w:spacing w:val="-8"/>
        </w:rPr>
        <w:t> </w:t>
      </w:r>
      <w:r>
        <w:rPr/>
        <w:t>ölçeği,</w:t>
      </w:r>
      <w:r>
        <w:rPr>
          <w:spacing w:val="-5"/>
        </w:rPr>
        <w:t> </w:t>
      </w:r>
      <w:r>
        <w:rPr/>
        <w:t>diğer</w:t>
      </w:r>
      <w:r>
        <w:rPr>
          <w:spacing w:val="-4"/>
        </w:rPr>
        <w:t> </w:t>
      </w:r>
      <w:r>
        <w:rPr/>
        <w:t>20 maddesi bireylerin genel olarak nasıl hissettiğini ölçmeye yönelik süreklilik kaygı ölçeğidir.</w:t>
      </w:r>
    </w:p>
    <w:p>
      <w:pPr>
        <w:pStyle w:val="BodyText"/>
        <w:spacing w:line="360" w:lineRule="auto" w:before="160"/>
        <w:ind w:left="588" w:right="288" w:firstLine="708"/>
        <w:jc w:val="both"/>
      </w:pPr>
      <w:r>
        <w:rPr/>
        <w:t>Durumluluk kaygı ölçeğinde ifade edilen duygu veya davranışlar algılanan şiddete</w:t>
      </w:r>
      <w:r>
        <w:rPr>
          <w:spacing w:val="-11"/>
        </w:rPr>
        <w:t> </w:t>
      </w:r>
      <w:r>
        <w:rPr/>
        <w:t>göre</w:t>
      </w:r>
      <w:r>
        <w:rPr>
          <w:spacing w:val="-8"/>
        </w:rPr>
        <w:t> </w:t>
      </w:r>
      <w:r>
        <w:rPr/>
        <w:t>1-</w:t>
      </w:r>
      <w:r>
        <w:rPr>
          <w:spacing w:val="-8"/>
        </w:rPr>
        <w:t> </w:t>
      </w:r>
      <w:r>
        <w:rPr/>
        <w:t>hiç,</w:t>
      </w:r>
      <w:r>
        <w:rPr>
          <w:spacing w:val="-7"/>
        </w:rPr>
        <w:t> </w:t>
      </w:r>
      <w:r>
        <w:rPr/>
        <w:t>2-</w:t>
      </w:r>
      <w:r>
        <w:rPr>
          <w:spacing w:val="-8"/>
        </w:rPr>
        <w:t> </w:t>
      </w:r>
      <w:r>
        <w:rPr/>
        <w:t>biraz,</w:t>
      </w:r>
      <w:r>
        <w:rPr>
          <w:spacing w:val="-7"/>
        </w:rPr>
        <w:t> </w:t>
      </w:r>
      <w:r>
        <w:rPr/>
        <w:t>3-çok,</w:t>
      </w:r>
      <w:r>
        <w:rPr>
          <w:spacing w:val="-8"/>
        </w:rPr>
        <w:t> </w:t>
      </w:r>
      <w:r>
        <w:rPr/>
        <w:t>4-tamamiyle</w:t>
      </w:r>
      <w:r>
        <w:rPr>
          <w:spacing w:val="-8"/>
        </w:rPr>
        <w:t> </w:t>
      </w:r>
      <w:r>
        <w:rPr/>
        <w:t>seçeneklerinden</w:t>
      </w:r>
      <w:r>
        <w:rPr>
          <w:spacing w:val="-9"/>
        </w:rPr>
        <w:t> </w:t>
      </w:r>
      <w:r>
        <w:rPr/>
        <w:t>oluşur.</w:t>
      </w:r>
      <w:r>
        <w:rPr>
          <w:spacing w:val="-8"/>
        </w:rPr>
        <w:t> </w:t>
      </w:r>
      <w:r>
        <w:rPr/>
        <w:t>Süreklilik</w:t>
      </w:r>
      <w:r>
        <w:rPr>
          <w:spacing w:val="-8"/>
        </w:rPr>
        <w:t> </w:t>
      </w:r>
      <w:r>
        <w:rPr/>
        <w:t>kaygı ölçeğinde ise ifade edilen duygu veya davranışlar sıklık derecesine göre değerlendirilir. 1-hemen</w:t>
      </w:r>
      <w:r>
        <w:rPr>
          <w:spacing w:val="-5"/>
        </w:rPr>
        <w:t> </w:t>
      </w:r>
      <w:r>
        <w:rPr/>
        <w:t>hemen</w:t>
      </w:r>
      <w:r>
        <w:rPr>
          <w:spacing w:val="-4"/>
        </w:rPr>
        <w:t> </w:t>
      </w:r>
      <w:r>
        <w:rPr/>
        <w:t>hiçbir</w:t>
      </w:r>
      <w:r>
        <w:rPr>
          <w:spacing w:val="-4"/>
        </w:rPr>
        <w:t> </w:t>
      </w:r>
      <w:r>
        <w:rPr/>
        <w:t>zaman,</w:t>
      </w:r>
      <w:r>
        <w:rPr>
          <w:spacing w:val="-3"/>
        </w:rPr>
        <w:t> </w:t>
      </w:r>
      <w:r>
        <w:rPr/>
        <w:t>2-bazen,</w:t>
      </w:r>
      <w:r>
        <w:rPr>
          <w:spacing w:val="-4"/>
        </w:rPr>
        <w:t> </w:t>
      </w:r>
      <w:r>
        <w:rPr/>
        <w:t>3-</w:t>
      </w:r>
      <w:r>
        <w:rPr>
          <w:spacing w:val="-5"/>
        </w:rPr>
        <w:t> </w:t>
      </w:r>
      <w:r>
        <w:rPr/>
        <w:t>çok</w:t>
      </w:r>
      <w:r>
        <w:rPr>
          <w:spacing w:val="-2"/>
        </w:rPr>
        <w:t> </w:t>
      </w:r>
      <w:r>
        <w:rPr/>
        <w:t>zaman</w:t>
      </w:r>
      <w:r>
        <w:rPr>
          <w:spacing w:val="-4"/>
        </w:rPr>
        <w:t> </w:t>
      </w:r>
      <w:r>
        <w:rPr/>
        <w:t>ve</w:t>
      </w:r>
      <w:r>
        <w:rPr>
          <w:spacing w:val="-5"/>
        </w:rPr>
        <w:t> </w:t>
      </w:r>
      <w:r>
        <w:rPr/>
        <w:t>4-</w:t>
      </w:r>
      <w:r>
        <w:rPr>
          <w:spacing w:val="-2"/>
        </w:rPr>
        <w:t> </w:t>
      </w:r>
      <w:r>
        <w:rPr/>
        <w:t>hemen</w:t>
      </w:r>
      <w:r>
        <w:rPr>
          <w:spacing w:val="-8"/>
        </w:rPr>
        <w:t> </w:t>
      </w:r>
      <w:r>
        <w:rPr/>
        <w:t>her</w:t>
      </w:r>
      <w:r>
        <w:rPr>
          <w:spacing w:val="-3"/>
        </w:rPr>
        <w:t> </w:t>
      </w:r>
      <w:r>
        <w:rPr/>
        <w:t>zaman</w:t>
      </w:r>
      <w:r>
        <w:rPr>
          <w:spacing w:val="-5"/>
        </w:rPr>
        <w:t> </w:t>
      </w:r>
      <w:r>
        <w:rPr/>
        <w:t>şeklinde maddelerden oluşur</w:t>
      </w:r>
      <w:r>
        <w:rPr>
          <w:spacing w:val="-1"/>
        </w:rPr>
        <w:t> </w:t>
      </w:r>
      <w:r>
        <w:rPr/>
        <w:t>(Ek-3).</w:t>
      </w:r>
    </w:p>
    <w:p>
      <w:pPr>
        <w:pStyle w:val="BodyText"/>
        <w:spacing w:line="360" w:lineRule="auto" w:before="160"/>
        <w:ind w:left="588" w:right="289" w:firstLine="708"/>
        <w:jc w:val="both"/>
      </w:pPr>
      <w:r>
        <w:rPr/>
        <w:t>Her iki ölçekten elde edilen toplam puan değeri 20-80 arasında değişir. Yüksek puan yüksek kaygı düzeyini düşük puan ise düşük kaygı düzeyini ifade eder. Bu anket bireylere cerrahi öncesi, cerrahi sonrası ve taburculuk öncesi uyguladı.</w:t>
      </w:r>
    </w:p>
    <w:p>
      <w:pPr>
        <w:pStyle w:val="BodyText"/>
        <w:rPr>
          <w:sz w:val="24"/>
        </w:rPr>
      </w:pPr>
    </w:p>
    <w:p>
      <w:pPr>
        <w:pStyle w:val="BodyText"/>
        <w:rPr>
          <w:sz w:val="24"/>
        </w:rPr>
      </w:pPr>
    </w:p>
    <w:p>
      <w:pPr>
        <w:pStyle w:val="Heading2"/>
        <w:numPr>
          <w:ilvl w:val="2"/>
          <w:numId w:val="2"/>
        </w:numPr>
        <w:tabs>
          <w:tab w:pos="1203" w:val="left" w:leader="none"/>
        </w:tabs>
        <w:spacing w:line="240" w:lineRule="auto" w:before="146" w:after="0"/>
        <w:ind w:left="1202" w:right="0" w:hanging="615"/>
        <w:jc w:val="left"/>
      </w:pPr>
      <w:bookmarkStart w:name="_bookmark40" w:id="73"/>
      <w:bookmarkEnd w:id="73"/>
      <w:r>
        <w:rPr>
          <w:b w:val="0"/>
        </w:rPr>
      </w:r>
      <w:bookmarkStart w:name="_bookmark40" w:id="74"/>
      <w:bookmarkEnd w:id="74"/>
      <w:r>
        <w:rPr/>
        <w:t>F</w:t>
      </w:r>
      <w:r>
        <w:rPr/>
        <w:t>iziki Sağlık Durumu Değerlendirmesi (ASA</w:t>
      </w:r>
      <w:r>
        <w:rPr>
          <w:spacing w:val="-4"/>
        </w:rPr>
        <w:t> </w:t>
      </w:r>
      <w:r>
        <w:rPr/>
        <w:t>skoru)</w:t>
      </w:r>
    </w:p>
    <w:p>
      <w:pPr>
        <w:pStyle w:val="BodyText"/>
        <w:spacing w:before="6"/>
        <w:rPr>
          <w:b/>
          <w:sz w:val="21"/>
        </w:rPr>
      </w:pPr>
    </w:p>
    <w:p>
      <w:pPr>
        <w:pStyle w:val="BodyText"/>
        <w:spacing w:line="360" w:lineRule="auto" w:before="1"/>
        <w:ind w:left="588" w:right="289" w:firstLine="708"/>
        <w:jc w:val="both"/>
      </w:pPr>
      <w:r>
        <w:rPr/>
        <w:t>Amerikan Anestezistler Derneği’nin cerrahi öncesi hastaların fiziki sağlık durumunu değerlendirerek bir sınıflandırma oluşturduğu sistemdir. 1963 yılında beş kategori olarak tasarlanan sınıflandırmada sonra altıncı bir kategori eklenmiştir (Ek-4). Hastaların cerrahi öncesinde sınıflaması değerlendirilmiştir (Daabiss 2011).</w:t>
      </w:r>
    </w:p>
    <w:p>
      <w:pPr>
        <w:pStyle w:val="BodyText"/>
        <w:rPr>
          <w:sz w:val="24"/>
        </w:rPr>
      </w:pPr>
    </w:p>
    <w:p>
      <w:pPr>
        <w:pStyle w:val="BodyText"/>
        <w:rPr>
          <w:sz w:val="24"/>
        </w:rPr>
      </w:pPr>
    </w:p>
    <w:p>
      <w:pPr>
        <w:pStyle w:val="Heading2"/>
        <w:numPr>
          <w:ilvl w:val="2"/>
          <w:numId w:val="2"/>
        </w:numPr>
        <w:tabs>
          <w:tab w:pos="1203" w:val="left" w:leader="none"/>
        </w:tabs>
        <w:spacing w:line="240" w:lineRule="auto" w:before="146" w:after="0"/>
        <w:ind w:left="1202" w:right="0" w:hanging="615"/>
        <w:jc w:val="left"/>
      </w:pPr>
      <w:bookmarkStart w:name="_bookmark41" w:id="75"/>
      <w:bookmarkEnd w:id="75"/>
      <w:r>
        <w:rPr>
          <w:b w:val="0"/>
        </w:rPr>
      </w:r>
      <w:bookmarkStart w:name="_bookmark41" w:id="76"/>
      <w:bookmarkEnd w:id="76"/>
      <w:r>
        <w:rPr/>
        <w:t>P</w:t>
      </w:r>
      <w:r>
        <w:rPr/>
        <w:t>ostoperatif Pulmoner Komplikasyon</w:t>
      </w:r>
      <w:r>
        <w:rPr>
          <w:spacing w:val="-1"/>
        </w:rPr>
        <w:t> </w:t>
      </w:r>
      <w:r>
        <w:rPr/>
        <w:t>Değerlendirmesi</w:t>
      </w:r>
    </w:p>
    <w:p>
      <w:pPr>
        <w:pStyle w:val="BodyText"/>
        <w:spacing w:before="7"/>
        <w:rPr>
          <w:b/>
          <w:sz w:val="21"/>
        </w:rPr>
      </w:pPr>
    </w:p>
    <w:p>
      <w:pPr>
        <w:pStyle w:val="BodyText"/>
        <w:spacing w:line="360" w:lineRule="auto"/>
        <w:ind w:left="588" w:right="290" w:firstLine="708"/>
        <w:jc w:val="both"/>
      </w:pPr>
      <w:r>
        <w:rPr/>
        <w:t>PPK belirlenmesi Melbourne grup skalası version 2 ile cerrahi sonrası dönemde hasta taburcu olana kadar değerlendirilmiştir. Tablo 4.3.7 de verilen kriterlerin dört veya</w:t>
      </w:r>
    </w:p>
    <w:p>
      <w:pPr>
        <w:spacing w:after="0" w:line="360" w:lineRule="auto"/>
        <w:jc w:val="both"/>
        <w:sectPr>
          <w:pgSz w:w="11910" w:h="16840"/>
          <w:pgMar w:header="749" w:footer="0" w:top="1320" w:bottom="280" w:left="1680" w:right="840"/>
        </w:sectPr>
      </w:pPr>
    </w:p>
    <w:p>
      <w:pPr>
        <w:pStyle w:val="BodyText"/>
        <w:spacing w:line="357" w:lineRule="auto" w:before="88"/>
        <w:ind w:left="588"/>
      </w:pPr>
      <w:r>
        <w:rPr/>
        <w:t>daha fazlasının varlığında PPK teşhisi konulmuştur (Scholes Browning Sztendur ve Denehy 2009).</w:t>
      </w:r>
    </w:p>
    <w:p>
      <w:pPr>
        <w:pStyle w:val="BodyText"/>
        <w:rPr>
          <w:sz w:val="20"/>
        </w:rPr>
      </w:pPr>
    </w:p>
    <w:p>
      <w:pPr>
        <w:pStyle w:val="BodyText"/>
        <w:rPr>
          <w:sz w:val="20"/>
        </w:rPr>
      </w:pPr>
    </w:p>
    <w:p>
      <w:pPr>
        <w:pStyle w:val="BodyText"/>
        <w:spacing w:before="6" w:after="1"/>
        <w:rPr>
          <w:sz w:val="21"/>
        </w:rPr>
      </w:pPr>
    </w:p>
    <w:tbl>
      <w:tblPr>
        <w:tblW w:w="0" w:type="auto"/>
        <w:jc w:val="left"/>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04"/>
      </w:tblGrid>
      <w:tr>
        <w:trPr>
          <w:trHeight w:val="776" w:hRule="atLeast"/>
        </w:trPr>
        <w:tc>
          <w:tcPr>
            <w:tcW w:w="8704" w:type="dxa"/>
            <w:tcBorders>
              <w:top w:val="single" w:sz="12" w:space="0" w:color="008000"/>
              <w:bottom w:val="single" w:sz="6" w:space="0" w:color="008000"/>
            </w:tcBorders>
          </w:tcPr>
          <w:p>
            <w:pPr>
              <w:pStyle w:val="TableParagraph"/>
              <w:spacing w:before="3"/>
              <w:rPr>
                <w:sz w:val="23"/>
              </w:rPr>
            </w:pPr>
          </w:p>
          <w:p>
            <w:pPr>
              <w:pStyle w:val="TableParagraph"/>
              <w:ind w:left="763"/>
              <w:rPr>
                <w:rFonts w:ascii="Times New Roman" w:hAnsi="Times New Roman"/>
                <w:sz w:val="20"/>
              </w:rPr>
            </w:pPr>
            <w:r>
              <w:rPr>
                <w:b/>
                <w:sz w:val="20"/>
              </w:rPr>
              <w:t>Tablo 3.4.7 </w:t>
            </w:r>
            <w:r>
              <w:rPr>
                <w:sz w:val="20"/>
              </w:rPr>
              <w:t>Melbourne Grup Skalası Versiyon 2 (PPK teşhisi için gerekli kriterler</w:t>
            </w:r>
            <w:r>
              <w:rPr>
                <w:rFonts w:ascii="Times New Roman" w:hAnsi="Times New Roman"/>
                <w:sz w:val="20"/>
              </w:rPr>
              <w:t>)</w:t>
            </w:r>
          </w:p>
        </w:tc>
      </w:tr>
      <w:tr>
        <w:trPr>
          <w:trHeight w:val="4528" w:hRule="atLeast"/>
        </w:trPr>
        <w:tc>
          <w:tcPr>
            <w:tcW w:w="8704" w:type="dxa"/>
            <w:tcBorders>
              <w:top w:val="single" w:sz="6" w:space="0" w:color="008000"/>
              <w:bottom w:val="single" w:sz="12" w:space="0" w:color="008000"/>
            </w:tcBorders>
          </w:tcPr>
          <w:p>
            <w:pPr>
              <w:pStyle w:val="TableParagraph"/>
              <w:spacing w:before="10"/>
              <w:rPr>
                <w:sz w:val="32"/>
              </w:rPr>
            </w:pPr>
          </w:p>
          <w:p>
            <w:pPr>
              <w:pStyle w:val="TableParagraph"/>
              <w:numPr>
                <w:ilvl w:val="0"/>
                <w:numId w:val="5"/>
              </w:numPr>
              <w:tabs>
                <w:tab w:pos="835" w:val="left" w:leader="none"/>
                <w:tab w:pos="836" w:val="left" w:leader="none"/>
              </w:tabs>
              <w:spacing w:line="240" w:lineRule="auto" w:before="0" w:after="0"/>
              <w:ind w:left="835" w:right="0" w:hanging="361"/>
              <w:jc w:val="left"/>
              <w:rPr>
                <w:sz w:val="22"/>
              </w:rPr>
            </w:pPr>
            <w:r>
              <w:rPr>
                <w:sz w:val="22"/>
              </w:rPr>
              <w:t>Göğüs radyografisinde konsolidasyon/kollaps</w:t>
            </w:r>
            <w:r>
              <w:rPr>
                <w:spacing w:val="-5"/>
                <w:sz w:val="22"/>
              </w:rPr>
              <w:t> </w:t>
            </w:r>
            <w:r>
              <w:rPr>
                <w:sz w:val="22"/>
              </w:rPr>
              <w:t>varlığı</w:t>
            </w:r>
          </w:p>
          <w:p>
            <w:pPr>
              <w:pStyle w:val="TableParagraph"/>
              <w:numPr>
                <w:ilvl w:val="0"/>
                <w:numId w:val="5"/>
              </w:numPr>
              <w:tabs>
                <w:tab w:pos="835" w:val="left" w:leader="none"/>
                <w:tab w:pos="836" w:val="left" w:leader="none"/>
              </w:tabs>
              <w:spacing w:line="240" w:lineRule="auto" w:before="127" w:after="0"/>
              <w:ind w:left="835" w:right="0" w:hanging="361"/>
              <w:jc w:val="left"/>
              <w:rPr>
                <w:sz w:val="22"/>
              </w:rPr>
            </w:pPr>
            <w:r>
              <w:rPr>
                <w:sz w:val="22"/>
              </w:rPr>
              <w:t>2 veya daha fazla ardışık günde ateşin 38 </w:t>
            </w:r>
            <w:r>
              <w:rPr>
                <w:rFonts w:ascii="Cambria Math" w:hAnsi="Cambria Math"/>
                <w:sz w:val="22"/>
              </w:rPr>
              <w:t>℃</w:t>
            </w:r>
            <w:r>
              <w:rPr>
                <w:sz w:val="22"/>
              </w:rPr>
              <w:t>’ı</w:t>
            </w:r>
            <w:r>
              <w:rPr>
                <w:spacing w:val="-7"/>
                <w:sz w:val="22"/>
              </w:rPr>
              <w:t> </w:t>
            </w:r>
            <w:r>
              <w:rPr>
                <w:sz w:val="22"/>
              </w:rPr>
              <w:t>geçmesi</w:t>
            </w:r>
          </w:p>
          <w:p>
            <w:pPr>
              <w:pStyle w:val="TableParagraph"/>
              <w:numPr>
                <w:ilvl w:val="0"/>
                <w:numId w:val="5"/>
              </w:numPr>
              <w:tabs>
                <w:tab w:pos="835" w:val="left" w:leader="none"/>
                <w:tab w:pos="836" w:val="left" w:leader="none"/>
              </w:tabs>
              <w:spacing w:line="240" w:lineRule="auto" w:before="125" w:after="0"/>
              <w:ind w:left="835" w:right="0" w:hanging="361"/>
              <w:jc w:val="left"/>
              <w:rPr>
                <w:sz w:val="22"/>
              </w:rPr>
            </w:pPr>
            <w:r>
              <w:rPr>
                <w:position w:val="2"/>
                <w:sz w:val="22"/>
              </w:rPr>
              <w:t>Oda koşullarında 2 ardışık günde SpO</w:t>
            </w:r>
            <w:r>
              <w:rPr>
                <w:sz w:val="14"/>
              </w:rPr>
              <w:t>2 </w:t>
            </w:r>
            <w:r>
              <w:rPr>
                <w:position w:val="2"/>
                <w:sz w:val="22"/>
              </w:rPr>
              <w:t>&lt;</w:t>
            </w:r>
            <w:r>
              <w:rPr>
                <w:spacing w:val="-3"/>
                <w:position w:val="2"/>
                <w:sz w:val="22"/>
              </w:rPr>
              <w:t> </w:t>
            </w:r>
            <w:r>
              <w:rPr>
                <w:position w:val="2"/>
                <w:sz w:val="22"/>
              </w:rPr>
              <w:t>90%</w:t>
            </w:r>
          </w:p>
          <w:p>
            <w:pPr>
              <w:pStyle w:val="TableParagraph"/>
              <w:numPr>
                <w:ilvl w:val="0"/>
                <w:numId w:val="5"/>
              </w:numPr>
              <w:tabs>
                <w:tab w:pos="835" w:val="left" w:leader="none"/>
                <w:tab w:pos="836" w:val="left" w:leader="none"/>
              </w:tabs>
              <w:spacing w:line="240" w:lineRule="auto" w:before="124" w:after="0"/>
              <w:ind w:left="835" w:right="0" w:hanging="361"/>
              <w:jc w:val="left"/>
              <w:rPr>
                <w:sz w:val="22"/>
              </w:rPr>
            </w:pPr>
            <w:r>
              <w:rPr>
                <w:sz w:val="22"/>
              </w:rPr>
              <w:t>Preoperatif değerlendirmeden farklı olarak sarı veya yeşil balgam</w:t>
            </w:r>
            <w:r>
              <w:rPr>
                <w:spacing w:val="-18"/>
                <w:sz w:val="22"/>
              </w:rPr>
              <w:t> </w:t>
            </w:r>
            <w:r>
              <w:rPr>
                <w:sz w:val="22"/>
              </w:rPr>
              <w:t>üretimi</w:t>
            </w:r>
          </w:p>
          <w:p>
            <w:pPr>
              <w:pStyle w:val="TableParagraph"/>
              <w:numPr>
                <w:ilvl w:val="0"/>
                <w:numId w:val="5"/>
              </w:numPr>
              <w:tabs>
                <w:tab w:pos="835" w:val="left" w:leader="none"/>
                <w:tab w:pos="836" w:val="left" w:leader="none"/>
              </w:tabs>
              <w:spacing w:line="350" w:lineRule="auto" w:before="126" w:after="0"/>
              <w:ind w:left="835" w:right="109" w:hanging="360"/>
              <w:jc w:val="left"/>
              <w:rPr>
                <w:sz w:val="22"/>
              </w:rPr>
            </w:pPr>
            <w:r>
              <w:rPr>
                <w:sz w:val="22"/>
              </w:rPr>
              <w:t>Açıklanamayan beyaz hücre sayısının &gt; 11 x 10</w:t>
            </w:r>
            <w:r>
              <w:rPr>
                <w:position w:val="8"/>
                <w:sz w:val="14"/>
              </w:rPr>
              <w:t>9 </w:t>
            </w:r>
            <w:r>
              <w:rPr>
                <w:sz w:val="22"/>
              </w:rPr>
              <w:t>L</w:t>
            </w:r>
            <w:r>
              <w:rPr>
                <w:position w:val="8"/>
                <w:sz w:val="14"/>
              </w:rPr>
              <w:t>-1 </w:t>
            </w:r>
            <w:r>
              <w:rPr>
                <w:sz w:val="22"/>
              </w:rPr>
              <w:t>ya da akciğer enfeksiyonu için antibiyotik</w:t>
            </w:r>
            <w:r>
              <w:rPr>
                <w:spacing w:val="-1"/>
                <w:sz w:val="22"/>
              </w:rPr>
              <w:t> </w:t>
            </w:r>
            <w:r>
              <w:rPr>
                <w:sz w:val="22"/>
              </w:rPr>
              <w:t>kullanımı</w:t>
            </w:r>
          </w:p>
          <w:p>
            <w:pPr>
              <w:pStyle w:val="TableParagraph"/>
              <w:numPr>
                <w:ilvl w:val="0"/>
                <w:numId w:val="5"/>
              </w:numPr>
              <w:tabs>
                <w:tab w:pos="835" w:val="left" w:leader="none"/>
                <w:tab w:pos="836" w:val="left" w:leader="none"/>
              </w:tabs>
              <w:spacing w:line="240" w:lineRule="auto" w:before="10" w:after="0"/>
              <w:ind w:left="835" w:right="0" w:hanging="361"/>
              <w:jc w:val="left"/>
              <w:rPr>
                <w:sz w:val="22"/>
              </w:rPr>
            </w:pPr>
            <w:r>
              <w:rPr>
                <w:sz w:val="22"/>
              </w:rPr>
              <w:t>Doktor tarafından konulan göğüs</w:t>
            </w:r>
            <w:r>
              <w:rPr>
                <w:spacing w:val="-5"/>
                <w:sz w:val="22"/>
              </w:rPr>
              <w:t> </w:t>
            </w:r>
            <w:r>
              <w:rPr>
                <w:sz w:val="22"/>
              </w:rPr>
              <w:t>enfeksiyonu</w:t>
            </w:r>
          </w:p>
          <w:p>
            <w:pPr>
              <w:pStyle w:val="TableParagraph"/>
              <w:numPr>
                <w:ilvl w:val="0"/>
                <w:numId w:val="5"/>
              </w:numPr>
              <w:tabs>
                <w:tab w:pos="835" w:val="left" w:leader="none"/>
                <w:tab w:pos="836" w:val="left" w:leader="none"/>
              </w:tabs>
              <w:spacing w:line="240" w:lineRule="auto" w:before="125" w:after="0"/>
              <w:ind w:left="835" w:right="0" w:hanging="361"/>
              <w:jc w:val="left"/>
              <w:rPr>
                <w:sz w:val="22"/>
              </w:rPr>
            </w:pPr>
            <w:r>
              <w:rPr>
                <w:sz w:val="22"/>
              </w:rPr>
              <w:t>Balgam kültüründe enfeksiyon</w:t>
            </w:r>
            <w:r>
              <w:rPr>
                <w:spacing w:val="-4"/>
                <w:sz w:val="22"/>
              </w:rPr>
              <w:t> </w:t>
            </w:r>
            <w:r>
              <w:rPr>
                <w:sz w:val="22"/>
              </w:rPr>
              <w:t>varlığı</w:t>
            </w:r>
          </w:p>
          <w:p>
            <w:pPr>
              <w:pStyle w:val="TableParagraph"/>
              <w:numPr>
                <w:ilvl w:val="0"/>
                <w:numId w:val="5"/>
              </w:numPr>
              <w:tabs>
                <w:tab w:pos="835" w:val="left" w:leader="none"/>
                <w:tab w:pos="836" w:val="left" w:leader="none"/>
              </w:tabs>
              <w:spacing w:line="350" w:lineRule="auto" w:before="126" w:after="0"/>
              <w:ind w:left="835" w:right="107" w:hanging="360"/>
              <w:jc w:val="left"/>
              <w:rPr>
                <w:sz w:val="22"/>
              </w:rPr>
            </w:pPr>
            <w:r>
              <w:rPr>
                <w:sz w:val="22"/>
              </w:rPr>
              <w:t>Preoperatif değerlendirmeden farklı olarak oskültasyonda anormal solunum sesleri</w:t>
            </w:r>
            <w:r>
              <w:rPr>
                <w:spacing w:val="-1"/>
                <w:sz w:val="22"/>
              </w:rPr>
              <w:t> </w:t>
            </w:r>
            <w:r>
              <w:rPr>
                <w:sz w:val="22"/>
              </w:rPr>
              <w:t>duyulması</w:t>
            </w:r>
          </w:p>
        </w:tc>
      </w:tr>
    </w:tbl>
    <w:p>
      <w:pPr>
        <w:pStyle w:val="BodyText"/>
        <w:rPr>
          <w:sz w:val="20"/>
        </w:rPr>
      </w:pPr>
    </w:p>
    <w:p>
      <w:pPr>
        <w:pStyle w:val="BodyText"/>
        <w:rPr>
          <w:sz w:val="20"/>
        </w:rPr>
      </w:pPr>
    </w:p>
    <w:p>
      <w:pPr>
        <w:pStyle w:val="BodyText"/>
        <w:rPr>
          <w:sz w:val="20"/>
        </w:rPr>
      </w:pPr>
    </w:p>
    <w:p>
      <w:pPr>
        <w:pStyle w:val="BodyText"/>
        <w:spacing w:before="2"/>
        <w:rPr>
          <w:sz w:val="25"/>
        </w:rPr>
      </w:pPr>
    </w:p>
    <w:p>
      <w:pPr>
        <w:pStyle w:val="Heading2"/>
        <w:numPr>
          <w:ilvl w:val="1"/>
          <w:numId w:val="2"/>
        </w:numPr>
        <w:tabs>
          <w:tab w:pos="958" w:val="left" w:leader="none"/>
        </w:tabs>
        <w:spacing w:line="240" w:lineRule="auto" w:before="94" w:after="0"/>
        <w:ind w:left="958" w:right="0" w:hanging="370"/>
        <w:jc w:val="both"/>
      </w:pPr>
      <w:bookmarkStart w:name="_bookmark42" w:id="77"/>
      <w:bookmarkEnd w:id="77"/>
      <w:r>
        <w:rPr>
          <w:b w:val="0"/>
        </w:rPr>
      </w:r>
      <w:bookmarkStart w:name="_bookmark42" w:id="78"/>
      <w:bookmarkEnd w:id="78"/>
      <w:r>
        <w:rPr/>
        <w:t>T</w:t>
      </w:r>
      <w:r>
        <w:rPr/>
        <w:t>edavi</w:t>
      </w:r>
    </w:p>
    <w:p>
      <w:pPr>
        <w:pStyle w:val="BodyText"/>
        <w:spacing w:before="9"/>
        <w:rPr>
          <w:b/>
          <w:sz w:val="21"/>
        </w:rPr>
      </w:pPr>
    </w:p>
    <w:p>
      <w:pPr>
        <w:pStyle w:val="BodyText"/>
        <w:spacing w:line="360" w:lineRule="auto"/>
        <w:ind w:left="588" w:right="288" w:firstLine="708"/>
        <w:jc w:val="both"/>
      </w:pPr>
      <w:r>
        <w:rPr/>
        <w:t>Uygulanan</w:t>
      </w:r>
      <w:r>
        <w:rPr>
          <w:spacing w:val="-11"/>
        </w:rPr>
        <w:t> </w:t>
      </w:r>
      <w:r>
        <w:rPr/>
        <w:t>kolorektal</w:t>
      </w:r>
      <w:r>
        <w:rPr>
          <w:spacing w:val="-13"/>
        </w:rPr>
        <w:t> </w:t>
      </w:r>
      <w:r>
        <w:rPr/>
        <w:t>cerrahiyi</w:t>
      </w:r>
      <w:r>
        <w:rPr>
          <w:spacing w:val="-11"/>
        </w:rPr>
        <w:t> </w:t>
      </w:r>
      <w:r>
        <w:rPr/>
        <w:t>takiben</w:t>
      </w:r>
      <w:r>
        <w:rPr>
          <w:spacing w:val="-12"/>
        </w:rPr>
        <w:t> </w:t>
      </w:r>
      <w:r>
        <w:rPr/>
        <w:t>yaklaşık</w:t>
      </w:r>
      <w:r>
        <w:rPr>
          <w:spacing w:val="-8"/>
        </w:rPr>
        <w:t> </w:t>
      </w:r>
      <w:r>
        <w:rPr/>
        <w:t>24</w:t>
      </w:r>
      <w:r>
        <w:rPr>
          <w:spacing w:val="-13"/>
        </w:rPr>
        <w:t> </w:t>
      </w:r>
      <w:r>
        <w:rPr/>
        <w:t>saatlik</w:t>
      </w:r>
      <w:r>
        <w:rPr>
          <w:spacing w:val="-7"/>
        </w:rPr>
        <w:t> </w:t>
      </w:r>
      <w:r>
        <w:rPr/>
        <w:t>yoğun</w:t>
      </w:r>
      <w:r>
        <w:rPr>
          <w:spacing w:val="-9"/>
        </w:rPr>
        <w:t> </w:t>
      </w:r>
      <w:r>
        <w:rPr/>
        <w:t>bakımdan</w:t>
      </w:r>
      <w:r>
        <w:rPr>
          <w:spacing w:val="-12"/>
        </w:rPr>
        <w:t> </w:t>
      </w:r>
      <w:r>
        <w:rPr/>
        <w:t>sonra servise</w:t>
      </w:r>
      <w:r>
        <w:rPr>
          <w:spacing w:val="-16"/>
        </w:rPr>
        <w:t> </w:t>
      </w:r>
      <w:r>
        <w:rPr/>
        <w:t>çıkarılan</w:t>
      </w:r>
      <w:r>
        <w:rPr>
          <w:spacing w:val="-17"/>
        </w:rPr>
        <w:t> </w:t>
      </w:r>
      <w:r>
        <w:rPr/>
        <w:t>hastalar</w:t>
      </w:r>
      <w:r>
        <w:rPr>
          <w:spacing w:val="-20"/>
        </w:rPr>
        <w:t> </w:t>
      </w:r>
      <w:r>
        <w:rPr/>
        <w:t>tedavi</w:t>
      </w:r>
      <w:r>
        <w:rPr>
          <w:spacing w:val="-17"/>
        </w:rPr>
        <w:t> </w:t>
      </w:r>
      <w:r>
        <w:rPr/>
        <w:t>programına</w:t>
      </w:r>
      <w:r>
        <w:rPr>
          <w:spacing w:val="-14"/>
        </w:rPr>
        <w:t> </w:t>
      </w:r>
      <w:r>
        <w:rPr/>
        <w:t>dahil</w:t>
      </w:r>
      <w:r>
        <w:rPr>
          <w:spacing w:val="-16"/>
        </w:rPr>
        <w:t> </w:t>
      </w:r>
      <w:r>
        <w:rPr/>
        <w:t>edildi.</w:t>
      </w:r>
      <w:r>
        <w:rPr>
          <w:spacing w:val="-15"/>
        </w:rPr>
        <w:t> </w:t>
      </w:r>
      <w:r>
        <w:rPr/>
        <w:t>Bireyler</w:t>
      </w:r>
      <w:r>
        <w:rPr>
          <w:spacing w:val="-16"/>
        </w:rPr>
        <w:t> </w:t>
      </w:r>
      <w:r>
        <w:rPr/>
        <w:t>preoperatif,</w:t>
      </w:r>
      <w:r>
        <w:rPr>
          <w:spacing w:val="-19"/>
        </w:rPr>
        <w:t> </w:t>
      </w:r>
      <w:r>
        <w:rPr/>
        <w:t>postoperatif</w:t>
      </w:r>
    </w:p>
    <w:p>
      <w:pPr>
        <w:pStyle w:val="BodyText"/>
        <w:spacing w:line="357" w:lineRule="auto"/>
        <w:ind w:left="588" w:right="292"/>
        <w:jc w:val="both"/>
      </w:pPr>
      <w:r>
        <w:rPr/>
        <w:t>2. gün ve taburculuk günü değerlendirildi. Cerrahi sonrası 2. gün durumu stabil olan bireyler için tedavi programı başlatıldı. Bireyler hangi bireyin hangi grupta olduğundan habersiz olan genel cerrah tarafından taburcu edildi.</w:t>
      </w:r>
    </w:p>
    <w:p>
      <w:pPr>
        <w:pStyle w:val="BodyText"/>
        <w:spacing w:line="357" w:lineRule="auto" w:before="167"/>
        <w:ind w:left="588" w:right="296" w:firstLine="708"/>
        <w:jc w:val="both"/>
      </w:pPr>
      <w:r>
        <w:rPr/>
        <w:t>Çalışma ve kontrol grubundaki bireylere uygulanan tedavi programı aşağıda belirtilmiştir.</w:t>
      </w:r>
    </w:p>
    <w:p>
      <w:pPr>
        <w:pStyle w:val="BodyText"/>
        <w:rPr>
          <w:sz w:val="24"/>
        </w:rPr>
      </w:pPr>
    </w:p>
    <w:p>
      <w:pPr>
        <w:pStyle w:val="BodyText"/>
        <w:rPr>
          <w:sz w:val="24"/>
        </w:rPr>
      </w:pPr>
    </w:p>
    <w:p>
      <w:pPr>
        <w:pStyle w:val="Heading2"/>
        <w:numPr>
          <w:ilvl w:val="2"/>
          <w:numId w:val="2"/>
        </w:numPr>
        <w:tabs>
          <w:tab w:pos="1203" w:val="left" w:leader="none"/>
        </w:tabs>
        <w:spacing w:line="240" w:lineRule="auto" w:before="152" w:after="0"/>
        <w:ind w:left="1202" w:right="0" w:hanging="615"/>
        <w:jc w:val="both"/>
      </w:pPr>
      <w:bookmarkStart w:name="_bookmark43" w:id="79"/>
      <w:bookmarkEnd w:id="79"/>
      <w:r>
        <w:rPr>
          <w:b w:val="0"/>
        </w:rPr>
      </w:r>
      <w:bookmarkStart w:name="_bookmark43" w:id="80"/>
      <w:bookmarkEnd w:id="80"/>
      <w:r>
        <w:rPr/>
        <w:t>K</w:t>
      </w:r>
      <w:r>
        <w:rPr/>
        <w:t>ontrol Grubuna Uygulanan Tedavi</w:t>
      </w:r>
      <w:r>
        <w:rPr>
          <w:spacing w:val="-5"/>
        </w:rPr>
        <w:t> </w:t>
      </w:r>
      <w:r>
        <w:rPr/>
        <w:t>Programı</w:t>
      </w:r>
    </w:p>
    <w:p>
      <w:pPr>
        <w:pStyle w:val="BodyText"/>
        <w:spacing w:before="7"/>
        <w:rPr>
          <w:b/>
          <w:sz w:val="21"/>
        </w:rPr>
      </w:pPr>
    </w:p>
    <w:p>
      <w:pPr>
        <w:pStyle w:val="BodyText"/>
        <w:spacing w:line="360" w:lineRule="auto"/>
        <w:ind w:left="588" w:right="287" w:firstLine="708"/>
        <w:jc w:val="both"/>
      </w:pPr>
      <w:r>
        <w:rPr/>
        <w:t>Kontrol grubundaki bireylere cerrahi öncesinde fizyoterapist tarafından postoperatif fizyoterapi programı ile ilgili bilgilendirme ve eğitim yapıldı. Cerrahi sonrası solunum</w:t>
      </w:r>
      <w:r>
        <w:rPr>
          <w:spacing w:val="-16"/>
        </w:rPr>
        <w:t> </w:t>
      </w:r>
      <w:r>
        <w:rPr/>
        <w:t>kontrolü,</w:t>
      </w:r>
      <w:r>
        <w:rPr>
          <w:spacing w:val="-13"/>
        </w:rPr>
        <w:t> </w:t>
      </w:r>
      <w:r>
        <w:rPr/>
        <w:t>diyafragma</w:t>
      </w:r>
      <w:r>
        <w:rPr>
          <w:spacing w:val="-13"/>
        </w:rPr>
        <w:t> </w:t>
      </w:r>
      <w:r>
        <w:rPr/>
        <w:t>solunumu,</w:t>
      </w:r>
      <w:r>
        <w:rPr>
          <w:spacing w:val="-13"/>
        </w:rPr>
        <w:t> </w:t>
      </w:r>
      <w:r>
        <w:rPr/>
        <w:t>lokal</w:t>
      </w:r>
      <w:r>
        <w:rPr>
          <w:spacing w:val="-15"/>
        </w:rPr>
        <w:t> </w:t>
      </w:r>
      <w:r>
        <w:rPr/>
        <w:t>ekspansiyon</w:t>
      </w:r>
      <w:r>
        <w:rPr>
          <w:spacing w:val="-14"/>
        </w:rPr>
        <w:t> </w:t>
      </w:r>
      <w:r>
        <w:rPr/>
        <w:t>egzersizleri,</w:t>
      </w:r>
      <w:r>
        <w:rPr>
          <w:spacing w:val="-13"/>
        </w:rPr>
        <w:t> </w:t>
      </w:r>
      <w:r>
        <w:rPr/>
        <w:t>bronşiyal</w:t>
      </w:r>
      <w:r>
        <w:rPr>
          <w:spacing w:val="-14"/>
        </w:rPr>
        <w:t> </w:t>
      </w:r>
      <w:r>
        <w:rPr/>
        <w:t>hijyen teknikleri, etkili öksürme, postür egzersizleri ve erken mobilizasyondan</w:t>
      </w:r>
      <w:r>
        <w:rPr>
          <w:spacing w:val="2"/>
        </w:rPr>
        <w:t> </w:t>
      </w:r>
      <w:r>
        <w:rPr/>
        <w:t>oluşan</w:t>
      </w:r>
    </w:p>
    <w:p>
      <w:pPr>
        <w:spacing w:after="0" w:line="360" w:lineRule="auto"/>
        <w:jc w:val="both"/>
        <w:sectPr>
          <w:pgSz w:w="11910" w:h="16840"/>
          <w:pgMar w:header="749" w:footer="0" w:top="1320" w:bottom="280" w:left="1680" w:right="840"/>
        </w:sectPr>
      </w:pPr>
    </w:p>
    <w:p>
      <w:pPr>
        <w:pStyle w:val="BodyText"/>
        <w:spacing w:line="360" w:lineRule="auto" w:before="88"/>
        <w:ind w:left="588" w:right="286"/>
        <w:jc w:val="both"/>
      </w:pPr>
      <w:r>
        <w:rPr/>
        <w:pict>
          <v:group style="position:absolute;margin-left:113.879997pt;margin-top:119.477859pt;width:424.2pt;height:283.2pt;mso-position-horizontal-relative:page;mso-position-vertical-relative:paragraph;z-index:-251653120;mso-wrap-distance-left:0;mso-wrap-distance-right:0" coordorigin="2278,2390" coordsize="8484,5664">
            <v:shape style="position:absolute;left:6528;top:2389;width:4234;height:5645" type="#_x0000_t75" stroked="false">
              <v:imagedata r:id="rId18" o:title=""/>
            </v:shape>
            <v:shape style="position:absolute;left:2277;top:2394;width:4320;height:5660" type="#_x0000_t75" stroked="false">
              <v:imagedata r:id="rId19" o:title=""/>
            </v:shape>
            <v:shape style="position:absolute;left:5166;top:5612;width:400;height:220" coordorigin="5167,5612" coordsize="400,220" path="m5194,5612l5167,5678,5539,5832,5566,5766,5194,5612xe" filled="true" fillcolor="#000000" stroked="false">
              <v:path arrowok="t"/>
              <v:fill type="solid"/>
            </v:shape>
            <v:shape style="position:absolute;left:5166;top:5612;width:400;height:220" coordorigin="5167,5612" coordsize="400,220" path="m5194,5612l5566,5766,5539,5832,5167,5678,5194,5612xe" filled="false" stroked="true" strokeweight="1pt" strokecolor="#000000">
              <v:path arrowok="t"/>
              <v:stroke dashstyle="solid"/>
            </v:shape>
            <v:shape style="position:absolute;left:9041;top:5791;width:538;height:323" coordorigin="9041,5791" coordsize="538,323" path="m9085,5791l9041,5886,9535,6114,9579,6019,9085,5791xe" filled="true" fillcolor="#000000" stroked="false">
              <v:path arrowok="t"/>
              <v:fill type="solid"/>
            </v:shape>
            <v:shape style="position:absolute;left:9041;top:5791;width:538;height:323" coordorigin="9041,5791" coordsize="538,323" path="m9535,6114l9041,5886,9085,5791,9579,6019,9535,6114xe" filled="false" stroked="true" strokeweight="1pt" strokecolor="#000000">
              <v:path arrowok="t"/>
              <v:stroke dashstyle="solid"/>
            </v:shape>
            <w10:wrap type="topAndBottom"/>
          </v:group>
        </w:pict>
      </w:r>
      <w:r>
        <w:rPr/>
        <w:t>konvansiyonel pulmoner fizyoterapi günde 1 kez, bireyler taburcu olana kadar aynı fizyoterapist tarafından uygulandı. Ayrıca abdominal cerrahi nedeniyle alt ekstiremite aktif ROM (fleksiyon-ektansiyon, abdüksiyon-addüksiyon, ayak bileği dorsi-plantar fleksiyon)</w:t>
      </w:r>
      <w:r>
        <w:rPr>
          <w:spacing w:val="-17"/>
        </w:rPr>
        <w:t> </w:t>
      </w:r>
      <w:r>
        <w:rPr/>
        <w:t>yapıldı.</w:t>
      </w:r>
      <w:r>
        <w:rPr>
          <w:spacing w:val="-17"/>
        </w:rPr>
        <w:t> </w:t>
      </w:r>
      <w:r>
        <w:rPr/>
        <w:t>Buna</w:t>
      </w:r>
      <w:r>
        <w:rPr>
          <w:spacing w:val="-18"/>
        </w:rPr>
        <w:t> </w:t>
      </w:r>
      <w:r>
        <w:rPr/>
        <w:t>ek</w:t>
      </w:r>
      <w:r>
        <w:rPr>
          <w:spacing w:val="-17"/>
        </w:rPr>
        <w:t> </w:t>
      </w:r>
      <w:r>
        <w:rPr/>
        <w:t>olarak</w:t>
      </w:r>
      <w:r>
        <w:rPr>
          <w:spacing w:val="-16"/>
        </w:rPr>
        <w:t> </w:t>
      </w:r>
      <w:r>
        <w:rPr/>
        <w:t>insentif</w:t>
      </w:r>
      <w:r>
        <w:rPr>
          <w:spacing w:val="-15"/>
        </w:rPr>
        <w:t> </w:t>
      </w:r>
      <w:r>
        <w:rPr/>
        <w:t>spirometre</w:t>
      </w:r>
      <w:r>
        <w:rPr>
          <w:spacing w:val="-18"/>
        </w:rPr>
        <w:t> </w:t>
      </w:r>
      <w:r>
        <w:rPr/>
        <w:t>cihazında</w:t>
      </w:r>
      <w:r>
        <w:rPr>
          <w:spacing w:val="-17"/>
        </w:rPr>
        <w:t> </w:t>
      </w:r>
      <w:r>
        <w:rPr/>
        <w:t>aktif</w:t>
      </w:r>
      <w:r>
        <w:rPr>
          <w:spacing w:val="-17"/>
        </w:rPr>
        <w:t> </w:t>
      </w:r>
      <w:r>
        <w:rPr/>
        <w:t>inspirasyon</w:t>
      </w:r>
      <w:r>
        <w:rPr>
          <w:spacing w:val="-18"/>
        </w:rPr>
        <w:t> </w:t>
      </w:r>
      <w:r>
        <w:rPr/>
        <w:t>10</w:t>
      </w:r>
      <w:r>
        <w:rPr>
          <w:spacing w:val="-18"/>
        </w:rPr>
        <w:t> </w:t>
      </w:r>
      <w:r>
        <w:rPr/>
        <w:t>tekrar 3</w:t>
      </w:r>
      <w:r>
        <w:rPr>
          <w:spacing w:val="-5"/>
        </w:rPr>
        <w:t> </w:t>
      </w:r>
      <w:r>
        <w:rPr/>
        <w:t>set,</w:t>
      </w:r>
      <w:r>
        <w:rPr>
          <w:spacing w:val="-3"/>
        </w:rPr>
        <w:t> </w:t>
      </w:r>
      <w:r>
        <w:rPr/>
        <w:t>2</w:t>
      </w:r>
      <w:r>
        <w:rPr>
          <w:spacing w:val="-10"/>
        </w:rPr>
        <w:t> </w:t>
      </w:r>
      <w:r>
        <w:rPr/>
        <w:t>kez</w:t>
      </w:r>
      <w:r>
        <w:rPr>
          <w:spacing w:val="-9"/>
        </w:rPr>
        <w:t> </w:t>
      </w:r>
      <w:r>
        <w:rPr/>
        <w:t>fizyoterapist</w:t>
      </w:r>
      <w:r>
        <w:rPr>
          <w:spacing w:val="-5"/>
        </w:rPr>
        <w:t> </w:t>
      </w:r>
      <w:r>
        <w:rPr/>
        <w:t>gözetiminde</w:t>
      </w:r>
      <w:r>
        <w:rPr>
          <w:spacing w:val="-4"/>
        </w:rPr>
        <w:t> </w:t>
      </w:r>
      <w:r>
        <w:rPr/>
        <w:t>4</w:t>
      </w:r>
      <w:r>
        <w:rPr>
          <w:spacing w:val="-10"/>
        </w:rPr>
        <w:t> </w:t>
      </w:r>
      <w:r>
        <w:rPr/>
        <w:t>kez</w:t>
      </w:r>
      <w:r>
        <w:rPr>
          <w:spacing w:val="-6"/>
        </w:rPr>
        <w:t> </w:t>
      </w:r>
      <w:r>
        <w:rPr/>
        <w:t>ise</w:t>
      </w:r>
      <w:r>
        <w:rPr>
          <w:spacing w:val="-4"/>
        </w:rPr>
        <w:t> </w:t>
      </w:r>
      <w:r>
        <w:rPr/>
        <w:t>hastanın</w:t>
      </w:r>
      <w:r>
        <w:rPr>
          <w:spacing w:val="-5"/>
        </w:rPr>
        <w:t> </w:t>
      </w:r>
      <w:r>
        <w:rPr/>
        <w:t>kendisi</w:t>
      </w:r>
      <w:r>
        <w:rPr>
          <w:spacing w:val="-5"/>
        </w:rPr>
        <w:t> </w:t>
      </w:r>
      <w:r>
        <w:rPr/>
        <w:t>yapacak</w:t>
      </w:r>
      <w:r>
        <w:rPr>
          <w:spacing w:val="-1"/>
        </w:rPr>
        <w:t> </w:t>
      </w:r>
      <w:r>
        <w:rPr/>
        <w:t>şekilde</w:t>
      </w:r>
      <w:r>
        <w:rPr>
          <w:spacing w:val="-7"/>
        </w:rPr>
        <w:t> </w:t>
      </w:r>
      <w:r>
        <w:rPr/>
        <w:t>toplam 6 kez taburcu olana kadar çalışıldı. (Resim</w:t>
      </w:r>
      <w:r>
        <w:rPr>
          <w:spacing w:val="-5"/>
        </w:rPr>
        <w:t> </w:t>
      </w:r>
      <w:r>
        <w:rPr/>
        <w:t>3.5.1)</w:t>
      </w:r>
    </w:p>
    <w:p>
      <w:pPr>
        <w:spacing w:before="46"/>
        <w:ind w:left="588" w:right="0" w:firstLine="0"/>
        <w:jc w:val="both"/>
        <w:rPr>
          <w:sz w:val="20"/>
        </w:rPr>
      </w:pPr>
      <w:r>
        <w:rPr>
          <w:b/>
          <w:sz w:val="20"/>
        </w:rPr>
        <w:t>Resim 3.5.1 </w:t>
      </w:r>
      <w:r>
        <w:rPr>
          <w:sz w:val="20"/>
        </w:rPr>
        <w:t>Kontrol Grubu Tedavi Programı</w:t>
      </w:r>
    </w:p>
    <w:p>
      <w:pPr>
        <w:pStyle w:val="BodyText"/>
      </w:pPr>
    </w:p>
    <w:p>
      <w:pPr>
        <w:pStyle w:val="BodyText"/>
      </w:pPr>
    </w:p>
    <w:p>
      <w:pPr>
        <w:pStyle w:val="BodyText"/>
        <w:spacing w:before="7"/>
        <w:rPr>
          <w:sz w:val="26"/>
        </w:rPr>
      </w:pPr>
    </w:p>
    <w:p>
      <w:pPr>
        <w:pStyle w:val="Heading2"/>
        <w:numPr>
          <w:ilvl w:val="2"/>
          <w:numId w:val="2"/>
        </w:numPr>
        <w:tabs>
          <w:tab w:pos="1203" w:val="left" w:leader="none"/>
        </w:tabs>
        <w:spacing w:line="240" w:lineRule="auto" w:before="0" w:after="0"/>
        <w:ind w:left="1202" w:right="0" w:hanging="615"/>
        <w:jc w:val="left"/>
      </w:pPr>
      <w:bookmarkStart w:name="_bookmark44" w:id="81"/>
      <w:bookmarkEnd w:id="81"/>
      <w:r>
        <w:rPr>
          <w:b w:val="0"/>
        </w:rPr>
      </w:r>
      <w:bookmarkStart w:name="_bookmark44" w:id="82"/>
      <w:bookmarkEnd w:id="82"/>
      <w:r>
        <w:rPr/>
        <w:t>Ç</w:t>
      </w:r>
      <w:r>
        <w:rPr/>
        <w:t>alışma Grubuna Uygulanan Tedavi</w:t>
      </w:r>
      <w:r>
        <w:rPr>
          <w:spacing w:val="-5"/>
        </w:rPr>
        <w:t> </w:t>
      </w:r>
      <w:r>
        <w:rPr/>
        <w:t>Programı</w:t>
      </w:r>
    </w:p>
    <w:p>
      <w:pPr>
        <w:pStyle w:val="BodyText"/>
        <w:spacing w:before="10"/>
        <w:rPr>
          <w:b/>
          <w:sz w:val="21"/>
        </w:rPr>
      </w:pPr>
    </w:p>
    <w:p>
      <w:pPr>
        <w:pStyle w:val="BodyText"/>
        <w:spacing w:line="360" w:lineRule="auto"/>
        <w:ind w:left="588" w:right="286" w:firstLine="892"/>
        <w:jc w:val="both"/>
      </w:pPr>
      <w:r>
        <w:rPr/>
        <w:t>Bu gruptaki bireylere, cerrahi öncesinde fizyoterapist tarafından postoperatif fizyoterapi programı ile ilgili bilgilendirme ve eğitim yapıldı. Cerrahi sonrası solunum kontrolü, diyafragma solunumu, lokal ekspansiyon egzersizleri, bronşiyal hijyen teknikleri, etkili öksürme, postür egzersizleri ve erken mobilizasyondan oluşan konvansiyonel pulmoner fizyoterapi günde 1 kez, bireyler taburcu olana kadar aynı fizyoterapist</w:t>
      </w:r>
      <w:r>
        <w:rPr>
          <w:spacing w:val="-12"/>
        </w:rPr>
        <w:t> </w:t>
      </w:r>
      <w:r>
        <w:rPr/>
        <w:t>tarafından</w:t>
      </w:r>
      <w:r>
        <w:rPr>
          <w:spacing w:val="-10"/>
        </w:rPr>
        <w:t> </w:t>
      </w:r>
      <w:r>
        <w:rPr/>
        <w:t>uygulandı.</w:t>
      </w:r>
      <w:r>
        <w:rPr>
          <w:spacing w:val="-8"/>
        </w:rPr>
        <w:t> </w:t>
      </w:r>
      <w:r>
        <w:rPr/>
        <w:t>Buna</w:t>
      </w:r>
      <w:r>
        <w:rPr>
          <w:spacing w:val="-10"/>
        </w:rPr>
        <w:t> </w:t>
      </w:r>
      <w:r>
        <w:rPr/>
        <w:t>ek</w:t>
      </w:r>
      <w:r>
        <w:rPr>
          <w:spacing w:val="-7"/>
        </w:rPr>
        <w:t> </w:t>
      </w:r>
      <w:r>
        <w:rPr/>
        <w:t>olarak</w:t>
      </w:r>
      <w:r>
        <w:rPr>
          <w:spacing w:val="-12"/>
        </w:rPr>
        <w:t> </w:t>
      </w:r>
      <w:r>
        <w:rPr/>
        <w:t>günde</w:t>
      </w:r>
      <w:r>
        <w:rPr>
          <w:spacing w:val="-11"/>
        </w:rPr>
        <w:t> </w:t>
      </w:r>
      <w:r>
        <w:rPr/>
        <w:t>2</w:t>
      </w:r>
      <w:r>
        <w:rPr>
          <w:spacing w:val="-14"/>
        </w:rPr>
        <w:t> </w:t>
      </w:r>
      <w:r>
        <w:rPr/>
        <w:t>kez</w:t>
      </w:r>
      <w:r>
        <w:rPr>
          <w:spacing w:val="-15"/>
        </w:rPr>
        <w:t> </w:t>
      </w:r>
      <w:r>
        <w:rPr/>
        <w:t>fizyoterapist</w:t>
      </w:r>
      <w:r>
        <w:rPr>
          <w:spacing w:val="-11"/>
        </w:rPr>
        <w:t> </w:t>
      </w:r>
      <w:r>
        <w:rPr/>
        <w:t>gözetiminde 4 kez ise hastaların kendileri tarafından, ölçülen MEP’ in %10-30 değerinde 10 tekrar 3 set</w:t>
      </w:r>
      <w:r>
        <w:rPr>
          <w:spacing w:val="-9"/>
        </w:rPr>
        <w:t> </w:t>
      </w:r>
      <w:r>
        <w:rPr/>
        <w:t>şeklinde</w:t>
      </w:r>
      <w:r>
        <w:rPr>
          <w:spacing w:val="-7"/>
        </w:rPr>
        <w:t> </w:t>
      </w:r>
      <w:r>
        <w:rPr/>
        <w:t>yüklenme</w:t>
      </w:r>
      <w:r>
        <w:rPr>
          <w:spacing w:val="-10"/>
        </w:rPr>
        <w:t> </w:t>
      </w:r>
      <w:r>
        <w:rPr/>
        <w:t>yapılarak</w:t>
      </w:r>
      <w:r>
        <w:rPr>
          <w:spacing w:val="-7"/>
        </w:rPr>
        <w:t> </w:t>
      </w:r>
      <w:r>
        <w:rPr/>
        <w:t>haftada</w:t>
      </w:r>
      <w:r>
        <w:rPr>
          <w:spacing w:val="-7"/>
        </w:rPr>
        <w:t> </w:t>
      </w:r>
      <w:r>
        <w:rPr/>
        <w:t>5</w:t>
      </w:r>
      <w:r>
        <w:rPr>
          <w:spacing w:val="-11"/>
        </w:rPr>
        <w:t> </w:t>
      </w:r>
      <w:r>
        <w:rPr/>
        <w:t>gün</w:t>
      </w:r>
      <w:r>
        <w:rPr>
          <w:spacing w:val="-10"/>
        </w:rPr>
        <w:t> </w:t>
      </w:r>
      <w:r>
        <w:rPr/>
        <w:t>ekspiratuar</w:t>
      </w:r>
      <w:r>
        <w:rPr>
          <w:spacing w:val="-11"/>
        </w:rPr>
        <w:t> </w:t>
      </w:r>
      <w:r>
        <w:rPr/>
        <w:t>kas</w:t>
      </w:r>
      <w:r>
        <w:rPr>
          <w:spacing w:val="-9"/>
        </w:rPr>
        <w:t> </w:t>
      </w:r>
      <w:r>
        <w:rPr/>
        <w:t>eğitimi</w:t>
      </w:r>
      <w:r>
        <w:rPr>
          <w:spacing w:val="-10"/>
        </w:rPr>
        <w:t> </w:t>
      </w:r>
      <w:r>
        <w:rPr/>
        <w:t>verildi.</w:t>
      </w:r>
      <w:r>
        <w:rPr>
          <w:spacing w:val="-6"/>
        </w:rPr>
        <w:t> </w:t>
      </w:r>
      <w:r>
        <w:rPr/>
        <w:t>‘Threshold Possitive Ekspiratory Pressure’ (PEP) cihazı ekspiratuar kes eğitimi için kullanıldı. </w:t>
      </w:r>
      <w:r>
        <w:rPr>
          <w:position w:val="2"/>
        </w:rPr>
        <w:t>Hastaların tolerasyonuna göre günde 2 cmH</w:t>
      </w:r>
      <w:r>
        <w:rPr>
          <w:sz w:val="14"/>
        </w:rPr>
        <w:t>2</w:t>
      </w:r>
      <w:r>
        <w:rPr>
          <w:position w:val="2"/>
        </w:rPr>
        <w:t>O artırılarak eğitime devam</w:t>
      </w:r>
      <w:r>
        <w:rPr>
          <w:spacing w:val="-20"/>
          <w:position w:val="2"/>
        </w:rPr>
        <w:t> </w:t>
      </w:r>
      <w:r>
        <w:rPr>
          <w:position w:val="2"/>
        </w:rPr>
        <w:t>edildi.</w:t>
      </w:r>
    </w:p>
    <w:p>
      <w:pPr>
        <w:spacing w:after="0" w:line="360" w:lineRule="auto"/>
        <w:jc w:val="both"/>
        <w:sectPr>
          <w:pgSz w:w="11910" w:h="16840"/>
          <w:pgMar w:header="749" w:footer="0" w:top="1320" w:bottom="280" w:left="1680" w:right="840"/>
        </w:sectPr>
      </w:pPr>
    </w:p>
    <w:p>
      <w:pPr>
        <w:pStyle w:val="BodyText"/>
        <w:spacing w:line="360" w:lineRule="auto" w:before="88"/>
        <w:ind w:left="588"/>
      </w:pPr>
      <w:r>
        <w:rPr/>
        <w:t>Bireyler</w:t>
      </w:r>
      <w:r>
        <w:rPr>
          <w:spacing w:val="-12"/>
        </w:rPr>
        <w:t> </w:t>
      </w:r>
      <w:r>
        <w:rPr/>
        <w:t>dik</w:t>
      </w:r>
      <w:r>
        <w:rPr>
          <w:spacing w:val="-12"/>
        </w:rPr>
        <w:t> </w:t>
      </w:r>
      <w:r>
        <w:rPr/>
        <w:t>oturma</w:t>
      </w:r>
      <w:r>
        <w:rPr>
          <w:spacing w:val="-15"/>
        </w:rPr>
        <w:t> </w:t>
      </w:r>
      <w:r>
        <w:rPr/>
        <w:t>pozisyonunda</w:t>
      </w:r>
      <w:r>
        <w:rPr>
          <w:spacing w:val="-13"/>
        </w:rPr>
        <w:t> </w:t>
      </w:r>
      <w:r>
        <w:rPr/>
        <w:t>rahat</w:t>
      </w:r>
      <w:r>
        <w:rPr>
          <w:spacing w:val="-14"/>
        </w:rPr>
        <w:t> </w:t>
      </w:r>
      <w:r>
        <w:rPr/>
        <w:t>şekilde</w:t>
      </w:r>
      <w:r>
        <w:rPr>
          <w:spacing w:val="-17"/>
        </w:rPr>
        <w:t> </w:t>
      </w:r>
      <w:r>
        <w:rPr/>
        <w:t>Threshold</w:t>
      </w:r>
      <w:r>
        <w:rPr>
          <w:spacing w:val="-12"/>
        </w:rPr>
        <w:t> </w:t>
      </w:r>
      <w:r>
        <w:rPr/>
        <w:t>PEP</w:t>
      </w:r>
      <w:r>
        <w:rPr>
          <w:spacing w:val="-15"/>
        </w:rPr>
        <w:t> </w:t>
      </w:r>
      <w:r>
        <w:rPr/>
        <w:t>cihazına</w:t>
      </w:r>
      <w:r>
        <w:rPr>
          <w:spacing w:val="-13"/>
        </w:rPr>
        <w:t> </w:t>
      </w:r>
      <w:r>
        <w:rPr/>
        <w:t>10</w:t>
      </w:r>
      <w:r>
        <w:rPr>
          <w:spacing w:val="-15"/>
        </w:rPr>
        <w:t> </w:t>
      </w:r>
      <w:r>
        <w:rPr/>
        <w:t>tekrarlı</w:t>
      </w:r>
      <w:r>
        <w:rPr>
          <w:spacing w:val="-16"/>
        </w:rPr>
        <w:t> </w:t>
      </w:r>
      <w:r>
        <w:rPr/>
        <w:t>nefes verme çalıştıktan sonra 1-2 dakikalık dinlenme molası verildi (Langer vd. 2015).</w:t>
      </w:r>
      <w:r>
        <w:rPr>
          <w:spacing w:val="-12"/>
        </w:rPr>
        <w:t> </w:t>
      </w:r>
      <w:r>
        <w:rPr/>
        <w:t>(Resim</w:t>
      </w:r>
    </w:p>
    <w:p>
      <w:pPr>
        <w:pStyle w:val="BodyText"/>
        <w:spacing w:line="292" w:lineRule="exact"/>
        <w:ind w:left="588"/>
        <w:rPr>
          <w:rFonts w:ascii="Calibri"/>
          <w:sz w:val="24"/>
        </w:rPr>
      </w:pPr>
      <w:r>
        <w:rPr/>
        <w:t>3.5.2 ve Resim 3.5.3</w:t>
      </w:r>
      <w:r>
        <w:rPr>
          <w:rFonts w:ascii="Calibri"/>
          <w:sz w:val="24"/>
        </w:rPr>
        <w:t>)</w:t>
      </w:r>
    </w:p>
    <w:p>
      <w:pPr>
        <w:pStyle w:val="BodyText"/>
        <w:spacing w:before="7"/>
        <w:rPr>
          <w:rFonts w:ascii="Calibri"/>
        </w:rPr>
      </w:pPr>
      <w:r>
        <w:rPr/>
        <w:pict>
          <v:group style="position:absolute;margin-left:116.040001pt;margin-top:15.733733pt;width:425.05pt;height:469.1pt;mso-position-horizontal-relative:page;mso-position-vertical-relative:paragraph;z-index:-251652096;mso-wrap-distance-left:0;mso-wrap-distance-right:0" coordorigin="2321,315" coordsize="8501,9382">
            <v:shape style="position:absolute;left:2320;top:314;width:8501;height:4695" type="#_x0000_t75" stroked="false">
              <v:imagedata r:id="rId20" o:title=""/>
            </v:shape>
            <v:shape style="position:absolute;left:2320;top:4997;width:4325;height:4671" type="#_x0000_t75" stroked="false">
              <v:imagedata r:id="rId21" o:title=""/>
            </v:shape>
            <v:shape style="position:absolute;left:6652;top:5006;width:4145;height:4690" type="#_x0000_t75" stroked="false">
              <v:imagedata r:id="rId22" o:title=""/>
            </v:shape>
            <v:line style="position:absolute" from="5050,1973" to="5496,1973" stroked="true" strokeweight="6pt" strokecolor="#000000">
              <v:stroke dashstyle="solid"/>
            </v:line>
            <v:rect style="position:absolute;left:5049;top:1913;width:447;height:120" filled="false" stroked="true" strokeweight=".96pt" strokecolor="#000000">
              <v:stroke dashstyle="solid"/>
            </v:rect>
            <v:shape style="position:absolute;left:9712;top:1726;width:514;height:217" coordorigin="9713,1726" coordsize="514,217" path="m9736,1726l9713,1839,10202,1943,10226,1831,9736,1726xe" filled="true" fillcolor="#000000" stroked="false">
              <v:path arrowok="t"/>
              <v:fill type="solid"/>
            </v:shape>
            <v:shape style="position:absolute;left:9712;top:1726;width:514;height:217" coordorigin="9713,1726" coordsize="514,217" path="m9736,1726l10226,1831,10202,1943,9713,1839,9736,1726xe" filled="false" stroked="true" strokeweight="1pt" strokecolor="#000000">
              <v:path arrowok="t"/>
              <v:stroke dashstyle="solid"/>
            </v:shape>
            <v:line style="position:absolute" from="5911,7177" to="6293,7177" stroked="true" strokeweight="3.48pt" strokecolor="#000000">
              <v:stroke dashstyle="solid"/>
            </v:line>
            <v:rect style="position:absolute;left:5911;top:7142;width:382;height:70" filled="false" stroked="true" strokeweight=".96pt" strokecolor="#000000">
              <v:stroke dashstyle="solid"/>
            </v:rect>
            <v:line style="position:absolute" from="8340,5993" to="8786,5993" stroked="true" strokeweight="6pt" strokecolor="#000000">
              <v:stroke dashstyle="solid"/>
            </v:line>
            <v:rect style="position:absolute;left:8340;top:5933;width:447;height:120" filled="false" stroked="true" strokeweight=".96pt" strokecolor="#000000">
              <v:stroke dashstyle="solid"/>
            </v:rect>
            <w10:wrap type="topAndBottom"/>
          </v:group>
        </w:pict>
      </w:r>
    </w:p>
    <w:p>
      <w:pPr>
        <w:spacing w:before="78"/>
        <w:ind w:left="588" w:right="0" w:firstLine="0"/>
        <w:jc w:val="left"/>
        <w:rPr>
          <w:sz w:val="20"/>
        </w:rPr>
      </w:pPr>
      <w:r>
        <w:rPr>
          <w:b/>
          <w:sz w:val="20"/>
        </w:rPr>
        <w:t>Resim 3.5.2 </w:t>
      </w:r>
      <w:r>
        <w:rPr>
          <w:sz w:val="20"/>
        </w:rPr>
        <w:t>Çalışma grubu tedavi programı</w:t>
      </w:r>
    </w:p>
    <w:p>
      <w:pPr>
        <w:spacing w:after="0"/>
        <w:jc w:val="left"/>
        <w:rPr>
          <w:sz w:val="20"/>
        </w:rPr>
        <w:sectPr>
          <w:pgSz w:w="11910" w:h="16840"/>
          <w:pgMar w:header="749" w:footer="0" w:top="1320" w:bottom="280" w:left="1680" w:right="840"/>
        </w:sectPr>
      </w:pPr>
    </w:p>
    <w:p>
      <w:pPr>
        <w:pStyle w:val="BodyText"/>
        <w:rPr>
          <w:sz w:val="20"/>
        </w:rPr>
      </w:pPr>
    </w:p>
    <w:p>
      <w:pPr>
        <w:pStyle w:val="BodyText"/>
        <w:spacing w:before="2"/>
        <w:rPr>
          <w:sz w:val="15"/>
        </w:rPr>
      </w:pPr>
    </w:p>
    <w:p>
      <w:pPr>
        <w:pStyle w:val="BodyText"/>
        <w:ind w:left="588"/>
        <w:rPr>
          <w:sz w:val="20"/>
        </w:rPr>
      </w:pPr>
      <w:r>
        <w:rPr>
          <w:sz w:val="20"/>
        </w:rPr>
        <w:pict>
          <v:group style="width:425.2pt;height:277.6pt;mso-position-horizontal-relative:char;mso-position-vertical-relative:line" coordorigin="0,0" coordsize="8504,5552">
            <v:shape style="position:absolute;left:0;top:2;width:4330;height:5530" type="#_x0000_t75" stroked="false">
              <v:imagedata r:id="rId23" o:title=""/>
            </v:shape>
            <v:line style="position:absolute" from="3072,2888" to="3319,2888" stroked="true" strokeweight="5.16pt" strokecolor="#000000">
              <v:stroke dashstyle="solid"/>
            </v:line>
            <v:rect style="position:absolute;left:3072;top:2836;width:248;height:104" filled="false" stroked="true" strokeweight=".96pt" strokecolor="#000000">
              <v:stroke dashstyle="solid"/>
            </v:rect>
            <v:shape style="position:absolute;left:4327;top:0;width:4176;height:5552" type="#_x0000_t75" stroked="false">
              <v:imagedata r:id="rId24" o:title=""/>
            </v:shape>
          </v:group>
        </w:pict>
      </w:r>
      <w:r>
        <w:rPr>
          <w:sz w:val="20"/>
        </w:rPr>
      </w:r>
    </w:p>
    <w:p>
      <w:pPr>
        <w:spacing w:before="60"/>
        <w:ind w:left="588" w:right="0" w:firstLine="0"/>
        <w:jc w:val="left"/>
        <w:rPr>
          <w:sz w:val="20"/>
        </w:rPr>
      </w:pPr>
      <w:r>
        <w:rPr>
          <w:b/>
          <w:sz w:val="20"/>
        </w:rPr>
        <w:t>Resim 3.5.3 </w:t>
      </w:r>
      <w:r>
        <w:rPr>
          <w:sz w:val="20"/>
        </w:rPr>
        <w:t>Ekspiratuar Kas Eğitimi ve Threshold PEP Cihazı</w:t>
      </w:r>
    </w:p>
    <w:p>
      <w:pPr>
        <w:pStyle w:val="BodyText"/>
      </w:pPr>
    </w:p>
    <w:p>
      <w:pPr>
        <w:pStyle w:val="BodyText"/>
      </w:pPr>
    </w:p>
    <w:p>
      <w:pPr>
        <w:pStyle w:val="BodyText"/>
        <w:spacing w:before="11"/>
        <w:rPr>
          <w:sz w:val="23"/>
        </w:rPr>
      </w:pPr>
    </w:p>
    <w:p>
      <w:pPr>
        <w:pStyle w:val="Heading2"/>
        <w:numPr>
          <w:ilvl w:val="1"/>
          <w:numId w:val="2"/>
        </w:numPr>
        <w:tabs>
          <w:tab w:pos="956" w:val="left" w:leader="none"/>
        </w:tabs>
        <w:spacing w:line="240" w:lineRule="auto" w:before="0" w:after="0"/>
        <w:ind w:left="955" w:right="0" w:hanging="368"/>
        <w:jc w:val="left"/>
      </w:pPr>
      <w:bookmarkStart w:name="_bookmark45" w:id="83"/>
      <w:bookmarkEnd w:id="83"/>
      <w:r>
        <w:rPr>
          <w:b w:val="0"/>
        </w:rPr>
      </w:r>
      <w:bookmarkStart w:name="_bookmark45" w:id="84"/>
      <w:bookmarkEnd w:id="84"/>
      <w:r>
        <w:rPr/>
        <w:t>İ</w:t>
      </w:r>
      <w:r>
        <w:rPr/>
        <w:t>statiksel</w:t>
      </w:r>
      <w:r>
        <w:rPr>
          <w:spacing w:val="3"/>
        </w:rPr>
        <w:t> </w:t>
      </w:r>
      <w:r>
        <w:rPr/>
        <w:t>Analiz</w:t>
      </w:r>
    </w:p>
    <w:p>
      <w:pPr>
        <w:pStyle w:val="BodyText"/>
        <w:spacing w:before="7"/>
        <w:rPr>
          <w:b/>
          <w:sz w:val="21"/>
        </w:rPr>
      </w:pPr>
    </w:p>
    <w:p>
      <w:pPr>
        <w:pStyle w:val="BodyText"/>
        <w:spacing w:line="360" w:lineRule="auto"/>
        <w:ind w:left="588" w:right="287" w:firstLine="708"/>
        <w:jc w:val="both"/>
      </w:pPr>
      <w:r>
        <w:rPr/>
        <w:t>Çalışmaya</w:t>
      </w:r>
      <w:r>
        <w:rPr>
          <w:spacing w:val="-17"/>
        </w:rPr>
        <w:t> </w:t>
      </w:r>
      <w:r>
        <w:rPr/>
        <w:t>katılan</w:t>
      </w:r>
      <w:r>
        <w:rPr>
          <w:spacing w:val="-16"/>
        </w:rPr>
        <w:t> </w:t>
      </w:r>
      <w:r>
        <w:rPr/>
        <w:t>bireylerin</w:t>
      </w:r>
      <w:r>
        <w:rPr>
          <w:spacing w:val="-16"/>
        </w:rPr>
        <w:t> </w:t>
      </w:r>
      <w:r>
        <w:rPr/>
        <w:t>demografik</w:t>
      </w:r>
      <w:r>
        <w:rPr>
          <w:spacing w:val="-14"/>
        </w:rPr>
        <w:t> </w:t>
      </w:r>
      <w:r>
        <w:rPr/>
        <w:t>bilgileri</w:t>
      </w:r>
      <w:r>
        <w:rPr>
          <w:spacing w:val="-16"/>
        </w:rPr>
        <w:t> </w:t>
      </w:r>
      <w:r>
        <w:rPr/>
        <w:t>ve</w:t>
      </w:r>
      <w:r>
        <w:rPr>
          <w:spacing w:val="-16"/>
        </w:rPr>
        <w:t> </w:t>
      </w:r>
      <w:r>
        <w:rPr/>
        <w:t>cerrahi</w:t>
      </w:r>
      <w:r>
        <w:rPr>
          <w:spacing w:val="-16"/>
        </w:rPr>
        <w:t> </w:t>
      </w:r>
      <w:r>
        <w:rPr/>
        <w:t>öncesi,</w:t>
      </w:r>
      <w:r>
        <w:rPr>
          <w:spacing w:val="-15"/>
        </w:rPr>
        <w:t> </w:t>
      </w:r>
      <w:r>
        <w:rPr/>
        <w:t>cerrahi</w:t>
      </w:r>
      <w:r>
        <w:rPr>
          <w:spacing w:val="-16"/>
        </w:rPr>
        <w:t> </w:t>
      </w:r>
      <w:r>
        <w:rPr/>
        <w:t>sonrası ve taburculuk öncesi yapılan değerlendirmeler sonucu elde edilen veriler Statistical Package for Social Sciences (SPSS) 21.0 programıyla analiz edildi. Niteliksel değişkenler sayı (yüzde), sürekli değişkenler ise ortalama ± standart sapma şeklinde verildi. Bağımlı grup karşılaştırmalarında, parametrik test varsayımları sağlandığında Tekrarlı Ölçümlerde Varyans Analizi ve iki Eş Arasındaki Farkın Önemlilik Testi; parametrik test varsayımları sağlanmadığında ise Friedman Testi ve Wilcoxon Eşleştirilmiş İki Örnek Testi kullanıldı. Bağımsız grup karşılaştırmalarında, parametrik test varsayımları sağlandığında iki Ortalama Arasındaki Farkın Önemlilik Testi; parametrik test varsayımları sağlanmadığında ise Mann-Whitney U testi kullanıldı. Aynı zamanda niteliksel değişkenler arasındaki farklılık Ki-kare analizi ile</w:t>
      </w:r>
      <w:r>
        <w:rPr>
          <w:spacing w:val="-16"/>
        </w:rPr>
        <w:t> </w:t>
      </w:r>
      <w:r>
        <w:rPr/>
        <w:t>incelendi.</w:t>
      </w:r>
    </w:p>
    <w:p>
      <w:pPr>
        <w:spacing w:after="0" w:line="360" w:lineRule="auto"/>
        <w:jc w:val="both"/>
        <w:sectPr>
          <w:pgSz w:w="11910" w:h="16840"/>
          <w:pgMar w:header="749" w:footer="0" w:top="1320" w:bottom="280" w:left="168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9"/>
        </w:rPr>
      </w:pPr>
    </w:p>
    <w:p>
      <w:pPr>
        <w:pStyle w:val="Heading2"/>
        <w:numPr>
          <w:ilvl w:val="0"/>
          <w:numId w:val="6"/>
        </w:numPr>
        <w:tabs>
          <w:tab w:pos="836" w:val="left" w:leader="none"/>
        </w:tabs>
        <w:spacing w:line="240" w:lineRule="auto" w:before="0" w:after="0"/>
        <w:ind w:left="835" w:right="0" w:hanging="248"/>
        <w:jc w:val="left"/>
      </w:pPr>
      <w:bookmarkStart w:name="_bookmark46" w:id="85"/>
      <w:bookmarkEnd w:id="85"/>
      <w:r>
        <w:rPr>
          <w:b w:val="0"/>
        </w:rPr>
      </w:r>
      <w:bookmarkStart w:name="_bookmark46" w:id="86"/>
      <w:bookmarkEnd w:id="86"/>
      <w:r>
        <w:rPr/>
        <w:t>B</w:t>
      </w:r>
      <w:r>
        <w:rPr/>
        <w:t>ULGULAR</w:t>
      </w:r>
    </w:p>
    <w:p>
      <w:pPr>
        <w:pStyle w:val="BodyText"/>
        <w:rPr>
          <w:b/>
          <w:sz w:val="24"/>
        </w:rPr>
      </w:pPr>
    </w:p>
    <w:p>
      <w:pPr>
        <w:pStyle w:val="BodyText"/>
        <w:spacing w:before="2"/>
        <w:rPr>
          <w:b/>
          <w:sz w:val="34"/>
        </w:rPr>
      </w:pPr>
    </w:p>
    <w:p>
      <w:pPr>
        <w:pStyle w:val="BodyText"/>
        <w:spacing w:line="357" w:lineRule="auto"/>
        <w:ind w:left="588" w:right="296" w:firstLine="708"/>
        <w:jc w:val="both"/>
      </w:pPr>
      <w:r>
        <w:rPr/>
        <w:t>Çalışmamıza 18 yaş üzeri kolorektal cerrahi geçiren 13 erkek 11 kadın olmak üzere toplam 24 birey dahil edildi.</w:t>
      </w:r>
    </w:p>
    <w:p>
      <w:pPr>
        <w:pStyle w:val="BodyText"/>
        <w:spacing w:line="360" w:lineRule="auto" w:before="165"/>
        <w:ind w:left="588" w:right="290" w:firstLine="708"/>
        <w:jc w:val="both"/>
      </w:pPr>
      <w:r>
        <w:rPr/>
        <w:t>Çalışmaya dahil edilen bireylerin sosyo/demografik özellikleri tablo 4.1 de verilmiştir. İki grup arasında yaş, boy, vücut ağırlığı, vücut kitle indeksi, egzersiz miktarı ve sigara kullanma miktarı arasında anlamlı bir fark bulunamadı (p&gt;0,05).</w:t>
      </w:r>
    </w:p>
    <w:p>
      <w:pPr>
        <w:pStyle w:val="BodyText"/>
        <w:spacing w:line="360" w:lineRule="auto" w:before="161"/>
        <w:ind w:left="588" w:right="287" w:firstLine="708"/>
        <w:jc w:val="both"/>
      </w:pPr>
      <w:r>
        <w:rPr/>
        <w:t>Kontrol grubunda (KG) 2 (%16,6) kişi sigara kullanıcısıdır. Çalışma grubunda (KG) ise sigara kullanıcısı yoktu. Her iki grupta da alkol kullanıcısı yoktu. Kontrol gurubunda 1 (%8) bireyin, çalışma grubunda ise 4 (%33,3) bireyin egzersiz alışkanlığı vardı. İlgili veriler tablo 4.1’de verilmektedir.</w:t>
      </w:r>
    </w:p>
    <w:p>
      <w:pPr>
        <w:pStyle w:val="BodyText"/>
        <w:spacing w:before="160"/>
        <w:ind w:left="1296"/>
        <w:jc w:val="both"/>
      </w:pPr>
      <w:r>
        <w:rPr/>
        <w:t>Çalışmaya alınan bireylerde KG’da ise 7 (%58) erkek, 5 (%42) kadın, ÇG’da 6</w:t>
      </w:r>
    </w:p>
    <w:p>
      <w:pPr>
        <w:pStyle w:val="BodyText"/>
        <w:spacing w:line="357" w:lineRule="auto" w:before="126"/>
        <w:ind w:left="588" w:right="292"/>
        <w:jc w:val="both"/>
      </w:pPr>
      <w:r>
        <w:rPr/>
        <w:t>(%50) erkek, 6 (%50) kadın, birey bulunmaktaydı (Şekil 4.1). Gruplar arasında cinsiyet dağılımı açısından anlamlı derecede farklılık yoktu (p=0,698)</w:t>
      </w:r>
    </w:p>
    <w:p>
      <w:pPr>
        <w:pStyle w:val="BodyText"/>
        <w:rPr>
          <w:sz w:val="20"/>
        </w:rPr>
      </w:pPr>
    </w:p>
    <w:p>
      <w:pPr>
        <w:pStyle w:val="BodyText"/>
        <w:rPr>
          <w:sz w:val="20"/>
        </w:rPr>
      </w:pPr>
    </w:p>
    <w:p>
      <w:pPr>
        <w:pStyle w:val="BodyText"/>
        <w:rPr>
          <w:sz w:val="20"/>
        </w:rPr>
      </w:pPr>
    </w:p>
    <w:p>
      <w:pPr>
        <w:pStyle w:val="BodyText"/>
        <w:rPr>
          <w:sz w:val="20"/>
        </w:rPr>
      </w:pPr>
    </w:p>
    <w:p>
      <w:pPr>
        <w:spacing w:after="0"/>
        <w:rPr>
          <w:sz w:val="20"/>
        </w:rPr>
        <w:sectPr>
          <w:pgSz w:w="11910" w:h="16840"/>
          <w:pgMar w:header="749" w:footer="0" w:top="1320" w:bottom="280" w:left="1680" w:right="840"/>
        </w:sectPr>
      </w:pPr>
    </w:p>
    <w:p>
      <w:pPr>
        <w:pStyle w:val="Heading1"/>
      </w:pPr>
      <w:r>
        <w:rPr/>
        <w:t>Kontrol Grubu</w:t>
      </w:r>
    </w:p>
    <w:p>
      <w:pPr>
        <w:spacing w:before="267"/>
        <w:ind w:left="1604" w:right="0" w:firstLine="0"/>
        <w:jc w:val="left"/>
        <w:rPr>
          <w:rFonts w:ascii="Calibri" w:hAnsi="Calibri"/>
          <w:b/>
          <w:sz w:val="32"/>
        </w:rPr>
      </w:pPr>
      <w:r>
        <w:rPr/>
        <w:br w:type="column"/>
      </w:r>
      <w:r>
        <w:rPr>
          <w:rFonts w:ascii="Calibri" w:hAnsi="Calibri"/>
          <w:b/>
          <w:sz w:val="32"/>
        </w:rPr>
        <w:t>Çalışma Grubu</w:t>
      </w:r>
    </w:p>
    <w:p>
      <w:pPr>
        <w:spacing w:after="0"/>
        <w:jc w:val="left"/>
        <w:rPr>
          <w:rFonts w:ascii="Calibri" w:hAnsi="Calibri"/>
          <w:sz w:val="32"/>
        </w:rPr>
        <w:sectPr>
          <w:type w:val="continuous"/>
          <w:pgSz w:w="11910" w:h="16840"/>
          <w:pgMar w:top="740" w:bottom="280" w:left="1680" w:right="840"/>
          <w:cols w:num="2" w:equalWidth="0">
            <w:col w:w="3526" w:space="1011"/>
            <w:col w:w="4853"/>
          </w:cols>
        </w:sectPr>
      </w:pPr>
    </w:p>
    <w:p>
      <w:pPr>
        <w:pStyle w:val="BodyText"/>
        <w:spacing w:before="8"/>
        <w:rPr>
          <w:rFonts w:ascii="Calibri"/>
          <w:b/>
          <w:sz w:val="7"/>
        </w:rPr>
      </w:pPr>
    </w:p>
    <w:p>
      <w:pPr>
        <w:tabs>
          <w:tab w:pos="6151" w:val="left" w:leader="none"/>
        </w:tabs>
        <w:spacing w:line="240" w:lineRule="auto"/>
        <w:ind w:left="1382" w:right="0" w:firstLine="0"/>
        <w:rPr>
          <w:rFonts w:ascii="Calibri"/>
          <w:sz w:val="20"/>
        </w:rPr>
      </w:pPr>
      <w:r>
        <w:rPr>
          <w:rFonts w:ascii="Calibri"/>
          <w:sz w:val="20"/>
        </w:rPr>
        <w:pict>
          <v:group style="width:104.65pt;height:105.5pt;mso-position-horizontal-relative:char;mso-position-vertical-relative:line" coordorigin="0,0" coordsize="2093,2110">
            <v:shape style="position:absolute;left:976;top:14;width:1117;height:1937" type="#_x0000_t75" stroked="false">
              <v:imagedata r:id="rId25" o:title=""/>
            </v:shape>
            <v:shape style="position:absolute;left:0;top:0;width:1625;height:2110" type="#_x0000_t75" stroked="false">
              <v:imagedata r:id="rId26" o:title=""/>
            </v:shape>
            <v:shape style="position:absolute;left:92;top:63;width:1929;height:1929" type="#_x0000_t75" stroked="false">
              <v:imagedata r:id="rId27" o:title=""/>
            </v:shape>
            <v:shape style="position:absolute;left:1319;top:739;width:599;height:208" type="#_x0000_t202" filled="false" stroked="false">
              <v:textbox inset="0,0,0,0">
                <w:txbxContent>
                  <w:p>
                    <w:pPr>
                      <w:spacing w:line="208" w:lineRule="exact" w:before="0"/>
                      <w:ind w:left="0" w:right="0" w:firstLine="0"/>
                      <w:jc w:val="left"/>
                      <w:rPr>
                        <w:rFonts w:ascii="Calibri"/>
                        <w:sz w:val="18"/>
                      </w:rPr>
                    </w:pPr>
                    <w:r>
                      <w:rPr>
                        <w:sz w:val="18"/>
                      </w:rPr>
                      <w:t>5(%42</w:t>
                    </w:r>
                    <w:r>
                      <w:rPr>
                        <w:rFonts w:ascii="Calibri"/>
                        <w:sz w:val="18"/>
                      </w:rPr>
                      <w:t>)</w:t>
                    </w:r>
                  </w:p>
                </w:txbxContent>
              </v:textbox>
              <w10:wrap type="none"/>
            </v:shape>
            <v:shape style="position:absolute;left:209;top:1111;width:603;height:202" type="#_x0000_t202" filled="false" stroked="false">
              <v:textbox inset="0,0,0,0">
                <w:txbxContent>
                  <w:p>
                    <w:pPr>
                      <w:spacing w:line="201" w:lineRule="exact" w:before="0"/>
                      <w:ind w:left="0" w:right="0" w:firstLine="0"/>
                      <w:jc w:val="left"/>
                      <w:rPr>
                        <w:sz w:val="18"/>
                      </w:rPr>
                    </w:pPr>
                    <w:r>
                      <w:rPr>
                        <w:sz w:val="18"/>
                      </w:rPr>
                      <w:t>7(%58)</w:t>
                    </w:r>
                  </w:p>
                </w:txbxContent>
              </v:textbox>
              <w10:wrap type="none"/>
            </v:shape>
          </v:group>
        </w:pict>
      </w:r>
      <w:r>
        <w:rPr>
          <w:rFonts w:ascii="Calibri"/>
          <w:sz w:val="20"/>
        </w:rPr>
      </w:r>
      <w:r>
        <w:rPr>
          <w:rFonts w:ascii="Calibri"/>
          <w:sz w:val="20"/>
        </w:rPr>
        <w:tab/>
      </w:r>
      <w:r>
        <w:rPr>
          <w:rFonts w:ascii="Calibri"/>
          <w:position w:val="2"/>
          <w:sz w:val="20"/>
        </w:rPr>
        <w:pict>
          <v:group style="width:98.55pt;height:98.55pt;mso-position-horizontal-relative:char;mso-position-vertical-relative:line" coordorigin="0,0" coordsize="1971,1971">
            <v:shape style="position:absolute;left:0;top:0;width:1971;height:1971" type="#_x0000_t75" stroked="false">
              <v:imagedata r:id="rId28" o:title=""/>
            </v:shape>
            <v:shape style="position:absolute;left:78;top:889;width:649;height:208" type="#_x0000_t202" filled="false" stroked="false">
              <v:textbox inset="0,0,0,0">
                <w:txbxContent>
                  <w:p>
                    <w:pPr>
                      <w:spacing w:line="208" w:lineRule="exact" w:before="0"/>
                      <w:ind w:left="0" w:right="0" w:firstLine="0"/>
                      <w:jc w:val="left"/>
                      <w:rPr>
                        <w:rFonts w:ascii="Calibri"/>
                        <w:sz w:val="18"/>
                      </w:rPr>
                    </w:pPr>
                    <w:r>
                      <w:rPr>
                        <w:sz w:val="18"/>
                      </w:rPr>
                      <w:t>6 (%50</w:t>
                    </w:r>
                    <w:r>
                      <w:rPr>
                        <w:rFonts w:ascii="Calibri"/>
                        <w:sz w:val="18"/>
                      </w:rPr>
                      <w:t>)</w:t>
                    </w:r>
                  </w:p>
                </w:txbxContent>
              </v:textbox>
              <w10:wrap type="none"/>
            </v:shape>
            <v:shape style="position:absolute;left:1164;top:884;width:649;height:208" type="#_x0000_t202" filled="false" stroked="false">
              <v:textbox inset="0,0,0,0">
                <w:txbxContent>
                  <w:p>
                    <w:pPr>
                      <w:spacing w:line="208" w:lineRule="exact" w:before="0"/>
                      <w:ind w:left="0" w:right="0" w:firstLine="0"/>
                      <w:jc w:val="left"/>
                      <w:rPr>
                        <w:rFonts w:ascii="Calibri"/>
                        <w:sz w:val="18"/>
                      </w:rPr>
                    </w:pPr>
                    <w:r>
                      <w:rPr>
                        <w:sz w:val="18"/>
                      </w:rPr>
                      <w:t>6 (50%</w:t>
                    </w:r>
                    <w:r>
                      <w:rPr>
                        <w:rFonts w:ascii="Calibri"/>
                        <w:sz w:val="18"/>
                      </w:rPr>
                      <w:t>)</w:t>
                    </w:r>
                  </w:p>
                </w:txbxContent>
              </v:textbox>
              <w10:wrap type="none"/>
            </v:shape>
          </v:group>
        </w:pict>
      </w:r>
      <w:r>
        <w:rPr>
          <w:rFonts w:ascii="Calibri"/>
          <w:position w:val="2"/>
          <w:sz w:val="20"/>
        </w:rPr>
      </w:r>
    </w:p>
    <w:p>
      <w:pPr>
        <w:tabs>
          <w:tab w:pos="2628" w:val="left" w:leader="none"/>
        </w:tabs>
        <w:spacing w:line="199" w:lineRule="exact" w:before="41"/>
        <w:ind w:left="1760" w:right="0" w:firstLine="0"/>
        <w:jc w:val="left"/>
        <w:rPr>
          <w:rFonts w:ascii="Calibri" w:hAnsi="Calibri"/>
          <w:sz w:val="18"/>
        </w:rPr>
      </w:pPr>
      <w:r>
        <w:rPr/>
        <w:drawing>
          <wp:anchor distT="0" distB="0" distL="0" distR="0" allowOverlap="1" layoutInCell="1" locked="0" behindDoc="0" simplePos="0" relativeHeight="251674624">
            <wp:simplePos x="0" y="0"/>
            <wp:positionH relativeFrom="page">
              <wp:posOffset>2095500</wp:posOffset>
            </wp:positionH>
            <wp:positionV relativeFrom="paragraph">
              <wp:posOffset>69968</wp:posOffset>
            </wp:positionV>
            <wp:extent cx="62483" cy="62483"/>
            <wp:effectExtent l="0" t="0" r="0" b="0"/>
            <wp:wrapNone/>
            <wp:docPr id="13" name="image21.png"/>
            <wp:cNvGraphicFramePr>
              <a:graphicFrameLocks noChangeAspect="1"/>
            </wp:cNvGraphicFramePr>
            <a:graphic>
              <a:graphicData uri="http://schemas.openxmlformats.org/drawingml/2006/picture">
                <pic:pic>
                  <pic:nvPicPr>
                    <pic:cNvPr id="14" name="image21.png"/>
                    <pic:cNvPicPr/>
                  </pic:nvPicPr>
                  <pic:blipFill>
                    <a:blip r:embed="rId29" cstate="print"/>
                    <a:stretch>
                      <a:fillRect/>
                    </a:stretch>
                  </pic:blipFill>
                  <pic:spPr>
                    <a:xfrm>
                      <a:off x="0" y="0"/>
                      <a:ext cx="62483" cy="62483"/>
                    </a:xfrm>
                    <a:prstGeom prst="rect">
                      <a:avLst/>
                    </a:prstGeom>
                  </pic:spPr>
                </pic:pic>
              </a:graphicData>
            </a:graphic>
          </wp:anchor>
        </w:drawing>
      </w:r>
      <w:r>
        <w:rPr/>
        <w:drawing>
          <wp:anchor distT="0" distB="0" distL="0" distR="0" allowOverlap="1" layoutInCell="1" locked="0" behindDoc="1" simplePos="0" relativeHeight="246367232">
            <wp:simplePos x="0" y="0"/>
            <wp:positionH relativeFrom="page">
              <wp:posOffset>2645664</wp:posOffset>
            </wp:positionH>
            <wp:positionV relativeFrom="paragraph">
              <wp:posOffset>69968</wp:posOffset>
            </wp:positionV>
            <wp:extent cx="64007" cy="62483"/>
            <wp:effectExtent l="0" t="0" r="0" b="0"/>
            <wp:wrapNone/>
            <wp:docPr id="15" name="image22.png"/>
            <wp:cNvGraphicFramePr>
              <a:graphicFrameLocks noChangeAspect="1"/>
            </wp:cNvGraphicFramePr>
            <a:graphic>
              <a:graphicData uri="http://schemas.openxmlformats.org/drawingml/2006/picture">
                <pic:pic>
                  <pic:nvPicPr>
                    <pic:cNvPr id="16" name="image22.png"/>
                    <pic:cNvPicPr/>
                  </pic:nvPicPr>
                  <pic:blipFill>
                    <a:blip r:embed="rId30" cstate="print"/>
                    <a:stretch>
                      <a:fillRect/>
                    </a:stretch>
                  </pic:blipFill>
                  <pic:spPr>
                    <a:xfrm>
                      <a:off x="0" y="0"/>
                      <a:ext cx="64007" cy="62483"/>
                    </a:xfrm>
                    <a:prstGeom prst="rect">
                      <a:avLst/>
                    </a:prstGeom>
                  </pic:spPr>
                </pic:pic>
              </a:graphicData>
            </a:graphic>
          </wp:anchor>
        </w:drawing>
      </w:r>
      <w:r>
        <w:rPr>
          <w:rFonts w:ascii="Calibri" w:hAnsi="Calibri"/>
          <w:sz w:val="18"/>
        </w:rPr>
        <w:t>Kadın</w:t>
        <w:tab/>
        <w:t>Erkek</w:t>
      </w:r>
    </w:p>
    <w:p>
      <w:pPr>
        <w:tabs>
          <w:tab w:pos="7345" w:val="left" w:leader="none"/>
        </w:tabs>
        <w:spacing w:line="199" w:lineRule="exact" w:before="0"/>
        <w:ind w:left="6449" w:right="0" w:firstLine="0"/>
        <w:jc w:val="left"/>
        <w:rPr>
          <w:rFonts w:ascii="Calibri" w:hAnsi="Calibri"/>
          <w:sz w:val="18"/>
        </w:rPr>
      </w:pPr>
      <w:r>
        <w:rPr/>
        <w:drawing>
          <wp:anchor distT="0" distB="0" distL="0" distR="0" allowOverlap="1" layoutInCell="1" locked="0" behindDoc="0" simplePos="0" relativeHeight="251672576">
            <wp:simplePos x="0" y="0"/>
            <wp:positionH relativeFrom="page">
              <wp:posOffset>5071871</wp:posOffset>
            </wp:positionH>
            <wp:positionV relativeFrom="paragraph">
              <wp:posOffset>31637</wp:posOffset>
            </wp:positionV>
            <wp:extent cx="62484" cy="62483"/>
            <wp:effectExtent l="0" t="0" r="0" b="0"/>
            <wp:wrapNone/>
            <wp:docPr id="17" name="image23.png"/>
            <wp:cNvGraphicFramePr>
              <a:graphicFrameLocks noChangeAspect="1"/>
            </wp:cNvGraphicFramePr>
            <a:graphic>
              <a:graphicData uri="http://schemas.openxmlformats.org/drawingml/2006/picture">
                <pic:pic>
                  <pic:nvPicPr>
                    <pic:cNvPr id="18" name="image23.png"/>
                    <pic:cNvPicPr/>
                  </pic:nvPicPr>
                  <pic:blipFill>
                    <a:blip r:embed="rId31" cstate="print"/>
                    <a:stretch>
                      <a:fillRect/>
                    </a:stretch>
                  </pic:blipFill>
                  <pic:spPr>
                    <a:xfrm>
                      <a:off x="0" y="0"/>
                      <a:ext cx="62484" cy="62483"/>
                    </a:xfrm>
                    <a:prstGeom prst="rect">
                      <a:avLst/>
                    </a:prstGeom>
                  </pic:spPr>
                </pic:pic>
              </a:graphicData>
            </a:graphic>
          </wp:anchor>
        </w:drawing>
      </w:r>
      <w:r>
        <w:rPr/>
        <w:drawing>
          <wp:anchor distT="0" distB="0" distL="0" distR="0" allowOverlap="1" layoutInCell="1" locked="0" behindDoc="1" simplePos="0" relativeHeight="246365184">
            <wp:simplePos x="0" y="0"/>
            <wp:positionH relativeFrom="page">
              <wp:posOffset>5640323</wp:posOffset>
            </wp:positionH>
            <wp:positionV relativeFrom="paragraph">
              <wp:posOffset>31637</wp:posOffset>
            </wp:positionV>
            <wp:extent cx="62484" cy="62483"/>
            <wp:effectExtent l="0" t="0" r="0" b="0"/>
            <wp:wrapNone/>
            <wp:docPr id="19" name="image24.png"/>
            <wp:cNvGraphicFramePr>
              <a:graphicFrameLocks noChangeAspect="1"/>
            </wp:cNvGraphicFramePr>
            <a:graphic>
              <a:graphicData uri="http://schemas.openxmlformats.org/drawingml/2006/picture">
                <pic:pic>
                  <pic:nvPicPr>
                    <pic:cNvPr id="20" name="image24.png"/>
                    <pic:cNvPicPr/>
                  </pic:nvPicPr>
                  <pic:blipFill>
                    <a:blip r:embed="rId32" cstate="print"/>
                    <a:stretch>
                      <a:fillRect/>
                    </a:stretch>
                  </pic:blipFill>
                  <pic:spPr>
                    <a:xfrm>
                      <a:off x="0" y="0"/>
                      <a:ext cx="62484" cy="62483"/>
                    </a:xfrm>
                    <a:prstGeom prst="rect">
                      <a:avLst/>
                    </a:prstGeom>
                  </pic:spPr>
                </pic:pic>
              </a:graphicData>
            </a:graphic>
          </wp:anchor>
        </w:drawing>
      </w:r>
      <w:r>
        <w:rPr>
          <w:rFonts w:ascii="Calibri" w:hAnsi="Calibri"/>
          <w:sz w:val="18"/>
        </w:rPr>
        <w:t>Kadın</w:t>
        <w:tab/>
        <w:t>Erkek</w:t>
      </w:r>
    </w:p>
    <w:p>
      <w:pPr>
        <w:pStyle w:val="BodyText"/>
        <w:spacing w:before="6"/>
        <w:rPr>
          <w:rFonts w:ascii="Calibri"/>
          <w:sz w:val="12"/>
        </w:rPr>
      </w:pPr>
    </w:p>
    <w:p>
      <w:pPr>
        <w:spacing w:before="94"/>
        <w:ind w:left="588" w:right="0" w:firstLine="0"/>
        <w:jc w:val="left"/>
        <w:rPr>
          <w:sz w:val="20"/>
        </w:rPr>
      </w:pPr>
      <w:r>
        <w:rPr>
          <w:b/>
          <w:sz w:val="22"/>
        </w:rPr>
        <w:t>Ş</w:t>
      </w:r>
      <w:r>
        <w:rPr>
          <w:b/>
          <w:sz w:val="20"/>
        </w:rPr>
        <w:t>ekil 4.1 </w:t>
      </w:r>
      <w:r>
        <w:rPr>
          <w:sz w:val="20"/>
        </w:rPr>
        <w:t>Cinsiyet Dağılım Grafikleri</w:t>
      </w:r>
    </w:p>
    <w:p>
      <w:pPr>
        <w:spacing w:after="0"/>
        <w:jc w:val="left"/>
        <w:rPr>
          <w:sz w:val="20"/>
        </w:rPr>
        <w:sectPr>
          <w:type w:val="continuous"/>
          <w:pgSz w:w="11910" w:h="16840"/>
          <w:pgMar w:top="740" w:bottom="280" w:left="1680" w:right="840"/>
        </w:sectPr>
      </w:pPr>
    </w:p>
    <w:p>
      <w:pPr>
        <w:pStyle w:val="BodyText"/>
        <w:rPr>
          <w:sz w:val="20"/>
        </w:rPr>
      </w:pPr>
    </w:p>
    <w:p>
      <w:pPr>
        <w:pStyle w:val="BodyText"/>
        <w:rPr>
          <w:sz w:val="20"/>
        </w:rPr>
      </w:pPr>
    </w:p>
    <w:p>
      <w:pPr>
        <w:pStyle w:val="BodyText"/>
        <w:rPr>
          <w:sz w:val="20"/>
        </w:rPr>
      </w:pPr>
    </w:p>
    <w:p>
      <w:pPr>
        <w:pStyle w:val="BodyText"/>
        <w:spacing w:before="3"/>
        <w:rPr>
          <w:sz w:val="27"/>
        </w:rPr>
      </w:pPr>
    </w:p>
    <w:p>
      <w:pPr>
        <w:spacing w:before="93"/>
        <w:ind w:left="588" w:right="0" w:firstLine="0"/>
        <w:jc w:val="both"/>
        <w:rPr>
          <w:sz w:val="20"/>
        </w:rPr>
      </w:pPr>
      <w:r>
        <w:rPr>
          <w:b/>
          <w:sz w:val="20"/>
        </w:rPr>
        <w:t>Tablo 4.1 </w:t>
      </w:r>
      <w:r>
        <w:rPr>
          <w:sz w:val="20"/>
        </w:rPr>
        <w:t>Gruplar Arası Bireylerin Sosyo/Demografik Verilerin Karşılaştırılması</w:t>
      </w:r>
    </w:p>
    <w:p>
      <w:pPr>
        <w:pStyle w:val="BodyText"/>
        <w:spacing w:before="3"/>
        <w:rPr>
          <w:sz w:val="24"/>
        </w:rPr>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34"/>
        <w:gridCol w:w="1472"/>
        <w:gridCol w:w="1504"/>
        <w:gridCol w:w="1421"/>
        <w:gridCol w:w="1426"/>
        <w:gridCol w:w="858"/>
      </w:tblGrid>
      <w:tr>
        <w:trPr>
          <w:trHeight w:val="402" w:hRule="atLeast"/>
        </w:trPr>
        <w:tc>
          <w:tcPr>
            <w:tcW w:w="1834" w:type="dxa"/>
            <w:tcBorders>
              <w:top w:val="single" w:sz="12" w:space="0" w:color="008000"/>
              <w:bottom w:val="single" w:sz="6" w:space="0" w:color="008000"/>
            </w:tcBorders>
          </w:tcPr>
          <w:p>
            <w:pPr>
              <w:pStyle w:val="TableParagraph"/>
              <w:spacing w:before="80"/>
              <w:ind w:left="174" w:right="175"/>
              <w:jc w:val="center"/>
              <w:rPr>
                <w:b/>
                <w:sz w:val="20"/>
              </w:rPr>
            </w:pPr>
            <w:r>
              <w:rPr>
                <w:b/>
                <w:sz w:val="20"/>
              </w:rPr>
              <w:t>DEĞİŞKENLER</w:t>
            </w:r>
          </w:p>
        </w:tc>
        <w:tc>
          <w:tcPr>
            <w:tcW w:w="2976" w:type="dxa"/>
            <w:gridSpan w:val="2"/>
            <w:tcBorders>
              <w:top w:val="single" w:sz="12" w:space="0" w:color="008000"/>
              <w:bottom w:val="single" w:sz="6" w:space="0" w:color="008000"/>
            </w:tcBorders>
          </w:tcPr>
          <w:p>
            <w:pPr>
              <w:pStyle w:val="TableParagraph"/>
              <w:spacing w:before="80"/>
              <w:ind w:left="992" w:right="993"/>
              <w:jc w:val="center"/>
              <w:rPr>
                <w:b/>
                <w:sz w:val="20"/>
              </w:rPr>
            </w:pPr>
            <w:r>
              <w:rPr>
                <w:b/>
                <w:sz w:val="20"/>
              </w:rPr>
              <w:t>ÇG (n=12)</w:t>
            </w:r>
          </w:p>
        </w:tc>
        <w:tc>
          <w:tcPr>
            <w:tcW w:w="2847" w:type="dxa"/>
            <w:gridSpan w:val="2"/>
            <w:tcBorders>
              <w:top w:val="single" w:sz="12" w:space="0" w:color="008000"/>
              <w:bottom w:val="single" w:sz="6" w:space="0" w:color="008000"/>
            </w:tcBorders>
          </w:tcPr>
          <w:p>
            <w:pPr>
              <w:pStyle w:val="TableParagraph"/>
              <w:spacing w:before="80"/>
              <w:ind w:left="965"/>
              <w:rPr>
                <w:b/>
                <w:sz w:val="20"/>
              </w:rPr>
            </w:pPr>
            <w:r>
              <w:rPr>
                <w:b/>
                <w:sz w:val="20"/>
              </w:rPr>
              <w:t>KG (n=12)</w:t>
            </w:r>
          </w:p>
        </w:tc>
        <w:tc>
          <w:tcPr>
            <w:tcW w:w="858" w:type="dxa"/>
            <w:tcBorders>
              <w:top w:val="single" w:sz="12" w:space="0" w:color="008000"/>
              <w:bottom w:val="single" w:sz="6" w:space="0" w:color="008000"/>
            </w:tcBorders>
          </w:tcPr>
          <w:p>
            <w:pPr>
              <w:pStyle w:val="TableParagraph"/>
              <w:spacing w:before="80"/>
              <w:ind w:left="18"/>
              <w:jc w:val="center"/>
              <w:rPr>
                <w:b/>
                <w:sz w:val="20"/>
              </w:rPr>
            </w:pPr>
            <w:r>
              <w:rPr>
                <w:b/>
                <w:w w:val="99"/>
                <w:sz w:val="20"/>
              </w:rPr>
              <w:t>p</w:t>
            </w:r>
          </w:p>
        </w:tc>
      </w:tr>
      <w:tr>
        <w:trPr>
          <w:trHeight w:val="399" w:hRule="atLeast"/>
        </w:trPr>
        <w:tc>
          <w:tcPr>
            <w:tcW w:w="1834" w:type="dxa"/>
            <w:tcBorders>
              <w:top w:val="single" w:sz="6" w:space="0" w:color="008000"/>
            </w:tcBorders>
          </w:tcPr>
          <w:p>
            <w:pPr>
              <w:pStyle w:val="TableParagraph"/>
              <w:rPr>
                <w:rFonts w:ascii="Times New Roman"/>
                <w:sz w:val="18"/>
              </w:rPr>
            </w:pPr>
          </w:p>
        </w:tc>
        <w:tc>
          <w:tcPr>
            <w:tcW w:w="1472" w:type="dxa"/>
            <w:tcBorders>
              <w:top w:val="single" w:sz="6" w:space="0" w:color="008000"/>
            </w:tcBorders>
          </w:tcPr>
          <w:p>
            <w:pPr>
              <w:pStyle w:val="TableParagraph"/>
              <w:spacing w:before="78"/>
              <w:ind w:left="268"/>
              <w:rPr>
                <w:b/>
                <w:sz w:val="20"/>
              </w:rPr>
            </w:pPr>
            <w:r>
              <w:rPr>
                <w:b/>
                <w:sz w:val="20"/>
              </w:rPr>
              <w:t>Min-maks</w:t>
            </w:r>
          </w:p>
        </w:tc>
        <w:tc>
          <w:tcPr>
            <w:tcW w:w="1504" w:type="dxa"/>
            <w:tcBorders>
              <w:top w:val="single" w:sz="6" w:space="0" w:color="008000"/>
            </w:tcBorders>
          </w:tcPr>
          <w:p>
            <w:pPr>
              <w:pStyle w:val="TableParagraph"/>
              <w:spacing w:before="78"/>
              <w:ind w:left="186" w:right="164"/>
              <w:jc w:val="center"/>
              <w:rPr>
                <w:b/>
                <w:sz w:val="20"/>
              </w:rPr>
            </w:pPr>
            <w:r>
              <w:rPr>
                <w:b/>
                <w:sz w:val="20"/>
              </w:rPr>
              <w:t>X ± SS</w:t>
            </w:r>
          </w:p>
        </w:tc>
        <w:tc>
          <w:tcPr>
            <w:tcW w:w="1421" w:type="dxa"/>
            <w:tcBorders>
              <w:top w:val="single" w:sz="6" w:space="0" w:color="008000"/>
            </w:tcBorders>
          </w:tcPr>
          <w:p>
            <w:pPr>
              <w:pStyle w:val="TableParagraph"/>
              <w:spacing w:before="78"/>
              <w:ind w:right="234"/>
              <w:jc w:val="right"/>
              <w:rPr>
                <w:b/>
                <w:sz w:val="20"/>
              </w:rPr>
            </w:pPr>
            <w:r>
              <w:rPr>
                <w:b/>
                <w:w w:val="95"/>
                <w:sz w:val="20"/>
              </w:rPr>
              <w:t>Min-maks</w:t>
            </w:r>
          </w:p>
        </w:tc>
        <w:tc>
          <w:tcPr>
            <w:tcW w:w="1426" w:type="dxa"/>
            <w:tcBorders>
              <w:top w:val="single" w:sz="6" w:space="0" w:color="008000"/>
            </w:tcBorders>
          </w:tcPr>
          <w:p>
            <w:pPr>
              <w:pStyle w:val="TableParagraph"/>
              <w:spacing w:before="78"/>
              <w:ind w:left="413"/>
              <w:rPr>
                <w:b/>
                <w:sz w:val="20"/>
              </w:rPr>
            </w:pPr>
            <w:r>
              <w:rPr>
                <w:b/>
                <w:sz w:val="20"/>
              </w:rPr>
              <w:t>X ± SS</w:t>
            </w:r>
          </w:p>
        </w:tc>
        <w:tc>
          <w:tcPr>
            <w:tcW w:w="858" w:type="dxa"/>
            <w:tcBorders>
              <w:top w:val="single" w:sz="6" w:space="0" w:color="008000"/>
            </w:tcBorders>
          </w:tcPr>
          <w:p>
            <w:pPr>
              <w:pStyle w:val="TableParagraph"/>
              <w:rPr>
                <w:rFonts w:ascii="Times New Roman"/>
                <w:sz w:val="18"/>
              </w:rPr>
            </w:pPr>
          </w:p>
        </w:tc>
      </w:tr>
      <w:tr>
        <w:trPr>
          <w:trHeight w:val="414" w:hRule="atLeast"/>
        </w:trPr>
        <w:tc>
          <w:tcPr>
            <w:tcW w:w="1834" w:type="dxa"/>
          </w:tcPr>
          <w:p>
            <w:pPr>
              <w:pStyle w:val="TableParagraph"/>
              <w:spacing w:before="84"/>
              <w:ind w:left="174" w:right="175"/>
              <w:jc w:val="center"/>
              <w:rPr>
                <w:b/>
                <w:sz w:val="20"/>
              </w:rPr>
            </w:pPr>
            <w:r>
              <w:rPr>
                <w:b/>
                <w:sz w:val="20"/>
              </w:rPr>
              <w:t>Yaş (yıl)</w:t>
            </w:r>
          </w:p>
        </w:tc>
        <w:tc>
          <w:tcPr>
            <w:tcW w:w="1472" w:type="dxa"/>
          </w:tcPr>
          <w:p>
            <w:pPr>
              <w:pStyle w:val="TableParagraph"/>
              <w:spacing w:before="86"/>
              <w:ind w:left="475"/>
              <w:rPr>
                <w:sz w:val="20"/>
              </w:rPr>
            </w:pPr>
            <w:r>
              <w:rPr>
                <w:sz w:val="20"/>
              </w:rPr>
              <w:t>49-75</w:t>
            </w:r>
          </w:p>
        </w:tc>
        <w:tc>
          <w:tcPr>
            <w:tcW w:w="1504" w:type="dxa"/>
          </w:tcPr>
          <w:p>
            <w:pPr>
              <w:pStyle w:val="TableParagraph"/>
              <w:spacing w:before="86"/>
              <w:ind w:left="185" w:right="166"/>
              <w:jc w:val="center"/>
              <w:rPr>
                <w:sz w:val="20"/>
              </w:rPr>
            </w:pPr>
            <w:r>
              <w:rPr>
                <w:sz w:val="20"/>
              </w:rPr>
              <w:t>61,75±7,49</w:t>
            </w:r>
          </w:p>
        </w:tc>
        <w:tc>
          <w:tcPr>
            <w:tcW w:w="1421" w:type="dxa"/>
          </w:tcPr>
          <w:p>
            <w:pPr>
              <w:pStyle w:val="TableParagraph"/>
              <w:spacing w:before="86"/>
              <w:ind w:left="466"/>
              <w:rPr>
                <w:sz w:val="20"/>
              </w:rPr>
            </w:pPr>
            <w:r>
              <w:rPr>
                <w:sz w:val="20"/>
              </w:rPr>
              <w:t>42-74</w:t>
            </w:r>
          </w:p>
        </w:tc>
        <w:tc>
          <w:tcPr>
            <w:tcW w:w="1426" w:type="dxa"/>
          </w:tcPr>
          <w:p>
            <w:pPr>
              <w:pStyle w:val="TableParagraph"/>
              <w:spacing w:before="86"/>
              <w:ind w:left="168"/>
              <w:rPr>
                <w:sz w:val="20"/>
              </w:rPr>
            </w:pPr>
            <w:r>
              <w:rPr>
                <w:sz w:val="20"/>
              </w:rPr>
              <w:t>56,41±12,54</w:t>
            </w:r>
          </w:p>
        </w:tc>
        <w:tc>
          <w:tcPr>
            <w:tcW w:w="858" w:type="dxa"/>
          </w:tcPr>
          <w:p>
            <w:pPr>
              <w:pStyle w:val="TableParagraph"/>
              <w:spacing w:before="86"/>
              <w:ind w:right="132"/>
              <w:jc w:val="right"/>
              <w:rPr>
                <w:sz w:val="13"/>
              </w:rPr>
            </w:pPr>
            <w:r>
              <w:rPr>
                <w:sz w:val="20"/>
              </w:rPr>
              <w:t>0,222</w:t>
            </w:r>
            <w:r>
              <w:rPr>
                <w:position w:val="6"/>
                <w:sz w:val="13"/>
              </w:rPr>
              <w:t>b</w:t>
            </w:r>
          </w:p>
        </w:tc>
      </w:tr>
      <w:tr>
        <w:trPr>
          <w:trHeight w:val="374" w:hRule="atLeast"/>
        </w:trPr>
        <w:tc>
          <w:tcPr>
            <w:tcW w:w="1834" w:type="dxa"/>
          </w:tcPr>
          <w:p>
            <w:pPr>
              <w:pStyle w:val="TableParagraph"/>
              <w:spacing w:before="90"/>
              <w:ind w:left="174" w:right="174"/>
              <w:jc w:val="center"/>
              <w:rPr>
                <w:b/>
                <w:sz w:val="20"/>
              </w:rPr>
            </w:pPr>
            <w:r>
              <w:rPr>
                <w:b/>
                <w:sz w:val="20"/>
              </w:rPr>
              <w:t>Boy (cm)</w:t>
            </w:r>
          </w:p>
        </w:tc>
        <w:tc>
          <w:tcPr>
            <w:tcW w:w="1472" w:type="dxa"/>
          </w:tcPr>
          <w:p>
            <w:pPr>
              <w:pStyle w:val="TableParagraph"/>
              <w:spacing w:before="92"/>
              <w:ind w:left="362"/>
              <w:rPr>
                <w:sz w:val="20"/>
              </w:rPr>
            </w:pPr>
            <w:r>
              <w:rPr>
                <w:sz w:val="20"/>
              </w:rPr>
              <w:t>142-174</w:t>
            </w:r>
          </w:p>
        </w:tc>
        <w:tc>
          <w:tcPr>
            <w:tcW w:w="1504" w:type="dxa"/>
          </w:tcPr>
          <w:p>
            <w:pPr>
              <w:pStyle w:val="TableParagraph"/>
              <w:spacing w:before="92"/>
              <w:ind w:left="186" w:right="164"/>
              <w:jc w:val="center"/>
              <w:rPr>
                <w:sz w:val="20"/>
              </w:rPr>
            </w:pPr>
            <w:r>
              <w:rPr>
                <w:sz w:val="20"/>
              </w:rPr>
              <w:t>161±9,14</w:t>
            </w:r>
          </w:p>
        </w:tc>
        <w:tc>
          <w:tcPr>
            <w:tcW w:w="1421" w:type="dxa"/>
          </w:tcPr>
          <w:p>
            <w:pPr>
              <w:pStyle w:val="TableParagraph"/>
              <w:spacing w:before="92"/>
              <w:ind w:left="355"/>
              <w:rPr>
                <w:sz w:val="20"/>
              </w:rPr>
            </w:pPr>
            <w:r>
              <w:rPr>
                <w:sz w:val="20"/>
              </w:rPr>
              <w:t>155-182</w:t>
            </w:r>
          </w:p>
        </w:tc>
        <w:tc>
          <w:tcPr>
            <w:tcW w:w="1426" w:type="dxa"/>
          </w:tcPr>
          <w:p>
            <w:pPr>
              <w:pStyle w:val="TableParagraph"/>
              <w:spacing w:before="92"/>
              <w:ind w:left="168"/>
              <w:rPr>
                <w:sz w:val="20"/>
              </w:rPr>
            </w:pPr>
            <w:r>
              <w:rPr>
                <w:sz w:val="20"/>
              </w:rPr>
              <w:t>167,16±7,84</w:t>
            </w:r>
          </w:p>
        </w:tc>
        <w:tc>
          <w:tcPr>
            <w:tcW w:w="858" w:type="dxa"/>
          </w:tcPr>
          <w:p>
            <w:pPr>
              <w:pStyle w:val="TableParagraph"/>
              <w:spacing w:before="92"/>
              <w:ind w:right="245"/>
              <w:jc w:val="right"/>
              <w:rPr>
                <w:sz w:val="13"/>
              </w:rPr>
            </w:pPr>
            <w:r>
              <w:rPr>
                <w:w w:val="95"/>
                <w:sz w:val="20"/>
              </w:rPr>
              <w:t>0,9</w:t>
            </w:r>
            <w:r>
              <w:rPr>
                <w:w w:val="95"/>
                <w:position w:val="6"/>
                <w:sz w:val="13"/>
              </w:rPr>
              <w:t>b</w:t>
            </w:r>
          </w:p>
        </w:tc>
      </w:tr>
      <w:tr>
        <w:trPr>
          <w:trHeight w:val="550" w:hRule="atLeast"/>
        </w:trPr>
        <w:tc>
          <w:tcPr>
            <w:tcW w:w="1834" w:type="dxa"/>
          </w:tcPr>
          <w:p>
            <w:pPr>
              <w:pStyle w:val="TableParagraph"/>
              <w:spacing w:before="44"/>
              <w:ind w:left="734" w:right="248" w:hanging="468"/>
              <w:rPr>
                <w:b/>
                <w:sz w:val="20"/>
              </w:rPr>
            </w:pPr>
            <w:r>
              <w:rPr>
                <w:b/>
                <w:sz w:val="20"/>
              </w:rPr>
              <w:t>Vücut Ağırlığı (kg)</w:t>
            </w:r>
          </w:p>
        </w:tc>
        <w:tc>
          <w:tcPr>
            <w:tcW w:w="1472" w:type="dxa"/>
          </w:tcPr>
          <w:p>
            <w:pPr>
              <w:pStyle w:val="TableParagraph"/>
              <w:spacing w:before="162"/>
              <w:ind w:left="417"/>
              <w:rPr>
                <w:sz w:val="20"/>
              </w:rPr>
            </w:pPr>
            <w:r>
              <w:rPr>
                <w:sz w:val="20"/>
              </w:rPr>
              <w:t>44-110</w:t>
            </w:r>
          </w:p>
        </w:tc>
        <w:tc>
          <w:tcPr>
            <w:tcW w:w="1504" w:type="dxa"/>
          </w:tcPr>
          <w:p>
            <w:pPr>
              <w:pStyle w:val="TableParagraph"/>
              <w:spacing w:before="162"/>
              <w:ind w:left="186" w:right="166"/>
              <w:jc w:val="center"/>
              <w:rPr>
                <w:sz w:val="20"/>
              </w:rPr>
            </w:pPr>
            <w:r>
              <w:rPr>
                <w:sz w:val="20"/>
              </w:rPr>
              <w:t>75,83±16,83</w:t>
            </w:r>
          </w:p>
        </w:tc>
        <w:tc>
          <w:tcPr>
            <w:tcW w:w="1421" w:type="dxa"/>
          </w:tcPr>
          <w:p>
            <w:pPr>
              <w:pStyle w:val="TableParagraph"/>
              <w:spacing w:before="162"/>
              <w:ind w:left="466"/>
              <w:rPr>
                <w:sz w:val="20"/>
              </w:rPr>
            </w:pPr>
            <w:r>
              <w:rPr>
                <w:sz w:val="20"/>
              </w:rPr>
              <w:t>52-94</w:t>
            </w:r>
          </w:p>
        </w:tc>
        <w:tc>
          <w:tcPr>
            <w:tcW w:w="1426" w:type="dxa"/>
          </w:tcPr>
          <w:p>
            <w:pPr>
              <w:pStyle w:val="TableParagraph"/>
              <w:spacing w:before="162"/>
              <w:ind w:left="168"/>
              <w:rPr>
                <w:sz w:val="20"/>
              </w:rPr>
            </w:pPr>
            <w:r>
              <w:rPr>
                <w:sz w:val="20"/>
              </w:rPr>
              <w:t>72,41±10,98</w:t>
            </w:r>
          </w:p>
        </w:tc>
        <w:tc>
          <w:tcPr>
            <w:tcW w:w="858" w:type="dxa"/>
          </w:tcPr>
          <w:p>
            <w:pPr>
              <w:pStyle w:val="TableParagraph"/>
              <w:spacing w:before="162"/>
              <w:ind w:right="132"/>
              <w:jc w:val="right"/>
              <w:rPr>
                <w:sz w:val="13"/>
              </w:rPr>
            </w:pPr>
            <w:r>
              <w:rPr>
                <w:sz w:val="20"/>
              </w:rPr>
              <w:t>0,554</w:t>
            </w:r>
            <w:r>
              <w:rPr>
                <w:position w:val="6"/>
                <w:sz w:val="13"/>
              </w:rPr>
              <w:t>b</w:t>
            </w:r>
          </w:p>
        </w:tc>
      </w:tr>
      <w:tr>
        <w:trPr>
          <w:trHeight w:val="323" w:hRule="atLeast"/>
        </w:trPr>
        <w:tc>
          <w:tcPr>
            <w:tcW w:w="1834" w:type="dxa"/>
          </w:tcPr>
          <w:p>
            <w:pPr>
              <w:pStyle w:val="TableParagraph"/>
              <w:spacing w:before="40"/>
              <w:ind w:left="174" w:right="175"/>
              <w:jc w:val="center"/>
              <w:rPr>
                <w:b/>
                <w:sz w:val="20"/>
              </w:rPr>
            </w:pPr>
            <w:r>
              <w:rPr>
                <w:b/>
                <w:sz w:val="20"/>
              </w:rPr>
              <w:t>VKİ (kg/m</w:t>
            </w:r>
            <w:r>
              <w:rPr>
                <w:b/>
                <w:position w:val="7"/>
                <w:sz w:val="13"/>
              </w:rPr>
              <w:t>2</w:t>
            </w:r>
            <w:r>
              <w:rPr>
                <w:b/>
                <w:sz w:val="20"/>
              </w:rPr>
              <w:t>)</w:t>
            </w:r>
          </w:p>
        </w:tc>
        <w:tc>
          <w:tcPr>
            <w:tcW w:w="1472" w:type="dxa"/>
          </w:tcPr>
          <w:p>
            <w:pPr>
              <w:pStyle w:val="TableParagraph"/>
              <w:spacing w:before="47"/>
              <w:ind w:left="196"/>
              <w:rPr>
                <w:sz w:val="20"/>
              </w:rPr>
            </w:pPr>
            <w:r>
              <w:rPr>
                <w:sz w:val="20"/>
              </w:rPr>
              <w:t>19,56-38,97</w:t>
            </w:r>
          </w:p>
        </w:tc>
        <w:tc>
          <w:tcPr>
            <w:tcW w:w="1504" w:type="dxa"/>
          </w:tcPr>
          <w:p>
            <w:pPr>
              <w:pStyle w:val="TableParagraph"/>
              <w:spacing w:before="47"/>
              <w:ind w:left="185" w:right="166"/>
              <w:jc w:val="center"/>
              <w:rPr>
                <w:sz w:val="20"/>
              </w:rPr>
            </w:pPr>
            <w:r>
              <w:rPr>
                <w:sz w:val="20"/>
              </w:rPr>
              <w:t>29,14±5,29</w:t>
            </w:r>
          </w:p>
        </w:tc>
        <w:tc>
          <w:tcPr>
            <w:tcW w:w="1421" w:type="dxa"/>
          </w:tcPr>
          <w:p>
            <w:pPr>
              <w:pStyle w:val="TableParagraph"/>
              <w:spacing w:before="47"/>
              <w:ind w:right="165"/>
              <w:jc w:val="right"/>
              <w:rPr>
                <w:sz w:val="20"/>
              </w:rPr>
            </w:pPr>
            <w:r>
              <w:rPr>
                <w:w w:val="95"/>
                <w:sz w:val="20"/>
              </w:rPr>
              <w:t>17,99-32,91</w:t>
            </w:r>
          </w:p>
        </w:tc>
        <w:tc>
          <w:tcPr>
            <w:tcW w:w="1426" w:type="dxa"/>
          </w:tcPr>
          <w:p>
            <w:pPr>
              <w:pStyle w:val="TableParagraph"/>
              <w:spacing w:before="47"/>
              <w:ind w:left="363"/>
              <w:rPr>
                <w:sz w:val="20"/>
              </w:rPr>
            </w:pPr>
            <w:r>
              <w:rPr>
                <w:sz w:val="20"/>
              </w:rPr>
              <w:t>26±4,31</w:t>
            </w:r>
          </w:p>
        </w:tc>
        <w:tc>
          <w:tcPr>
            <w:tcW w:w="858" w:type="dxa"/>
          </w:tcPr>
          <w:p>
            <w:pPr>
              <w:pStyle w:val="TableParagraph"/>
              <w:spacing w:before="47"/>
              <w:ind w:right="190"/>
              <w:jc w:val="right"/>
              <w:rPr>
                <w:sz w:val="13"/>
              </w:rPr>
            </w:pPr>
            <w:r>
              <w:rPr>
                <w:sz w:val="20"/>
              </w:rPr>
              <w:t>0,13</w:t>
            </w:r>
            <w:r>
              <w:rPr>
                <w:position w:val="6"/>
                <w:sz w:val="13"/>
              </w:rPr>
              <w:t>b</w:t>
            </w:r>
          </w:p>
        </w:tc>
      </w:tr>
      <w:tr>
        <w:trPr>
          <w:trHeight w:val="735" w:hRule="atLeast"/>
        </w:trPr>
        <w:tc>
          <w:tcPr>
            <w:tcW w:w="1834" w:type="dxa"/>
            <w:tcBorders>
              <w:bottom w:val="single" w:sz="12" w:space="0" w:color="528135"/>
            </w:tcBorders>
          </w:tcPr>
          <w:p>
            <w:pPr>
              <w:pStyle w:val="TableParagraph"/>
              <w:spacing w:before="40"/>
              <w:ind w:left="451" w:right="248" w:firstLine="160"/>
              <w:rPr>
                <w:b/>
                <w:sz w:val="20"/>
              </w:rPr>
            </w:pPr>
            <w:r>
              <w:rPr>
                <w:b/>
                <w:sz w:val="20"/>
              </w:rPr>
              <w:t>Sigara (paket/yıl)</w:t>
            </w:r>
          </w:p>
        </w:tc>
        <w:tc>
          <w:tcPr>
            <w:tcW w:w="1472" w:type="dxa"/>
            <w:tcBorders>
              <w:bottom w:val="single" w:sz="12" w:space="0" w:color="528135"/>
            </w:tcBorders>
          </w:tcPr>
          <w:p>
            <w:pPr>
              <w:pStyle w:val="TableParagraph"/>
              <w:spacing w:before="8"/>
              <w:rPr>
                <w:sz w:val="23"/>
              </w:rPr>
            </w:pPr>
          </w:p>
          <w:p>
            <w:pPr>
              <w:pStyle w:val="TableParagraph"/>
              <w:ind w:right="10"/>
              <w:jc w:val="center"/>
              <w:rPr>
                <w:sz w:val="20"/>
              </w:rPr>
            </w:pPr>
            <w:r>
              <w:rPr>
                <w:w w:val="99"/>
                <w:sz w:val="20"/>
              </w:rPr>
              <w:t>0</w:t>
            </w:r>
          </w:p>
        </w:tc>
        <w:tc>
          <w:tcPr>
            <w:tcW w:w="1504" w:type="dxa"/>
            <w:tcBorders>
              <w:bottom w:val="single" w:sz="12" w:space="0" w:color="528135"/>
            </w:tcBorders>
          </w:tcPr>
          <w:p>
            <w:pPr>
              <w:pStyle w:val="TableParagraph"/>
              <w:spacing w:before="8"/>
              <w:rPr>
                <w:sz w:val="23"/>
              </w:rPr>
            </w:pPr>
          </w:p>
          <w:p>
            <w:pPr>
              <w:pStyle w:val="TableParagraph"/>
              <w:ind w:left="22"/>
              <w:jc w:val="center"/>
              <w:rPr>
                <w:sz w:val="20"/>
              </w:rPr>
            </w:pPr>
            <w:r>
              <w:rPr>
                <w:w w:val="99"/>
                <w:sz w:val="20"/>
              </w:rPr>
              <w:t>0</w:t>
            </w:r>
          </w:p>
        </w:tc>
        <w:tc>
          <w:tcPr>
            <w:tcW w:w="1421" w:type="dxa"/>
            <w:tcBorders>
              <w:bottom w:val="single" w:sz="12" w:space="0" w:color="528135"/>
            </w:tcBorders>
          </w:tcPr>
          <w:p>
            <w:pPr>
              <w:pStyle w:val="TableParagraph"/>
              <w:spacing w:before="8"/>
              <w:rPr>
                <w:sz w:val="23"/>
              </w:rPr>
            </w:pPr>
          </w:p>
          <w:p>
            <w:pPr>
              <w:pStyle w:val="TableParagraph"/>
              <w:ind w:left="500" w:right="480"/>
              <w:jc w:val="center"/>
              <w:rPr>
                <w:sz w:val="20"/>
              </w:rPr>
            </w:pPr>
            <w:r>
              <w:rPr>
                <w:sz w:val="20"/>
              </w:rPr>
              <w:t>0-50</w:t>
            </w:r>
          </w:p>
        </w:tc>
        <w:tc>
          <w:tcPr>
            <w:tcW w:w="1426" w:type="dxa"/>
            <w:tcBorders>
              <w:bottom w:val="single" w:sz="12" w:space="0" w:color="528135"/>
            </w:tcBorders>
          </w:tcPr>
          <w:p>
            <w:pPr>
              <w:pStyle w:val="TableParagraph"/>
              <w:spacing w:before="8"/>
              <w:rPr>
                <w:sz w:val="23"/>
              </w:rPr>
            </w:pPr>
          </w:p>
          <w:p>
            <w:pPr>
              <w:pStyle w:val="TableParagraph"/>
              <w:ind w:left="224"/>
              <w:rPr>
                <w:sz w:val="20"/>
              </w:rPr>
            </w:pPr>
            <w:r>
              <w:rPr>
                <w:sz w:val="20"/>
              </w:rPr>
              <w:t>6,08±15,32</w:t>
            </w:r>
          </w:p>
        </w:tc>
        <w:tc>
          <w:tcPr>
            <w:tcW w:w="858" w:type="dxa"/>
            <w:tcBorders>
              <w:bottom w:val="single" w:sz="12" w:space="0" w:color="528135"/>
            </w:tcBorders>
          </w:tcPr>
          <w:p>
            <w:pPr>
              <w:pStyle w:val="TableParagraph"/>
              <w:spacing w:before="8"/>
              <w:rPr>
                <w:sz w:val="23"/>
              </w:rPr>
            </w:pPr>
          </w:p>
          <w:p>
            <w:pPr>
              <w:pStyle w:val="TableParagraph"/>
              <w:ind w:right="132"/>
              <w:jc w:val="right"/>
              <w:rPr>
                <w:sz w:val="13"/>
              </w:rPr>
            </w:pPr>
            <w:r>
              <w:rPr>
                <w:sz w:val="20"/>
              </w:rPr>
              <w:t>0,149</w:t>
            </w:r>
            <w:r>
              <w:rPr>
                <w:position w:val="6"/>
                <w:sz w:val="13"/>
              </w:rPr>
              <w:t>a</w:t>
            </w:r>
          </w:p>
        </w:tc>
      </w:tr>
      <w:tr>
        <w:trPr>
          <w:trHeight w:val="591" w:hRule="atLeast"/>
        </w:trPr>
        <w:tc>
          <w:tcPr>
            <w:tcW w:w="1834" w:type="dxa"/>
            <w:tcBorders>
              <w:top w:val="single" w:sz="12" w:space="0" w:color="528135"/>
              <w:bottom w:val="single" w:sz="4" w:space="0" w:color="000000"/>
            </w:tcBorders>
          </w:tcPr>
          <w:p>
            <w:pPr>
              <w:pStyle w:val="TableParagraph"/>
              <w:spacing w:before="176"/>
              <w:ind w:left="174" w:right="175"/>
              <w:jc w:val="center"/>
              <w:rPr>
                <w:b/>
                <w:sz w:val="20"/>
              </w:rPr>
            </w:pPr>
            <w:r>
              <w:rPr>
                <w:b/>
                <w:sz w:val="20"/>
              </w:rPr>
              <w:t>DEĞİŞKENLER</w:t>
            </w:r>
          </w:p>
        </w:tc>
        <w:tc>
          <w:tcPr>
            <w:tcW w:w="1472" w:type="dxa"/>
            <w:tcBorders>
              <w:top w:val="single" w:sz="12" w:space="0" w:color="528135"/>
              <w:bottom w:val="single" w:sz="4" w:space="0" w:color="000000"/>
            </w:tcBorders>
          </w:tcPr>
          <w:p>
            <w:pPr>
              <w:pStyle w:val="TableParagraph"/>
              <w:spacing w:before="176"/>
              <w:ind w:right="10"/>
              <w:jc w:val="center"/>
              <w:rPr>
                <w:b/>
                <w:sz w:val="20"/>
              </w:rPr>
            </w:pPr>
            <w:r>
              <w:rPr>
                <w:b/>
                <w:w w:val="99"/>
                <w:sz w:val="20"/>
              </w:rPr>
              <w:t>N</w:t>
            </w:r>
          </w:p>
        </w:tc>
        <w:tc>
          <w:tcPr>
            <w:tcW w:w="1504" w:type="dxa"/>
            <w:tcBorders>
              <w:top w:val="single" w:sz="12" w:space="0" w:color="528135"/>
              <w:bottom w:val="single" w:sz="4" w:space="0" w:color="000000"/>
            </w:tcBorders>
          </w:tcPr>
          <w:p>
            <w:pPr>
              <w:pStyle w:val="TableParagraph"/>
              <w:spacing w:before="176"/>
              <w:ind w:left="21"/>
              <w:jc w:val="center"/>
              <w:rPr>
                <w:b/>
                <w:sz w:val="20"/>
              </w:rPr>
            </w:pPr>
            <w:r>
              <w:rPr>
                <w:b/>
                <w:w w:val="99"/>
                <w:sz w:val="20"/>
              </w:rPr>
              <w:t>%</w:t>
            </w:r>
          </w:p>
        </w:tc>
        <w:tc>
          <w:tcPr>
            <w:tcW w:w="1421" w:type="dxa"/>
            <w:tcBorders>
              <w:top w:val="single" w:sz="12" w:space="0" w:color="528135"/>
              <w:bottom w:val="single" w:sz="4" w:space="0" w:color="000000"/>
            </w:tcBorders>
          </w:tcPr>
          <w:p>
            <w:pPr>
              <w:pStyle w:val="TableParagraph"/>
              <w:spacing w:before="176"/>
              <w:ind w:left="869"/>
              <w:rPr>
                <w:b/>
                <w:sz w:val="20"/>
              </w:rPr>
            </w:pPr>
            <w:r>
              <w:rPr>
                <w:b/>
                <w:w w:val="99"/>
                <w:sz w:val="20"/>
              </w:rPr>
              <w:t>N</w:t>
            </w:r>
          </w:p>
        </w:tc>
        <w:tc>
          <w:tcPr>
            <w:tcW w:w="1426" w:type="dxa"/>
            <w:tcBorders>
              <w:top w:val="single" w:sz="12" w:space="0" w:color="528135"/>
              <w:bottom w:val="single" w:sz="4" w:space="0" w:color="000000"/>
            </w:tcBorders>
          </w:tcPr>
          <w:p>
            <w:pPr>
              <w:pStyle w:val="TableParagraph"/>
              <w:spacing w:before="176"/>
              <w:ind w:right="-29"/>
              <w:jc w:val="right"/>
              <w:rPr>
                <w:b/>
                <w:sz w:val="20"/>
              </w:rPr>
            </w:pPr>
            <w:r>
              <w:rPr>
                <w:b/>
                <w:w w:val="99"/>
                <w:sz w:val="20"/>
              </w:rPr>
              <w:t>%</w:t>
            </w:r>
          </w:p>
        </w:tc>
        <w:tc>
          <w:tcPr>
            <w:tcW w:w="858" w:type="dxa"/>
            <w:tcBorders>
              <w:top w:val="single" w:sz="12" w:space="0" w:color="528135"/>
              <w:bottom w:val="single" w:sz="4" w:space="0" w:color="000000"/>
            </w:tcBorders>
          </w:tcPr>
          <w:p>
            <w:pPr>
              <w:pStyle w:val="TableParagraph"/>
              <w:rPr>
                <w:rFonts w:ascii="Times New Roman"/>
                <w:sz w:val="18"/>
              </w:rPr>
            </w:pPr>
          </w:p>
        </w:tc>
      </w:tr>
      <w:tr>
        <w:trPr>
          <w:trHeight w:val="402" w:hRule="atLeast"/>
        </w:trPr>
        <w:tc>
          <w:tcPr>
            <w:tcW w:w="1834" w:type="dxa"/>
            <w:tcBorders>
              <w:top w:val="single" w:sz="4" w:space="0" w:color="000000"/>
            </w:tcBorders>
          </w:tcPr>
          <w:p>
            <w:pPr>
              <w:pStyle w:val="TableParagraph"/>
              <w:spacing w:before="81"/>
              <w:ind w:left="174" w:right="174"/>
              <w:jc w:val="center"/>
              <w:rPr>
                <w:b/>
                <w:sz w:val="20"/>
              </w:rPr>
            </w:pPr>
            <w:r>
              <w:rPr>
                <w:b/>
                <w:sz w:val="20"/>
              </w:rPr>
              <w:t>Sigara</w:t>
            </w:r>
          </w:p>
        </w:tc>
        <w:tc>
          <w:tcPr>
            <w:tcW w:w="1472" w:type="dxa"/>
            <w:tcBorders>
              <w:top w:val="single" w:sz="4" w:space="0" w:color="000000"/>
            </w:tcBorders>
          </w:tcPr>
          <w:p>
            <w:pPr>
              <w:pStyle w:val="TableParagraph"/>
              <w:rPr>
                <w:rFonts w:ascii="Times New Roman"/>
                <w:sz w:val="18"/>
              </w:rPr>
            </w:pPr>
          </w:p>
        </w:tc>
        <w:tc>
          <w:tcPr>
            <w:tcW w:w="1504" w:type="dxa"/>
            <w:tcBorders>
              <w:top w:val="single" w:sz="4" w:space="0" w:color="000000"/>
            </w:tcBorders>
          </w:tcPr>
          <w:p>
            <w:pPr>
              <w:pStyle w:val="TableParagraph"/>
              <w:rPr>
                <w:rFonts w:ascii="Times New Roman"/>
                <w:sz w:val="18"/>
              </w:rPr>
            </w:pPr>
          </w:p>
        </w:tc>
        <w:tc>
          <w:tcPr>
            <w:tcW w:w="1421" w:type="dxa"/>
            <w:tcBorders>
              <w:top w:val="single" w:sz="4" w:space="0" w:color="000000"/>
            </w:tcBorders>
          </w:tcPr>
          <w:p>
            <w:pPr>
              <w:pStyle w:val="TableParagraph"/>
              <w:rPr>
                <w:rFonts w:ascii="Times New Roman"/>
                <w:sz w:val="18"/>
              </w:rPr>
            </w:pPr>
          </w:p>
        </w:tc>
        <w:tc>
          <w:tcPr>
            <w:tcW w:w="1426" w:type="dxa"/>
            <w:tcBorders>
              <w:top w:val="single" w:sz="4" w:space="0" w:color="000000"/>
            </w:tcBorders>
          </w:tcPr>
          <w:p>
            <w:pPr>
              <w:pStyle w:val="TableParagraph"/>
              <w:rPr>
                <w:rFonts w:ascii="Times New Roman"/>
                <w:sz w:val="18"/>
              </w:rPr>
            </w:pPr>
          </w:p>
        </w:tc>
        <w:tc>
          <w:tcPr>
            <w:tcW w:w="858" w:type="dxa"/>
            <w:tcBorders>
              <w:top w:val="single" w:sz="4" w:space="0" w:color="000000"/>
            </w:tcBorders>
          </w:tcPr>
          <w:p>
            <w:pPr>
              <w:pStyle w:val="TableParagraph"/>
              <w:rPr>
                <w:rFonts w:ascii="Times New Roman"/>
                <w:sz w:val="18"/>
              </w:rPr>
            </w:pPr>
          </w:p>
        </w:tc>
      </w:tr>
      <w:tr>
        <w:trPr>
          <w:trHeight w:val="401" w:hRule="atLeast"/>
        </w:trPr>
        <w:tc>
          <w:tcPr>
            <w:tcW w:w="1834" w:type="dxa"/>
          </w:tcPr>
          <w:p>
            <w:pPr>
              <w:pStyle w:val="TableParagraph"/>
              <w:spacing w:before="84"/>
              <w:ind w:left="174" w:right="175"/>
              <w:jc w:val="center"/>
              <w:rPr>
                <w:sz w:val="20"/>
              </w:rPr>
            </w:pPr>
            <w:r>
              <w:rPr>
                <w:sz w:val="20"/>
              </w:rPr>
              <w:t>Var</w:t>
            </w:r>
          </w:p>
        </w:tc>
        <w:tc>
          <w:tcPr>
            <w:tcW w:w="1472" w:type="dxa"/>
          </w:tcPr>
          <w:p>
            <w:pPr>
              <w:pStyle w:val="TableParagraph"/>
              <w:spacing w:before="84"/>
              <w:ind w:right="10"/>
              <w:jc w:val="center"/>
              <w:rPr>
                <w:sz w:val="20"/>
              </w:rPr>
            </w:pPr>
            <w:r>
              <w:rPr>
                <w:w w:val="99"/>
                <w:sz w:val="20"/>
              </w:rPr>
              <w:t>0</w:t>
            </w:r>
          </w:p>
        </w:tc>
        <w:tc>
          <w:tcPr>
            <w:tcW w:w="1504" w:type="dxa"/>
          </w:tcPr>
          <w:p>
            <w:pPr>
              <w:pStyle w:val="TableParagraph"/>
              <w:spacing w:before="84"/>
              <w:ind w:left="22"/>
              <w:jc w:val="center"/>
              <w:rPr>
                <w:sz w:val="20"/>
              </w:rPr>
            </w:pPr>
            <w:r>
              <w:rPr>
                <w:w w:val="99"/>
                <w:sz w:val="20"/>
              </w:rPr>
              <w:t>0</w:t>
            </w:r>
          </w:p>
        </w:tc>
        <w:tc>
          <w:tcPr>
            <w:tcW w:w="1421" w:type="dxa"/>
          </w:tcPr>
          <w:p>
            <w:pPr>
              <w:pStyle w:val="TableParagraph"/>
              <w:spacing w:before="84"/>
              <w:ind w:left="886"/>
              <w:rPr>
                <w:sz w:val="20"/>
              </w:rPr>
            </w:pPr>
            <w:r>
              <w:rPr>
                <w:w w:val="99"/>
                <w:sz w:val="20"/>
              </w:rPr>
              <w:t>2</w:t>
            </w:r>
          </w:p>
        </w:tc>
        <w:tc>
          <w:tcPr>
            <w:tcW w:w="2284" w:type="dxa"/>
            <w:gridSpan w:val="2"/>
          </w:tcPr>
          <w:p>
            <w:pPr>
              <w:pStyle w:val="TableParagraph"/>
              <w:spacing w:before="84"/>
              <w:ind w:left="1162"/>
              <w:rPr>
                <w:sz w:val="20"/>
              </w:rPr>
            </w:pPr>
            <w:r>
              <w:rPr>
                <w:sz w:val="20"/>
              </w:rPr>
              <w:t>16,6</w:t>
            </w:r>
          </w:p>
        </w:tc>
      </w:tr>
      <w:tr>
        <w:trPr>
          <w:trHeight w:val="399" w:hRule="atLeast"/>
        </w:trPr>
        <w:tc>
          <w:tcPr>
            <w:tcW w:w="1834" w:type="dxa"/>
          </w:tcPr>
          <w:p>
            <w:pPr>
              <w:pStyle w:val="TableParagraph"/>
              <w:spacing w:before="80"/>
              <w:ind w:left="174" w:right="175"/>
              <w:jc w:val="center"/>
              <w:rPr>
                <w:sz w:val="20"/>
              </w:rPr>
            </w:pPr>
            <w:r>
              <w:rPr>
                <w:sz w:val="20"/>
              </w:rPr>
              <w:t>Yok</w:t>
            </w:r>
          </w:p>
        </w:tc>
        <w:tc>
          <w:tcPr>
            <w:tcW w:w="1472" w:type="dxa"/>
          </w:tcPr>
          <w:p>
            <w:pPr>
              <w:pStyle w:val="TableParagraph"/>
              <w:spacing w:before="80"/>
              <w:ind w:left="106" w:right="116"/>
              <w:jc w:val="center"/>
              <w:rPr>
                <w:sz w:val="20"/>
              </w:rPr>
            </w:pPr>
            <w:r>
              <w:rPr>
                <w:sz w:val="20"/>
              </w:rPr>
              <w:t>12</w:t>
            </w:r>
          </w:p>
        </w:tc>
        <w:tc>
          <w:tcPr>
            <w:tcW w:w="1504" w:type="dxa"/>
          </w:tcPr>
          <w:p>
            <w:pPr>
              <w:pStyle w:val="TableParagraph"/>
              <w:spacing w:before="80"/>
              <w:ind w:left="186" w:right="165"/>
              <w:jc w:val="center"/>
              <w:rPr>
                <w:sz w:val="20"/>
              </w:rPr>
            </w:pPr>
            <w:r>
              <w:rPr>
                <w:sz w:val="20"/>
              </w:rPr>
              <w:t>100</w:t>
            </w:r>
          </w:p>
        </w:tc>
        <w:tc>
          <w:tcPr>
            <w:tcW w:w="1421" w:type="dxa"/>
          </w:tcPr>
          <w:p>
            <w:pPr>
              <w:pStyle w:val="TableParagraph"/>
              <w:spacing w:before="80"/>
              <w:ind w:left="828"/>
              <w:rPr>
                <w:sz w:val="20"/>
              </w:rPr>
            </w:pPr>
            <w:r>
              <w:rPr>
                <w:sz w:val="20"/>
              </w:rPr>
              <w:t>10</w:t>
            </w:r>
          </w:p>
        </w:tc>
        <w:tc>
          <w:tcPr>
            <w:tcW w:w="2284" w:type="dxa"/>
            <w:gridSpan w:val="2"/>
          </w:tcPr>
          <w:p>
            <w:pPr>
              <w:pStyle w:val="TableParagraph"/>
              <w:spacing w:before="80"/>
              <w:ind w:left="1162"/>
              <w:rPr>
                <w:sz w:val="20"/>
              </w:rPr>
            </w:pPr>
            <w:r>
              <w:rPr>
                <w:sz w:val="20"/>
              </w:rPr>
              <w:t>83,4</w:t>
            </w:r>
          </w:p>
        </w:tc>
      </w:tr>
      <w:tr>
        <w:trPr>
          <w:trHeight w:val="399" w:hRule="atLeast"/>
        </w:trPr>
        <w:tc>
          <w:tcPr>
            <w:tcW w:w="1834" w:type="dxa"/>
          </w:tcPr>
          <w:p>
            <w:pPr>
              <w:pStyle w:val="TableParagraph"/>
              <w:spacing w:before="82"/>
              <w:ind w:left="174" w:right="172"/>
              <w:jc w:val="center"/>
              <w:rPr>
                <w:sz w:val="20"/>
              </w:rPr>
            </w:pPr>
            <w:r>
              <w:rPr>
                <w:sz w:val="20"/>
              </w:rPr>
              <w:t>Bırakmış</w:t>
            </w:r>
          </w:p>
        </w:tc>
        <w:tc>
          <w:tcPr>
            <w:tcW w:w="1472" w:type="dxa"/>
          </w:tcPr>
          <w:p>
            <w:pPr>
              <w:pStyle w:val="TableParagraph"/>
              <w:spacing w:before="82"/>
              <w:ind w:right="10"/>
              <w:jc w:val="center"/>
              <w:rPr>
                <w:sz w:val="20"/>
              </w:rPr>
            </w:pPr>
            <w:r>
              <w:rPr>
                <w:w w:val="99"/>
                <w:sz w:val="20"/>
              </w:rPr>
              <w:t>0</w:t>
            </w:r>
          </w:p>
        </w:tc>
        <w:tc>
          <w:tcPr>
            <w:tcW w:w="1504" w:type="dxa"/>
          </w:tcPr>
          <w:p>
            <w:pPr>
              <w:pStyle w:val="TableParagraph"/>
              <w:spacing w:before="82"/>
              <w:ind w:left="22"/>
              <w:jc w:val="center"/>
              <w:rPr>
                <w:sz w:val="20"/>
              </w:rPr>
            </w:pPr>
            <w:r>
              <w:rPr>
                <w:w w:val="99"/>
                <w:sz w:val="20"/>
              </w:rPr>
              <w:t>0</w:t>
            </w:r>
          </w:p>
        </w:tc>
        <w:tc>
          <w:tcPr>
            <w:tcW w:w="1421" w:type="dxa"/>
          </w:tcPr>
          <w:p>
            <w:pPr>
              <w:pStyle w:val="TableParagraph"/>
              <w:spacing w:before="82"/>
              <w:ind w:left="886"/>
              <w:rPr>
                <w:sz w:val="20"/>
              </w:rPr>
            </w:pPr>
            <w:r>
              <w:rPr>
                <w:w w:val="99"/>
                <w:sz w:val="20"/>
              </w:rPr>
              <w:t>0</w:t>
            </w:r>
          </w:p>
        </w:tc>
        <w:tc>
          <w:tcPr>
            <w:tcW w:w="1426" w:type="dxa"/>
          </w:tcPr>
          <w:p>
            <w:pPr>
              <w:pStyle w:val="TableParagraph"/>
              <w:spacing w:before="82"/>
              <w:ind w:right="11"/>
              <w:jc w:val="right"/>
              <w:rPr>
                <w:sz w:val="20"/>
              </w:rPr>
            </w:pPr>
            <w:r>
              <w:rPr>
                <w:w w:val="99"/>
                <w:sz w:val="20"/>
              </w:rPr>
              <w:t>0</w:t>
            </w:r>
          </w:p>
        </w:tc>
        <w:tc>
          <w:tcPr>
            <w:tcW w:w="858" w:type="dxa"/>
          </w:tcPr>
          <w:p>
            <w:pPr>
              <w:pStyle w:val="TableParagraph"/>
              <w:rPr>
                <w:rFonts w:ascii="Times New Roman"/>
                <w:sz w:val="18"/>
              </w:rPr>
            </w:pPr>
          </w:p>
        </w:tc>
      </w:tr>
      <w:tr>
        <w:trPr>
          <w:trHeight w:val="399" w:hRule="atLeast"/>
        </w:trPr>
        <w:tc>
          <w:tcPr>
            <w:tcW w:w="1834" w:type="dxa"/>
          </w:tcPr>
          <w:p>
            <w:pPr>
              <w:pStyle w:val="TableParagraph"/>
              <w:spacing w:before="80"/>
              <w:ind w:left="174" w:right="175"/>
              <w:jc w:val="center"/>
              <w:rPr>
                <w:b/>
                <w:sz w:val="20"/>
              </w:rPr>
            </w:pPr>
            <w:r>
              <w:rPr>
                <w:b/>
                <w:sz w:val="20"/>
              </w:rPr>
              <w:t>Alkol</w:t>
            </w:r>
          </w:p>
        </w:tc>
        <w:tc>
          <w:tcPr>
            <w:tcW w:w="1472" w:type="dxa"/>
          </w:tcPr>
          <w:p>
            <w:pPr>
              <w:pStyle w:val="TableParagraph"/>
              <w:rPr>
                <w:rFonts w:ascii="Times New Roman"/>
                <w:sz w:val="18"/>
              </w:rPr>
            </w:pPr>
          </w:p>
        </w:tc>
        <w:tc>
          <w:tcPr>
            <w:tcW w:w="1504" w:type="dxa"/>
          </w:tcPr>
          <w:p>
            <w:pPr>
              <w:pStyle w:val="TableParagraph"/>
              <w:rPr>
                <w:rFonts w:ascii="Times New Roman"/>
                <w:sz w:val="18"/>
              </w:rPr>
            </w:pPr>
          </w:p>
        </w:tc>
        <w:tc>
          <w:tcPr>
            <w:tcW w:w="1421" w:type="dxa"/>
          </w:tcPr>
          <w:p>
            <w:pPr>
              <w:pStyle w:val="TableParagraph"/>
              <w:rPr>
                <w:rFonts w:ascii="Times New Roman"/>
                <w:sz w:val="18"/>
              </w:rPr>
            </w:pPr>
          </w:p>
        </w:tc>
        <w:tc>
          <w:tcPr>
            <w:tcW w:w="1426" w:type="dxa"/>
          </w:tcPr>
          <w:p>
            <w:pPr>
              <w:pStyle w:val="TableParagraph"/>
              <w:rPr>
                <w:rFonts w:ascii="Times New Roman"/>
                <w:sz w:val="18"/>
              </w:rPr>
            </w:pPr>
          </w:p>
        </w:tc>
        <w:tc>
          <w:tcPr>
            <w:tcW w:w="858" w:type="dxa"/>
          </w:tcPr>
          <w:p>
            <w:pPr>
              <w:pStyle w:val="TableParagraph"/>
              <w:rPr>
                <w:rFonts w:ascii="Times New Roman"/>
                <w:sz w:val="18"/>
              </w:rPr>
            </w:pPr>
          </w:p>
        </w:tc>
      </w:tr>
      <w:tr>
        <w:trPr>
          <w:trHeight w:val="401" w:hRule="atLeast"/>
        </w:trPr>
        <w:tc>
          <w:tcPr>
            <w:tcW w:w="1834" w:type="dxa"/>
          </w:tcPr>
          <w:p>
            <w:pPr>
              <w:pStyle w:val="TableParagraph"/>
              <w:spacing w:before="82"/>
              <w:ind w:left="174" w:right="175"/>
              <w:jc w:val="center"/>
              <w:rPr>
                <w:sz w:val="20"/>
              </w:rPr>
            </w:pPr>
            <w:r>
              <w:rPr>
                <w:sz w:val="20"/>
              </w:rPr>
              <w:t>Var</w:t>
            </w:r>
          </w:p>
        </w:tc>
        <w:tc>
          <w:tcPr>
            <w:tcW w:w="1472" w:type="dxa"/>
          </w:tcPr>
          <w:p>
            <w:pPr>
              <w:pStyle w:val="TableParagraph"/>
              <w:spacing w:before="82"/>
              <w:ind w:right="10"/>
              <w:jc w:val="center"/>
              <w:rPr>
                <w:sz w:val="20"/>
              </w:rPr>
            </w:pPr>
            <w:r>
              <w:rPr>
                <w:w w:val="99"/>
                <w:sz w:val="20"/>
              </w:rPr>
              <w:t>0</w:t>
            </w:r>
          </w:p>
        </w:tc>
        <w:tc>
          <w:tcPr>
            <w:tcW w:w="1504" w:type="dxa"/>
          </w:tcPr>
          <w:p>
            <w:pPr>
              <w:pStyle w:val="TableParagraph"/>
              <w:spacing w:before="82"/>
              <w:ind w:left="22"/>
              <w:jc w:val="center"/>
              <w:rPr>
                <w:sz w:val="20"/>
              </w:rPr>
            </w:pPr>
            <w:r>
              <w:rPr>
                <w:w w:val="99"/>
                <w:sz w:val="20"/>
              </w:rPr>
              <w:t>0</w:t>
            </w:r>
          </w:p>
        </w:tc>
        <w:tc>
          <w:tcPr>
            <w:tcW w:w="1421" w:type="dxa"/>
          </w:tcPr>
          <w:p>
            <w:pPr>
              <w:pStyle w:val="TableParagraph"/>
              <w:spacing w:before="82"/>
              <w:ind w:left="886"/>
              <w:rPr>
                <w:sz w:val="20"/>
              </w:rPr>
            </w:pPr>
            <w:r>
              <w:rPr>
                <w:w w:val="99"/>
                <w:sz w:val="20"/>
              </w:rPr>
              <w:t>0</w:t>
            </w:r>
          </w:p>
        </w:tc>
        <w:tc>
          <w:tcPr>
            <w:tcW w:w="1426" w:type="dxa"/>
          </w:tcPr>
          <w:p>
            <w:pPr>
              <w:pStyle w:val="TableParagraph"/>
              <w:spacing w:before="82"/>
              <w:ind w:right="11"/>
              <w:jc w:val="right"/>
              <w:rPr>
                <w:sz w:val="20"/>
              </w:rPr>
            </w:pPr>
            <w:r>
              <w:rPr>
                <w:w w:val="99"/>
                <w:sz w:val="20"/>
              </w:rPr>
              <w:t>0</w:t>
            </w:r>
          </w:p>
        </w:tc>
        <w:tc>
          <w:tcPr>
            <w:tcW w:w="858" w:type="dxa"/>
          </w:tcPr>
          <w:p>
            <w:pPr>
              <w:pStyle w:val="TableParagraph"/>
              <w:rPr>
                <w:rFonts w:ascii="Times New Roman"/>
                <w:sz w:val="18"/>
              </w:rPr>
            </w:pPr>
          </w:p>
        </w:tc>
      </w:tr>
      <w:tr>
        <w:trPr>
          <w:trHeight w:val="400" w:hRule="atLeast"/>
        </w:trPr>
        <w:tc>
          <w:tcPr>
            <w:tcW w:w="1834" w:type="dxa"/>
          </w:tcPr>
          <w:p>
            <w:pPr>
              <w:pStyle w:val="TableParagraph"/>
              <w:spacing w:before="82"/>
              <w:ind w:left="174" w:right="175"/>
              <w:jc w:val="center"/>
              <w:rPr>
                <w:sz w:val="20"/>
              </w:rPr>
            </w:pPr>
            <w:r>
              <w:rPr>
                <w:sz w:val="20"/>
              </w:rPr>
              <w:t>Yok</w:t>
            </w:r>
          </w:p>
        </w:tc>
        <w:tc>
          <w:tcPr>
            <w:tcW w:w="1472" w:type="dxa"/>
          </w:tcPr>
          <w:p>
            <w:pPr>
              <w:pStyle w:val="TableParagraph"/>
              <w:spacing w:before="82"/>
              <w:ind w:left="106" w:right="116"/>
              <w:jc w:val="center"/>
              <w:rPr>
                <w:sz w:val="20"/>
              </w:rPr>
            </w:pPr>
            <w:r>
              <w:rPr>
                <w:sz w:val="20"/>
              </w:rPr>
              <w:t>12</w:t>
            </w:r>
          </w:p>
        </w:tc>
        <w:tc>
          <w:tcPr>
            <w:tcW w:w="1504" w:type="dxa"/>
          </w:tcPr>
          <w:p>
            <w:pPr>
              <w:pStyle w:val="TableParagraph"/>
              <w:spacing w:before="82"/>
              <w:ind w:left="186" w:right="165"/>
              <w:jc w:val="center"/>
              <w:rPr>
                <w:sz w:val="20"/>
              </w:rPr>
            </w:pPr>
            <w:r>
              <w:rPr>
                <w:sz w:val="20"/>
              </w:rPr>
              <w:t>100</w:t>
            </w:r>
          </w:p>
        </w:tc>
        <w:tc>
          <w:tcPr>
            <w:tcW w:w="1421" w:type="dxa"/>
          </w:tcPr>
          <w:p>
            <w:pPr>
              <w:pStyle w:val="TableParagraph"/>
              <w:spacing w:before="82"/>
              <w:ind w:left="828"/>
              <w:rPr>
                <w:sz w:val="20"/>
              </w:rPr>
            </w:pPr>
            <w:r>
              <w:rPr>
                <w:sz w:val="20"/>
              </w:rPr>
              <w:t>12</w:t>
            </w:r>
          </w:p>
        </w:tc>
        <w:tc>
          <w:tcPr>
            <w:tcW w:w="2284" w:type="dxa"/>
            <w:gridSpan w:val="2"/>
          </w:tcPr>
          <w:p>
            <w:pPr>
              <w:pStyle w:val="TableParagraph"/>
              <w:spacing w:before="82"/>
              <w:ind w:left="1169" w:right="740"/>
              <w:jc w:val="center"/>
              <w:rPr>
                <w:sz w:val="20"/>
              </w:rPr>
            </w:pPr>
            <w:r>
              <w:rPr>
                <w:sz w:val="20"/>
              </w:rPr>
              <w:t>100</w:t>
            </w:r>
          </w:p>
        </w:tc>
      </w:tr>
      <w:tr>
        <w:trPr>
          <w:trHeight w:val="398" w:hRule="atLeast"/>
        </w:trPr>
        <w:tc>
          <w:tcPr>
            <w:tcW w:w="1834" w:type="dxa"/>
          </w:tcPr>
          <w:p>
            <w:pPr>
              <w:pStyle w:val="TableParagraph"/>
              <w:spacing w:before="82"/>
              <w:ind w:left="174" w:right="172"/>
              <w:jc w:val="center"/>
              <w:rPr>
                <w:sz w:val="20"/>
              </w:rPr>
            </w:pPr>
            <w:r>
              <w:rPr>
                <w:sz w:val="20"/>
              </w:rPr>
              <w:t>Bırakmış</w:t>
            </w:r>
          </w:p>
        </w:tc>
        <w:tc>
          <w:tcPr>
            <w:tcW w:w="1472" w:type="dxa"/>
          </w:tcPr>
          <w:p>
            <w:pPr>
              <w:pStyle w:val="TableParagraph"/>
              <w:spacing w:before="82"/>
              <w:ind w:right="10"/>
              <w:jc w:val="center"/>
              <w:rPr>
                <w:sz w:val="20"/>
              </w:rPr>
            </w:pPr>
            <w:r>
              <w:rPr>
                <w:w w:val="99"/>
                <w:sz w:val="20"/>
              </w:rPr>
              <w:t>0</w:t>
            </w:r>
          </w:p>
        </w:tc>
        <w:tc>
          <w:tcPr>
            <w:tcW w:w="1504" w:type="dxa"/>
          </w:tcPr>
          <w:p>
            <w:pPr>
              <w:pStyle w:val="TableParagraph"/>
              <w:spacing w:before="82"/>
              <w:ind w:left="22"/>
              <w:jc w:val="center"/>
              <w:rPr>
                <w:sz w:val="20"/>
              </w:rPr>
            </w:pPr>
            <w:r>
              <w:rPr>
                <w:w w:val="99"/>
                <w:sz w:val="20"/>
              </w:rPr>
              <w:t>0</w:t>
            </w:r>
          </w:p>
        </w:tc>
        <w:tc>
          <w:tcPr>
            <w:tcW w:w="1421" w:type="dxa"/>
          </w:tcPr>
          <w:p>
            <w:pPr>
              <w:pStyle w:val="TableParagraph"/>
              <w:spacing w:before="82"/>
              <w:ind w:left="886"/>
              <w:rPr>
                <w:sz w:val="20"/>
              </w:rPr>
            </w:pPr>
            <w:r>
              <w:rPr>
                <w:w w:val="99"/>
                <w:sz w:val="20"/>
              </w:rPr>
              <w:t>0</w:t>
            </w:r>
          </w:p>
        </w:tc>
        <w:tc>
          <w:tcPr>
            <w:tcW w:w="1426" w:type="dxa"/>
          </w:tcPr>
          <w:p>
            <w:pPr>
              <w:pStyle w:val="TableParagraph"/>
              <w:spacing w:before="82"/>
              <w:ind w:right="11"/>
              <w:jc w:val="right"/>
              <w:rPr>
                <w:sz w:val="20"/>
              </w:rPr>
            </w:pPr>
            <w:r>
              <w:rPr>
                <w:w w:val="99"/>
                <w:sz w:val="20"/>
              </w:rPr>
              <w:t>0</w:t>
            </w:r>
          </w:p>
        </w:tc>
        <w:tc>
          <w:tcPr>
            <w:tcW w:w="858" w:type="dxa"/>
          </w:tcPr>
          <w:p>
            <w:pPr>
              <w:pStyle w:val="TableParagraph"/>
              <w:rPr>
                <w:rFonts w:ascii="Times New Roman"/>
                <w:sz w:val="18"/>
              </w:rPr>
            </w:pPr>
          </w:p>
        </w:tc>
      </w:tr>
      <w:tr>
        <w:trPr>
          <w:trHeight w:val="399" w:hRule="atLeast"/>
        </w:trPr>
        <w:tc>
          <w:tcPr>
            <w:tcW w:w="1834" w:type="dxa"/>
          </w:tcPr>
          <w:p>
            <w:pPr>
              <w:pStyle w:val="TableParagraph"/>
              <w:spacing w:before="79"/>
              <w:ind w:left="174" w:right="175"/>
              <w:jc w:val="center"/>
              <w:rPr>
                <w:b/>
                <w:sz w:val="20"/>
              </w:rPr>
            </w:pPr>
            <w:r>
              <w:rPr>
                <w:b/>
                <w:sz w:val="20"/>
              </w:rPr>
              <w:t>Egzersiz</w:t>
            </w:r>
          </w:p>
        </w:tc>
        <w:tc>
          <w:tcPr>
            <w:tcW w:w="1472" w:type="dxa"/>
          </w:tcPr>
          <w:p>
            <w:pPr>
              <w:pStyle w:val="TableParagraph"/>
              <w:rPr>
                <w:rFonts w:ascii="Times New Roman"/>
                <w:sz w:val="18"/>
              </w:rPr>
            </w:pPr>
          </w:p>
        </w:tc>
        <w:tc>
          <w:tcPr>
            <w:tcW w:w="1504" w:type="dxa"/>
          </w:tcPr>
          <w:p>
            <w:pPr>
              <w:pStyle w:val="TableParagraph"/>
              <w:rPr>
                <w:rFonts w:ascii="Times New Roman"/>
                <w:sz w:val="18"/>
              </w:rPr>
            </w:pPr>
          </w:p>
        </w:tc>
        <w:tc>
          <w:tcPr>
            <w:tcW w:w="1421" w:type="dxa"/>
          </w:tcPr>
          <w:p>
            <w:pPr>
              <w:pStyle w:val="TableParagraph"/>
              <w:rPr>
                <w:rFonts w:ascii="Times New Roman"/>
                <w:sz w:val="18"/>
              </w:rPr>
            </w:pPr>
          </w:p>
        </w:tc>
        <w:tc>
          <w:tcPr>
            <w:tcW w:w="1426" w:type="dxa"/>
          </w:tcPr>
          <w:p>
            <w:pPr>
              <w:pStyle w:val="TableParagraph"/>
              <w:rPr>
                <w:rFonts w:ascii="Times New Roman"/>
                <w:sz w:val="18"/>
              </w:rPr>
            </w:pPr>
          </w:p>
        </w:tc>
        <w:tc>
          <w:tcPr>
            <w:tcW w:w="858" w:type="dxa"/>
          </w:tcPr>
          <w:p>
            <w:pPr>
              <w:pStyle w:val="TableParagraph"/>
              <w:rPr>
                <w:rFonts w:ascii="Times New Roman"/>
                <w:sz w:val="18"/>
              </w:rPr>
            </w:pPr>
          </w:p>
        </w:tc>
      </w:tr>
      <w:tr>
        <w:trPr>
          <w:trHeight w:val="402" w:hRule="atLeast"/>
        </w:trPr>
        <w:tc>
          <w:tcPr>
            <w:tcW w:w="1834" w:type="dxa"/>
          </w:tcPr>
          <w:p>
            <w:pPr>
              <w:pStyle w:val="TableParagraph"/>
              <w:spacing w:before="83"/>
              <w:ind w:left="174" w:right="175"/>
              <w:jc w:val="center"/>
              <w:rPr>
                <w:sz w:val="20"/>
              </w:rPr>
            </w:pPr>
            <w:r>
              <w:rPr>
                <w:sz w:val="20"/>
              </w:rPr>
              <w:t>Var</w:t>
            </w:r>
          </w:p>
        </w:tc>
        <w:tc>
          <w:tcPr>
            <w:tcW w:w="1472" w:type="dxa"/>
          </w:tcPr>
          <w:p>
            <w:pPr>
              <w:pStyle w:val="TableParagraph"/>
              <w:spacing w:before="83"/>
              <w:ind w:right="10"/>
              <w:jc w:val="center"/>
              <w:rPr>
                <w:sz w:val="20"/>
              </w:rPr>
            </w:pPr>
            <w:r>
              <w:rPr>
                <w:w w:val="99"/>
                <w:sz w:val="20"/>
              </w:rPr>
              <w:t>1</w:t>
            </w:r>
          </w:p>
        </w:tc>
        <w:tc>
          <w:tcPr>
            <w:tcW w:w="1504" w:type="dxa"/>
          </w:tcPr>
          <w:p>
            <w:pPr>
              <w:pStyle w:val="TableParagraph"/>
              <w:spacing w:before="83"/>
              <w:ind w:left="22"/>
              <w:jc w:val="center"/>
              <w:rPr>
                <w:sz w:val="20"/>
              </w:rPr>
            </w:pPr>
            <w:r>
              <w:rPr>
                <w:w w:val="99"/>
                <w:sz w:val="20"/>
              </w:rPr>
              <w:t>8</w:t>
            </w:r>
          </w:p>
        </w:tc>
        <w:tc>
          <w:tcPr>
            <w:tcW w:w="1421" w:type="dxa"/>
          </w:tcPr>
          <w:p>
            <w:pPr>
              <w:pStyle w:val="TableParagraph"/>
              <w:spacing w:before="83"/>
              <w:ind w:left="886"/>
              <w:rPr>
                <w:sz w:val="20"/>
              </w:rPr>
            </w:pPr>
            <w:r>
              <w:rPr>
                <w:w w:val="99"/>
                <w:sz w:val="20"/>
              </w:rPr>
              <w:t>4</w:t>
            </w:r>
          </w:p>
        </w:tc>
        <w:tc>
          <w:tcPr>
            <w:tcW w:w="2284" w:type="dxa"/>
            <w:gridSpan w:val="2"/>
          </w:tcPr>
          <w:p>
            <w:pPr>
              <w:pStyle w:val="TableParagraph"/>
              <w:spacing w:before="83"/>
              <w:ind w:left="1162"/>
              <w:rPr>
                <w:sz w:val="20"/>
              </w:rPr>
            </w:pPr>
            <w:r>
              <w:rPr>
                <w:sz w:val="20"/>
              </w:rPr>
              <w:t>33,3</w:t>
            </w:r>
          </w:p>
        </w:tc>
      </w:tr>
      <w:tr>
        <w:trPr>
          <w:trHeight w:val="398" w:hRule="atLeast"/>
        </w:trPr>
        <w:tc>
          <w:tcPr>
            <w:tcW w:w="1834" w:type="dxa"/>
          </w:tcPr>
          <w:p>
            <w:pPr>
              <w:pStyle w:val="TableParagraph"/>
              <w:spacing w:before="82"/>
              <w:ind w:left="174" w:right="175"/>
              <w:jc w:val="center"/>
              <w:rPr>
                <w:sz w:val="20"/>
              </w:rPr>
            </w:pPr>
            <w:r>
              <w:rPr>
                <w:sz w:val="20"/>
              </w:rPr>
              <w:t>Yok</w:t>
            </w:r>
          </w:p>
        </w:tc>
        <w:tc>
          <w:tcPr>
            <w:tcW w:w="1472" w:type="dxa"/>
          </w:tcPr>
          <w:p>
            <w:pPr>
              <w:pStyle w:val="TableParagraph"/>
              <w:spacing w:before="82"/>
              <w:ind w:left="106" w:right="116"/>
              <w:jc w:val="center"/>
              <w:rPr>
                <w:sz w:val="20"/>
              </w:rPr>
            </w:pPr>
            <w:r>
              <w:rPr>
                <w:sz w:val="20"/>
              </w:rPr>
              <w:t>11</w:t>
            </w:r>
          </w:p>
        </w:tc>
        <w:tc>
          <w:tcPr>
            <w:tcW w:w="1504" w:type="dxa"/>
          </w:tcPr>
          <w:p>
            <w:pPr>
              <w:pStyle w:val="TableParagraph"/>
              <w:spacing w:before="82"/>
              <w:ind w:left="186" w:right="165"/>
              <w:jc w:val="center"/>
              <w:rPr>
                <w:sz w:val="20"/>
              </w:rPr>
            </w:pPr>
            <w:r>
              <w:rPr>
                <w:sz w:val="20"/>
              </w:rPr>
              <w:t>92</w:t>
            </w:r>
          </w:p>
        </w:tc>
        <w:tc>
          <w:tcPr>
            <w:tcW w:w="1421" w:type="dxa"/>
          </w:tcPr>
          <w:p>
            <w:pPr>
              <w:pStyle w:val="TableParagraph"/>
              <w:spacing w:before="82"/>
              <w:ind w:left="886"/>
              <w:rPr>
                <w:sz w:val="20"/>
              </w:rPr>
            </w:pPr>
            <w:r>
              <w:rPr>
                <w:w w:val="99"/>
                <w:sz w:val="20"/>
              </w:rPr>
              <w:t>8</w:t>
            </w:r>
          </w:p>
        </w:tc>
        <w:tc>
          <w:tcPr>
            <w:tcW w:w="2284" w:type="dxa"/>
            <w:gridSpan w:val="2"/>
          </w:tcPr>
          <w:p>
            <w:pPr>
              <w:pStyle w:val="TableParagraph"/>
              <w:spacing w:before="82"/>
              <w:ind w:left="1162"/>
              <w:rPr>
                <w:sz w:val="20"/>
              </w:rPr>
            </w:pPr>
            <w:r>
              <w:rPr>
                <w:sz w:val="20"/>
              </w:rPr>
              <w:t>66,7</w:t>
            </w:r>
          </w:p>
        </w:tc>
      </w:tr>
      <w:tr>
        <w:trPr>
          <w:trHeight w:val="399" w:hRule="atLeast"/>
        </w:trPr>
        <w:tc>
          <w:tcPr>
            <w:tcW w:w="1834" w:type="dxa"/>
          </w:tcPr>
          <w:p>
            <w:pPr>
              <w:pStyle w:val="TableParagraph"/>
              <w:spacing w:before="79"/>
              <w:ind w:left="173" w:right="175"/>
              <w:jc w:val="center"/>
              <w:rPr>
                <w:b/>
                <w:sz w:val="20"/>
              </w:rPr>
            </w:pPr>
            <w:r>
              <w:rPr>
                <w:b/>
                <w:sz w:val="20"/>
              </w:rPr>
              <w:t>Cinsiyet</w:t>
            </w:r>
          </w:p>
        </w:tc>
        <w:tc>
          <w:tcPr>
            <w:tcW w:w="1472" w:type="dxa"/>
          </w:tcPr>
          <w:p>
            <w:pPr>
              <w:pStyle w:val="TableParagraph"/>
              <w:rPr>
                <w:rFonts w:ascii="Times New Roman"/>
                <w:sz w:val="18"/>
              </w:rPr>
            </w:pPr>
          </w:p>
        </w:tc>
        <w:tc>
          <w:tcPr>
            <w:tcW w:w="1504" w:type="dxa"/>
          </w:tcPr>
          <w:p>
            <w:pPr>
              <w:pStyle w:val="TableParagraph"/>
              <w:rPr>
                <w:rFonts w:ascii="Times New Roman"/>
                <w:sz w:val="18"/>
              </w:rPr>
            </w:pPr>
          </w:p>
        </w:tc>
        <w:tc>
          <w:tcPr>
            <w:tcW w:w="1421" w:type="dxa"/>
          </w:tcPr>
          <w:p>
            <w:pPr>
              <w:pStyle w:val="TableParagraph"/>
              <w:rPr>
                <w:rFonts w:ascii="Times New Roman"/>
                <w:sz w:val="18"/>
              </w:rPr>
            </w:pPr>
          </w:p>
        </w:tc>
        <w:tc>
          <w:tcPr>
            <w:tcW w:w="1426" w:type="dxa"/>
          </w:tcPr>
          <w:p>
            <w:pPr>
              <w:pStyle w:val="TableParagraph"/>
              <w:rPr>
                <w:rFonts w:ascii="Times New Roman"/>
                <w:sz w:val="18"/>
              </w:rPr>
            </w:pPr>
          </w:p>
        </w:tc>
        <w:tc>
          <w:tcPr>
            <w:tcW w:w="858" w:type="dxa"/>
          </w:tcPr>
          <w:p>
            <w:pPr>
              <w:pStyle w:val="TableParagraph"/>
              <w:rPr>
                <w:rFonts w:ascii="Times New Roman"/>
                <w:sz w:val="18"/>
              </w:rPr>
            </w:pPr>
          </w:p>
        </w:tc>
      </w:tr>
      <w:tr>
        <w:trPr>
          <w:trHeight w:val="401" w:hRule="atLeast"/>
        </w:trPr>
        <w:tc>
          <w:tcPr>
            <w:tcW w:w="1834" w:type="dxa"/>
          </w:tcPr>
          <w:p>
            <w:pPr>
              <w:pStyle w:val="TableParagraph"/>
              <w:spacing w:before="83"/>
              <w:ind w:left="174" w:right="174"/>
              <w:jc w:val="center"/>
              <w:rPr>
                <w:sz w:val="20"/>
              </w:rPr>
            </w:pPr>
            <w:r>
              <w:rPr>
                <w:sz w:val="20"/>
              </w:rPr>
              <w:t>Erkek</w:t>
            </w:r>
          </w:p>
        </w:tc>
        <w:tc>
          <w:tcPr>
            <w:tcW w:w="1472" w:type="dxa"/>
          </w:tcPr>
          <w:p>
            <w:pPr>
              <w:pStyle w:val="TableParagraph"/>
              <w:spacing w:before="83"/>
              <w:ind w:right="10"/>
              <w:jc w:val="center"/>
              <w:rPr>
                <w:sz w:val="20"/>
              </w:rPr>
            </w:pPr>
            <w:r>
              <w:rPr>
                <w:w w:val="99"/>
                <w:sz w:val="20"/>
              </w:rPr>
              <w:t>6</w:t>
            </w:r>
          </w:p>
        </w:tc>
        <w:tc>
          <w:tcPr>
            <w:tcW w:w="1504" w:type="dxa"/>
          </w:tcPr>
          <w:p>
            <w:pPr>
              <w:pStyle w:val="TableParagraph"/>
              <w:spacing w:before="83"/>
              <w:ind w:left="186" w:right="165"/>
              <w:jc w:val="center"/>
              <w:rPr>
                <w:sz w:val="20"/>
              </w:rPr>
            </w:pPr>
            <w:r>
              <w:rPr>
                <w:sz w:val="20"/>
              </w:rPr>
              <w:t>50</w:t>
            </w:r>
          </w:p>
        </w:tc>
        <w:tc>
          <w:tcPr>
            <w:tcW w:w="1421" w:type="dxa"/>
          </w:tcPr>
          <w:p>
            <w:pPr>
              <w:pStyle w:val="TableParagraph"/>
              <w:spacing w:before="83"/>
              <w:ind w:left="886"/>
              <w:rPr>
                <w:sz w:val="20"/>
              </w:rPr>
            </w:pPr>
            <w:r>
              <w:rPr>
                <w:w w:val="99"/>
                <w:sz w:val="20"/>
              </w:rPr>
              <w:t>7</w:t>
            </w:r>
          </w:p>
        </w:tc>
        <w:tc>
          <w:tcPr>
            <w:tcW w:w="1426" w:type="dxa"/>
          </w:tcPr>
          <w:p>
            <w:pPr>
              <w:pStyle w:val="TableParagraph"/>
              <w:spacing w:before="83"/>
              <w:ind w:right="-44"/>
              <w:jc w:val="right"/>
              <w:rPr>
                <w:sz w:val="20"/>
              </w:rPr>
            </w:pPr>
            <w:r>
              <w:rPr>
                <w:w w:val="95"/>
                <w:sz w:val="20"/>
              </w:rPr>
              <w:t>58</w:t>
            </w:r>
          </w:p>
        </w:tc>
        <w:tc>
          <w:tcPr>
            <w:tcW w:w="858" w:type="dxa"/>
          </w:tcPr>
          <w:p>
            <w:pPr>
              <w:pStyle w:val="TableParagraph"/>
              <w:rPr>
                <w:rFonts w:ascii="Times New Roman"/>
                <w:sz w:val="18"/>
              </w:rPr>
            </w:pPr>
          </w:p>
        </w:tc>
      </w:tr>
      <w:tr>
        <w:trPr>
          <w:trHeight w:val="398" w:hRule="atLeast"/>
        </w:trPr>
        <w:tc>
          <w:tcPr>
            <w:tcW w:w="1834" w:type="dxa"/>
          </w:tcPr>
          <w:p>
            <w:pPr>
              <w:pStyle w:val="TableParagraph"/>
              <w:spacing w:before="82"/>
              <w:ind w:left="174" w:right="174"/>
              <w:jc w:val="center"/>
              <w:rPr>
                <w:sz w:val="20"/>
              </w:rPr>
            </w:pPr>
            <w:r>
              <w:rPr>
                <w:sz w:val="20"/>
              </w:rPr>
              <w:t>Kadın</w:t>
            </w:r>
          </w:p>
        </w:tc>
        <w:tc>
          <w:tcPr>
            <w:tcW w:w="1472" w:type="dxa"/>
          </w:tcPr>
          <w:p>
            <w:pPr>
              <w:pStyle w:val="TableParagraph"/>
              <w:spacing w:before="82"/>
              <w:ind w:right="10"/>
              <w:jc w:val="center"/>
              <w:rPr>
                <w:sz w:val="20"/>
              </w:rPr>
            </w:pPr>
            <w:r>
              <w:rPr>
                <w:w w:val="99"/>
                <w:sz w:val="20"/>
              </w:rPr>
              <w:t>6</w:t>
            </w:r>
          </w:p>
        </w:tc>
        <w:tc>
          <w:tcPr>
            <w:tcW w:w="1504" w:type="dxa"/>
          </w:tcPr>
          <w:p>
            <w:pPr>
              <w:pStyle w:val="TableParagraph"/>
              <w:spacing w:before="82"/>
              <w:ind w:left="186" w:right="165"/>
              <w:jc w:val="center"/>
              <w:rPr>
                <w:sz w:val="20"/>
              </w:rPr>
            </w:pPr>
            <w:r>
              <w:rPr>
                <w:sz w:val="20"/>
              </w:rPr>
              <w:t>50</w:t>
            </w:r>
          </w:p>
        </w:tc>
        <w:tc>
          <w:tcPr>
            <w:tcW w:w="1421" w:type="dxa"/>
          </w:tcPr>
          <w:p>
            <w:pPr>
              <w:pStyle w:val="TableParagraph"/>
              <w:spacing w:before="82"/>
              <w:ind w:left="886"/>
              <w:rPr>
                <w:sz w:val="20"/>
              </w:rPr>
            </w:pPr>
            <w:r>
              <w:rPr>
                <w:w w:val="99"/>
                <w:sz w:val="20"/>
              </w:rPr>
              <w:t>5</w:t>
            </w:r>
          </w:p>
        </w:tc>
        <w:tc>
          <w:tcPr>
            <w:tcW w:w="1426" w:type="dxa"/>
          </w:tcPr>
          <w:p>
            <w:pPr>
              <w:pStyle w:val="TableParagraph"/>
              <w:spacing w:before="82"/>
              <w:ind w:right="-44"/>
              <w:jc w:val="right"/>
              <w:rPr>
                <w:sz w:val="20"/>
              </w:rPr>
            </w:pPr>
            <w:r>
              <w:rPr>
                <w:w w:val="95"/>
                <w:sz w:val="20"/>
              </w:rPr>
              <w:t>42</w:t>
            </w:r>
          </w:p>
        </w:tc>
        <w:tc>
          <w:tcPr>
            <w:tcW w:w="858" w:type="dxa"/>
          </w:tcPr>
          <w:p>
            <w:pPr>
              <w:pStyle w:val="TableParagraph"/>
              <w:rPr>
                <w:rFonts w:ascii="Times New Roman"/>
                <w:sz w:val="18"/>
              </w:rPr>
            </w:pPr>
          </w:p>
        </w:tc>
      </w:tr>
      <w:tr>
        <w:trPr>
          <w:trHeight w:val="399" w:hRule="atLeast"/>
        </w:trPr>
        <w:tc>
          <w:tcPr>
            <w:tcW w:w="1834" w:type="dxa"/>
          </w:tcPr>
          <w:p>
            <w:pPr>
              <w:pStyle w:val="TableParagraph"/>
              <w:spacing w:before="79"/>
              <w:ind w:left="174" w:right="175"/>
              <w:jc w:val="center"/>
              <w:rPr>
                <w:b/>
                <w:sz w:val="20"/>
              </w:rPr>
            </w:pPr>
            <w:r>
              <w:rPr>
                <w:b/>
                <w:sz w:val="20"/>
              </w:rPr>
              <w:t>ASA Skoru</w:t>
            </w:r>
          </w:p>
        </w:tc>
        <w:tc>
          <w:tcPr>
            <w:tcW w:w="1472" w:type="dxa"/>
          </w:tcPr>
          <w:p>
            <w:pPr>
              <w:pStyle w:val="TableParagraph"/>
              <w:rPr>
                <w:rFonts w:ascii="Times New Roman"/>
                <w:sz w:val="18"/>
              </w:rPr>
            </w:pPr>
          </w:p>
        </w:tc>
        <w:tc>
          <w:tcPr>
            <w:tcW w:w="1504" w:type="dxa"/>
          </w:tcPr>
          <w:p>
            <w:pPr>
              <w:pStyle w:val="TableParagraph"/>
              <w:rPr>
                <w:rFonts w:ascii="Times New Roman"/>
                <w:sz w:val="18"/>
              </w:rPr>
            </w:pPr>
          </w:p>
        </w:tc>
        <w:tc>
          <w:tcPr>
            <w:tcW w:w="1421" w:type="dxa"/>
          </w:tcPr>
          <w:p>
            <w:pPr>
              <w:pStyle w:val="TableParagraph"/>
              <w:rPr>
                <w:rFonts w:ascii="Times New Roman"/>
                <w:sz w:val="18"/>
              </w:rPr>
            </w:pPr>
          </w:p>
        </w:tc>
        <w:tc>
          <w:tcPr>
            <w:tcW w:w="1426" w:type="dxa"/>
          </w:tcPr>
          <w:p>
            <w:pPr>
              <w:pStyle w:val="TableParagraph"/>
              <w:rPr>
                <w:rFonts w:ascii="Times New Roman"/>
                <w:sz w:val="18"/>
              </w:rPr>
            </w:pPr>
          </w:p>
        </w:tc>
        <w:tc>
          <w:tcPr>
            <w:tcW w:w="858" w:type="dxa"/>
          </w:tcPr>
          <w:p>
            <w:pPr>
              <w:pStyle w:val="TableParagraph"/>
              <w:rPr>
                <w:rFonts w:ascii="Times New Roman"/>
                <w:sz w:val="18"/>
              </w:rPr>
            </w:pPr>
          </w:p>
        </w:tc>
      </w:tr>
      <w:tr>
        <w:trPr>
          <w:trHeight w:val="402" w:hRule="atLeast"/>
        </w:trPr>
        <w:tc>
          <w:tcPr>
            <w:tcW w:w="1834" w:type="dxa"/>
          </w:tcPr>
          <w:p>
            <w:pPr>
              <w:pStyle w:val="TableParagraph"/>
              <w:spacing w:before="83"/>
              <w:ind w:left="174" w:right="174"/>
              <w:jc w:val="center"/>
              <w:rPr>
                <w:sz w:val="20"/>
              </w:rPr>
            </w:pPr>
            <w:r>
              <w:rPr>
                <w:sz w:val="20"/>
              </w:rPr>
              <w:t>ASA 1</w:t>
            </w:r>
          </w:p>
        </w:tc>
        <w:tc>
          <w:tcPr>
            <w:tcW w:w="1472" w:type="dxa"/>
          </w:tcPr>
          <w:p>
            <w:pPr>
              <w:pStyle w:val="TableParagraph"/>
              <w:spacing w:before="83"/>
              <w:ind w:right="10"/>
              <w:jc w:val="center"/>
              <w:rPr>
                <w:sz w:val="20"/>
              </w:rPr>
            </w:pPr>
            <w:r>
              <w:rPr>
                <w:w w:val="99"/>
                <w:sz w:val="20"/>
              </w:rPr>
              <w:t>3</w:t>
            </w:r>
          </w:p>
        </w:tc>
        <w:tc>
          <w:tcPr>
            <w:tcW w:w="1504" w:type="dxa"/>
          </w:tcPr>
          <w:p>
            <w:pPr>
              <w:pStyle w:val="TableParagraph"/>
              <w:spacing w:before="83"/>
              <w:ind w:left="186" w:right="165"/>
              <w:jc w:val="center"/>
              <w:rPr>
                <w:sz w:val="20"/>
              </w:rPr>
            </w:pPr>
            <w:r>
              <w:rPr>
                <w:sz w:val="20"/>
              </w:rPr>
              <w:t>25</w:t>
            </w:r>
          </w:p>
        </w:tc>
        <w:tc>
          <w:tcPr>
            <w:tcW w:w="1421" w:type="dxa"/>
          </w:tcPr>
          <w:p>
            <w:pPr>
              <w:pStyle w:val="TableParagraph"/>
              <w:spacing w:before="83"/>
              <w:ind w:left="886"/>
              <w:rPr>
                <w:sz w:val="20"/>
              </w:rPr>
            </w:pPr>
            <w:r>
              <w:rPr>
                <w:w w:val="99"/>
                <w:sz w:val="20"/>
              </w:rPr>
              <w:t>6</w:t>
            </w:r>
          </w:p>
        </w:tc>
        <w:tc>
          <w:tcPr>
            <w:tcW w:w="1426" w:type="dxa"/>
          </w:tcPr>
          <w:p>
            <w:pPr>
              <w:pStyle w:val="TableParagraph"/>
              <w:spacing w:before="83"/>
              <w:ind w:right="-44"/>
              <w:jc w:val="right"/>
              <w:rPr>
                <w:sz w:val="20"/>
              </w:rPr>
            </w:pPr>
            <w:r>
              <w:rPr>
                <w:w w:val="95"/>
                <w:sz w:val="20"/>
              </w:rPr>
              <w:t>50</w:t>
            </w:r>
          </w:p>
        </w:tc>
        <w:tc>
          <w:tcPr>
            <w:tcW w:w="858" w:type="dxa"/>
          </w:tcPr>
          <w:p>
            <w:pPr>
              <w:pStyle w:val="TableParagraph"/>
              <w:rPr>
                <w:rFonts w:ascii="Times New Roman"/>
                <w:sz w:val="18"/>
              </w:rPr>
            </w:pPr>
          </w:p>
        </w:tc>
      </w:tr>
      <w:tr>
        <w:trPr>
          <w:trHeight w:val="400" w:hRule="atLeast"/>
        </w:trPr>
        <w:tc>
          <w:tcPr>
            <w:tcW w:w="1834" w:type="dxa"/>
            <w:tcBorders>
              <w:bottom w:val="single" w:sz="12" w:space="0" w:color="008000"/>
            </w:tcBorders>
          </w:tcPr>
          <w:p>
            <w:pPr>
              <w:pStyle w:val="TableParagraph"/>
              <w:spacing w:before="82"/>
              <w:ind w:left="174" w:right="174"/>
              <w:jc w:val="center"/>
              <w:rPr>
                <w:sz w:val="20"/>
              </w:rPr>
            </w:pPr>
            <w:r>
              <w:rPr>
                <w:sz w:val="20"/>
              </w:rPr>
              <w:t>ASA 2</w:t>
            </w:r>
          </w:p>
        </w:tc>
        <w:tc>
          <w:tcPr>
            <w:tcW w:w="1472" w:type="dxa"/>
            <w:tcBorders>
              <w:bottom w:val="single" w:sz="12" w:space="0" w:color="008000"/>
            </w:tcBorders>
          </w:tcPr>
          <w:p>
            <w:pPr>
              <w:pStyle w:val="TableParagraph"/>
              <w:spacing w:before="82"/>
              <w:ind w:right="10"/>
              <w:jc w:val="center"/>
              <w:rPr>
                <w:sz w:val="20"/>
              </w:rPr>
            </w:pPr>
            <w:r>
              <w:rPr>
                <w:w w:val="99"/>
                <w:sz w:val="20"/>
              </w:rPr>
              <w:t>9</w:t>
            </w:r>
          </w:p>
        </w:tc>
        <w:tc>
          <w:tcPr>
            <w:tcW w:w="1504" w:type="dxa"/>
            <w:tcBorders>
              <w:bottom w:val="single" w:sz="12" w:space="0" w:color="008000"/>
            </w:tcBorders>
          </w:tcPr>
          <w:p>
            <w:pPr>
              <w:pStyle w:val="TableParagraph"/>
              <w:spacing w:before="82"/>
              <w:ind w:left="186" w:right="165"/>
              <w:jc w:val="center"/>
              <w:rPr>
                <w:sz w:val="20"/>
              </w:rPr>
            </w:pPr>
            <w:r>
              <w:rPr>
                <w:sz w:val="20"/>
              </w:rPr>
              <w:t>75</w:t>
            </w:r>
          </w:p>
        </w:tc>
        <w:tc>
          <w:tcPr>
            <w:tcW w:w="1421" w:type="dxa"/>
            <w:tcBorders>
              <w:bottom w:val="single" w:sz="12" w:space="0" w:color="008000"/>
            </w:tcBorders>
          </w:tcPr>
          <w:p>
            <w:pPr>
              <w:pStyle w:val="TableParagraph"/>
              <w:spacing w:before="82"/>
              <w:ind w:left="886"/>
              <w:rPr>
                <w:sz w:val="20"/>
              </w:rPr>
            </w:pPr>
            <w:r>
              <w:rPr>
                <w:w w:val="99"/>
                <w:sz w:val="20"/>
              </w:rPr>
              <w:t>6</w:t>
            </w:r>
          </w:p>
        </w:tc>
        <w:tc>
          <w:tcPr>
            <w:tcW w:w="1426" w:type="dxa"/>
            <w:tcBorders>
              <w:bottom w:val="single" w:sz="12" w:space="0" w:color="008000"/>
            </w:tcBorders>
          </w:tcPr>
          <w:p>
            <w:pPr>
              <w:pStyle w:val="TableParagraph"/>
              <w:spacing w:before="82"/>
              <w:ind w:right="-44"/>
              <w:jc w:val="right"/>
              <w:rPr>
                <w:sz w:val="20"/>
              </w:rPr>
            </w:pPr>
            <w:r>
              <w:rPr>
                <w:w w:val="95"/>
                <w:sz w:val="20"/>
              </w:rPr>
              <w:t>50</w:t>
            </w:r>
          </w:p>
        </w:tc>
        <w:tc>
          <w:tcPr>
            <w:tcW w:w="858" w:type="dxa"/>
            <w:tcBorders>
              <w:bottom w:val="single" w:sz="12" w:space="0" w:color="008000"/>
            </w:tcBorders>
          </w:tcPr>
          <w:p>
            <w:pPr>
              <w:pStyle w:val="TableParagraph"/>
              <w:rPr>
                <w:rFonts w:ascii="Times New Roman"/>
                <w:sz w:val="18"/>
              </w:rPr>
            </w:pPr>
          </w:p>
        </w:tc>
      </w:tr>
    </w:tbl>
    <w:p>
      <w:pPr>
        <w:spacing w:line="273" w:lineRule="auto" w:before="0"/>
        <w:ind w:left="588" w:right="288" w:firstLine="0"/>
        <w:jc w:val="both"/>
        <w:rPr>
          <w:sz w:val="20"/>
        </w:rPr>
      </w:pPr>
      <w:r>
        <w:rPr>
          <w:sz w:val="20"/>
        </w:rPr>
        <w:t>min: minimum, maks: maksimum, X: ortalama, SS: standart sapma, n: Birey sayısı, %: Yüzde, cm: santimetre, kg: kilogram, kg/m²: kilogram/metrekare, VKİ: vücut kitle indeksi, ÇG: Çalışma Grubu,</w:t>
      </w:r>
      <w:r>
        <w:rPr>
          <w:spacing w:val="-4"/>
          <w:sz w:val="20"/>
        </w:rPr>
        <w:t> </w:t>
      </w:r>
      <w:r>
        <w:rPr>
          <w:sz w:val="20"/>
        </w:rPr>
        <w:t>KG:</w:t>
      </w:r>
      <w:r>
        <w:rPr>
          <w:spacing w:val="-3"/>
          <w:sz w:val="20"/>
        </w:rPr>
        <w:t> </w:t>
      </w:r>
      <w:r>
        <w:rPr>
          <w:sz w:val="20"/>
        </w:rPr>
        <w:t>Kontrol</w:t>
      </w:r>
      <w:r>
        <w:rPr>
          <w:spacing w:val="-4"/>
          <w:sz w:val="20"/>
        </w:rPr>
        <w:t> </w:t>
      </w:r>
      <w:r>
        <w:rPr>
          <w:sz w:val="20"/>
        </w:rPr>
        <w:t>Grubu,</w:t>
      </w:r>
      <w:r>
        <w:rPr>
          <w:spacing w:val="-3"/>
          <w:sz w:val="20"/>
        </w:rPr>
        <w:t> </w:t>
      </w:r>
      <w:r>
        <w:rPr>
          <w:sz w:val="20"/>
        </w:rPr>
        <w:t>a:</w:t>
      </w:r>
      <w:r>
        <w:rPr>
          <w:spacing w:val="-5"/>
          <w:sz w:val="20"/>
        </w:rPr>
        <w:t> </w:t>
      </w:r>
      <w:r>
        <w:rPr>
          <w:sz w:val="20"/>
        </w:rPr>
        <w:t>Mann-Whitney</w:t>
      </w:r>
      <w:r>
        <w:rPr>
          <w:spacing w:val="-6"/>
          <w:sz w:val="20"/>
        </w:rPr>
        <w:t> </w:t>
      </w:r>
      <w:r>
        <w:rPr>
          <w:sz w:val="20"/>
        </w:rPr>
        <w:t>U</w:t>
      </w:r>
      <w:r>
        <w:rPr>
          <w:spacing w:val="-5"/>
          <w:sz w:val="20"/>
        </w:rPr>
        <w:t> </w:t>
      </w:r>
      <w:r>
        <w:rPr>
          <w:sz w:val="20"/>
        </w:rPr>
        <w:t>Testi,</w:t>
      </w:r>
      <w:r>
        <w:rPr>
          <w:spacing w:val="-2"/>
          <w:sz w:val="20"/>
        </w:rPr>
        <w:t> </w:t>
      </w:r>
      <w:r>
        <w:rPr>
          <w:sz w:val="20"/>
        </w:rPr>
        <w:t>b:</w:t>
      </w:r>
      <w:r>
        <w:rPr>
          <w:spacing w:val="-5"/>
          <w:sz w:val="20"/>
        </w:rPr>
        <w:t> </w:t>
      </w:r>
      <w:r>
        <w:rPr>
          <w:sz w:val="20"/>
        </w:rPr>
        <w:t>iki</w:t>
      </w:r>
      <w:r>
        <w:rPr>
          <w:spacing w:val="-6"/>
          <w:sz w:val="20"/>
        </w:rPr>
        <w:t> </w:t>
      </w:r>
      <w:r>
        <w:rPr>
          <w:sz w:val="20"/>
        </w:rPr>
        <w:t>Ortalama</w:t>
      </w:r>
      <w:r>
        <w:rPr>
          <w:spacing w:val="-6"/>
          <w:sz w:val="20"/>
        </w:rPr>
        <w:t> </w:t>
      </w:r>
      <w:r>
        <w:rPr>
          <w:sz w:val="20"/>
        </w:rPr>
        <w:t>Arasındaki</w:t>
      </w:r>
      <w:r>
        <w:rPr>
          <w:spacing w:val="-6"/>
          <w:sz w:val="20"/>
        </w:rPr>
        <w:t> </w:t>
      </w:r>
      <w:r>
        <w:rPr>
          <w:sz w:val="20"/>
        </w:rPr>
        <w:t>Farkın</w:t>
      </w:r>
      <w:r>
        <w:rPr>
          <w:spacing w:val="-6"/>
          <w:sz w:val="20"/>
        </w:rPr>
        <w:t> </w:t>
      </w:r>
      <w:r>
        <w:rPr>
          <w:sz w:val="20"/>
        </w:rPr>
        <w:t>Önemlilik Testi</w:t>
      </w:r>
    </w:p>
    <w:p>
      <w:pPr>
        <w:spacing w:after="0" w:line="273" w:lineRule="auto"/>
        <w:jc w:val="both"/>
        <w:rPr>
          <w:sz w:val="20"/>
        </w:rPr>
        <w:sectPr>
          <w:pgSz w:w="11910" w:h="16840"/>
          <w:pgMar w:header="749" w:footer="0" w:top="1320" w:bottom="280" w:left="1680" w:right="840"/>
        </w:sectPr>
      </w:pPr>
    </w:p>
    <w:p>
      <w:pPr>
        <w:pStyle w:val="BodyText"/>
        <w:spacing w:line="357" w:lineRule="auto" w:before="88"/>
        <w:ind w:left="588" w:right="290" w:firstLine="708"/>
        <w:jc w:val="both"/>
      </w:pPr>
      <w:r>
        <w:rPr/>
        <w:t>Her iki grupta bulunan bireylerin eğitim düzeyleri değerlendirilmiştir. Eğitim düzeyleri dağılımına bakıldığında en çok ilkokul düzeyinde bireylerin olduğu gözlenmiştir. Veriler şekil 4.2 de gösterilmiştir.</w:t>
      </w:r>
    </w:p>
    <w:p>
      <w:pPr>
        <w:pStyle w:val="BodyText"/>
        <w:rPr>
          <w:sz w:val="24"/>
        </w:rPr>
      </w:pPr>
    </w:p>
    <w:p>
      <w:pPr>
        <w:pStyle w:val="BodyText"/>
        <w:rPr>
          <w:sz w:val="24"/>
        </w:rPr>
      </w:pPr>
    </w:p>
    <w:p>
      <w:pPr>
        <w:spacing w:before="153"/>
        <w:ind w:left="588" w:right="0" w:firstLine="0"/>
        <w:jc w:val="left"/>
        <w:rPr>
          <w:sz w:val="20"/>
        </w:rPr>
      </w:pPr>
      <w:r>
        <w:rPr>
          <w:b/>
          <w:sz w:val="20"/>
        </w:rPr>
        <w:t>Şekil 4.2 </w:t>
      </w:r>
      <w:r>
        <w:rPr>
          <w:sz w:val="20"/>
        </w:rPr>
        <w:t>Çalışmaya Katılan Bireylerin Eğitim Düzeyleri</w:t>
      </w:r>
    </w:p>
    <w:p>
      <w:pPr>
        <w:pStyle w:val="BodyText"/>
        <w:spacing w:before="4"/>
        <w:rPr>
          <w:sz w:val="20"/>
        </w:rPr>
      </w:pPr>
      <w:r>
        <w:rPr/>
        <w:pict>
          <v:group style="position:absolute;margin-left:112.800003pt;margin-top:13.726841pt;width:425.9pt;height:248.8pt;mso-position-horizontal-relative:page;mso-position-vertical-relative:paragraph;z-index:-251616256;mso-wrap-distance-left:0;mso-wrap-distance-right:0" coordorigin="2256,275" coordsize="8518,4976">
            <v:line style="position:absolute" from="9710,3625" to="10548,3625" stroked="true" strokeweight=".72pt" strokecolor="#d9d9d9">
              <v:stroke dashstyle="solid"/>
            </v:line>
            <v:line style="position:absolute" from="7001,3625" to="9355,3625" stroked="true" strokeweight=".72pt" strokecolor="#d9d9d9">
              <v:stroke dashstyle="solid"/>
            </v:line>
            <v:line style="position:absolute" from="5422,3625" to="6648,3625" stroked="true" strokeweight=".72pt" strokecolor="#d9d9d9">
              <v:stroke dashstyle="solid"/>
            </v:line>
            <v:line style="position:absolute" from="4973,3625" to="5069,3625" stroked="true" strokeweight=".72pt" strokecolor="#d9d9d9">
              <v:stroke dashstyle="solid"/>
            </v:line>
            <v:line style="position:absolute" from="3842,3625" to="4618,3625" stroked="true" strokeweight=".72pt" strokecolor="#d9d9d9">
              <v:stroke dashstyle="solid"/>
            </v:line>
            <v:line style="position:absolute" from="3394,3625" to="3490,3625" stroked="true" strokeweight=".72pt" strokecolor="#d9d9d9">
              <v:stroke dashstyle="solid"/>
            </v:line>
            <v:line style="position:absolute" from="2652,3625" to="3038,3625" stroked="true" strokeweight=".72pt" strokecolor="#d9d9d9">
              <v:stroke dashstyle="solid"/>
            </v:line>
            <v:line style="position:absolute" from="3394,3001" to="3490,3001" stroked="true" strokeweight=".72pt" strokecolor="#d9d9d9">
              <v:stroke dashstyle="solid"/>
            </v:line>
            <v:line style="position:absolute" from="2652,3001" to="3038,3001" stroked="true" strokeweight=".72pt" strokecolor="#d9d9d9">
              <v:stroke dashstyle="solid"/>
            </v:line>
            <v:line style="position:absolute" from="3394,2377" to="3490,2377" stroked="true" strokeweight=".72pt" strokecolor="#d9d9d9">
              <v:stroke dashstyle="solid"/>
            </v:line>
            <v:line style="position:absolute" from="2652,2377" to="3038,2377" stroked="true" strokeweight=".72pt" strokecolor="#d9d9d9">
              <v:stroke dashstyle="solid"/>
            </v:line>
            <v:line style="position:absolute" from="3394,1751" to="10548,1751" stroked="true" strokeweight=".72pt" strokecolor="#d9d9d9">
              <v:stroke dashstyle="solid"/>
            </v:line>
            <v:line style="position:absolute" from="2652,1751" to="3038,1751" stroked="true" strokeweight=".72pt" strokecolor="#d9d9d9">
              <v:stroke dashstyle="solid"/>
            </v:line>
            <v:line style="position:absolute" from="2652,1127" to="10548,1127" stroked="true" strokeweight=".72pt" strokecolor="#d9d9d9">
              <v:stroke dashstyle="solid"/>
            </v:line>
            <v:rect style="position:absolute;left:3038;top:1126;width:356;height:3123" filled="true" fillcolor="#5b9bd4" stroked="false">
              <v:fill type="solid"/>
            </v:rect>
            <v:line style="position:absolute" from="3842,3001" to="5069,3001" stroked="true" strokeweight=".72pt" strokecolor="#d9d9d9">
              <v:stroke dashstyle="solid"/>
            </v:line>
            <v:rect style="position:absolute;left:4617;top:3000;width:356;height:1248" filled="true" fillcolor="#5b9bd4" stroked="false">
              <v:fill type="solid"/>
            </v:rect>
            <v:rect style="position:absolute;left:6196;top:3624;width:356;height:624" filled="true" fillcolor="#5b9bd4" stroked="false">
              <v:fill type="solid"/>
            </v:rect>
            <v:rect style="position:absolute;left:7776;top:3624;width:356;height:624" filled="true" fillcolor="#5b9bd4" stroked="false">
              <v:fill type="solid"/>
            </v:rect>
            <v:line style="position:absolute" from="9710,3001" to="10548,3001" stroked="true" strokeweight=".72pt" strokecolor="#d9d9d9">
              <v:stroke dashstyle="solid"/>
            </v:line>
            <v:line style="position:absolute" from="7001,3001" to="9355,3001" stroked="true" strokeweight=".72pt" strokecolor="#d9d9d9">
              <v:stroke dashstyle="solid"/>
            </v:line>
            <v:line style="position:absolute" from="5422,2377" to="10548,2377" stroked="true" strokeweight=".72pt" strokecolor="#d9d9d9">
              <v:stroke dashstyle="solid"/>
            </v:line>
            <v:rect style="position:absolute;left:9355;top:2376;width:356;height:1872" filled="true" fillcolor="#5b9bd4" stroked="false">
              <v:fill type="solid"/>
            </v:rect>
            <v:line style="position:absolute" from="3842,2377" to="5069,2377" stroked="true" strokeweight=".72pt" strokecolor="#d9d9d9">
              <v:stroke dashstyle="solid"/>
            </v:line>
            <v:rect style="position:absolute;left:3489;top:1750;width:353;height:2499" filled="true" fillcolor="#a4a4a4" stroked="false">
              <v:fill type="solid"/>
            </v:rect>
            <v:line style="position:absolute" from="5422,3001" to="6648,3001" stroked="true" strokeweight=".72pt" strokecolor="#d9d9d9">
              <v:stroke dashstyle="solid"/>
            </v:line>
            <v:rect style="position:absolute;left:5068;top:1750;width:353;height:2499" filled="true" fillcolor="#a4a4a4" stroked="false">
              <v:fill type="solid"/>
            </v:rect>
            <v:rect style="position:absolute;left:6648;top:2376;width:353;height:1872" filled="true" fillcolor="#a4a4a4" stroked="false">
              <v:fill type="solid"/>
            </v:rect>
            <v:rect style="position:absolute;left:9806;top:3624;width:353;height:624" filled="true" fillcolor="#a4a4a4" stroked="false">
              <v:fill type="solid"/>
            </v:rect>
            <v:line style="position:absolute" from="2652,4249" to="10548,4249" stroked="true" strokeweight=".72pt" strokecolor="#d9d9d9">
              <v:stroke dashstyle="solid"/>
            </v:line>
            <v:line style="position:absolute" from="2652,503" to="10548,503" stroked="true" strokeweight=".72pt" strokecolor="#d9d9d9">
              <v:stroke dashstyle="solid"/>
            </v:line>
            <v:rect style="position:absolute;left:4718;top:4860;width:125;height:128" filled="true" fillcolor="#5b9bd4" stroked="false">
              <v:fill type="solid"/>
            </v:rect>
            <v:rect style="position:absolute;left:6753;top:4860;width:125;height:128" filled="true" fillcolor="#a4a4a4" stroked="false">
              <v:fill type="solid"/>
            </v:rect>
            <v:rect style="position:absolute;left:2263;top:281;width:8504;height:4961" filled="false" stroked="true" strokeweight=".72pt" strokecolor="#d9d9d9">
              <v:stroke dashstyle="solid"/>
            </v:rect>
            <v:shape style="position:absolute;left:9314;top:4371;width:909;height:223" type="#_x0000_t202" filled="false" stroked="false">
              <v:textbox inset="0,0,0,0">
                <w:txbxContent>
                  <w:p>
                    <w:pPr>
                      <w:spacing w:line="223" w:lineRule="exact" w:before="0"/>
                      <w:ind w:left="0" w:right="0" w:firstLine="0"/>
                      <w:jc w:val="left"/>
                      <w:rPr>
                        <w:sz w:val="20"/>
                      </w:rPr>
                    </w:pPr>
                    <w:r>
                      <w:rPr>
                        <w:color w:val="585858"/>
                        <w:sz w:val="20"/>
                      </w:rPr>
                      <w:t>Üniversite</w:t>
                    </w:r>
                  </w:p>
                </w:txbxContent>
              </v:textbox>
              <w10:wrap type="none"/>
            </v:shape>
            <v:shape style="position:absolute;left:6937;top:4371;width:1774;height:675" type="#_x0000_t202" filled="false" stroked="false">
              <v:textbox inset="0,0,0,0">
                <w:txbxContent>
                  <w:p>
                    <w:pPr>
                      <w:spacing w:line="223" w:lineRule="exact" w:before="0"/>
                      <w:ind w:left="731" w:right="0" w:firstLine="0"/>
                      <w:jc w:val="left"/>
                      <w:rPr>
                        <w:sz w:val="20"/>
                      </w:rPr>
                    </w:pPr>
                    <w:r>
                      <w:rPr>
                        <w:color w:val="585858"/>
                        <w:sz w:val="20"/>
                      </w:rPr>
                      <w:t>Yüksekokul</w:t>
                    </w:r>
                  </w:p>
                  <w:p>
                    <w:pPr>
                      <w:spacing w:line="282" w:lineRule="exact" w:before="170"/>
                      <w:ind w:left="0" w:right="0" w:firstLine="0"/>
                      <w:jc w:val="left"/>
                      <w:rPr>
                        <w:rFonts w:ascii="Arial Black"/>
                        <w:sz w:val="20"/>
                      </w:rPr>
                    </w:pPr>
                    <w:r>
                      <w:rPr>
                        <w:rFonts w:ascii="Arial Black"/>
                        <w:color w:val="585858"/>
                        <w:sz w:val="20"/>
                      </w:rPr>
                      <w:t>Kontrol Grubu</w:t>
                    </w:r>
                  </w:p>
                </w:txbxContent>
              </v:textbox>
              <w10:wrap type="none"/>
            </v:shape>
            <v:shape style="position:absolute;left:4901;top:4765;width:1618;height:281" type="#_x0000_t202" filled="false" stroked="false">
              <v:textbox inset="0,0,0,0">
                <w:txbxContent>
                  <w:p>
                    <w:pPr>
                      <w:spacing w:line="281" w:lineRule="exact" w:before="0"/>
                      <w:ind w:left="0" w:right="0" w:firstLine="0"/>
                      <w:jc w:val="left"/>
                      <w:rPr>
                        <w:rFonts w:ascii="Arial Black" w:hAnsi="Arial Black"/>
                        <w:sz w:val="20"/>
                      </w:rPr>
                    </w:pPr>
                    <w:r>
                      <w:rPr>
                        <w:rFonts w:ascii="Arial Black" w:hAnsi="Arial Black"/>
                        <w:color w:val="585858"/>
                        <w:sz w:val="20"/>
                      </w:rPr>
                      <w:t>Çalışma Grubu</w:t>
                    </w:r>
                  </w:p>
                </w:txbxContent>
              </v:textbox>
              <w10:wrap type="none"/>
            </v:shape>
            <v:shape style="position:absolute;left:6417;top:4371;width:388;height:223" type="#_x0000_t202" filled="false" stroked="false">
              <v:textbox inset="0,0,0,0">
                <w:txbxContent>
                  <w:p>
                    <w:pPr>
                      <w:spacing w:line="223" w:lineRule="exact" w:before="0"/>
                      <w:ind w:left="0" w:right="0" w:firstLine="0"/>
                      <w:jc w:val="left"/>
                      <w:rPr>
                        <w:sz w:val="20"/>
                      </w:rPr>
                    </w:pPr>
                    <w:r>
                      <w:rPr>
                        <w:color w:val="585858"/>
                        <w:sz w:val="20"/>
                      </w:rPr>
                      <w:t>Lise</w:t>
                    </w:r>
                  </w:p>
                </w:txbxContent>
              </v:textbox>
              <w10:wrap type="none"/>
            </v:shape>
            <v:shape style="position:absolute;left:4643;top:4371;width:775;height:223" type="#_x0000_t202" filled="false" stroked="false">
              <v:textbox inset="0,0,0,0">
                <w:txbxContent>
                  <w:p>
                    <w:pPr>
                      <w:spacing w:line="223" w:lineRule="exact" w:before="0"/>
                      <w:ind w:left="0" w:right="0" w:firstLine="0"/>
                      <w:jc w:val="left"/>
                      <w:rPr>
                        <w:sz w:val="20"/>
                      </w:rPr>
                    </w:pPr>
                    <w:r>
                      <w:rPr>
                        <w:color w:val="585858"/>
                        <w:sz w:val="20"/>
                      </w:rPr>
                      <w:t>Ortaokul</w:t>
                    </w:r>
                  </w:p>
                </w:txbxContent>
              </v:textbox>
              <w10:wrap type="none"/>
            </v:shape>
            <v:shape style="position:absolute;left:3158;top:4371;width:587;height:223" type="#_x0000_t202" filled="false" stroked="false">
              <v:textbox inset="0,0,0,0">
                <w:txbxContent>
                  <w:p>
                    <w:pPr>
                      <w:spacing w:line="223" w:lineRule="exact" w:before="0"/>
                      <w:ind w:left="0" w:right="0" w:firstLine="0"/>
                      <w:jc w:val="left"/>
                      <w:rPr>
                        <w:sz w:val="20"/>
                      </w:rPr>
                    </w:pPr>
                    <w:r>
                      <w:rPr>
                        <w:color w:val="585858"/>
                        <w:sz w:val="20"/>
                      </w:rPr>
                      <w:t>İlkokul</w:t>
                    </w:r>
                  </w:p>
                </w:txbxContent>
              </v:textbox>
              <w10:wrap type="none"/>
            </v:shape>
            <v:shape style="position:absolute;left:2393;top:4166;width:11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0</w:t>
                    </w:r>
                  </w:p>
                </w:txbxContent>
              </v:textbox>
              <w10:wrap type="none"/>
            </v:shape>
            <v:shape style="position:absolute;left:8358;top:3976;width:11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0</w:t>
                    </w:r>
                  </w:p>
                </w:txbxContent>
              </v:textbox>
              <w10:wrap type="none"/>
            </v:shape>
            <v:shape style="position:absolute;left:2393;top:3541;width:11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w:t>
                    </w:r>
                  </w:p>
                </w:txbxContent>
              </v:textbox>
              <w10:wrap type="none"/>
            </v:shape>
            <v:shape style="position:absolute;left:9938;top:3352;width:11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1</w:t>
                    </w:r>
                  </w:p>
                </w:txbxContent>
              </v:textbox>
              <w10:wrap type="none"/>
            </v:shape>
            <v:shape style="position:absolute;left:7908;top:3352;width:11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1</w:t>
                    </w:r>
                  </w:p>
                </w:txbxContent>
              </v:textbox>
              <w10:wrap type="none"/>
            </v:shape>
            <v:shape style="position:absolute;left:6329;top:3352;width:11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1</w:t>
                    </w:r>
                  </w:p>
                </w:txbxContent>
              </v:textbox>
              <w10:wrap type="none"/>
            </v:shape>
            <v:shape style="position:absolute;left:2393;top:2917;width:11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2</w:t>
                    </w:r>
                  </w:p>
                </w:txbxContent>
              </v:textbox>
              <w10:wrap type="none"/>
            </v:shape>
            <v:shape style="position:absolute;left:4749;top:2727;width:11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2</w:t>
                    </w:r>
                  </w:p>
                </w:txbxContent>
              </v:textbox>
              <w10:wrap type="none"/>
            </v:shape>
            <v:shape style="position:absolute;left:2393;top:2292;width:11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3</w:t>
                    </w:r>
                  </w:p>
                </w:txbxContent>
              </v:textbox>
              <w10:wrap type="none"/>
            </v:shape>
            <v:shape style="position:absolute;left:9488;top:2102;width:11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3</w:t>
                    </w:r>
                  </w:p>
                </w:txbxContent>
              </v:textbox>
              <w10:wrap type="none"/>
            </v:shape>
            <v:shape style="position:absolute;left:6779;top:2102;width:11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3</w:t>
                    </w:r>
                  </w:p>
                </w:txbxContent>
              </v:textbox>
              <w10:wrap type="none"/>
            </v:shape>
            <v:shape style="position:absolute;left:2393;top:1667;width:11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4</w:t>
                    </w:r>
                  </w:p>
                </w:txbxContent>
              </v:textbox>
              <w10:wrap type="none"/>
            </v:shape>
            <v:shape style="position:absolute;left:5199;top:1477;width:11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4</w:t>
                    </w:r>
                  </w:p>
                </w:txbxContent>
              </v:textbox>
              <w10:wrap type="none"/>
            </v:shape>
            <v:shape style="position:absolute;left:3620;top:1477;width:11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4</w:t>
                    </w:r>
                  </w:p>
                </w:txbxContent>
              </v:textbox>
              <w10:wrap type="none"/>
            </v:shape>
            <v:shape style="position:absolute;left:2393;top:1043;width:11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5</w:t>
                    </w:r>
                  </w:p>
                </w:txbxContent>
              </v:textbox>
              <w10:wrap type="none"/>
            </v:shape>
            <v:shape style="position:absolute;left:3170;top:853;width:112;height:180" type="#_x0000_t202" filled="false" stroked="false">
              <v:textbox inset="0,0,0,0">
                <w:txbxContent>
                  <w:p>
                    <w:pPr>
                      <w:spacing w:line="180" w:lineRule="exact" w:before="0"/>
                      <w:ind w:left="0" w:right="0" w:firstLine="0"/>
                      <w:jc w:val="left"/>
                      <w:rPr>
                        <w:rFonts w:ascii="Calibri"/>
                        <w:sz w:val="18"/>
                      </w:rPr>
                    </w:pPr>
                    <w:r>
                      <w:rPr>
                        <w:rFonts w:ascii="Calibri"/>
                        <w:color w:val="404040"/>
                        <w:sz w:val="18"/>
                      </w:rPr>
                      <w:t>5</w:t>
                    </w:r>
                  </w:p>
                </w:txbxContent>
              </v:textbox>
              <w10:wrap type="none"/>
            </v:shape>
            <v:shape style="position:absolute;left:2393;top:418;width:11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6</w:t>
                    </w:r>
                  </w:p>
                </w:txbxContent>
              </v:textbox>
              <w10:wrap type="none"/>
            </v:shape>
            <w10:wrap type="topAndBottom"/>
          </v:group>
        </w:pict>
      </w:r>
    </w:p>
    <w:p>
      <w:pPr>
        <w:pStyle w:val="BodyText"/>
      </w:pPr>
    </w:p>
    <w:p>
      <w:pPr>
        <w:pStyle w:val="BodyText"/>
        <w:spacing w:before="4"/>
        <w:rPr>
          <w:sz w:val="30"/>
        </w:rPr>
      </w:pPr>
    </w:p>
    <w:p>
      <w:pPr>
        <w:pStyle w:val="BodyText"/>
        <w:spacing w:line="360" w:lineRule="auto" w:before="1"/>
        <w:ind w:left="588" w:right="288" w:firstLine="708"/>
        <w:jc w:val="both"/>
      </w:pPr>
      <w:r>
        <w:rPr/>
        <w:t>Çalışmaya katılan bireylerin cerrahi öncesinde tanılarına bakıldığında KG’da 3 (%25) rektum tümörü, 7 (%58) kolon tümörü ve 2 (%17) kişi de anal fistül iken ÇG’da 3 (%25) rektum tümörü, 9 (%75) ise kolon tümörü tanılarıyla hastaneye yatışı yapmıştır (Tablo 4.2).</w:t>
      </w:r>
    </w:p>
    <w:p>
      <w:pPr>
        <w:pStyle w:val="BodyText"/>
        <w:rPr>
          <w:sz w:val="24"/>
        </w:rPr>
      </w:pPr>
    </w:p>
    <w:p>
      <w:pPr>
        <w:pStyle w:val="BodyText"/>
        <w:rPr>
          <w:sz w:val="24"/>
        </w:rPr>
      </w:pPr>
    </w:p>
    <w:p>
      <w:pPr>
        <w:spacing w:before="145"/>
        <w:ind w:left="588" w:right="0" w:firstLine="0"/>
        <w:jc w:val="left"/>
        <w:rPr>
          <w:sz w:val="20"/>
        </w:rPr>
      </w:pPr>
      <w:r>
        <w:rPr>
          <w:b/>
          <w:sz w:val="20"/>
        </w:rPr>
        <w:t>Tablo 4.2 </w:t>
      </w:r>
      <w:r>
        <w:rPr>
          <w:sz w:val="20"/>
        </w:rPr>
        <w:t>Bireylerin Cerrahi Öncesi Tanıları</w:t>
      </w:r>
    </w:p>
    <w:p>
      <w:pPr>
        <w:pStyle w:val="BodyText"/>
        <w:spacing w:before="5"/>
        <w:rPr>
          <w:sz w:val="24"/>
        </w:rPr>
      </w:pPr>
    </w:p>
    <w:tbl>
      <w:tblPr>
        <w:tblW w:w="0" w:type="auto"/>
        <w:jc w:val="left"/>
        <w:tblInd w:w="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55"/>
        <w:gridCol w:w="1365"/>
        <w:gridCol w:w="1776"/>
        <w:gridCol w:w="1666"/>
        <w:gridCol w:w="1750"/>
      </w:tblGrid>
      <w:tr>
        <w:trPr>
          <w:trHeight w:val="460" w:hRule="atLeast"/>
        </w:trPr>
        <w:tc>
          <w:tcPr>
            <w:tcW w:w="2055" w:type="dxa"/>
            <w:tcBorders>
              <w:top w:val="single" w:sz="12" w:space="0" w:color="008000"/>
              <w:bottom w:val="single" w:sz="6" w:space="0" w:color="008000"/>
            </w:tcBorders>
          </w:tcPr>
          <w:p>
            <w:pPr>
              <w:pStyle w:val="TableParagraph"/>
              <w:spacing w:line="224" w:lineRule="exact"/>
              <w:ind w:left="137" w:right="454"/>
              <w:jc w:val="center"/>
              <w:rPr>
                <w:b/>
                <w:sz w:val="20"/>
              </w:rPr>
            </w:pPr>
            <w:r>
              <w:rPr>
                <w:b/>
                <w:sz w:val="20"/>
              </w:rPr>
              <w:t>Cerrahi Öncesi</w:t>
            </w:r>
          </w:p>
          <w:p>
            <w:pPr>
              <w:pStyle w:val="TableParagraph"/>
              <w:spacing w:line="215" w:lineRule="exact" w:before="1"/>
              <w:ind w:left="137" w:right="453"/>
              <w:jc w:val="center"/>
              <w:rPr>
                <w:b/>
                <w:sz w:val="20"/>
              </w:rPr>
            </w:pPr>
            <w:r>
              <w:rPr>
                <w:b/>
                <w:sz w:val="20"/>
              </w:rPr>
              <w:t>Tanı</w:t>
            </w:r>
          </w:p>
        </w:tc>
        <w:tc>
          <w:tcPr>
            <w:tcW w:w="3141" w:type="dxa"/>
            <w:gridSpan w:val="2"/>
            <w:tcBorders>
              <w:top w:val="single" w:sz="12" w:space="0" w:color="008000"/>
              <w:bottom w:val="single" w:sz="6" w:space="0" w:color="008000"/>
            </w:tcBorders>
          </w:tcPr>
          <w:p>
            <w:pPr>
              <w:pStyle w:val="TableParagraph"/>
              <w:spacing w:line="224" w:lineRule="exact"/>
              <w:ind w:right="354"/>
              <w:jc w:val="center"/>
              <w:rPr>
                <w:b/>
                <w:sz w:val="20"/>
              </w:rPr>
            </w:pPr>
            <w:r>
              <w:rPr>
                <w:b/>
                <w:sz w:val="20"/>
              </w:rPr>
              <w:t>ÇG</w:t>
            </w:r>
          </w:p>
          <w:p>
            <w:pPr>
              <w:pStyle w:val="TableParagraph"/>
              <w:tabs>
                <w:tab w:pos="1532" w:val="left" w:leader="none"/>
              </w:tabs>
              <w:spacing w:line="215" w:lineRule="exact" w:before="1"/>
              <w:ind w:right="355"/>
              <w:jc w:val="center"/>
              <w:rPr>
                <w:b/>
                <w:sz w:val="20"/>
              </w:rPr>
            </w:pPr>
            <w:r>
              <w:rPr>
                <w:b/>
                <w:sz w:val="20"/>
              </w:rPr>
              <w:t>N</w:t>
              <w:tab/>
              <w:t>%</w:t>
            </w:r>
          </w:p>
        </w:tc>
        <w:tc>
          <w:tcPr>
            <w:tcW w:w="3416" w:type="dxa"/>
            <w:gridSpan w:val="2"/>
            <w:tcBorders>
              <w:top w:val="single" w:sz="12" w:space="0" w:color="008000"/>
              <w:bottom w:val="single" w:sz="6" w:space="0" w:color="008000"/>
            </w:tcBorders>
          </w:tcPr>
          <w:p>
            <w:pPr>
              <w:pStyle w:val="TableParagraph"/>
              <w:spacing w:line="224" w:lineRule="exact"/>
              <w:ind w:right="26"/>
              <w:jc w:val="center"/>
              <w:rPr>
                <w:b/>
                <w:sz w:val="20"/>
              </w:rPr>
            </w:pPr>
            <w:r>
              <w:rPr>
                <w:b/>
                <w:sz w:val="20"/>
              </w:rPr>
              <w:t>KG</w:t>
            </w:r>
          </w:p>
          <w:p>
            <w:pPr>
              <w:pStyle w:val="TableParagraph"/>
              <w:tabs>
                <w:tab w:pos="1642" w:val="left" w:leader="none"/>
              </w:tabs>
              <w:spacing w:line="215" w:lineRule="exact" w:before="1"/>
              <w:ind w:right="27"/>
              <w:jc w:val="center"/>
              <w:rPr>
                <w:b/>
                <w:sz w:val="20"/>
              </w:rPr>
            </w:pPr>
            <w:r>
              <w:rPr>
                <w:b/>
                <w:sz w:val="20"/>
              </w:rPr>
              <w:t>N</w:t>
              <w:tab/>
              <w:t>%</w:t>
            </w:r>
          </w:p>
        </w:tc>
      </w:tr>
      <w:tr>
        <w:trPr>
          <w:trHeight w:val="399" w:hRule="atLeast"/>
        </w:trPr>
        <w:tc>
          <w:tcPr>
            <w:tcW w:w="2055" w:type="dxa"/>
            <w:tcBorders>
              <w:top w:val="single" w:sz="6" w:space="0" w:color="008000"/>
            </w:tcBorders>
          </w:tcPr>
          <w:p>
            <w:pPr>
              <w:pStyle w:val="TableParagraph"/>
              <w:spacing w:before="78"/>
              <w:ind w:left="205"/>
              <w:rPr>
                <w:sz w:val="20"/>
              </w:rPr>
            </w:pPr>
            <w:r>
              <w:rPr>
                <w:sz w:val="20"/>
              </w:rPr>
              <w:t>Rektum Tümör</w:t>
            </w:r>
          </w:p>
        </w:tc>
        <w:tc>
          <w:tcPr>
            <w:tcW w:w="1365" w:type="dxa"/>
            <w:tcBorders>
              <w:top w:val="single" w:sz="6" w:space="0" w:color="008000"/>
            </w:tcBorders>
          </w:tcPr>
          <w:p>
            <w:pPr>
              <w:pStyle w:val="TableParagraph"/>
              <w:spacing w:before="78"/>
              <w:ind w:left="476"/>
              <w:rPr>
                <w:sz w:val="20"/>
              </w:rPr>
            </w:pPr>
            <w:r>
              <w:rPr>
                <w:w w:val="99"/>
                <w:sz w:val="20"/>
              </w:rPr>
              <w:t>3</w:t>
            </w:r>
          </w:p>
        </w:tc>
        <w:tc>
          <w:tcPr>
            <w:tcW w:w="1776" w:type="dxa"/>
            <w:tcBorders>
              <w:top w:val="single" w:sz="6" w:space="0" w:color="008000"/>
            </w:tcBorders>
          </w:tcPr>
          <w:p>
            <w:pPr>
              <w:pStyle w:val="TableParagraph"/>
              <w:spacing w:before="78"/>
              <w:ind w:left="756" w:right="756"/>
              <w:jc w:val="center"/>
              <w:rPr>
                <w:sz w:val="20"/>
              </w:rPr>
            </w:pPr>
            <w:r>
              <w:rPr>
                <w:sz w:val="20"/>
              </w:rPr>
              <w:t>25</w:t>
            </w:r>
          </w:p>
        </w:tc>
        <w:tc>
          <w:tcPr>
            <w:tcW w:w="1666" w:type="dxa"/>
            <w:tcBorders>
              <w:top w:val="single" w:sz="6" w:space="0" w:color="008000"/>
            </w:tcBorders>
          </w:tcPr>
          <w:p>
            <w:pPr>
              <w:pStyle w:val="TableParagraph"/>
              <w:spacing w:before="78"/>
              <w:ind w:left="1"/>
              <w:jc w:val="center"/>
              <w:rPr>
                <w:sz w:val="20"/>
              </w:rPr>
            </w:pPr>
            <w:r>
              <w:rPr>
                <w:w w:val="99"/>
                <w:sz w:val="20"/>
              </w:rPr>
              <w:t>3</w:t>
            </w:r>
          </w:p>
        </w:tc>
        <w:tc>
          <w:tcPr>
            <w:tcW w:w="1750" w:type="dxa"/>
            <w:tcBorders>
              <w:top w:val="single" w:sz="6" w:space="0" w:color="008000"/>
            </w:tcBorders>
          </w:tcPr>
          <w:p>
            <w:pPr>
              <w:pStyle w:val="TableParagraph"/>
              <w:spacing w:before="78"/>
              <w:ind w:right="749"/>
              <w:jc w:val="right"/>
              <w:rPr>
                <w:sz w:val="20"/>
              </w:rPr>
            </w:pPr>
            <w:r>
              <w:rPr>
                <w:w w:val="95"/>
                <w:sz w:val="20"/>
              </w:rPr>
              <w:t>25</w:t>
            </w:r>
          </w:p>
        </w:tc>
      </w:tr>
      <w:tr>
        <w:trPr>
          <w:trHeight w:val="410" w:hRule="atLeast"/>
        </w:trPr>
        <w:tc>
          <w:tcPr>
            <w:tcW w:w="2055" w:type="dxa"/>
          </w:tcPr>
          <w:p>
            <w:pPr>
              <w:pStyle w:val="TableParagraph"/>
              <w:spacing w:before="84"/>
              <w:ind w:left="294"/>
              <w:rPr>
                <w:sz w:val="20"/>
              </w:rPr>
            </w:pPr>
            <w:r>
              <w:rPr>
                <w:sz w:val="20"/>
              </w:rPr>
              <w:t>Kolon Tümör</w:t>
            </w:r>
          </w:p>
        </w:tc>
        <w:tc>
          <w:tcPr>
            <w:tcW w:w="1365" w:type="dxa"/>
          </w:tcPr>
          <w:p>
            <w:pPr>
              <w:pStyle w:val="TableParagraph"/>
              <w:spacing w:before="84"/>
              <w:ind w:left="476"/>
              <w:rPr>
                <w:sz w:val="20"/>
              </w:rPr>
            </w:pPr>
            <w:r>
              <w:rPr>
                <w:w w:val="99"/>
                <w:sz w:val="20"/>
              </w:rPr>
              <w:t>9</w:t>
            </w:r>
          </w:p>
        </w:tc>
        <w:tc>
          <w:tcPr>
            <w:tcW w:w="1776" w:type="dxa"/>
          </w:tcPr>
          <w:p>
            <w:pPr>
              <w:pStyle w:val="TableParagraph"/>
              <w:spacing w:before="84"/>
              <w:ind w:left="756" w:right="756"/>
              <w:jc w:val="center"/>
              <w:rPr>
                <w:sz w:val="20"/>
              </w:rPr>
            </w:pPr>
            <w:r>
              <w:rPr>
                <w:sz w:val="20"/>
              </w:rPr>
              <w:t>75</w:t>
            </w:r>
          </w:p>
        </w:tc>
        <w:tc>
          <w:tcPr>
            <w:tcW w:w="1666" w:type="dxa"/>
          </w:tcPr>
          <w:p>
            <w:pPr>
              <w:pStyle w:val="TableParagraph"/>
              <w:spacing w:before="84"/>
              <w:ind w:left="1"/>
              <w:jc w:val="center"/>
              <w:rPr>
                <w:sz w:val="20"/>
              </w:rPr>
            </w:pPr>
            <w:r>
              <w:rPr>
                <w:w w:val="99"/>
                <w:sz w:val="20"/>
              </w:rPr>
              <w:t>7</w:t>
            </w:r>
          </w:p>
        </w:tc>
        <w:tc>
          <w:tcPr>
            <w:tcW w:w="1750" w:type="dxa"/>
          </w:tcPr>
          <w:p>
            <w:pPr>
              <w:pStyle w:val="TableParagraph"/>
              <w:spacing w:before="84"/>
              <w:ind w:right="749"/>
              <w:jc w:val="right"/>
              <w:rPr>
                <w:sz w:val="20"/>
              </w:rPr>
            </w:pPr>
            <w:r>
              <w:rPr>
                <w:w w:val="95"/>
                <w:sz w:val="20"/>
              </w:rPr>
              <w:t>58</w:t>
            </w:r>
          </w:p>
        </w:tc>
      </w:tr>
      <w:tr>
        <w:trPr>
          <w:trHeight w:val="412" w:hRule="atLeast"/>
        </w:trPr>
        <w:tc>
          <w:tcPr>
            <w:tcW w:w="2055" w:type="dxa"/>
            <w:tcBorders>
              <w:bottom w:val="single" w:sz="12" w:space="0" w:color="008000"/>
            </w:tcBorders>
          </w:tcPr>
          <w:p>
            <w:pPr>
              <w:pStyle w:val="TableParagraph"/>
              <w:spacing w:before="89"/>
              <w:ind w:left="400"/>
              <w:rPr>
                <w:sz w:val="20"/>
              </w:rPr>
            </w:pPr>
            <w:r>
              <w:rPr>
                <w:sz w:val="20"/>
              </w:rPr>
              <w:t>Anal Fistül</w:t>
            </w:r>
          </w:p>
        </w:tc>
        <w:tc>
          <w:tcPr>
            <w:tcW w:w="1365" w:type="dxa"/>
            <w:tcBorders>
              <w:bottom w:val="single" w:sz="12" w:space="0" w:color="008000"/>
            </w:tcBorders>
          </w:tcPr>
          <w:p>
            <w:pPr>
              <w:pStyle w:val="TableParagraph"/>
              <w:spacing w:before="89"/>
              <w:ind w:left="476"/>
              <w:rPr>
                <w:sz w:val="20"/>
              </w:rPr>
            </w:pPr>
            <w:r>
              <w:rPr>
                <w:w w:val="99"/>
                <w:sz w:val="20"/>
              </w:rPr>
              <w:t>0</w:t>
            </w:r>
          </w:p>
        </w:tc>
        <w:tc>
          <w:tcPr>
            <w:tcW w:w="1776" w:type="dxa"/>
            <w:tcBorders>
              <w:bottom w:val="single" w:sz="12" w:space="0" w:color="008000"/>
            </w:tcBorders>
          </w:tcPr>
          <w:p>
            <w:pPr>
              <w:pStyle w:val="TableParagraph"/>
              <w:spacing w:before="89"/>
              <w:ind w:left="1"/>
              <w:jc w:val="center"/>
              <w:rPr>
                <w:sz w:val="20"/>
              </w:rPr>
            </w:pPr>
            <w:r>
              <w:rPr>
                <w:w w:val="99"/>
                <w:sz w:val="20"/>
              </w:rPr>
              <w:t>0</w:t>
            </w:r>
          </w:p>
        </w:tc>
        <w:tc>
          <w:tcPr>
            <w:tcW w:w="1666" w:type="dxa"/>
            <w:tcBorders>
              <w:bottom w:val="single" w:sz="12" w:space="0" w:color="008000"/>
            </w:tcBorders>
          </w:tcPr>
          <w:p>
            <w:pPr>
              <w:pStyle w:val="TableParagraph"/>
              <w:spacing w:before="89"/>
              <w:ind w:left="1"/>
              <w:jc w:val="center"/>
              <w:rPr>
                <w:sz w:val="20"/>
              </w:rPr>
            </w:pPr>
            <w:r>
              <w:rPr>
                <w:w w:val="99"/>
                <w:sz w:val="20"/>
              </w:rPr>
              <w:t>2</w:t>
            </w:r>
          </w:p>
        </w:tc>
        <w:tc>
          <w:tcPr>
            <w:tcW w:w="1750" w:type="dxa"/>
            <w:tcBorders>
              <w:bottom w:val="single" w:sz="12" w:space="0" w:color="008000"/>
            </w:tcBorders>
          </w:tcPr>
          <w:p>
            <w:pPr>
              <w:pStyle w:val="TableParagraph"/>
              <w:spacing w:before="89"/>
              <w:ind w:right="749"/>
              <w:jc w:val="right"/>
              <w:rPr>
                <w:sz w:val="20"/>
              </w:rPr>
            </w:pPr>
            <w:r>
              <w:rPr>
                <w:w w:val="95"/>
                <w:sz w:val="20"/>
              </w:rPr>
              <w:t>17</w:t>
            </w:r>
          </w:p>
        </w:tc>
      </w:tr>
    </w:tbl>
    <w:p>
      <w:pPr>
        <w:pStyle w:val="BodyText"/>
      </w:pPr>
    </w:p>
    <w:p>
      <w:pPr>
        <w:pStyle w:val="BodyText"/>
        <w:spacing w:before="9"/>
        <w:rPr>
          <w:sz w:val="21"/>
        </w:rPr>
      </w:pPr>
    </w:p>
    <w:p>
      <w:pPr>
        <w:pStyle w:val="BodyText"/>
        <w:spacing w:line="357" w:lineRule="auto"/>
        <w:ind w:left="588" w:right="294" w:firstLine="708"/>
        <w:jc w:val="both"/>
      </w:pPr>
      <w:r>
        <w:rPr/>
        <w:t>ÇG’da anestezi süreleri 165,33±48,31dakika iken KG’da anestezi süreleri 172±48,21 dakikadır. İki grup arasında anestezi süreleri açısından anlamlı farklılık bulunamadı (p=0,738). Elde edilen veriler tablo 4.3’te gösterilmiştir.</w:t>
      </w:r>
    </w:p>
    <w:p>
      <w:pPr>
        <w:spacing w:after="0" w:line="357" w:lineRule="auto"/>
        <w:jc w:val="both"/>
        <w:sectPr>
          <w:pgSz w:w="11910" w:h="16840"/>
          <w:pgMar w:header="749" w:footer="0" w:top="1320" w:bottom="280" w:left="1680" w:right="840"/>
        </w:sectPr>
      </w:pPr>
    </w:p>
    <w:p>
      <w:pPr>
        <w:pStyle w:val="BodyText"/>
        <w:rPr>
          <w:sz w:val="20"/>
        </w:rPr>
      </w:pPr>
    </w:p>
    <w:p>
      <w:pPr>
        <w:pStyle w:val="BodyText"/>
        <w:spacing w:before="2"/>
        <w:rPr>
          <w:sz w:val="23"/>
        </w:rPr>
      </w:pPr>
    </w:p>
    <w:p>
      <w:pPr>
        <w:spacing w:before="93"/>
        <w:ind w:left="588" w:right="0" w:firstLine="0"/>
        <w:jc w:val="left"/>
        <w:rPr>
          <w:sz w:val="20"/>
        </w:rPr>
      </w:pPr>
      <w:r>
        <w:rPr>
          <w:b/>
          <w:sz w:val="20"/>
        </w:rPr>
        <w:t>Tablo 4.3 </w:t>
      </w:r>
      <w:r>
        <w:rPr>
          <w:sz w:val="20"/>
        </w:rPr>
        <w:t>Gruplar Arası Anestezi Sürelerinin Karşılaştırılması</w:t>
      </w:r>
    </w:p>
    <w:p>
      <w:pPr>
        <w:pStyle w:val="BodyText"/>
        <w:spacing w:before="6"/>
        <w:rPr>
          <w:sz w:val="24"/>
        </w:rPr>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8"/>
        <w:gridCol w:w="1123"/>
        <w:gridCol w:w="1728"/>
        <w:gridCol w:w="1150"/>
        <w:gridCol w:w="1501"/>
        <w:gridCol w:w="1231"/>
      </w:tblGrid>
      <w:tr>
        <w:trPr>
          <w:trHeight w:val="690" w:hRule="atLeast"/>
        </w:trPr>
        <w:tc>
          <w:tcPr>
            <w:tcW w:w="1908" w:type="dxa"/>
            <w:tcBorders>
              <w:top w:val="single" w:sz="12" w:space="0" w:color="008000"/>
              <w:bottom w:val="single" w:sz="4" w:space="0" w:color="008000"/>
            </w:tcBorders>
          </w:tcPr>
          <w:p>
            <w:pPr>
              <w:pStyle w:val="TableParagraph"/>
              <w:spacing w:before="167"/>
              <w:ind w:left="194"/>
              <w:rPr>
                <w:b/>
                <w:sz w:val="20"/>
              </w:rPr>
            </w:pPr>
            <w:r>
              <w:rPr>
                <w:b/>
                <w:sz w:val="20"/>
              </w:rPr>
              <w:t>DEĞİŞKENLER</w:t>
            </w:r>
          </w:p>
        </w:tc>
        <w:tc>
          <w:tcPr>
            <w:tcW w:w="2851" w:type="dxa"/>
            <w:gridSpan w:val="2"/>
            <w:tcBorders>
              <w:top w:val="single" w:sz="12" w:space="0" w:color="008000"/>
              <w:bottom w:val="single" w:sz="4" w:space="0" w:color="008000"/>
            </w:tcBorders>
          </w:tcPr>
          <w:p>
            <w:pPr>
              <w:pStyle w:val="TableParagraph"/>
              <w:spacing w:line="224" w:lineRule="exact"/>
              <w:ind w:right="167"/>
              <w:jc w:val="center"/>
              <w:rPr>
                <w:b/>
                <w:sz w:val="20"/>
              </w:rPr>
            </w:pPr>
            <w:r>
              <w:rPr>
                <w:b/>
                <w:sz w:val="20"/>
              </w:rPr>
              <w:t>ÇG</w:t>
            </w:r>
          </w:p>
          <w:p>
            <w:pPr>
              <w:pStyle w:val="TableParagraph"/>
              <w:tabs>
                <w:tab w:pos="1587" w:val="left" w:leader="none"/>
              </w:tabs>
              <w:spacing w:before="115"/>
              <w:ind w:right="169"/>
              <w:jc w:val="center"/>
              <w:rPr>
                <w:b/>
                <w:sz w:val="20"/>
              </w:rPr>
            </w:pPr>
            <w:r>
              <w:rPr>
                <w:b/>
                <w:sz w:val="20"/>
              </w:rPr>
              <w:t>Min-max</w:t>
              <w:tab/>
              <w:t>X±SS</w:t>
            </w:r>
          </w:p>
        </w:tc>
        <w:tc>
          <w:tcPr>
            <w:tcW w:w="2651" w:type="dxa"/>
            <w:gridSpan w:val="2"/>
            <w:tcBorders>
              <w:top w:val="single" w:sz="12" w:space="0" w:color="008000"/>
              <w:bottom w:val="single" w:sz="4" w:space="0" w:color="008000"/>
            </w:tcBorders>
          </w:tcPr>
          <w:p>
            <w:pPr>
              <w:pStyle w:val="TableParagraph"/>
              <w:spacing w:line="224" w:lineRule="exact"/>
              <w:ind w:right="158"/>
              <w:jc w:val="center"/>
              <w:rPr>
                <w:b/>
                <w:sz w:val="20"/>
              </w:rPr>
            </w:pPr>
            <w:r>
              <w:rPr>
                <w:b/>
                <w:sz w:val="20"/>
              </w:rPr>
              <w:t>KG</w:t>
            </w:r>
          </w:p>
          <w:p>
            <w:pPr>
              <w:pStyle w:val="TableParagraph"/>
              <w:tabs>
                <w:tab w:pos="1420" w:val="left" w:leader="none"/>
              </w:tabs>
              <w:spacing w:before="115"/>
              <w:ind w:right="161"/>
              <w:jc w:val="center"/>
              <w:rPr>
                <w:b/>
                <w:sz w:val="20"/>
              </w:rPr>
            </w:pPr>
            <w:r>
              <w:rPr>
                <w:b/>
                <w:sz w:val="20"/>
              </w:rPr>
              <w:t>Min-max</w:t>
              <w:tab/>
              <w:t>X±SS</w:t>
            </w:r>
          </w:p>
        </w:tc>
        <w:tc>
          <w:tcPr>
            <w:tcW w:w="1231" w:type="dxa"/>
            <w:tcBorders>
              <w:top w:val="single" w:sz="12" w:space="0" w:color="008000"/>
              <w:bottom w:val="single" w:sz="4" w:space="0" w:color="008000"/>
            </w:tcBorders>
          </w:tcPr>
          <w:p>
            <w:pPr>
              <w:pStyle w:val="TableParagraph"/>
              <w:spacing w:before="167"/>
              <w:ind w:right="79"/>
              <w:jc w:val="center"/>
              <w:rPr>
                <w:b/>
                <w:sz w:val="20"/>
              </w:rPr>
            </w:pPr>
            <w:r>
              <w:rPr>
                <w:b/>
                <w:w w:val="99"/>
                <w:sz w:val="20"/>
              </w:rPr>
              <w:t>p</w:t>
            </w:r>
          </w:p>
        </w:tc>
      </w:tr>
      <w:tr>
        <w:trPr>
          <w:trHeight w:val="1002" w:hRule="atLeast"/>
        </w:trPr>
        <w:tc>
          <w:tcPr>
            <w:tcW w:w="1908" w:type="dxa"/>
            <w:tcBorders>
              <w:top w:val="single" w:sz="4" w:space="0" w:color="008000"/>
              <w:bottom w:val="single" w:sz="12" w:space="0" w:color="008000"/>
            </w:tcBorders>
          </w:tcPr>
          <w:p>
            <w:pPr>
              <w:pStyle w:val="TableParagraph"/>
              <w:rPr>
                <w:sz w:val="22"/>
              </w:rPr>
            </w:pPr>
          </w:p>
          <w:p>
            <w:pPr>
              <w:pStyle w:val="TableParagraph"/>
              <w:spacing w:before="152"/>
              <w:ind w:left="732" w:right="226" w:hanging="560"/>
              <w:rPr>
                <w:b/>
                <w:sz w:val="20"/>
              </w:rPr>
            </w:pPr>
            <w:r>
              <w:rPr>
                <w:b/>
                <w:sz w:val="20"/>
              </w:rPr>
              <w:t>Anestezi Süresi (dk)</w:t>
            </w:r>
          </w:p>
        </w:tc>
        <w:tc>
          <w:tcPr>
            <w:tcW w:w="1123" w:type="dxa"/>
            <w:tcBorders>
              <w:top w:val="single" w:sz="4" w:space="0" w:color="008000"/>
              <w:bottom w:val="single" w:sz="12" w:space="0" w:color="008000"/>
            </w:tcBorders>
          </w:tcPr>
          <w:p>
            <w:pPr>
              <w:pStyle w:val="TableParagraph"/>
              <w:rPr>
                <w:sz w:val="22"/>
              </w:rPr>
            </w:pPr>
          </w:p>
          <w:p>
            <w:pPr>
              <w:pStyle w:val="TableParagraph"/>
              <w:spacing w:before="154"/>
              <w:ind w:left="247"/>
              <w:rPr>
                <w:sz w:val="20"/>
              </w:rPr>
            </w:pPr>
            <w:r>
              <w:rPr>
                <w:sz w:val="20"/>
              </w:rPr>
              <w:t>96-248</w:t>
            </w:r>
          </w:p>
        </w:tc>
        <w:tc>
          <w:tcPr>
            <w:tcW w:w="1728" w:type="dxa"/>
            <w:tcBorders>
              <w:top w:val="single" w:sz="4" w:space="0" w:color="008000"/>
              <w:bottom w:val="single" w:sz="12" w:space="0" w:color="008000"/>
            </w:tcBorders>
          </w:tcPr>
          <w:p>
            <w:pPr>
              <w:pStyle w:val="TableParagraph"/>
              <w:rPr>
                <w:sz w:val="22"/>
              </w:rPr>
            </w:pPr>
          </w:p>
          <w:p>
            <w:pPr>
              <w:pStyle w:val="TableParagraph"/>
              <w:spacing w:before="154"/>
              <w:ind w:left="252"/>
              <w:rPr>
                <w:sz w:val="20"/>
              </w:rPr>
            </w:pPr>
            <w:r>
              <w:rPr>
                <w:sz w:val="20"/>
              </w:rPr>
              <w:t>165,33±48,31</w:t>
            </w:r>
          </w:p>
        </w:tc>
        <w:tc>
          <w:tcPr>
            <w:tcW w:w="1150" w:type="dxa"/>
            <w:tcBorders>
              <w:top w:val="single" w:sz="4" w:space="0" w:color="008000"/>
              <w:bottom w:val="single" w:sz="12" w:space="0" w:color="008000"/>
            </w:tcBorders>
          </w:tcPr>
          <w:p>
            <w:pPr>
              <w:pStyle w:val="TableParagraph"/>
              <w:rPr>
                <w:sz w:val="22"/>
              </w:rPr>
            </w:pPr>
          </w:p>
          <w:p>
            <w:pPr>
              <w:pStyle w:val="TableParagraph"/>
              <w:spacing w:before="154"/>
              <w:ind w:left="255"/>
              <w:rPr>
                <w:sz w:val="20"/>
              </w:rPr>
            </w:pPr>
            <w:r>
              <w:rPr>
                <w:sz w:val="20"/>
              </w:rPr>
              <w:t>76-240</w:t>
            </w:r>
          </w:p>
        </w:tc>
        <w:tc>
          <w:tcPr>
            <w:tcW w:w="1501" w:type="dxa"/>
            <w:tcBorders>
              <w:top w:val="single" w:sz="4" w:space="0" w:color="008000"/>
              <w:bottom w:val="single" w:sz="12" w:space="0" w:color="008000"/>
            </w:tcBorders>
          </w:tcPr>
          <w:p>
            <w:pPr>
              <w:pStyle w:val="TableParagraph"/>
              <w:rPr>
                <w:sz w:val="22"/>
              </w:rPr>
            </w:pPr>
          </w:p>
          <w:p>
            <w:pPr>
              <w:pStyle w:val="TableParagraph"/>
              <w:spacing w:before="154"/>
              <w:ind w:left="272"/>
              <w:rPr>
                <w:sz w:val="20"/>
              </w:rPr>
            </w:pPr>
            <w:r>
              <w:rPr>
                <w:sz w:val="20"/>
              </w:rPr>
              <w:t>172±48,21</w:t>
            </w:r>
          </w:p>
        </w:tc>
        <w:tc>
          <w:tcPr>
            <w:tcW w:w="1231" w:type="dxa"/>
            <w:tcBorders>
              <w:top w:val="single" w:sz="4" w:space="0" w:color="008000"/>
              <w:bottom w:val="single" w:sz="12" w:space="0" w:color="008000"/>
            </w:tcBorders>
          </w:tcPr>
          <w:p>
            <w:pPr>
              <w:pStyle w:val="TableParagraph"/>
              <w:rPr>
                <w:sz w:val="22"/>
              </w:rPr>
            </w:pPr>
          </w:p>
          <w:p>
            <w:pPr>
              <w:pStyle w:val="TableParagraph"/>
              <w:spacing w:before="154"/>
              <w:ind w:left="269" w:right="349"/>
              <w:jc w:val="center"/>
              <w:rPr>
                <w:sz w:val="13"/>
              </w:rPr>
            </w:pPr>
            <w:r>
              <w:rPr>
                <w:sz w:val="20"/>
              </w:rPr>
              <w:t>0,738</w:t>
            </w:r>
            <w:r>
              <w:rPr>
                <w:position w:val="6"/>
                <w:sz w:val="13"/>
              </w:rPr>
              <w:t>a</w:t>
            </w:r>
          </w:p>
        </w:tc>
      </w:tr>
    </w:tbl>
    <w:p>
      <w:pPr>
        <w:spacing w:before="0"/>
        <w:ind w:left="588" w:right="0" w:firstLine="0"/>
        <w:jc w:val="left"/>
        <w:rPr>
          <w:sz w:val="20"/>
        </w:rPr>
      </w:pPr>
      <w:r>
        <w:rPr>
          <w:sz w:val="20"/>
        </w:rPr>
        <w:t>a: t-test</w:t>
      </w:r>
    </w:p>
    <w:p>
      <w:pPr>
        <w:pStyle w:val="BodyText"/>
      </w:pPr>
    </w:p>
    <w:p>
      <w:pPr>
        <w:pStyle w:val="BodyText"/>
      </w:pPr>
    </w:p>
    <w:p>
      <w:pPr>
        <w:pStyle w:val="BodyText"/>
        <w:spacing w:before="10"/>
        <w:rPr>
          <w:sz w:val="26"/>
        </w:rPr>
      </w:pPr>
    </w:p>
    <w:p>
      <w:pPr>
        <w:pStyle w:val="BodyText"/>
        <w:spacing w:line="360" w:lineRule="auto"/>
        <w:ind w:left="588" w:right="287" w:firstLine="708"/>
        <w:jc w:val="both"/>
      </w:pPr>
      <w:r>
        <w:rPr/>
        <w:t>Bireylerin cerrahi türleri incelendiğinde KG’da 4 (%33,3) birey hemikolektomi cerrahisi geçirmiş, 7 (%58) birey rektum tümöründe low anterior rezeksiyon cerrahisi geçirmiş ve 1 (%8,7) birey total kolektomi cerrahisi geçirmiştir. ÇG’da ise 5 (%42) birey hemikolektomi cerrahisi geçirmiş, 6 (%50) birey rektum tümöründe low anterior rezeksiyon cerrahisi geçirmiş ve 1 (%8) birey total kolektomi cerrahisi geçirmiştir. Elde edilen veriler Tablo 4.4’te gösterilmiştir.</w:t>
      </w:r>
    </w:p>
    <w:p>
      <w:pPr>
        <w:pStyle w:val="BodyText"/>
        <w:rPr>
          <w:sz w:val="24"/>
        </w:rPr>
      </w:pPr>
    </w:p>
    <w:p>
      <w:pPr>
        <w:pStyle w:val="BodyText"/>
        <w:spacing w:before="7"/>
        <w:rPr>
          <w:sz w:val="33"/>
        </w:rPr>
      </w:pPr>
    </w:p>
    <w:p>
      <w:pPr>
        <w:spacing w:before="0"/>
        <w:ind w:left="588" w:right="0" w:firstLine="0"/>
        <w:jc w:val="left"/>
        <w:rPr>
          <w:sz w:val="20"/>
        </w:rPr>
      </w:pPr>
      <w:r>
        <w:rPr>
          <w:b/>
          <w:sz w:val="20"/>
        </w:rPr>
        <w:t>Tablo 4.4 </w:t>
      </w:r>
      <w:r>
        <w:rPr>
          <w:sz w:val="20"/>
        </w:rPr>
        <w:t>Tüm bireylerin Geçirdiği Operasyon Türleri</w:t>
      </w:r>
    </w:p>
    <w:p>
      <w:pPr>
        <w:pStyle w:val="BodyText"/>
        <w:spacing w:before="3"/>
        <w:rPr>
          <w:sz w:val="24"/>
        </w:rPr>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39"/>
        <w:gridCol w:w="1386"/>
        <w:gridCol w:w="1764"/>
        <w:gridCol w:w="1636"/>
        <w:gridCol w:w="1816"/>
      </w:tblGrid>
      <w:tr>
        <w:trPr>
          <w:trHeight w:val="690" w:hRule="atLeast"/>
        </w:trPr>
        <w:tc>
          <w:tcPr>
            <w:tcW w:w="2039" w:type="dxa"/>
            <w:tcBorders>
              <w:top w:val="single" w:sz="12" w:space="0" w:color="008000"/>
              <w:bottom w:val="single" w:sz="6" w:space="0" w:color="008000"/>
            </w:tcBorders>
          </w:tcPr>
          <w:p>
            <w:pPr>
              <w:pStyle w:val="TableParagraph"/>
              <w:spacing w:line="237" w:lineRule="auto"/>
              <w:ind w:left="350" w:right="646" w:firstLine="5"/>
              <w:jc w:val="center"/>
              <w:rPr>
                <w:b/>
                <w:sz w:val="20"/>
              </w:rPr>
            </w:pPr>
            <w:r>
              <w:rPr>
                <w:b/>
                <w:sz w:val="20"/>
              </w:rPr>
              <w:t>Geçirilen </w:t>
            </w:r>
            <w:r>
              <w:rPr>
                <w:b/>
                <w:spacing w:val="-1"/>
                <w:sz w:val="20"/>
              </w:rPr>
              <w:t>Operasyon</w:t>
            </w:r>
          </w:p>
          <w:p>
            <w:pPr>
              <w:pStyle w:val="TableParagraph"/>
              <w:spacing w:line="215" w:lineRule="exact"/>
              <w:ind w:left="317" w:right="607"/>
              <w:jc w:val="center"/>
              <w:rPr>
                <w:b/>
                <w:sz w:val="20"/>
              </w:rPr>
            </w:pPr>
            <w:r>
              <w:rPr>
                <w:b/>
                <w:sz w:val="20"/>
              </w:rPr>
              <w:t>Türü</w:t>
            </w:r>
          </w:p>
        </w:tc>
        <w:tc>
          <w:tcPr>
            <w:tcW w:w="3150" w:type="dxa"/>
            <w:gridSpan w:val="2"/>
            <w:tcBorders>
              <w:top w:val="single" w:sz="12" w:space="0" w:color="008000"/>
              <w:bottom w:val="single" w:sz="6" w:space="0" w:color="008000"/>
            </w:tcBorders>
          </w:tcPr>
          <w:p>
            <w:pPr>
              <w:pStyle w:val="TableParagraph"/>
              <w:spacing w:line="227" w:lineRule="exact"/>
              <w:ind w:right="320"/>
              <w:jc w:val="center"/>
              <w:rPr>
                <w:b/>
                <w:sz w:val="20"/>
              </w:rPr>
            </w:pPr>
            <w:r>
              <w:rPr>
                <w:b/>
                <w:sz w:val="20"/>
              </w:rPr>
              <w:t>ÇG</w:t>
            </w:r>
          </w:p>
          <w:p>
            <w:pPr>
              <w:pStyle w:val="TableParagraph"/>
              <w:tabs>
                <w:tab w:pos="1699" w:val="left" w:leader="none"/>
              </w:tabs>
              <w:spacing w:before="113"/>
              <w:ind w:right="322"/>
              <w:jc w:val="center"/>
              <w:rPr>
                <w:b/>
                <w:sz w:val="20"/>
              </w:rPr>
            </w:pPr>
            <w:r>
              <w:rPr>
                <w:b/>
                <w:sz w:val="20"/>
              </w:rPr>
              <w:t>N</w:t>
              <w:tab/>
              <w:t>%</w:t>
            </w:r>
          </w:p>
        </w:tc>
        <w:tc>
          <w:tcPr>
            <w:tcW w:w="3452" w:type="dxa"/>
            <w:gridSpan w:val="2"/>
            <w:tcBorders>
              <w:top w:val="single" w:sz="12" w:space="0" w:color="008000"/>
              <w:bottom w:val="single" w:sz="6" w:space="0" w:color="008000"/>
            </w:tcBorders>
          </w:tcPr>
          <w:p>
            <w:pPr>
              <w:pStyle w:val="TableParagraph"/>
              <w:spacing w:line="227" w:lineRule="exact"/>
              <w:ind w:right="37"/>
              <w:jc w:val="center"/>
              <w:rPr>
                <w:b/>
                <w:sz w:val="20"/>
              </w:rPr>
            </w:pPr>
            <w:r>
              <w:rPr>
                <w:b/>
                <w:sz w:val="20"/>
              </w:rPr>
              <w:t>KG</w:t>
            </w:r>
          </w:p>
          <w:p>
            <w:pPr>
              <w:pStyle w:val="TableParagraph"/>
              <w:tabs>
                <w:tab w:pos="1699" w:val="left" w:leader="none"/>
              </w:tabs>
              <w:spacing w:before="113"/>
              <w:ind w:right="38"/>
              <w:jc w:val="center"/>
              <w:rPr>
                <w:b/>
                <w:sz w:val="20"/>
              </w:rPr>
            </w:pPr>
            <w:r>
              <w:rPr>
                <w:b/>
                <w:sz w:val="20"/>
              </w:rPr>
              <w:t>N</w:t>
              <w:tab/>
              <w:t>%</w:t>
            </w:r>
          </w:p>
        </w:tc>
      </w:tr>
      <w:tr>
        <w:trPr>
          <w:trHeight w:val="401" w:hRule="atLeast"/>
        </w:trPr>
        <w:tc>
          <w:tcPr>
            <w:tcW w:w="2039" w:type="dxa"/>
            <w:tcBorders>
              <w:top w:val="single" w:sz="6" w:space="0" w:color="008000"/>
            </w:tcBorders>
          </w:tcPr>
          <w:p>
            <w:pPr>
              <w:pStyle w:val="TableParagraph"/>
              <w:spacing w:before="81"/>
              <w:ind w:left="218"/>
              <w:rPr>
                <w:sz w:val="20"/>
              </w:rPr>
            </w:pPr>
            <w:r>
              <w:rPr>
                <w:sz w:val="20"/>
              </w:rPr>
              <w:t>Hemikolektomi</w:t>
            </w:r>
          </w:p>
        </w:tc>
        <w:tc>
          <w:tcPr>
            <w:tcW w:w="1386" w:type="dxa"/>
            <w:tcBorders>
              <w:top w:val="single" w:sz="6" w:space="0" w:color="008000"/>
            </w:tcBorders>
          </w:tcPr>
          <w:p>
            <w:pPr>
              <w:pStyle w:val="TableParagraph"/>
              <w:spacing w:before="81"/>
              <w:ind w:left="498"/>
              <w:rPr>
                <w:sz w:val="20"/>
              </w:rPr>
            </w:pPr>
            <w:r>
              <w:rPr>
                <w:w w:val="99"/>
                <w:sz w:val="20"/>
              </w:rPr>
              <w:t>5</w:t>
            </w:r>
          </w:p>
        </w:tc>
        <w:tc>
          <w:tcPr>
            <w:tcW w:w="1764" w:type="dxa"/>
            <w:tcBorders>
              <w:top w:val="single" w:sz="6" w:space="0" w:color="008000"/>
            </w:tcBorders>
          </w:tcPr>
          <w:p>
            <w:pPr>
              <w:pStyle w:val="TableParagraph"/>
              <w:spacing w:before="81"/>
              <w:ind w:left="757" w:right="744"/>
              <w:jc w:val="center"/>
              <w:rPr>
                <w:sz w:val="20"/>
              </w:rPr>
            </w:pPr>
            <w:r>
              <w:rPr>
                <w:sz w:val="20"/>
              </w:rPr>
              <w:t>42</w:t>
            </w:r>
          </w:p>
        </w:tc>
        <w:tc>
          <w:tcPr>
            <w:tcW w:w="1636" w:type="dxa"/>
            <w:tcBorders>
              <w:top w:val="single" w:sz="6" w:space="0" w:color="008000"/>
            </w:tcBorders>
          </w:tcPr>
          <w:p>
            <w:pPr>
              <w:pStyle w:val="TableParagraph"/>
              <w:spacing w:before="81"/>
              <w:ind w:left="56"/>
              <w:jc w:val="center"/>
              <w:rPr>
                <w:sz w:val="20"/>
              </w:rPr>
            </w:pPr>
            <w:r>
              <w:rPr>
                <w:w w:val="99"/>
                <w:sz w:val="20"/>
              </w:rPr>
              <w:t>4</w:t>
            </w:r>
          </w:p>
        </w:tc>
        <w:tc>
          <w:tcPr>
            <w:tcW w:w="1816" w:type="dxa"/>
            <w:tcBorders>
              <w:top w:val="single" w:sz="6" w:space="0" w:color="008000"/>
            </w:tcBorders>
          </w:tcPr>
          <w:p>
            <w:pPr>
              <w:pStyle w:val="TableParagraph"/>
              <w:spacing w:before="81"/>
              <w:ind w:left="736"/>
              <w:rPr>
                <w:sz w:val="20"/>
              </w:rPr>
            </w:pPr>
            <w:r>
              <w:rPr>
                <w:sz w:val="20"/>
              </w:rPr>
              <w:t>33,3</w:t>
            </w:r>
          </w:p>
        </w:tc>
      </w:tr>
      <w:tr>
        <w:trPr>
          <w:trHeight w:val="362" w:hRule="atLeast"/>
        </w:trPr>
        <w:tc>
          <w:tcPr>
            <w:tcW w:w="2039" w:type="dxa"/>
          </w:tcPr>
          <w:p>
            <w:pPr>
              <w:pStyle w:val="TableParagraph"/>
              <w:spacing w:before="83"/>
              <w:ind w:left="184"/>
              <w:rPr>
                <w:sz w:val="20"/>
              </w:rPr>
            </w:pPr>
            <w:r>
              <w:rPr>
                <w:sz w:val="20"/>
              </w:rPr>
              <w:t>Total Kolektomi</w:t>
            </w:r>
          </w:p>
        </w:tc>
        <w:tc>
          <w:tcPr>
            <w:tcW w:w="1386" w:type="dxa"/>
          </w:tcPr>
          <w:p>
            <w:pPr>
              <w:pStyle w:val="TableParagraph"/>
              <w:spacing w:before="83"/>
              <w:ind w:left="498"/>
              <w:rPr>
                <w:sz w:val="20"/>
              </w:rPr>
            </w:pPr>
            <w:r>
              <w:rPr>
                <w:w w:val="99"/>
                <w:sz w:val="20"/>
              </w:rPr>
              <w:t>1</w:t>
            </w:r>
          </w:p>
        </w:tc>
        <w:tc>
          <w:tcPr>
            <w:tcW w:w="1764" w:type="dxa"/>
          </w:tcPr>
          <w:p>
            <w:pPr>
              <w:pStyle w:val="TableParagraph"/>
              <w:spacing w:before="83"/>
              <w:ind w:left="13"/>
              <w:jc w:val="center"/>
              <w:rPr>
                <w:sz w:val="20"/>
              </w:rPr>
            </w:pPr>
            <w:r>
              <w:rPr>
                <w:w w:val="99"/>
                <w:sz w:val="20"/>
              </w:rPr>
              <w:t>8</w:t>
            </w:r>
          </w:p>
        </w:tc>
        <w:tc>
          <w:tcPr>
            <w:tcW w:w="1636" w:type="dxa"/>
          </w:tcPr>
          <w:p>
            <w:pPr>
              <w:pStyle w:val="TableParagraph"/>
              <w:spacing w:before="83"/>
              <w:ind w:left="56"/>
              <w:jc w:val="center"/>
              <w:rPr>
                <w:sz w:val="20"/>
              </w:rPr>
            </w:pPr>
            <w:r>
              <w:rPr>
                <w:w w:val="99"/>
                <w:sz w:val="20"/>
              </w:rPr>
              <w:t>1</w:t>
            </w:r>
          </w:p>
        </w:tc>
        <w:tc>
          <w:tcPr>
            <w:tcW w:w="1816" w:type="dxa"/>
          </w:tcPr>
          <w:p>
            <w:pPr>
              <w:pStyle w:val="TableParagraph"/>
              <w:spacing w:before="83"/>
              <w:ind w:left="791"/>
              <w:rPr>
                <w:sz w:val="20"/>
              </w:rPr>
            </w:pPr>
            <w:r>
              <w:rPr>
                <w:sz w:val="20"/>
              </w:rPr>
              <w:t>8.7</w:t>
            </w:r>
          </w:p>
        </w:tc>
      </w:tr>
      <w:tr>
        <w:trPr>
          <w:trHeight w:val="735" w:hRule="atLeast"/>
        </w:trPr>
        <w:tc>
          <w:tcPr>
            <w:tcW w:w="2039" w:type="dxa"/>
            <w:tcBorders>
              <w:bottom w:val="single" w:sz="12" w:space="0" w:color="008000"/>
            </w:tcBorders>
          </w:tcPr>
          <w:p>
            <w:pPr>
              <w:pStyle w:val="TableParagraph"/>
              <w:spacing w:line="230" w:lineRule="atLeast" w:before="42"/>
              <w:ind w:left="319" w:right="607"/>
              <w:jc w:val="center"/>
              <w:rPr>
                <w:sz w:val="20"/>
              </w:rPr>
            </w:pPr>
            <w:r>
              <w:rPr>
                <w:sz w:val="20"/>
              </w:rPr>
              <w:t>Rektum Low Anterior Rezeksiyon</w:t>
            </w:r>
          </w:p>
        </w:tc>
        <w:tc>
          <w:tcPr>
            <w:tcW w:w="1386" w:type="dxa"/>
            <w:tcBorders>
              <w:bottom w:val="single" w:sz="12" w:space="0" w:color="008000"/>
            </w:tcBorders>
          </w:tcPr>
          <w:p>
            <w:pPr>
              <w:pStyle w:val="TableParagraph"/>
              <w:spacing w:before="8"/>
              <w:rPr>
                <w:sz w:val="23"/>
              </w:rPr>
            </w:pPr>
          </w:p>
          <w:p>
            <w:pPr>
              <w:pStyle w:val="TableParagraph"/>
              <w:ind w:left="498"/>
              <w:rPr>
                <w:sz w:val="20"/>
              </w:rPr>
            </w:pPr>
            <w:r>
              <w:rPr>
                <w:w w:val="99"/>
                <w:sz w:val="20"/>
              </w:rPr>
              <w:t>6</w:t>
            </w:r>
          </w:p>
        </w:tc>
        <w:tc>
          <w:tcPr>
            <w:tcW w:w="1764" w:type="dxa"/>
            <w:tcBorders>
              <w:bottom w:val="single" w:sz="12" w:space="0" w:color="008000"/>
            </w:tcBorders>
          </w:tcPr>
          <w:p>
            <w:pPr>
              <w:pStyle w:val="TableParagraph"/>
              <w:spacing w:before="8"/>
              <w:rPr>
                <w:sz w:val="23"/>
              </w:rPr>
            </w:pPr>
          </w:p>
          <w:p>
            <w:pPr>
              <w:pStyle w:val="TableParagraph"/>
              <w:ind w:left="757" w:right="744"/>
              <w:jc w:val="center"/>
              <w:rPr>
                <w:sz w:val="20"/>
              </w:rPr>
            </w:pPr>
            <w:r>
              <w:rPr>
                <w:sz w:val="20"/>
              </w:rPr>
              <w:t>50</w:t>
            </w:r>
          </w:p>
        </w:tc>
        <w:tc>
          <w:tcPr>
            <w:tcW w:w="1636" w:type="dxa"/>
            <w:tcBorders>
              <w:bottom w:val="single" w:sz="12" w:space="0" w:color="008000"/>
            </w:tcBorders>
          </w:tcPr>
          <w:p>
            <w:pPr>
              <w:pStyle w:val="TableParagraph"/>
              <w:spacing w:before="8"/>
              <w:rPr>
                <w:sz w:val="23"/>
              </w:rPr>
            </w:pPr>
          </w:p>
          <w:p>
            <w:pPr>
              <w:pStyle w:val="TableParagraph"/>
              <w:ind w:left="56"/>
              <w:jc w:val="center"/>
              <w:rPr>
                <w:sz w:val="20"/>
              </w:rPr>
            </w:pPr>
            <w:r>
              <w:rPr>
                <w:w w:val="99"/>
                <w:sz w:val="20"/>
              </w:rPr>
              <w:t>7</w:t>
            </w:r>
          </w:p>
        </w:tc>
        <w:tc>
          <w:tcPr>
            <w:tcW w:w="1816" w:type="dxa"/>
            <w:tcBorders>
              <w:bottom w:val="single" w:sz="12" w:space="0" w:color="008000"/>
            </w:tcBorders>
          </w:tcPr>
          <w:p>
            <w:pPr>
              <w:pStyle w:val="TableParagraph"/>
              <w:spacing w:before="8"/>
              <w:rPr>
                <w:sz w:val="23"/>
              </w:rPr>
            </w:pPr>
          </w:p>
          <w:p>
            <w:pPr>
              <w:pStyle w:val="TableParagraph"/>
              <w:ind w:left="820"/>
              <w:rPr>
                <w:sz w:val="20"/>
              </w:rPr>
            </w:pPr>
            <w:r>
              <w:rPr>
                <w:sz w:val="20"/>
              </w:rPr>
              <w:t>58</w:t>
            </w:r>
          </w:p>
        </w:tc>
      </w:tr>
    </w:tbl>
    <w:p>
      <w:pPr>
        <w:pStyle w:val="BodyText"/>
      </w:pPr>
    </w:p>
    <w:p>
      <w:pPr>
        <w:pStyle w:val="BodyText"/>
      </w:pPr>
    </w:p>
    <w:p>
      <w:pPr>
        <w:pStyle w:val="BodyText"/>
      </w:pPr>
    </w:p>
    <w:p>
      <w:pPr>
        <w:pStyle w:val="BodyText"/>
        <w:spacing w:before="5"/>
        <w:rPr>
          <w:sz w:val="31"/>
        </w:rPr>
      </w:pPr>
    </w:p>
    <w:p>
      <w:pPr>
        <w:pStyle w:val="Heading2"/>
        <w:numPr>
          <w:ilvl w:val="1"/>
          <w:numId w:val="6"/>
        </w:numPr>
        <w:tabs>
          <w:tab w:pos="956" w:val="left" w:leader="none"/>
        </w:tabs>
        <w:spacing w:line="240" w:lineRule="auto" w:before="0" w:after="0"/>
        <w:ind w:left="955" w:right="0" w:hanging="368"/>
        <w:jc w:val="left"/>
      </w:pPr>
      <w:bookmarkStart w:name="_bookmark47" w:id="87"/>
      <w:bookmarkEnd w:id="87"/>
      <w:r>
        <w:rPr>
          <w:b w:val="0"/>
        </w:rPr>
      </w:r>
      <w:bookmarkStart w:name="_bookmark47" w:id="88"/>
      <w:bookmarkEnd w:id="88"/>
      <w:r>
        <w:rPr/>
        <w:t>G</w:t>
      </w:r>
      <w:r>
        <w:rPr/>
        <w:t>rupların Tedavi Öncesi ve Sonrası Verilerinin</w:t>
      </w:r>
      <w:r>
        <w:rPr>
          <w:spacing w:val="-5"/>
        </w:rPr>
        <w:t> </w:t>
      </w:r>
      <w:r>
        <w:rPr/>
        <w:t>Karşılaştırılması</w:t>
      </w:r>
    </w:p>
    <w:p>
      <w:pPr>
        <w:pStyle w:val="BodyText"/>
        <w:rPr>
          <w:b/>
          <w:sz w:val="25"/>
        </w:rPr>
      </w:pPr>
    </w:p>
    <w:p>
      <w:pPr>
        <w:pStyle w:val="Heading2"/>
        <w:numPr>
          <w:ilvl w:val="2"/>
          <w:numId w:val="6"/>
        </w:numPr>
        <w:tabs>
          <w:tab w:pos="1203" w:val="left" w:leader="none"/>
        </w:tabs>
        <w:spacing w:line="240" w:lineRule="auto" w:before="0" w:after="0"/>
        <w:ind w:left="1202" w:right="0" w:hanging="615"/>
        <w:jc w:val="left"/>
      </w:pPr>
      <w:bookmarkStart w:name="_bookmark48" w:id="89"/>
      <w:bookmarkEnd w:id="89"/>
      <w:r>
        <w:rPr>
          <w:b w:val="0"/>
        </w:rPr>
      </w:r>
      <w:bookmarkStart w:name="_bookmark48" w:id="90"/>
      <w:bookmarkEnd w:id="90"/>
      <w:r>
        <w:rPr/>
        <w:t>K</w:t>
      </w:r>
      <w:r>
        <w:rPr/>
        <w:t>ontrol Grubunun Tedavi Öncesi ve Sonrası Verilerinin</w:t>
      </w:r>
      <w:r>
        <w:rPr>
          <w:spacing w:val="-14"/>
        </w:rPr>
        <w:t> </w:t>
      </w:r>
      <w:r>
        <w:rPr/>
        <w:t>Karşılaştırılması</w:t>
      </w:r>
    </w:p>
    <w:p>
      <w:pPr>
        <w:pStyle w:val="BodyText"/>
        <w:spacing w:before="7"/>
        <w:rPr>
          <w:b/>
          <w:sz w:val="21"/>
        </w:rPr>
      </w:pPr>
    </w:p>
    <w:p>
      <w:pPr>
        <w:pStyle w:val="BodyText"/>
        <w:spacing w:line="360" w:lineRule="auto"/>
        <w:ind w:left="588" w:right="288" w:firstLine="708"/>
        <w:jc w:val="both"/>
      </w:pPr>
      <w:r>
        <w:rPr/>
        <w:t>Çalışmaya katılan bireylerin inspiratuar kas güçleri preoperatif, postoperatif ve taburculuk öncesi değerlendirildiğinde değerler arasında anlamlı bir fark bulundu </w:t>
      </w:r>
      <w:r>
        <w:rPr>
          <w:position w:val="2"/>
        </w:rPr>
        <w:t>(p&lt;0.05). Preoperatif MİP değeri 67,5±34,37 cmH</w:t>
      </w:r>
      <w:r>
        <w:rPr>
          <w:sz w:val="14"/>
        </w:rPr>
        <w:t>2</w:t>
      </w:r>
      <w:r>
        <w:rPr>
          <w:position w:val="2"/>
        </w:rPr>
        <w:t>O, postoperatif MİP değeri 33,83±14,96 cmH</w:t>
      </w:r>
      <w:r>
        <w:rPr>
          <w:sz w:val="14"/>
        </w:rPr>
        <w:t>2</w:t>
      </w:r>
      <w:r>
        <w:rPr>
          <w:position w:val="2"/>
        </w:rPr>
        <w:t>O ve taburculuk öncesi MİP değeri 53,33±23,7 cmH</w:t>
      </w:r>
      <w:r>
        <w:rPr>
          <w:sz w:val="14"/>
        </w:rPr>
        <w:t>2</w:t>
      </w:r>
      <w:r>
        <w:rPr>
          <w:position w:val="2"/>
        </w:rPr>
        <w:t>O bulunmuştur. </w:t>
      </w:r>
      <w:r>
        <w:rPr/>
        <w:t>Preoperatif</w:t>
      </w:r>
      <w:r>
        <w:rPr>
          <w:spacing w:val="-15"/>
        </w:rPr>
        <w:t> </w:t>
      </w:r>
      <w:r>
        <w:rPr/>
        <w:t>ile</w:t>
      </w:r>
      <w:r>
        <w:rPr>
          <w:spacing w:val="-19"/>
        </w:rPr>
        <w:t> </w:t>
      </w:r>
      <w:r>
        <w:rPr/>
        <w:t>postoperatif</w:t>
      </w:r>
      <w:r>
        <w:rPr>
          <w:spacing w:val="-15"/>
        </w:rPr>
        <w:t> </w:t>
      </w:r>
      <w:r>
        <w:rPr/>
        <w:t>MİP</w:t>
      </w:r>
      <w:r>
        <w:rPr>
          <w:spacing w:val="-16"/>
        </w:rPr>
        <w:t> </w:t>
      </w:r>
      <w:r>
        <w:rPr/>
        <w:t>değerleri,</w:t>
      </w:r>
      <w:r>
        <w:rPr>
          <w:spacing w:val="-18"/>
        </w:rPr>
        <w:t> </w:t>
      </w:r>
      <w:r>
        <w:rPr/>
        <w:t>postoperatif</w:t>
      </w:r>
      <w:r>
        <w:rPr>
          <w:spacing w:val="-14"/>
        </w:rPr>
        <w:t> </w:t>
      </w:r>
      <w:r>
        <w:rPr/>
        <w:t>ile</w:t>
      </w:r>
      <w:r>
        <w:rPr>
          <w:spacing w:val="-17"/>
        </w:rPr>
        <w:t> </w:t>
      </w:r>
      <w:r>
        <w:rPr/>
        <w:t>taburculuk</w:t>
      </w:r>
      <w:r>
        <w:rPr>
          <w:spacing w:val="-16"/>
        </w:rPr>
        <w:t> </w:t>
      </w:r>
      <w:r>
        <w:rPr/>
        <w:t>öncesi</w:t>
      </w:r>
      <w:r>
        <w:rPr>
          <w:spacing w:val="-21"/>
        </w:rPr>
        <w:t> </w:t>
      </w:r>
      <w:r>
        <w:rPr/>
        <w:t>MİP</w:t>
      </w:r>
      <w:r>
        <w:rPr>
          <w:spacing w:val="-16"/>
        </w:rPr>
        <w:t> </w:t>
      </w:r>
      <w:r>
        <w:rPr/>
        <w:t>değerleri</w:t>
      </w:r>
    </w:p>
    <w:p>
      <w:pPr>
        <w:spacing w:after="0" w:line="360" w:lineRule="auto"/>
        <w:jc w:val="both"/>
        <w:sectPr>
          <w:pgSz w:w="11910" w:h="16840"/>
          <w:pgMar w:header="749" w:footer="0" w:top="1320" w:bottom="280" w:left="1680" w:right="840"/>
        </w:sectPr>
      </w:pPr>
    </w:p>
    <w:p>
      <w:pPr>
        <w:pStyle w:val="BodyText"/>
        <w:spacing w:line="357" w:lineRule="auto" w:before="88"/>
        <w:ind w:left="588" w:right="301"/>
        <w:jc w:val="both"/>
      </w:pPr>
      <w:r>
        <w:rPr/>
        <w:t>ve preoperatif ile taburculuk öncesi MİP değerleri arasındaki değişimde anlamlı farklılık bulundu (p&lt;0.05). Elde edilen veriler tablo 4.5 ve tablo 4.6’da verilmiştir.</w:t>
      </w:r>
    </w:p>
    <w:p>
      <w:pPr>
        <w:pStyle w:val="BodyText"/>
        <w:spacing w:line="357" w:lineRule="auto" w:before="166"/>
        <w:ind w:left="588" w:right="288" w:firstLine="708"/>
        <w:jc w:val="both"/>
      </w:pPr>
      <w:r>
        <w:rPr/>
        <w:t>Bireylerin ekspiratuar kas güçleri preoperatif, postoperatif ve taburculuk öncesi değerlendirildiğinde anlamlı farklılık bulundu (p&lt;0.05). Preoperatif MEP değeri </w:t>
      </w:r>
      <w:r>
        <w:rPr>
          <w:position w:val="2"/>
        </w:rPr>
        <w:t>69,75±28,93 cmH</w:t>
      </w:r>
      <w:r>
        <w:rPr>
          <w:sz w:val="14"/>
        </w:rPr>
        <w:t>2</w:t>
      </w:r>
      <w:r>
        <w:rPr>
          <w:position w:val="2"/>
        </w:rPr>
        <w:t>O, postoperatif MEP değeri 27,25±7,88 cmH</w:t>
      </w:r>
      <w:r>
        <w:rPr>
          <w:sz w:val="14"/>
        </w:rPr>
        <w:t>2</w:t>
      </w:r>
      <w:r>
        <w:rPr>
          <w:position w:val="2"/>
        </w:rPr>
        <w:t>O ve taburculuk öncesi MEP değeri 40,91±14,06 cmH</w:t>
      </w:r>
      <w:r>
        <w:rPr>
          <w:sz w:val="14"/>
        </w:rPr>
        <w:t>2</w:t>
      </w:r>
      <w:r>
        <w:rPr>
          <w:position w:val="2"/>
        </w:rPr>
        <w:t>O bulunmuştur. Preoperatif ile postoperatif MEP </w:t>
      </w:r>
      <w:r>
        <w:rPr/>
        <w:t>değerleri, postoperatif ile taburculuk öncesi MEP değerleri ve preoperatif ile taburculuk öncesi MEP değerleri arasındaki değişimde anlamlı farklılık bulundu (p&lt;0.05). Elde edilen veriler tablo 4.5 ve tablo 4.6’da verilmiştir.</w:t>
      </w:r>
    </w:p>
    <w:p>
      <w:pPr>
        <w:pStyle w:val="BodyText"/>
        <w:rPr>
          <w:sz w:val="24"/>
        </w:rPr>
      </w:pPr>
    </w:p>
    <w:p>
      <w:pPr>
        <w:pStyle w:val="BodyText"/>
        <w:rPr>
          <w:sz w:val="24"/>
        </w:rPr>
      </w:pPr>
    </w:p>
    <w:p>
      <w:pPr>
        <w:spacing w:line="362" w:lineRule="auto" w:before="156"/>
        <w:ind w:left="588" w:right="300" w:firstLine="0"/>
        <w:jc w:val="both"/>
        <w:rPr>
          <w:sz w:val="20"/>
        </w:rPr>
      </w:pPr>
      <w:r>
        <w:rPr>
          <w:b/>
          <w:sz w:val="20"/>
        </w:rPr>
        <w:t>Tablo 4.5 </w:t>
      </w:r>
      <w:r>
        <w:rPr>
          <w:sz w:val="20"/>
        </w:rPr>
        <w:t>Kontrol Grubu Maksimal İnspiratuar ve Ekspiratuar Basınç Değerlerinin Karşılaştırılması</w:t>
      </w:r>
    </w:p>
    <w:p>
      <w:pPr>
        <w:pStyle w:val="BodyText"/>
        <w:spacing w:before="11"/>
        <w:rPr>
          <w:sz w:val="13"/>
        </w:rPr>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3"/>
        <w:gridCol w:w="1401"/>
        <w:gridCol w:w="1451"/>
        <w:gridCol w:w="771"/>
        <w:gridCol w:w="1452"/>
        <w:gridCol w:w="1414"/>
        <w:gridCol w:w="988"/>
      </w:tblGrid>
      <w:tr>
        <w:trPr>
          <w:trHeight w:val="690" w:hRule="atLeast"/>
        </w:trPr>
        <w:tc>
          <w:tcPr>
            <w:tcW w:w="1123" w:type="dxa"/>
            <w:tcBorders>
              <w:top w:val="single" w:sz="12" w:space="0" w:color="008000"/>
              <w:bottom w:val="single" w:sz="4" w:space="0" w:color="008000"/>
            </w:tcBorders>
          </w:tcPr>
          <w:p>
            <w:pPr>
              <w:pStyle w:val="TableParagraph"/>
              <w:spacing w:line="237" w:lineRule="auto"/>
              <w:ind w:left="130" w:right="139"/>
              <w:jc w:val="center"/>
              <w:rPr>
                <w:b/>
                <w:sz w:val="20"/>
              </w:rPr>
            </w:pPr>
            <w:r>
              <w:rPr>
                <w:b/>
                <w:w w:val="95"/>
                <w:sz w:val="20"/>
              </w:rPr>
              <w:t>Solunum </w:t>
            </w:r>
            <w:r>
              <w:rPr>
                <w:b/>
                <w:sz w:val="20"/>
              </w:rPr>
              <w:t>Kas</w:t>
            </w:r>
          </w:p>
          <w:p>
            <w:pPr>
              <w:pStyle w:val="TableParagraph"/>
              <w:spacing w:line="215" w:lineRule="exact"/>
              <w:ind w:left="129" w:right="139"/>
              <w:jc w:val="center"/>
              <w:rPr>
                <w:b/>
                <w:sz w:val="20"/>
              </w:rPr>
            </w:pPr>
            <w:r>
              <w:rPr>
                <w:b/>
                <w:sz w:val="20"/>
              </w:rPr>
              <w:t>Gücü</w:t>
            </w:r>
          </w:p>
        </w:tc>
        <w:tc>
          <w:tcPr>
            <w:tcW w:w="1401" w:type="dxa"/>
            <w:tcBorders>
              <w:top w:val="single" w:sz="12" w:space="0" w:color="008000"/>
              <w:bottom w:val="single" w:sz="4" w:space="0" w:color="008000"/>
            </w:tcBorders>
          </w:tcPr>
          <w:p>
            <w:pPr>
              <w:pStyle w:val="TableParagraph"/>
              <w:spacing w:line="227" w:lineRule="exact"/>
              <w:ind w:left="148" w:right="157"/>
              <w:jc w:val="center"/>
              <w:rPr>
                <w:b/>
                <w:sz w:val="20"/>
              </w:rPr>
            </w:pPr>
            <w:r>
              <w:rPr>
                <w:b/>
                <w:sz w:val="20"/>
              </w:rPr>
              <w:t>Preoperatif</w:t>
            </w:r>
          </w:p>
          <w:p>
            <w:pPr>
              <w:pStyle w:val="TableParagraph"/>
              <w:spacing w:before="113"/>
              <w:ind w:left="148" w:right="157"/>
              <w:jc w:val="center"/>
              <w:rPr>
                <w:b/>
                <w:sz w:val="20"/>
              </w:rPr>
            </w:pPr>
            <w:r>
              <w:rPr>
                <w:b/>
                <w:sz w:val="20"/>
              </w:rPr>
              <w:t>X±SS</w:t>
            </w:r>
          </w:p>
        </w:tc>
        <w:tc>
          <w:tcPr>
            <w:tcW w:w="1451" w:type="dxa"/>
            <w:tcBorders>
              <w:top w:val="single" w:sz="12" w:space="0" w:color="008000"/>
              <w:bottom w:val="single" w:sz="4" w:space="0" w:color="008000"/>
            </w:tcBorders>
          </w:tcPr>
          <w:p>
            <w:pPr>
              <w:pStyle w:val="TableParagraph"/>
              <w:spacing w:line="227" w:lineRule="exact"/>
              <w:ind w:left="128" w:right="115"/>
              <w:jc w:val="center"/>
              <w:rPr>
                <w:b/>
                <w:sz w:val="20"/>
              </w:rPr>
            </w:pPr>
            <w:r>
              <w:rPr>
                <w:b/>
                <w:sz w:val="20"/>
              </w:rPr>
              <w:t>Postoperatif</w:t>
            </w:r>
          </w:p>
          <w:p>
            <w:pPr>
              <w:pStyle w:val="TableParagraph"/>
              <w:spacing w:before="113"/>
              <w:ind w:left="128" w:right="112"/>
              <w:jc w:val="center"/>
              <w:rPr>
                <w:b/>
                <w:sz w:val="20"/>
              </w:rPr>
            </w:pPr>
            <w:r>
              <w:rPr>
                <w:b/>
                <w:sz w:val="20"/>
              </w:rPr>
              <w:t>X±SS</w:t>
            </w:r>
          </w:p>
        </w:tc>
        <w:tc>
          <w:tcPr>
            <w:tcW w:w="771" w:type="dxa"/>
            <w:tcBorders>
              <w:top w:val="single" w:sz="12" w:space="0" w:color="008000"/>
              <w:bottom w:val="single" w:sz="4" w:space="0" w:color="008000"/>
            </w:tcBorders>
          </w:tcPr>
          <w:p>
            <w:pPr>
              <w:pStyle w:val="TableParagraph"/>
              <w:spacing w:before="167"/>
              <w:jc w:val="center"/>
              <w:rPr>
                <w:b/>
                <w:sz w:val="20"/>
              </w:rPr>
            </w:pPr>
            <w:r>
              <w:rPr>
                <w:b/>
                <w:w w:val="99"/>
                <w:sz w:val="20"/>
              </w:rPr>
              <w:t>p</w:t>
            </w:r>
          </w:p>
        </w:tc>
        <w:tc>
          <w:tcPr>
            <w:tcW w:w="1452" w:type="dxa"/>
            <w:tcBorders>
              <w:top w:val="single" w:sz="12" w:space="0" w:color="008000"/>
              <w:bottom w:val="single" w:sz="4" w:space="0" w:color="008000"/>
            </w:tcBorders>
          </w:tcPr>
          <w:p>
            <w:pPr>
              <w:pStyle w:val="TableParagraph"/>
              <w:spacing w:line="227" w:lineRule="exact"/>
              <w:ind w:left="114" w:right="131"/>
              <w:jc w:val="center"/>
              <w:rPr>
                <w:b/>
                <w:sz w:val="20"/>
              </w:rPr>
            </w:pPr>
            <w:r>
              <w:rPr>
                <w:b/>
                <w:sz w:val="20"/>
              </w:rPr>
              <w:t>Postoperatif</w:t>
            </w:r>
          </w:p>
          <w:p>
            <w:pPr>
              <w:pStyle w:val="TableParagraph"/>
              <w:spacing w:before="113"/>
              <w:ind w:left="114" w:right="128"/>
              <w:jc w:val="center"/>
              <w:rPr>
                <w:b/>
                <w:sz w:val="20"/>
              </w:rPr>
            </w:pPr>
            <w:r>
              <w:rPr>
                <w:b/>
                <w:sz w:val="20"/>
              </w:rPr>
              <w:t>X±SS</w:t>
            </w:r>
          </w:p>
        </w:tc>
        <w:tc>
          <w:tcPr>
            <w:tcW w:w="1414" w:type="dxa"/>
            <w:tcBorders>
              <w:top w:val="single" w:sz="12" w:space="0" w:color="008000"/>
              <w:bottom w:val="single" w:sz="4" w:space="0" w:color="008000"/>
            </w:tcBorders>
          </w:tcPr>
          <w:p>
            <w:pPr>
              <w:pStyle w:val="TableParagraph"/>
              <w:spacing w:line="227" w:lineRule="exact"/>
              <w:ind w:left="129" w:right="132"/>
              <w:jc w:val="center"/>
              <w:rPr>
                <w:b/>
                <w:sz w:val="20"/>
              </w:rPr>
            </w:pPr>
            <w:r>
              <w:rPr>
                <w:b/>
                <w:sz w:val="20"/>
              </w:rPr>
              <w:t>Taburcu</w:t>
            </w:r>
          </w:p>
          <w:p>
            <w:pPr>
              <w:pStyle w:val="TableParagraph"/>
              <w:spacing w:before="113"/>
              <w:ind w:left="129" w:right="133"/>
              <w:jc w:val="center"/>
              <w:rPr>
                <w:b/>
                <w:sz w:val="20"/>
              </w:rPr>
            </w:pPr>
            <w:r>
              <w:rPr>
                <w:b/>
                <w:sz w:val="20"/>
              </w:rPr>
              <w:t>X±SS</w:t>
            </w:r>
          </w:p>
        </w:tc>
        <w:tc>
          <w:tcPr>
            <w:tcW w:w="988" w:type="dxa"/>
            <w:tcBorders>
              <w:top w:val="single" w:sz="12" w:space="0" w:color="008000"/>
              <w:bottom w:val="single" w:sz="4" w:space="0" w:color="008000"/>
            </w:tcBorders>
          </w:tcPr>
          <w:p>
            <w:pPr>
              <w:pStyle w:val="TableParagraph"/>
              <w:spacing w:before="167"/>
              <w:ind w:left="2"/>
              <w:jc w:val="center"/>
              <w:rPr>
                <w:b/>
                <w:sz w:val="20"/>
              </w:rPr>
            </w:pPr>
            <w:r>
              <w:rPr>
                <w:b/>
                <w:w w:val="99"/>
                <w:sz w:val="20"/>
              </w:rPr>
              <w:t>p</w:t>
            </w:r>
          </w:p>
        </w:tc>
      </w:tr>
      <w:tr>
        <w:trPr>
          <w:trHeight w:val="716" w:hRule="atLeast"/>
        </w:trPr>
        <w:tc>
          <w:tcPr>
            <w:tcW w:w="1123" w:type="dxa"/>
            <w:tcBorders>
              <w:top w:val="single" w:sz="4" w:space="0" w:color="008000"/>
            </w:tcBorders>
          </w:tcPr>
          <w:p>
            <w:pPr>
              <w:pStyle w:val="TableParagraph"/>
              <w:spacing w:before="126"/>
              <w:ind w:left="170" w:right="160" w:firstLine="208"/>
              <w:rPr>
                <w:sz w:val="20"/>
              </w:rPr>
            </w:pPr>
            <w:r>
              <w:rPr>
                <w:sz w:val="20"/>
              </w:rPr>
              <w:t>MİP </w:t>
            </w:r>
            <w:r>
              <w:rPr>
                <w:position w:val="1"/>
                <w:sz w:val="20"/>
              </w:rPr>
              <w:t>(cmH</w:t>
            </w:r>
            <w:r>
              <w:rPr>
                <w:sz w:val="13"/>
              </w:rPr>
              <w:t>2</w:t>
            </w:r>
            <w:r>
              <w:rPr>
                <w:position w:val="1"/>
                <w:sz w:val="20"/>
              </w:rPr>
              <w:t>O)</w:t>
            </w:r>
          </w:p>
        </w:tc>
        <w:tc>
          <w:tcPr>
            <w:tcW w:w="1401" w:type="dxa"/>
            <w:tcBorders>
              <w:top w:val="single" w:sz="4" w:space="0" w:color="008000"/>
            </w:tcBorders>
          </w:tcPr>
          <w:p>
            <w:pPr>
              <w:pStyle w:val="TableParagraph"/>
              <w:rPr>
                <w:sz w:val="21"/>
              </w:rPr>
            </w:pPr>
          </w:p>
          <w:p>
            <w:pPr>
              <w:pStyle w:val="TableParagraph"/>
              <w:ind w:right="205"/>
              <w:jc w:val="right"/>
              <w:rPr>
                <w:sz w:val="20"/>
              </w:rPr>
            </w:pPr>
            <w:r>
              <w:rPr>
                <w:sz w:val="20"/>
              </w:rPr>
              <w:t>67,5±34,37</w:t>
            </w:r>
          </w:p>
        </w:tc>
        <w:tc>
          <w:tcPr>
            <w:tcW w:w="1451" w:type="dxa"/>
            <w:tcBorders>
              <w:top w:val="single" w:sz="4" w:space="0" w:color="008000"/>
            </w:tcBorders>
          </w:tcPr>
          <w:p>
            <w:pPr>
              <w:pStyle w:val="TableParagraph"/>
              <w:rPr>
                <w:sz w:val="21"/>
              </w:rPr>
            </w:pPr>
          </w:p>
          <w:p>
            <w:pPr>
              <w:pStyle w:val="TableParagraph"/>
              <w:ind w:right="161"/>
              <w:jc w:val="right"/>
              <w:rPr>
                <w:sz w:val="20"/>
              </w:rPr>
            </w:pPr>
            <w:r>
              <w:rPr>
                <w:sz w:val="20"/>
              </w:rPr>
              <w:t>33,83±14,96</w:t>
            </w:r>
          </w:p>
        </w:tc>
        <w:tc>
          <w:tcPr>
            <w:tcW w:w="771" w:type="dxa"/>
            <w:tcBorders>
              <w:top w:val="single" w:sz="4" w:space="0" w:color="008000"/>
            </w:tcBorders>
          </w:tcPr>
          <w:p>
            <w:pPr>
              <w:pStyle w:val="TableParagraph"/>
              <w:rPr>
                <w:sz w:val="21"/>
              </w:rPr>
            </w:pPr>
          </w:p>
          <w:p>
            <w:pPr>
              <w:pStyle w:val="TableParagraph"/>
              <w:ind w:left="115" w:right="115"/>
              <w:jc w:val="center"/>
              <w:rPr>
                <w:sz w:val="20"/>
              </w:rPr>
            </w:pPr>
            <w:r>
              <w:rPr>
                <w:sz w:val="20"/>
              </w:rPr>
              <w:t>0,000</w:t>
            </w:r>
          </w:p>
        </w:tc>
        <w:tc>
          <w:tcPr>
            <w:tcW w:w="1452" w:type="dxa"/>
            <w:tcBorders>
              <w:top w:val="single" w:sz="4" w:space="0" w:color="008000"/>
            </w:tcBorders>
          </w:tcPr>
          <w:p>
            <w:pPr>
              <w:pStyle w:val="TableParagraph"/>
              <w:rPr>
                <w:sz w:val="21"/>
              </w:rPr>
            </w:pPr>
          </w:p>
          <w:p>
            <w:pPr>
              <w:pStyle w:val="TableParagraph"/>
              <w:ind w:left="114" w:right="129"/>
              <w:jc w:val="center"/>
              <w:rPr>
                <w:sz w:val="20"/>
              </w:rPr>
            </w:pPr>
            <w:r>
              <w:rPr>
                <w:sz w:val="20"/>
              </w:rPr>
              <w:t>33,83±14,96</w:t>
            </w:r>
          </w:p>
        </w:tc>
        <w:tc>
          <w:tcPr>
            <w:tcW w:w="1414" w:type="dxa"/>
            <w:tcBorders>
              <w:top w:val="single" w:sz="4" w:space="0" w:color="008000"/>
            </w:tcBorders>
          </w:tcPr>
          <w:p>
            <w:pPr>
              <w:pStyle w:val="TableParagraph"/>
              <w:rPr>
                <w:sz w:val="21"/>
              </w:rPr>
            </w:pPr>
          </w:p>
          <w:p>
            <w:pPr>
              <w:pStyle w:val="TableParagraph"/>
              <w:ind w:left="127" w:right="134"/>
              <w:jc w:val="center"/>
              <w:rPr>
                <w:sz w:val="20"/>
              </w:rPr>
            </w:pPr>
            <w:r>
              <w:rPr>
                <w:sz w:val="20"/>
              </w:rPr>
              <w:t>53,33±23,7</w:t>
            </w:r>
          </w:p>
        </w:tc>
        <w:tc>
          <w:tcPr>
            <w:tcW w:w="988" w:type="dxa"/>
            <w:tcBorders>
              <w:top w:val="single" w:sz="4" w:space="0" w:color="008000"/>
            </w:tcBorders>
          </w:tcPr>
          <w:p>
            <w:pPr>
              <w:pStyle w:val="TableParagraph"/>
              <w:rPr>
                <w:sz w:val="21"/>
              </w:rPr>
            </w:pPr>
          </w:p>
          <w:p>
            <w:pPr>
              <w:pStyle w:val="TableParagraph"/>
              <w:ind w:left="129" w:right="128"/>
              <w:jc w:val="center"/>
              <w:rPr>
                <w:sz w:val="13"/>
              </w:rPr>
            </w:pPr>
            <w:r>
              <w:rPr>
                <w:sz w:val="20"/>
              </w:rPr>
              <w:t>&lt;0,001</w:t>
            </w:r>
            <w:r>
              <w:rPr>
                <w:position w:val="6"/>
                <w:sz w:val="13"/>
              </w:rPr>
              <w:t>a</w:t>
            </w:r>
          </w:p>
        </w:tc>
      </w:tr>
      <w:tr>
        <w:trPr>
          <w:trHeight w:val="705" w:hRule="atLeast"/>
        </w:trPr>
        <w:tc>
          <w:tcPr>
            <w:tcW w:w="1123" w:type="dxa"/>
            <w:tcBorders>
              <w:bottom w:val="single" w:sz="12" w:space="0" w:color="008000"/>
            </w:tcBorders>
          </w:tcPr>
          <w:p>
            <w:pPr>
              <w:pStyle w:val="TableParagraph"/>
              <w:spacing w:line="237" w:lineRule="auto" w:before="124"/>
              <w:ind w:left="170" w:right="160" w:firstLine="170"/>
              <w:rPr>
                <w:sz w:val="20"/>
              </w:rPr>
            </w:pPr>
            <w:r>
              <w:rPr>
                <w:sz w:val="20"/>
              </w:rPr>
              <w:t>MEP </w:t>
            </w:r>
            <w:r>
              <w:rPr>
                <w:position w:val="1"/>
                <w:sz w:val="20"/>
              </w:rPr>
              <w:t>(cmH</w:t>
            </w:r>
            <w:r>
              <w:rPr>
                <w:sz w:val="13"/>
              </w:rPr>
              <w:t>2</w:t>
            </w:r>
            <w:r>
              <w:rPr>
                <w:position w:val="1"/>
                <w:sz w:val="20"/>
              </w:rPr>
              <w:t>O)</w:t>
            </w:r>
          </w:p>
        </w:tc>
        <w:tc>
          <w:tcPr>
            <w:tcW w:w="1401" w:type="dxa"/>
            <w:tcBorders>
              <w:bottom w:val="single" w:sz="12" w:space="0" w:color="008000"/>
            </w:tcBorders>
          </w:tcPr>
          <w:p>
            <w:pPr>
              <w:pStyle w:val="TableParagraph"/>
              <w:spacing w:before="219"/>
              <w:ind w:right="150"/>
              <w:jc w:val="right"/>
              <w:rPr>
                <w:rFonts w:ascii="Nirmala UI" w:hAnsi="Nirmala UI"/>
                <w:sz w:val="20"/>
              </w:rPr>
            </w:pPr>
            <w:r>
              <w:rPr>
                <w:sz w:val="20"/>
              </w:rPr>
              <w:t>69,75</w:t>
            </w:r>
            <w:r>
              <w:rPr>
                <w:rFonts w:ascii="Nirmala UI" w:hAnsi="Nirmala UI"/>
                <w:sz w:val="20"/>
              </w:rPr>
              <w:t>±28,93</w:t>
            </w:r>
          </w:p>
        </w:tc>
        <w:tc>
          <w:tcPr>
            <w:tcW w:w="1451" w:type="dxa"/>
            <w:tcBorders>
              <w:bottom w:val="single" w:sz="12" w:space="0" w:color="008000"/>
            </w:tcBorders>
          </w:tcPr>
          <w:p>
            <w:pPr>
              <w:pStyle w:val="TableParagraph"/>
              <w:spacing w:before="7"/>
              <w:rPr>
                <w:sz w:val="20"/>
              </w:rPr>
            </w:pPr>
          </w:p>
          <w:p>
            <w:pPr>
              <w:pStyle w:val="TableParagraph"/>
              <w:spacing w:before="1"/>
              <w:ind w:right="219"/>
              <w:jc w:val="right"/>
              <w:rPr>
                <w:sz w:val="20"/>
              </w:rPr>
            </w:pPr>
            <w:r>
              <w:rPr>
                <w:sz w:val="20"/>
              </w:rPr>
              <w:t>27,25±7,88</w:t>
            </w:r>
          </w:p>
        </w:tc>
        <w:tc>
          <w:tcPr>
            <w:tcW w:w="771" w:type="dxa"/>
            <w:tcBorders>
              <w:bottom w:val="single" w:sz="12" w:space="0" w:color="008000"/>
            </w:tcBorders>
          </w:tcPr>
          <w:p>
            <w:pPr>
              <w:pStyle w:val="TableParagraph"/>
              <w:spacing w:before="7"/>
              <w:rPr>
                <w:sz w:val="20"/>
              </w:rPr>
            </w:pPr>
          </w:p>
          <w:p>
            <w:pPr>
              <w:pStyle w:val="TableParagraph"/>
              <w:spacing w:before="1"/>
              <w:ind w:left="115" w:right="115"/>
              <w:jc w:val="center"/>
              <w:rPr>
                <w:sz w:val="20"/>
              </w:rPr>
            </w:pPr>
            <w:r>
              <w:rPr>
                <w:sz w:val="20"/>
              </w:rPr>
              <w:t>0,000</w:t>
            </w:r>
          </w:p>
        </w:tc>
        <w:tc>
          <w:tcPr>
            <w:tcW w:w="1452" w:type="dxa"/>
            <w:tcBorders>
              <w:bottom w:val="single" w:sz="12" w:space="0" w:color="008000"/>
            </w:tcBorders>
          </w:tcPr>
          <w:p>
            <w:pPr>
              <w:pStyle w:val="TableParagraph"/>
              <w:spacing w:before="7"/>
              <w:rPr>
                <w:sz w:val="20"/>
              </w:rPr>
            </w:pPr>
          </w:p>
          <w:p>
            <w:pPr>
              <w:pStyle w:val="TableParagraph"/>
              <w:spacing w:before="1"/>
              <w:ind w:left="114" w:right="131"/>
              <w:jc w:val="center"/>
              <w:rPr>
                <w:sz w:val="20"/>
              </w:rPr>
            </w:pPr>
            <w:r>
              <w:rPr>
                <w:sz w:val="20"/>
              </w:rPr>
              <w:t>27,25±7,88</w:t>
            </w:r>
          </w:p>
        </w:tc>
        <w:tc>
          <w:tcPr>
            <w:tcW w:w="1414" w:type="dxa"/>
            <w:tcBorders>
              <w:bottom w:val="single" w:sz="12" w:space="0" w:color="008000"/>
            </w:tcBorders>
          </w:tcPr>
          <w:p>
            <w:pPr>
              <w:pStyle w:val="TableParagraph"/>
              <w:spacing w:before="7"/>
              <w:rPr>
                <w:sz w:val="20"/>
              </w:rPr>
            </w:pPr>
          </w:p>
          <w:p>
            <w:pPr>
              <w:pStyle w:val="TableParagraph"/>
              <w:spacing w:before="1"/>
              <w:ind w:left="129" w:right="134"/>
              <w:jc w:val="center"/>
              <w:rPr>
                <w:sz w:val="20"/>
              </w:rPr>
            </w:pPr>
            <w:r>
              <w:rPr>
                <w:sz w:val="20"/>
              </w:rPr>
              <w:t>40,91±14,06</w:t>
            </w:r>
          </w:p>
        </w:tc>
        <w:tc>
          <w:tcPr>
            <w:tcW w:w="988" w:type="dxa"/>
            <w:tcBorders>
              <w:bottom w:val="single" w:sz="12" w:space="0" w:color="008000"/>
            </w:tcBorders>
          </w:tcPr>
          <w:p>
            <w:pPr>
              <w:pStyle w:val="TableParagraph"/>
              <w:spacing w:before="7"/>
              <w:rPr>
                <w:sz w:val="20"/>
              </w:rPr>
            </w:pPr>
          </w:p>
          <w:p>
            <w:pPr>
              <w:pStyle w:val="TableParagraph"/>
              <w:spacing w:before="1"/>
              <w:ind w:left="129" w:right="128"/>
              <w:jc w:val="center"/>
              <w:rPr>
                <w:sz w:val="13"/>
              </w:rPr>
            </w:pPr>
            <w:r>
              <w:rPr>
                <w:sz w:val="20"/>
              </w:rPr>
              <w:t>0,002</w:t>
            </w:r>
            <w:r>
              <w:rPr>
                <w:position w:val="6"/>
                <w:sz w:val="13"/>
              </w:rPr>
              <w:t>b</w:t>
            </w:r>
          </w:p>
        </w:tc>
      </w:tr>
    </w:tbl>
    <w:p>
      <w:pPr>
        <w:spacing w:before="0"/>
        <w:ind w:left="588" w:right="0" w:firstLine="0"/>
        <w:jc w:val="both"/>
        <w:rPr>
          <w:sz w:val="20"/>
        </w:rPr>
      </w:pPr>
      <w:r>
        <w:rPr>
          <w:sz w:val="20"/>
        </w:rPr>
        <w:t>a: t-test, b: Wilcoxon Eşleştirilmiş İki Örnek Testi</w:t>
      </w:r>
    </w:p>
    <w:p>
      <w:pPr>
        <w:pStyle w:val="BodyText"/>
      </w:pPr>
    </w:p>
    <w:p>
      <w:pPr>
        <w:pStyle w:val="BodyText"/>
      </w:pPr>
    </w:p>
    <w:p>
      <w:pPr>
        <w:pStyle w:val="BodyText"/>
        <w:spacing w:before="7"/>
        <w:rPr>
          <w:sz w:val="23"/>
        </w:rPr>
      </w:pPr>
    </w:p>
    <w:p>
      <w:pPr>
        <w:spacing w:line="362" w:lineRule="auto" w:before="0"/>
        <w:ind w:left="588" w:right="294" w:firstLine="0"/>
        <w:jc w:val="both"/>
        <w:rPr>
          <w:sz w:val="20"/>
        </w:rPr>
      </w:pPr>
      <w:r>
        <w:rPr>
          <w:b/>
          <w:sz w:val="20"/>
        </w:rPr>
        <w:t>Tablo 4.6 </w:t>
      </w:r>
      <w:r>
        <w:rPr>
          <w:sz w:val="20"/>
        </w:rPr>
        <w:t>Kontrol Grubu Maksimum İnspiratuar ve Ekspiratuar Basınç Değerlerinin Karşılaştırılması</w:t>
      </w:r>
    </w:p>
    <w:p>
      <w:pPr>
        <w:pStyle w:val="BodyText"/>
        <w:spacing w:before="11"/>
        <w:rPr>
          <w:sz w:val="13"/>
        </w:rPr>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1"/>
        <w:gridCol w:w="2378"/>
        <w:gridCol w:w="2423"/>
        <w:gridCol w:w="1626"/>
      </w:tblGrid>
      <w:tr>
        <w:trPr>
          <w:trHeight w:val="690" w:hRule="atLeast"/>
        </w:trPr>
        <w:tc>
          <w:tcPr>
            <w:tcW w:w="2171" w:type="dxa"/>
            <w:tcBorders>
              <w:top w:val="single" w:sz="12" w:space="0" w:color="008000"/>
              <w:bottom w:val="single" w:sz="6" w:space="0" w:color="008000"/>
            </w:tcBorders>
          </w:tcPr>
          <w:p>
            <w:pPr>
              <w:pStyle w:val="TableParagraph"/>
              <w:spacing w:before="112"/>
              <w:ind w:left="739" w:right="516" w:hanging="382"/>
              <w:rPr>
                <w:b/>
                <w:sz w:val="20"/>
              </w:rPr>
            </w:pPr>
            <w:r>
              <w:rPr>
                <w:b/>
                <w:sz w:val="20"/>
              </w:rPr>
              <w:t>Solunum Kas Gücü</w:t>
            </w:r>
          </w:p>
        </w:tc>
        <w:tc>
          <w:tcPr>
            <w:tcW w:w="2378" w:type="dxa"/>
            <w:tcBorders>
              <w:top w:val="single" w:sz="12" w:space="0" w:color="008000"/>
              <w:bottom w:val="single" w:sz="6" w:space="0" w:color="008000"/>
            </w:tcBorders>
          </w:tcPr>
          <w:p>
            <w:pPr>
              <w:pStyle w:val="TableParagraph"/>
              <w:spacing w:line="227" w:lineRule="exact"/>
              <w:ind w:left="545" w:right="737"/>
              <w:jc w:val="center"/>
              <w:rPr>
                <w:b/>
                <w:sz w:val="20"/>
              </w:rPr>
            </w:pPr>
            <w:r>
              <w:rPr>
                <w:b/>
                <w:sz w:val="20"/>
              </w:rPr>
              <w:t>Preoperatif</w:t>
            </w:r>
          </w:p>
          <w:p>
            <w:pPr>
              <w:pStyle w:val="TableParagraph"/>
              <w:spacing w:before="113"/>
              <w:ind w:left="544" w:right="737"/>
              <w:jc w:val="center"/>
              <w:rPr>
                <w:b/>
                <w:sz w:val="20"/>
              </w:rPr>
            </w:pPr>
            <w:r>
              <w:rPr>
                <w:b/>
                <w:sz w:val="20"/>
              </w:rPr>
              <w:t>X±SS</w:t>
            </w:r>
          </w:p>
        </w:tc>
        <w:tc>
          <w:tcPr>
            <w:tcW w:w="2423" w:type="dxa"/>
            <w:tcBorders>
              <w:top w:val="single" w:sz="12" w:space="0" w:color="008000"/>
              <w:bottom w:val="single" w:sz="6" w:space="0" w:color="008000"/>
            </w:tcBorders>
          </w:tcPr>
          <w:p>
            <w:pPr>
              <w:pStyle w:val="TableParagraph"/>
              <w:spacing w:line="227" w:lineRule="exact"/>
              <w:ind w:left="870" w:right="724"/>
              <w:jc w:val="center"/>
              <w:rPr>
                <w:b/>
                <w:sz w:val="20"/>
              </w:rPr>
            </w:pPr>
            <w:r>
              <w:rPr>
                <w:b/>
                <w:sz w:val="20"/>
              </w:rPr>
              <w:t>Taburcu</w:t>
            </w:r>
          </w:p>
          <w:p>
            <w:pPr>
              <w:pStyle w:val="TableParagraph"/>
              <w:spacing w:before="113"/>
              <w:ind w:left="869" w:right="724"/>
              <w:jc w:val="center"/>
              <w:rPr>
                <w:b/>
                <w:sz w:val="20"/>
              </w:rPr>
            </w:pPr>
            <w:r>
              <w:rPr>
                <w:b/>
                <w:sz w:val="20"/>
              </w:rPr>
              <w:t>X±SS</w:t>
            </w:r>
          </w:p>
        </w:tc>
        <w:tc>
          <w:tcPr>
            <w:tcW w:w="1626" w:type="dxa"/>
            <w:tcBorders>
              <w:top w:val="single" w:sz="12" w:space="0" w:color="008000"/>
              <w:bottom w:val="single" w:sz="6" w:space="0" w:color="008000"/>
            </w:tcBorders>
          </w:tcPr>
          <w:p>
            <w:pPr>
              <w:pStyle w:val="TableParagraph"/>
              <w:spacing w:before="169"/>
              <w:ind w:left="111"/>
              <w:jc w:val="center"/>
              <w:rPr>
                <w:b/>
                <w:sz w:val="20"/>
              </w:rPr>
            </w:pPr>
            <w:r>
              <w:rPr>
                <w:b/>
                <w:w w:val="99"/>
                <w:sz w:val="20"/>
              </w:rPr>
              <w:t>p</w:t>
            </w:r>
          </w:p>
        </w:tc>
      </w:tr>
      <w:tr>
        <w:trPr>
          <w:trHeight w:val="679" w:hRule="atLeast"/>
        </w:trPr>
        <w:tc>
          <w:tcPr>
            <w:tcW w:w="2171" w:type="dxa"/>
            <w:tcBorders>
              <w:top w:val="single" w:sz="6" w:space="0" w:color="008000"/>
            </w:tcBorders>
          </w:tcPr>
          <w:p>
            <w:pPr>
              <w:pStyle w:val="TableParagraph"/>
              <w:spacing w:before="10"/>
              <w:rPr>
                <w:sz w:val="19"/>
              </w:rPr>
            </w:pPr>
          </w:p>
          <w:p>
            <w:pPr>
              <w:pStyle w:val="TableParagraph"/>
              <w:spacing w:before="1"/>
              <w:ind w:left="403"/>
              <w:rPr>
                <w:sz w:val="20"/>
              </w:rPr>
            </w:pPr>
            <w:r>
              <w:rPr>
                <w:position w:val="1"/>
                <w:sz w:val="20"/>
              </w:rPr>
              <w:t>MİP (cmH</w:t>
            </w:r>
            <w:r>
              <w:rPr>
                <w:sz w:val="13"/>
              </w:rPr>
              <w:t>2</w:t>
            </w:r>
            <w:r>
              <w:rPr>
                <w:position w:val="1"/>
                <w:sz w:val="20"/>
              </w:rPr>
              <w:t>O)</w:t>
            </w:r>
          </w:p>
        </w:tc>
        <w:tc>
          <w:tcPr>
            <w:tcW w:w="2378" w:type="dxa"/>
            <w:tcBorders>
              <w:top w:val="single" w:sz="6" w:space="0" w:color="008000"/>
            </w:tcBorders>
          </w:tcPr>
          <w:p>
            <w:pPr>
              <w:pStyle w:val="TableParagraph"/>
              <w:spacing w:before="11"/>
              <w:rPr>
                <w:sz w:val="19"/>
              </w:rPr>
            </w:pPr>
          </w:p>
          <w:p>
            <w:pPr>
              <w:pStyle w:val="TableParagraph"/>
              <w:ind w:left="594"/>
              <w:rPr>
                <w:sz w:val="20"/>
              </w:rPr>
            </w:pPr>
            <w:r>
              <w:rPr>
                <w:sz w:val="20"/>
              </w:rPr>
              <w:t>67,5±34,37</w:t>
            </w:r>
          </w:p>
        </w:tc>
        <w:tc>
          <w:tcPr>
            <w:tcW w:w="2423" w:type="dxa"/>
            <w:tcBorders>
              <w:top w:val="single" w:sz="6" w:space="0" w:color="008000"/>
            </w:tcBorders>
          </w:tcPr>
          <w:p>
            <w:pPr>
              <w:pStyle w:val="TableParagraph"/>
              <w:spacing w:before="11"/>
              <w:rPr>
                <w:sz w:val="19"/>
              </w:rPr>
            </w:pPr>
          </w:p>
          <w:p>
            <w:pPr>
              <w:pStyle w:val="TableParagraph"/>
              <w:ind w:left="787"/>
              <w:rPr>
                <w:sz w:val="20"/>
              </w:rPr>
            </w:pPr>
            <w:r>
              <w:rPr>
                <w:sz w:val="20"/>
              </w:rPr>
              <w:t>53,33±23,7</w:t>
            </w:r>
          </w:p>
        </w:tc>
        <w:tc>
          <w:tcPr>
            <w:tcW w:w="1626" w:type="dxa"/>
            <w:tcBorders>
              <w:top w:val="single" w:sz="6" w:space="0" w:color="008000"/>
            </w:tcBorders>
          </w:tcPr>
          <w:p>
            <w:pPr>
              <w:pStyle w:val="TableParagraph"/>
              <w:spacing w:before="11"/>
              <w:rPr>
                <w:sz w:val="19"/>
              </w:rPr>
            </w:pPr>
          </w:p>
          <w:p>
            <w:pPr>
              <w:pStyle w:val="TableParagraph"/>
              <w:ind w:left="561" w:right="451"/>
              <w:jc w:val="center"/>
              <w:rPr>
                <w:sz w:val="13"/>
              </w:rPr>
            </w:pPr>
            <w:r>
              <w:rPr>
                <w:sz w:val="20"/>
              </w:rPr>
              <w:t>0,031</w:t>
            </w:r>
            <w:r>
              <w:rPr>
                <w:position w:val="6"/>
                <w:sz w:val="13"/>
              </w:rPr>
              <w:t>a</w:t>
            </w:r>
          </w:p>
        </w:tc>
      </w:tr>
      <w:tr>
        <w:trPr>
          <w:trHeight w:val="693" w:hRule="atLeast"/>
        </w:trPr>
        <w:tc>
          <w:tcPr>
            <w:tcW w:w="2171" w:type="dxa"/>
            <w:tcBorders>
              <w:bottom w:val="single" w:sz="12" w:space="0" w:color="008000"/>
            </w:tcBorders>
          </w:tcPr>
          <w:p>
            <w:pPr>
              <w:pStyle w:val="TableParagraph"/>
              <w:spacing w:before="7"/>
              <w:rPr>
                <w:sz w:val="20"/>
              </w:rPr>
            </w:pPr>
          </w:p>
          <w:p>
            <w:pPr>
              <w:pStyle w:val="TableParagraph"/>
              <w:ind w:left="364"/>
              <w:rPr>
                <w:sz w:val="20"/>
              </w:rPr>
            </w:pPr>
            <w:r>
              <w:rPr>
                <w:position w:val="1"/>
                <w:sz w:val="20"/>
              </w:rPr>
              <w:t>MEP (cmH</w:t>
            </w:r>
            <w:r>
              <w:rPr>
                <w:sz w:val="13"/>
              </w:rPr>
              <w:t>2</w:t>
            </w:r>
            <w:r>
              <w:rPr>
                <w:position w:val="1"/>
                <w:sz w:val="20"/>
              </w:rPr>
              <w:t>O)</w:t>
            </w:r>
          </w:p>
        </w:tc>
        <w:tc>
          <w:tcPr>
            <w:tcW w:w="2378" w:type="dxa"/>
            <w:tcBorders>
              <w:bottom w:val="single" w:sz="12" w:space="0" w:color="008000"/>
            </w:tcBorders>
          </w:tcPr>
          <w:p>
            <w:pPr>
              <w:pStyle w:val="TableParagraph"/>
              <w:spacing w:before="219"/>
              <w:ind w:left="536"/>
              <w:rPr>
                <w:rFonts w:ascii="Nirmala UI" w:hAnsi="Nirmala UI"/>
                <w:sz w:val="20"/>
              </w:rPr>
            </w:pPr>
            <w:r>
              <w:rPr>
                <w:sz w:val="20"/>
              </w:rPr>
              <w:t>69,75</w:t>
            </w:r>
            <w:r>
              <w:rPr>
                <w:rFonts w:ascii="Nirmala UI" w:hAnsi="Nirmala UI"/>
                <w:sz w:val="20"/>
              </w:rPr>
              <w:t>±28,93</w:t>
            </w:r>
          </w:p>
        </w:tc>
        <w:tc>
          <w:tcPr>
            <w:tcW w:w="2423" w:type="dxa"/>
            <w:tcBorders>
              <w:bottom w:val="single" w:sz="12" w:space="0" w:color="008000"/>
            </w:tcBorders>
          </w:tcPr>
          <w:p>
            <w:pPr>
              <w:pStyle w:val="TableParagraph"/>
              <w:spacing w:before="7"/>
              <w:rPr>
                <w:sz w:val="20"/>
              </w:rPr>
            </w:pPr>
          </w:p>
          <w:p>
            <w:pPr>
              <w:pStyle w:val="TableParagraph"/>
              <w:ind w:left="729"/>
              <w:rPr>
                <w:sz w:val="20"/>
              </w:rPr>
            </w:pPr>
            <w:r>
              <w:rPr>
                <w:sz w:val="20"/>
              </w:rPr>
              <w:t>40,91±14,06</w:t>
            </w:r>
          </w:p>
        </w:tc>
        <w:tc>
          <w:tcPr>
            <w:tcW w:w="1626" w:type="dxa"/>
            <w:tcBorders>
              <w:bottom w:val="single" w:sz="12" w:space="0" w:color="008000"/>
            </w:tcBorders>
          </w:tcPr>
          <w:p>
            <w:pPr>
              <w:pStyle w:val="TableParagraph"/>
              <w:spacing w:before="7"/>
              <w:rPr>
                <w:sz w:val="20"/>
              </w:rPr>
            </w:pPr>
          </w:p>
          <w:p>
            <w:pPr>
              <w:pStyle w:val="TableParagraph"/>
              <w:ind w:left="561" w:right="451"/>
              <w:jc w:val="center"/>
              <w:rPr>
                <w:sz w:val="13"/>
              </w:rPr>
            </w:pPr>
            <w:r>
              <w:rPr>
                <w:sz w:val="20"/>
              </w:rPr>
              <w:t>0,002</w:t>
            </w:r>
            <w:r>
              <w:rPr>
                <w:position w:val="6"/>
                <w:sz w:val="13"/>
              </w:rPr>
              <w:t>b</w:t>
            </w:r>
          </w:p>
        </w:tc>
      </w:tr>
    </w:tbl>
    <w:p>
      <w:pPr>
        <w:spacing w:before="0"/>
        <w:ind w:left="588" w:right="0" w:firstLine="0"/>
        <w:jc w:val="both"/>
        <w:rPr>
          <w:sz w:val="20"/>
        </w:rPr>
      </w:pPr>
      <w:r>
        <w:rPr>
          <w:sz w:val="20"/>
        </w:rPr>
        <w:t>a: t- test, b: Wilcoxon Eşleştirilmiş İki Örnek Testi</w:t>
      </w:r>
    </w:p>
    <w:p>
      <w:pPr>
        <w:pStyle w:val="BodyText"/>
        <w:rPr>
          <w:sz w:val="24"/>
        </w:rPr>
      </w:pPr>
    </w:p>
    <w:p>
      <w:pPr>
        <w:pStyle w:val="BodyText"/>
        <w:spacing w:line="360" w:lineRule="auto" w:before="1"/>
        <w:ind w:left="588" w:right="290" w:firstLine="708"/>
        <w:jc w:val="both"/>
        <w:rPr>
          <w:sz w:val="20"/>
        </w:rPr>
      </w:pPr>
      <w:r>
        <w:rPr/>
        <w:t>Bireyler</w:t>
      </w:r>
      <w:r>
        <w:rPr>
          <w:spacing w:val="-10"/>
        </w:rPr>
        <w:t> </w:t>
      </w:r>
      <w:r>
        <w:rPr/>
        <w:t>fonksiyonel</w:t>
      </w:r>
      <w:r>
        <w:rPr>
          <w:spacing w:val="-9"/>
        </w:rPr>
        <w:t> </w:t>
      </w:r>
      <w:r>
        <w:rPr/>
        <w:t>kapasitesi</w:t>
      </w:r>
      <w:r>
        <w:rPr>
          <w:spacing w:val="-9"/>
        </w:rPr>
        <w:t> </w:t>
      </w:r>
      <w:r>
        <w:rPr/>
        <w:t>6</w:t>
      </w:r>
      <w:r>
        <w:rPr>
          <w:spacing w:val="-10"/>
        </w:rPr>
        <w:t> </w:t>
      </w:r>
      <w:r>
        <w:rPr/>
        <w:t>dakika</w:t>
      </w:r>
      <w:r>
        <w:rPr>
          <w:spacing w:val="-11"/>
        </w:rPr>
        <w:t> </w:t>
      </w:r>
      <w:r>
        <w:rPr/>
        <w:t>yürüme</w:t>
      </w:r>
      <w:r>
        <w:rPr>
          <w:spacing w:val="-8"/>
        </w:rPr>
        <w:t> </w:t>
      </w:r>
      <w:r>
        <w:rPr/>
        <w:t>testi</w:t>
      </w:r>
      <w:r>
        <w:rPr>
          <w:spacing w:val="-8"/>
        </w:rPr>
        <w:t> </w:t>
      </w:r>
      <w:r>
        <w:rPr/>
        <w:t>ile</w:t>
      </w:r>
      <w:r>
        <w:rPr>
          <w:spacing w:val="-8"/>
        </w:rPr>
        <w:t> </w:t>
      </w:r>
      <w:r>
        <w:rPr/>
        <w:t>preoperatif</w:t>
      </w:r>
      <w:r>
        <w:rPr>
          <w:spacing w:val="-7"/>
        </w:rPr>
        <w:t> </w:t>
      </w:r>
      <w:r>
        <w:rPr/>
        <w:t>ve</w:t>
      </w:r>
      <w:r>
        <w:rPr>
          <w:spacing w:val="-8"/>
        </w:rPr>
        <w:t> </w:t>
      </w:r>
      <w:r>
        <w:rPr/>
        <w:t>taburculuk öncesi dönemlerde 6 dakika yürüme testi mesafesi (6DYTM) ile belirlendi. Preoperatif 6DYTM ortalaması 439,47±80,67 iken taburculuk öncesi 6DYTM ortalaması 319,24±84,91 olarak belirlenmiştir. Bu verilere göre preoperatif ve taburculuk öncesi fonksiyonel</w:t>
      </w:r>
      <w:r>
        <w:rPr>
          <w:spacing w:val="-7"/>
        </w:rPr>
        <w:t> </w:t>
      </w:r>
      <w:r>
        <w:rPr/>
        <w:t>kapasite</w:t>
      </w:r>
      <w:r>
        <w:rPr>
          <w:spacing w:val="-6"/>
        </w:rPr>
        <w:t> </w:t>
      </w:r>
      <w:r>
        <w:rPr/>
        <w:t>arasında</w:t>
      </w:r>
      <w:r>
        <w:rPr>
          <w:spacing w:val="-5"/>
        </w:rPr>
        <w:t> </w:t>
      </w:r>
      <w:r>
        <w:rPr/>
        <w:t>anlamlı</w:t>
      </w:r>
      <w:r>
        <w:rPr>
          <w:spacing w:val="-9"/>
        </w:rPr>
        <w:t> </w:t>
      </w:r>
      <w:r>
        <w:rPr/>
        <w:t>bir</w:t>
      </w:r>
      <w:r>
        <w:rPr>
          <w:spacing w:val="-4"/>
        </w:rPr>
        <w:t> </w:t>
      </w:r>
      <w:r>
        <w:rPr/>
        <w:t>fark</w:t>
      </w:r>
      <w:r>
        <w:rPr>
          <w:spacing w:val="-6"/>
        </w:rPr>
        <w:t> </w:t>
      </w:r>
      <w:r>
        <w:rPr/>
        <w:t>gözlenmiştir</w:t>
      </w:r>
      <w:r>
        <w:rPr>
          <w:spacing w:val="-5"/>
        </w:rPr>
        <w:t> </w:t>
      </w:r>
      <w:r>
        <w:rPr/>
        <w:t>(p=0,000).</w:t>
      </w:r>
      <w:r>
        <w:rPr>
          <w:spacing w:val="-4"/>
        </w:rPr>
        <w:t> </w:t>
      </w:r>
      <w:r>
        <w:rPr/>
        <w:t>Elde</w:t>
      </w:r>
      <w:r>
        <w:rPr>
          <w:spacing w:val="-9"/>
        </w:rPr>
        <w:t> </w:t>
      </w:r>
      <w:r>
        <w:rPr/>
        <w:t>edilen</w:t>
      </w:r>
      <w:r>
        <w:rPr>
          <w:spacing w:val="-1"/>
        </w:rPr>
        <w:t> </w:t>
      </w:r>
      <w:r>
        <w:rPr/>
        <w:t>veriler tablo 4.7 da</w:t>
      </w:r>
      <w:r>
        <w:rPr>
          <w:spacing w:val="-3"/>
        </w:rPr>
        <w:t> </w:t>
      </w:r>
      <w:r>
        <w:rPr/>
        <w:t>verilmiştir</w:t>
      </w:r>
      <w:r>
        <w:rPr>
          <w:sz w:val="20"/>
        </w:rPr>
        <w:t>.</w:t>
      </w:r>
    </w:p>
    <w:p>
      <w:pPr>
        <w:spacing w:after="0" w:line="360" w:lineRule="auto"/>
        <w:jc w:val="both"/>
        <w:rPr>
          <w:sz w:val="20"/>
        </w:rPr>
        <w:sectPr>
          <w:pgSz w:w="11910" w:h="16840"/>
          <w:pgMar w:header="749" w:footer="0" w:top="1320" w:bottom="280" w:left="1680" w:right="840"/>
        </w:sectPr>
      </w:pPr>
    </w:p>
    <w:p>
      <w:pPr>
        <w:spacing w:before="85"/>
        <w:ind w:left="588" w:right="0" w:firstLine="0"/>
        <w:jc w:val="left"/>
        <w:rPr>
          <w:sz w:val="20"/>
        </w:rPr>
      </w:pPr>
      <w:r>
        <w:rPr>
          <w:b/>
          <w:sz w:val="20"/>
        </w:rPr>
        <w:t>Tablo 4.7 </w:t>
      </w:r>
      <w:r>
        <w:rPr>
          <w:sz w:val="20"/>
        </w:rPr>
        <w:t>Kontrol Grubu 6 Dakika Yürüme Mesafeleri Karşılaştırması</w:t>
      </w:r>
    </w:p>
    <w:p>
      <w:pPr>
        <w:pStyle w:val="BodyText"/>
        <w:spacing w:before="4"/>
        <w:rPr>
          <w:sz w:val="24"/>
        </w:rPr>
      </w:pPr>
    </w:p>
    <w:tbl>
      <w:tblPr>
        <w:tblW w:w="0" w:type="auto"/>
        <w:jc w:val="left"/>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0"/>
        <w:gridCol w:w="2012"/>
        <w:gridCol w:w="1955"/>
        <w:gridCol w:w="1727"/>
        <w:gridCol w:w="1136"/>
      </w:tblGrid>
      <w:tr>
        <w:trPr>
          <w:trHeight w:val="690" w:hRule="atLeast"/>
        </w:trPr>
        <w:tc>
          <w:tcPr>
            <w:tcW w:w="1660" w:type="dxa"/>
            <w:tcBorders>
              <w:top w:val="single" w:sz="12" w:space="0" w:color="008000"/>
              <w:bottom w:val="single" w:sz="4" w:space="0" w:color="008000"/>
            </w:tcBorders>
          </w:tcPr>
          <w:p>
            <w:pPr>
              <w:pStyle w:val="TableParagraph"/>
              <w:spacing w:before="8"/>
              <w:rPr>
                <w:sz w:val="19"/>
              </w:rPr>
            </w:pPr>
          </w:p>
          <w:p>
            <w:pPr>
              <w:pStyle w:val="TableParagraph"/>
              <w:ind w:left="271" w:right="335"/>
              <w:jc w:val="center"/>
              <w:rPr>
                <w:b/>
                <w:sz w:val="20"/>
              </w:rPr>
            </w:pPr>
            <w:r>
              <w:rPr>
                <w:b/>
                <w:sz w:val="20"/>
              </w:rPr>
              <w:t>6DYTM</w:t>
            </w:r>
          </w:p>
        </w:tc>
        <w:tc>
          <w:tcPr>
            <w:tcW w:w="2012" w:type="dxa"/>
            <w:tcBorders>
              <w:top w:val="single" w:sz="12" w:space="0" w:color="008000"/>
              <w:bottom w:val="single" w:sz="4" w:space="0" w:color="008000"/>
            </w:tcBorders>
          </w:tcPr>
          <w:p>
            <w:pPr>
              <w:pStyle w:val="TableParagraph"/>
              <w:spacing w:line="227" w:lineRule="exact"/>
              <w:ind w:left="420" w:right="496"/>
              <w:jc w:val="center"/>
              <w:rPr>
                <w:b/>
                <w:sz w:val="20"/>
              </w:rPr>
            </w:pPr>
            <w:r>
              <w:rPr>
                <w:b/>
                <w:sz w:val="20"/>
              </w:rPr>
              <w:t>Preoperatif</w:t>
            </w:r>
          </w:p>
          <w:p>
            <w:pPr>
              <w:pStyle w:val="TableParagraph"/>
              <w:spacing w:before="113"/>
              <w:ind w:left="420" w:right="492"/>
              <w:jc w:val="center"/>
              <w:rPr>
                <w:b/>
                <w:sz w:val="20"/>
              </w:rPr>
            </w:pPr>
            <w:r>
              <w:rPr>
                <w:b/>
                <w:sz w:val="20"/>
              </w:rPr>
              <w:t>X±SS</w:t>
            </w:r>
          </w:p>
        </w:tc>
        <w:tc>
          <w:tcPr>
            <w:tcW w:w="1955" w:type="dxa"/>
            <w:tcBorders>
              <w:top w:val="single" w:sz="12" w:space="0" w:color="008000"/>
              <w:bottom w:val="single" w:sz="4" w:space="0" w:color="008000"/>
            </w:tcBorders>
          </w:tcPr>
          <w:p>
            <w:pPr>
              <w:pStyle w:val="TableParagraph"/>
              <w:spacing w:line="227" w:lineRule="exact"/>
              <w:ind w:left="631" w:right="495"/>
              <w:jc w:val="center"/>
              <w:rPr>
                <w:b/>
                <w:sz w:val="20"/>
              </w:rPr>
            </w:pPr>
            <w:r>
              <w:rPr>
                <w:b/>
                <w:sz w:val="20"/>
              </w:rPr>
              <w:t>Taburcu</w:t>
            </w:r>
          </w:p>
          <w:p>
            <w:pPr>
              <w:pStyle w:val="TableParagraph"/>
              <w:spacing w:before="113"/>
              <w:ind w:left="630" w:right="495"/>
              <w:jc w:val="center"/>
              <w:rPr>
                <w:b/>
                <w:sz w:val="20"/>
              </w:rPr>
            </w:pPr>
            <w:r>
              <w:rPr>
                <w:b/>
                <w:sz w:val="20"/>
              </w:rPr>
              <w:t>X±SS</w:t>
            </w:r>
          </w:p>
        </w:tc>
        <w:tc>
          <w:tcPr>
            <w:tcW w:w="1727" w:type="dxa"/>
            <w:tcBorders>
              <w:top w:val="single" w:sz="12" w:space="0" w:color="008000"/>
              <w:bottom w:val="single" w:sz="4" w:space="0" w:color="008000"/>
            </w:tcBorders>
          </w:tcPr>
          <w:p>
            <w:pPr>
              <w:pStyle w:val="TableParagraph"/>
              <w:spacing w:line="227" w:lineRule="exact"/>
              <w:ind w:left="503" w:right="404"/>
              <w:jc w:val="center"/>
              <w:rPr>
                <w:b/>
                <w:sz w:val="20"/>
              </w:rPr>
            </w:pPr>
            <w:r>
              <w:rPr>
                <w:b/>
                <w:sz w:val="20"/>
              </w:rPr>
              <w:t>Değişim</w:t>
            </w:r>
          </w:p>
          <w:p>
            <w:pPr>
              <w:pStyle w:val="TableParagraph"/>
              <w:spacing w:before="113"/>
              <w:ind w:left="501" w:right="404"/>
              <w:jc w:val="center"/>
              <w:rPr>
                <w:b/>
                <w:sz w:val="20"/>
              </w:rPr>
            </w:pPr>
            <w:r>
              <w:rPr>
                <w:b/>
                <w:sz w:val="20"/>
              </w:rPr>
              <w:t>X±SS</w:t>
            </w:r>
          </w:p>
        </w:tc>
        <w:tc>
          <w:tcPr>
            <w:tcW w:w="1136" w:type="dxa"/>
            <w:tcBorders>
              <w:top w:val="single" w:sz="12" w:space="0" w:color="008000"/>
              <w:bottom w:val="single" w:sz="4" w:space="0" w:color="008000"/>
            </w:tcBorders>
          </w:tcPr>
          <w:p>
            <w:pPr>
              <w:pStyle w:val="TableParagraph"/>
              <w:spacing w:before="8"/>
              <w:rPr>
                <w:sz w:val="19"/>
              </w:rPr>
            </w:pPr>
          </w:p>
          <w:p>
            <w:pPr>
              <w:pStyle w:val="TableParagraph"/>
              <w:ind w:right="30"/>
              <w:jc w:val="center"/>
              <w:rPr>
                <w:b/>
                <w:sz w:val="20"/>
              </w:rPr>
            </w:pPr>
            <w:r>
              <w:rPr>
                <w:b/>
                <w:w w:val="99"/>
                <w:sz w:val="20"/>
              </w:rPr>
              <w:t>p</w:t>
            </w:r>
          </w:p>
        </w:tc>
      </w:tr>
      <w:tr>
        <w:trPr>
          <w:trHeight w:val="673" w:hRule="atLeast"/>
        </w:trPr>
        <w:tc>
          <w:tcPr>
            <w:tcW w:w="1660" w:type="dxa"/>
            <w:tcBorders>
              <w:top w:val="single" w:sz="4" w:space="0" w:color="008000"/>
              <w:bottom w:val="single" w:sz="12" w:space="0" w:color="008000"/>
            </w:tcBorders>
          </w:tcPr>
          <w:p>
            <w:pPr>
              <w:pStyle w:val="TableParagraph"/>
              <w:spacing w:before="1"/>
              <w:rPr>
                <w:sz w:val="19"/>
              </w:rPr>
            </w:pPr>
          </w:p>
          <w:p>
            <w:pPr>
              <w:pStyle w:val="TableParagraph"/>
              <w:ind w:left="271" w:right="336"/>
              <w:jc w:val="center"/>
              <w:rPr>
                <w:sz w:val="20"/>
              </w:rPr>
            </w:pPr>
            <w:r>
              <w:rPr>
                <w:sz w:val="20"/>
              </w:rPr>
              <w:t>Mesafe (m)</w:t>
            </w:r>
          </w:p>
        </w:tc>
        <w:tc>
          <w:tcPr>
            <w:tcW w:w="2012" w:type="dxa"/>
            <w:tcBorders>
              <w:top w:val="single" w:sz="4" w:space="0" w:color="008000"/>
              <w:bottom w:val="single" w:sz="12" w:space="0" w:color="008000"/>
            </w:tcBorders>
          </w:tcPr>
          <w:p>
            <w:pPr>
              <w:pStyle w:val="TableParagraph"/>
              <w:spacing w:before="1"/>
              <w:rPr>
                <w:sz w:val="19"/>
              </w:rPr>
            </w:pPr>
          </w:p>
          <w:p>
            <w:pPr>
              <w:pStyle w:val="TableParagraph"/>
              <w:ind w:left="358"/>
              <w:rPr>
                <w:sz w:val="20"/>
              </w:rPr>
            </w:pPr>
            <w:r>
              <w:rPr>
                <w:sz w:val="20"/>
              </w:rPr>
              <w:t>439,47±80,67</w:t>
            </w:r>
          </w:p>
        </w:tc>
        <w:tc>
          <w:tcPr>
            <w:tcW w:w="1955" w:type="dxa"/>
            <w:tcBorders>
              <w:top w:val="single" w:sz="4" w:space="0" w:color="008000"/>
              <w:bottom w:val="single" w:sz="12" w:space="0" w:color="008000"/>
            </w:tcBorders>
          </w:tcPr>
          <w:p>
            <w:pPr>
              <w:pStyle w:val="TableParagraph"/>
              <w:spacing w:before="1"/>
              <w:rPr>
                <w:sz w:val="19"/>
              </w:rPr>
            </w:pPr>
          </w:p>
          <w:p>
            <w:pPr>
              <w:pStyle w:val="TableParagraph"/>
              <w:ind w:left="435"/>
              <w:rPr>
                <w:sz w:val="20"/>
              </w:rPr>
            </w:pPr>
            <w:r>
              <w:rPr>
                <w:sz w:val="20"/>
              </w:rPr>
              <w:t>319,24±84,91</w:t>
            </w:r>
          </w:p>
        </w:tc>
        <w:tc>
          <w:tcPr>
            <w:tcW w:w="1727" w:type="dxa"/>
            <w:tcBorders>
              <w:top w:val="single" w:sz="4" w:space="0" w:color="008000"/>
              <w:bottom w:val="single" w:sz="12" w:space="0" w:color="008000"/>
            </w:tcBorders>
          </w:tcPr>
          <w:p>
            <w:pPr>
              <w:pStyle w:val="TableParagraph"/>
              <w:spacing w:before="1"/>
              <w:rPr>
                <w:sz w:val="19"/>
              </w:rPr>
            </w:pPr>
          </w:p>
          <w:p>
            <w:pPr>
              <w:pStyle w:val="TableParagraph"/>
              <w:ind w:left="302"/>
              <w:rPr>
                <w:sz w:val="20"/>
              </w:rPr>
            </w:pPr>
            <w:r>
              <w:rPr>
                <w:sz w:val="20"/>
              </w:rPr>
              <w:t>120,23±60,19</w:t>
            </w:r>
          </w:p>
        </w:tc>
        <w:tc>
          <w:tcPr>
            <w:tcW w:w="1136" w:type="dxa"/>
            <w:tcBorders>
              <w:top w:val="single" w:sz="4" w:space="0" w:color="008000"/>
              <w:bottom w:val="single" w:sz="12" w:space="0" w:color="008000"/>
            </w:tcBorders>
          </w:tcPr>
          <w:p>
            <w:pPr>
              <w:pStyle w:val="TableParagraph"/>
              <w:spacing w:before="1"/>
              <w:rPr>
                <w:sz w:val="19"/>
              </w:rPr>
            </w:pPr>
          </w:p>
          <w:p>
            <w:pPr>
              <w:pStyle w:val="TableParagraph"/>
              <w:ind w:left="187" w:right="219"/>
              <w:jc w:val="center"/>
              <w:rPr>
                <w:sz w:val="13"/>
              </w:rPr>
            </w:pPr>
            <w:r>
              <w:rPr>
                <w:sz w:val="20"/>
              </w:rPr>
              <w:t>&lt;0,001</w:t>
            </w:r>
            <w:r>
              <w:rPr>
                <w:position w:val="6"/>
                <w:sz w:val="13"/>
              </w:rPr>
              <w:t>a</w:t>
            </w:r>
          </w:p>
        </w:tc>
      </w:tr>
    </w:tbl>
    <w:p>
      <w:pPr>
        <w:spacing w:before="0"/>
        <w:ind w:left="588" w:right="0" w:firstLine="0"/>
        <w:jc w:val="left"/>
        <w:rPr>
          <w:sz w:val="20"/>
        </w:rPr>
      </w:pPr>
      <w:r>
        <w:rPr>
          <w:sz w:val="20"/>
        </w:rPr>
        <w:t>a: t-test</w:t>
      </w:r>
    </w:p>
    <w:p>
      <w:pPr>
        <w:pStyle w:val="BodyText"/>
      </w:pPr>
    </w:p>
    <w:p>
      <w:pPr>
        <w:pStyle w:val="BodyText"/>
      </w:pPr>
    </w:p>
    <w:p>
      <w:pPr>
        <w:pStyle w:val="BodyText"/>
        <w:spacing w:before="9"/>
        <w:rPr>
          <w:sz w:val="26"/>
        </w:rPr>
      </w:pPr>
    </w:p>
    <w:p>
      <w:pPr>
        <w:pStyle w:val="BodyText"/>
        <w:spacing w:line="360" w:lineRule="auto"/>
        <w:ind w:left="588" w:right="287" w:firstLine="708"/>
        <w:jc w:val="both"/>
      </w:pPr>
      <w:r>
        <w:rPr/>
        <w:t>Kontrol grubundaki bireylerin preoperatif ve taburcu olmadan önceki dönemde yapılan 6DYT öncesi ve sonrası kalp hızı, oksijen saturasyonu, algılanan dispne ve yorgunluk değerleri ölçülmüştür. Preoperatif yapılan test öncesi kalp hızı ortalama 88,91±14,95 atım/dk iken test sonrası 112,75±14,62 atım/dk olarak artış gösterdi. Bu artış istatistiksel olarak anlamlı bulundu (p&lt;0,001). Taburculuk öncesi kalp hızı değerlerine</w:t>
      </w:r>
      <w:r>
        <w:rPr>
          <w:spacing w:val="-8"/>
        </w:rPr>
        <w:t> </w:t>
      </w:r>
      <w:r>
        <w:rPr/>
        <w:t>bakıldığında</w:t>
      </w:r>
      <w:r>
        <w:rPr>
          <w:spacing w:val="-6"/>
        </w:rPr>
        <w:t> </w:t>
      </w:r>
      <w:r>
        <w:rPr/>
        <w:t>ise</w:t>
      </w:r>
      <w:r>
        <w:rPr>
          <w:spacing w:val="-8"/>
        </w:rPr>
        <w:t> </w:t>
      </w:r>
      <w:r>
        <w:rPr/>
        <w:t>test</w:t>
      </w:r>
      <w:r>
        <w:rPr>
          <w:spacing w:val="-6"/>
        </w:rPr>
        <w:t> </w:t>
      </w:r>
      <w:r>
        <w:rPr/>
        <w:t>öncesi</w:t>
      </w:r>
      <w:r>
        <w:rPr>
          <w:spacing w:val="-12"/>
        </w:rPr>
        <w:t> </w:t>
      </w:r>
      <w:r>
        <w:rPr/>
        <w:t>kalp</w:t>
      </w:r>
      <w:r>
        <w:rPr>
          <w:spacing w:val="-8"/>
        </w:rPr>
        <w:t> </w:t>
      </w:r>
      <w:r>
        <w:rPr/>
        <w:t>hızı</w:t>
      </w:r>
      <w:r>
        <w:rPr>
          <w:spacing w:val="-11"/>
        </w:rPr>
        <w:t> </w:t>
      </w:r>
      <w:r>
        <w:rPr/>
        <w:t>ortalama</w:t>
      </w:r>
      <w:r>
        <w:rPr>
          <w:spacing w:val="-9"/>
        </w:rPr>
        <w:t> </w:t>
      </w:r>
      <w:r>
        <w:rPr/>
        <w:t>85,91±12,56</w:t>
      </w:r>
      <w:r>
        <w:rPr>
          <w:spacing w:val="-9"/>
        </w:rPr>
        <w:t> </w:t>
      </w:r>
      <w:r>
        <w:rPr/>
        <w:t>atım/dk</w:t>
      </w:r>
      <w:r>
        <w:rPr>
          <w:spacing w:val="-8"/>
        </w:rPr>
        <w:t> </w:t>
      </w:r>
      <w:r>
        <w:rPr/>
        <w:t>iken</w:t>
      </w:r>
      <w:r>
        <w:rPr>
          <w:spacing w:val="-10"/>
        </w:rPr>
        <w:t> </w:t>
      </w:r>
      <w:r>
        <w:rPr/>
        <w:t>test sonrasında 102,08±17,93 atım/dk olarak artış gösterdi ve bu artış istatistiksel olarak anlamlı</w:t>
      </w:r>
      <w:r>
        <w:rPr>
          <w:spacing w:val="-10"/>
        </w:rPr>
        <w:t> </w:t>
      </w:r>
      <w:r>
        <w:rPr/>
        <w:t>bulundu</w:t>
      </w:r>
      <w:r>
        <w:rPr>
          <w:spacing w:val="-7"/>
        </w:rPr>
        <w:t> </w:t>
      </w:r>
      <w:r>
        <w:rPr/>
        <w:t>(p=0,003).</w:t>
      </w:r>
      <w:r>
        <w:rPr>
          <w:spacing w:val="-6"/>
        </w:rPr>
        <w:t> </w:t>
      </w:r>
      <w:r>
        <w:rPr/>
        <w:t>Algılanan</w:t>
      </w:r>
      <w:r>
        <w:rPr>
          <w:spacing w:val="-5"/>
        </w:rPr>
        <w:t> </w:t>
      </w:r>
      <w:r>
        <w:rPr/>
        <w:t>yorgunluk</w:t>
      </w:r>
      <w:r>
        <w:rPr>
          <w:spacing w:val="-4"/>
        </w:rPr>
        <w:t> </w:t>
      </w:r>
      <w:r>
        <w:rPr/>
        <w:t>düzeyi</w:t>
      </w:r>
      <w:r>
        <w:rPr>
          <w:spacing w:val="-7"/>
        </w:rPr>
        <w:t> </w:t>
      </w:r>
      <w:r>
        <w:rPr/>
        <w:t>preoperatif</w:t>
      </w:r>
      <w:r>
        <w:rPr>
          <w:spacing w:val="-3"/>
        </w:rPr>
        <w:t> </w:t>
      </w:r>
      <w:r>
        <w:rPr/>
        <w:t>dönemde</w:t>
      </w:r>
      <w:r>
        <w:rPr>
          <w:spacing w:val="-7"/>
        </w:rPr>
        <w:t> </w:t>
      </w:r>
      <w:r>
        <w:rPr/>
        <w:t>test</w:t>
      </w:r>
      <w:r>
        <w:rPr>
          <w:spacing w:val="-8"/>
        </w:rPr>
        <w:t> </w:t>
      </w:r>
      <w:r>
        <w:rPr/>
        <w:t>öncesi ortalama 0 iken test sonrası 2,25±2,37 olarak artış gösterdi. Bu artış istatistiksel olarak anlamlı bulundu (p&lt;0,001). Taburculuk öncesi yorgunluk düzeyleri incelendiğinde test öncesi</w:t>
      </w:r>
      <w:r>
        <w:rPr>
          <w:spacing w:val="-14"/>
        </w:rPr>
        <w:t> </w:t>
      </w:r>
      <w:r>
        <w:rPr/>
        <w:t>ortalama</w:t>
      </w:r>
      <w:r>
        <w:rPr>
          <w:spacing w:val="-12"/>
        </w:rPr>
        <w:t> </w:t>
      </w:r>
      <w:r>
        <w:rPr/>
        <w:t>0,25±0,8</w:t>
      </w:r>
      <w:r>
        <w:rPr>
          <w:spacing w:val="-16"/>
        </w:rPr>
        <w:t> </w:t>
      </w:r>
      <w:r>
        <w:rPr/>
        <w:t>iken</w:t>
      </w:r>
      <w:r>
        <w:rPr>
          <w:spacing w:val="-15"/>
        </w:rPr>
        <w:t> </w:t>
      </w:r>
      <w:r>
        <w:rPr/>
        <w:t>test</w:t>
      </w:r>
      <w:r>
        <w:rPr>
          <w:spacing w:val="-11"/>
        </w:rPr>
        <w:t> </w:t>
      </w:r>
      <w:r>
        <w:rPr/>
        <w:t>sonrası</w:t>
      </w:r>
      <w:r>
        <w:rPr>
          <w:spacing w:val="-16"/>
        </w:rPr>
        <w:t> </w:t>
      </w:r>
      <w:r>
        <w:rPr/>
        <w:t>5,75±2,22</w:t>
      </w:r>
      <w:r>
        <w:rPr>
          <w:spacing w:val="-14"/>
        </w:rPr>
        <w:t> </w:t>
      </w:r>
      <w:r>
        <w:rPr/>
        <w:t>şeklinde</w:t>
      </w:r>
      <w:r>
        <w:rPr>
          <w:spacing w:val="-12"/>
        </w:rPr>
        <w:t> </w:t>
      </w:r>
      <w:r>
        <w:rPr/>
        <w:t>artış</w:t>
      </w:r>
      <w:r>
        <w:rPr>
          <w:spacing w:val="-15"/>
        </w:rPr>
        <w:t> </w:t>
      </w:r>
      <w:r>
        <w:rPr/>
        <w:t>göstermiştir.</w:t>
      </w:r>
      <w:r>
        <w:rPr>
          <w:spacing w:val="-11"/>
        </w:rPr>
        <w:t> </w:t>
      </w:r>
      <w:r>
        <w:rPr/>
        <w:t>Bu</w:t>
      </w:r>
      <w:r>
        <w:rPr>
          <w:spacing w:val="-15"/>
        </w:rPr>
        <w:t> </w:t>
      </w:r>
      <w:r>
        <w:rPr/>
        <w:t>artış istatistiksel olarak anlamlı bulundu (p=0,002). Preoperatif dönemde test öncesi dispne düzeyleri ortalama 0 iken test sonrası 2,25±2,37 olarak artış gösterdi ve bu artış istatistiksel olarak anlamlı bulundu (p=0,018). Taburculuk öncesi dispne düzeylerine incelendiğinde test öncesi ortalama 0,416±1,44 iken test sonrası 3,16±2,75 olarak değişti. Bu değişim istatistiksel olarak anlamlı bulundu (p=0,002). Taburculuk öncesi dönemde</w:t>
      </w:r>
      <w:r>
        <w:rPr>
          <w:spacing w:val="-11"/>
        </w:rPr>
        <w:t> </w:t>
      </w:r>
      <w:r>
        <w:rPr/>
        <w:t>test</w:t>
      </w:r>
      <w:r>
        <w:rPr>
          <w:spacing w:val="-8"/>
        </w:rPr>
        <w:t> </w:t>
      </w:r>
      <w:r>
        <w:rPr/>
        <w:t>öncesi</w:t>
      </w:r>
      <w:r>
        <w:rPr>
          <w:spacing w:val="-11"/>
        </w:rPr>
        <w:t> </w:t>
      </w:r>
      <w:r>
        <w:rPr/>
        <w:t>ve</w:t>
      </w:r>
      <w:r>
        <w:rPr>
          <w:spacing w:val="-9"/>
        </w:rPr>
        <w:t> </w:t>
      </w:r>
      <w:r>
        <w:rPr/>
        <w:t>sonrası</w:t>
      </w:r>
      <w:r>
        <w:rPr>
          <w:spacing w:val="-11"/>
        </w:rPr>
        <w:t> </w:t>
      </w:r>
      <w:r>
        <w:rPr/>
        <w:t>oksijen</w:t>
      </w:r>
      <w:r>
        <w:rPr>
          <w:spacing w:val="-10"/>
        </w:rPr>
        <w:t> </w:t>
      </w:r>
      <w:r>
        <w:rPr/>
        <w:t>saturasyonunda</w:t>
      </w:r>
      <w:r>
        <w:rPr>
          <w:spacing w:val="-8"/>
        </w:rPr>
        <w:t> </w:t>
      </w:r>
      <w:r>
        <w:rPr/>
        <w:t>anlamlı</w:t>
      </w:r>
      <w:r>
        <w:rPr>
          <w:spacing w:val="-11"/>
        </w:rPr>
        <w:t> </w:t>
      </w:r>
      <w:r>
        <w:rPr/>
        <w:t>bir</w:t>
      </w:r>
      <w:r>
        <w:rPr>
          <w:spacing w:val="-6"/>
        </w:rPr>
        <w:t> </w:t>
      </w:r>
      <w:r>
        <w:rPr/>
        <w:t>değişim</w:t>
      </w:r>
      <w:r>
        <w:rPr>
          <w:spacing w:val="-11"/>
        </w:rPr>
        <w:t> </w:t>
      </w:r>
      <w:r>
        <w:rPr/>
        <w:t>gözlenirken (p=0,048)</w:t>
      </w:r>
      <w:r>
        <w:rPr>
          <w:spacing w:val="-10"/>
        </w:rPr>
        <w:t> </w:t>
      </w:r>
      <w:r>
        <w:rPr/>
        <w:t>preoperatif</w:t>
      </w:r>
      <w:r>
        <w:rPr>
          <w:spacing w:val="-6"/>
        </w:rPr>
        <w:t> </w:t>
      </w:r>
      <w:r>
        <w:rPr/>
        <w:t>dönemde</w:t>
      </w:r>
      <w:r>
        <w:rPr>
          <w:spacing w:val="-10"/>
        </w:rPr>
        <w:t> </w:t>
      </w:r>
      <w:r>
        <w:rPr/>
        <w:t>anlamlı</w:t>
      </w:r>
      <w:r>
        <w:rPr>
          <w:spacing w:val="-14"/>
        </w:rPr>
        <w:t> </w:t>
      </w:r>
      <w:r>
        <w:rPr/>
        <w:t>bir</w:t>
      </w:r>
      <w:r>
        <w:rPr>
          <w:spacing w:val="-11"/>
        </w:rPr>
        <w:t> </w:t>
      </w:r>
      <w:r>
        <w:rPr/>
        <w:t>fark</w:t>
      </w:r>
      <w:r>
        <w:rPr>
          <w:spacing w:val="-12"/>
        </w:rPr>
        <w:t> </w:t>
      </w:r>
      <w:r>
        <w:rPr/>
        <w:t>gözlenmedi.</w:t>
      </w:r>
      <w:r>
        <w:rPr>
          <w:spacing w:val="-9"/>
        </w:rPr>
        <w:t> </w:t>
      </w:r>
      <w:r>
        <w:rPr/>
        <w:t>Elde</w:t>
      </w:r>
      <w:r>
        <w:rPr>
          <w:spacing w:val="-10"/>
        </w:rPr>
        <w:t> </w:t>
      </w:r>
      <w:r>
        <w:rPr/>
        <w:t>edilen</w:t>
      </w:r>
      <w:r>
        <w:rPr>
          <w:spacing w:val="-10"/>
        </w:rPr>
        <w:t> </w:t>
      </w:r>
      <w:r>
        <w:rPr/>
        <w:t>veriler</w:t>
      </w:r>
      <w:r>
        <w:rPr>
          <w:spacing w:val="-9"/>
        </w:rPr>
        <w:t> </w:t>
      </w:r>
      <w:r>
        <w:rPr/>
        <w:t>Tablo</w:t>
      </w:r>
      <w:r>
        <w:rPr>
          <w:spacing w:val="-11"/>
        </w:rPr>
        <w:t> </w:t>
      </w:r>
      <w:r>
        <w:rPr/>
        <w:t>4.8 de</w:t>
      </w:r>
      <w:r>
        <w:rPr>
          <w:spacing w:val="-3"/>
        </w:rPr>
        <w:t> </w:t>
      </w:r>
      <w:r>
        <w:rPr/>
        <w:t>gösterilmiştir.</w:t>
      </w:r>
    </w:p>
    <w:p>
      <w:pPr>
        <w:spacing w:after="0" w:line="360" w:lineRule="auto"/>
        <w:jc w:val="both"/>
        <w:sectPr>
          <w:pgSz w:w="11910" w:h="16840"/>
          <w:pgMar w:header="749" w:footer="0" w:top="1320" w:bottom="280" w:left="1680" w:right="840"/>
        </w:sectPr>
      </w:pPr>
    </w:p>
    <w:p>
      <w:pPr>
        <w:spacing w:before="85"/>
        <w:ind w:left="588" w:right="0" w:firstLine="0"/>
        <w:jc w:val="left"/>
        <w:rPr>
          <w:sz w:val="20"/>
        </w:rPr>
      </w:pPr>
      <w:r>
        <w:rPr>
          <w:b/>
          <w:sz w:val="20"/>
        </w:rPr>
        <w:t>Tablo 4.8 </w:t>
      </w:r>
      <w:r>
        <w:rPr>
          <w:sz w:val="20"/>
        </w:rPr>
        <w:t>Kontrol Grubu Kalp Hızı, Okisjen Saturasyonu, Yorgunluk ve Dispne Sonuçları</w:t>
      </w:r>
    </w:p>
    <w:p>
      <w:pPr>
        <w:pStyle w:val="BodyText"/>
        <w:rPr>
          <w:sz w:val="20"/>
        </w:rPr>
      </w:pPr>
    </w:p>
    <w:p>
      <w:pPr>
        <w:pStyle w:val="BodyText"/>
        <w:spacing w:before="3"/>
        <w:rPr>
          <w:sz w:val="17"/>
        </w:rPr>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30"/>
        <w:gridCol w:w="1294"/>
        <w:gridCol w:w="1386"/>
        <w:gridCol w:w="887"/>
        <w:gridCol w:w="1278"/>
        <w:gridCol w:w="1397"/>
        <w:gridCol w:w="918"/>
      </w:tblGrid>
      <w:tr>
        <w:trPr>
          <w:trHeight w:val="366" w:hRule="atLeast"/>
        </w:trPr>
        <w:tc>
          <w:tcPr>
            <w:tcW w:w="1430" w:type="dxa"/>
            <w:tcBorders>
              <w:top w:val="single" w:sz="12" w:space="0" w:color="008000"/>
              <w:bottom w:val="single" w:sz="4" w:space="0" w:color="008000"/>
            </w:tcBorders>
          </w:tcPr>
          <w:p>
            <w:pPr>
              <w:pStyle w:val="TableParagraph"/>
              <w:spacing w:before="64"/>
              <w:ind w:left="134" w:right="122"/>
              <w:jc w:val="center"/>
              <w:rPr>
                <w:b/>
                <w:sz w:val="20"/>
              </w:rPr>
            </w:pPr>
            <w:r>
              <w:rPr>
                <w:b/>
                <w:sz w:val="20"/>
              </w:rPr>
              <w:t>Değişkenler</w:t>
            </w:r>
          </w:p>
        </w:tc>
        <w:tc>
          <w:tcPr>
            <w:tcW w:w="2680" w:type="dxa"/>
            <w:gridSpan w:val="2"/>
            <w:tcBorders>
              <w:top w:val="single" w:sz="12" w:space="0" w:color="008000"/>
              <w:bottom w:val="single" w:sz="4" w:space="0" w:color="008000"/>
            </w:tcBorders>
          </w:tcPr>
          <w:p>
            <w:pPr>
              <w:pStyle w:val="TableParagraph"/>
              <w:spacing w:before="64"/>
              <w:ind w:left="824"/>
              <w:rPr>
                <w:b/>
                <w:sz w:val="20"/>
              </w:rPr>
            </w:pPr>
            <w:r>
              <w:rPr>
                <w:b/>
                <w:sz w:val="20"/>
              </w:rPr>
              <w:t>Preoperatif</w:t>
            </w:r>
          </w:p>
        </w:tc>
        <w:tc>
          <w:tcPr>
            <w:tcW w:w="887" w:type="dxa"/>
            <w:tcBorders>
              <w:top w:val="single" w:sz="12" w:space="0" w:color="008000"/>
              <w:bottom w:val="single" w:sz="4" w:space="0" w:color="008000"/>
            </w:tcBorders>
          </w:tcPr>
          <w:p>
            <w:pPr>
              <w:pStyle w:val="TableParagraph"/>
              <w:spacing w:before="64"/>
              <w:ind w:left="7"/>
              <w:jc w:val="center"/>
              <w:rPr>
                <w:b/>
                <w:sz w:val="20"/>
              </w:rPr>
            </w:pPr>
            <w:r>
              <w:rPr>
                <w:b/>
                <w:w w:val="99"/>
                <w:sz w:val="20"/>
              </w:rPr>
              <w:t>p</w:t>
            </w:r>
          </w:p>
        </w:tc>
        <w:tc>
          <w:tcPr>
            <w:tcW w:w="2675" w:type="dxa"/>
            <w:gridSpan w:val="2"/>
            <w:tcBorders>
              <w:top w:val="single" w:sz="12" w:space="0" w:color="008000"/>
              <w:bottom w:val="single" w:sz="4" w:space="0" w:color="008000"/>
            </w:tcBorders>
          </w:tcPr>
          <w:p>
            <w:pPr>
              <w:pStyle w:val="TableParagraph"/>
              <w:spacing w:before="64"/>
              <w:ind w:left="922" w:right="923"/>
              <w:jc w:val="center"/>
              <w:rPr>
                <w:b/>
                <w:sz w:val="20"/>
              </w:rPr>
            </w:pPr>
            <w:r>
              <w:rPr>
                <w:b/>
                <w:sz w:val="20"/>
              </w:rPr>
              <w:t>Taburcu</w:t>
            </w:r>
          </w:p>
        </w:tc>
        <w:tc>
          <w:tcPr>
            <w:tcW w:w="918" w:type="dxa"/>
            <w:tcBorders>
              <w:top w:val="single" w:sz="12" w:space="0" w:color="008000"/>
              <w:bottom w:val="single" w:sz="4" w:space="0" w:color="008000"/>
            </w:tcBorders>
          </w:tcPr>
          <w:p>
            <w:pPr>
              <w:pStyle w:val="TableParagraph"/>
              <w:spacing w:before="64"/>
              <w:ind w:right="45"/>
              <w:jc w:val="center"/>
              <w:rPr>
                <w:b/>
                <w:sz w:val="20"/>
              </w:rPr>
            </w:pPr>
            <w:r>
              <w:rPr>
                <w:b/>
                <w:w w:val="99"/>
                <w:sz w:val="20"/>
              </w:rPr>
              <w:t>p</w:t>
            </w:r>
          </w:p>
        </w:tc>
      </w:tr>
      <w:tr>
        <w:trPr>
          <w:trHeight w:val="918" w:hRule="atLeast"/>
        </w:trPr>
        <w:tc>
          <w:tcPr>
            <w:tcW w:w="1430" w:type="dxa"/>
            <w:tcBorders>
              <w:top w:val="single" w:sz="4" w:space="0" w:color="008000"/>
              <w:bottom w:val="single" w:sz="4" w:space="0" w:color="008000"/>
            </w:tcBorders>
          </w:tcPr>
          <w:p>
            <w:pPr>
              <w:pStyle w:val="TableParagraph"/>
              <w:rPr>
                <w:rFonts w:ascii="Times New Roman"/>
                <w:sz w:val="20"/>
              </w:rPr>
            </w:pPr>
          </w:p>
        </w:tc>
        <w:tc>
          <w:tcPr>
            <w:tcW w:w="1294" w:type="dxa"/>
            <w:tcBorders>
              <w:top w:val="single" w:sz="4" w:space="0" w:color="008000"/>
              <w:bottom w:val="single" w:sz="4" w:space="0" w:color="008000"/>
            </w:tcBorders>
          </w:tcPr>
          <w:p>
            <w:pPr>
              <w:pStyle w:val="TableParagraph"/>
              <w:spacing w:before="6"/>
              <w:rPr>
                <w:sz w:val="19"/>
              </w:rPr>
            </w:pPr>
          </w:p>
          <w:p>
            <w:pPr>
              <w:pStyle w:val="TableParagraph"/>
              <w:ind w:left="111" w:right="119"/>
              <w:jc w:val="center"/>
              <w:rPr>
                <w:sz w:val="20"/>
              </w:rPr>
            </w:pPr>
            <w:r>
              <w:rPr>
                <w:sz w:val="20"/>
              </w:rPr>
              <w:t>Test öncesi</w:t>
            </w:r>
          </w:p>
          <w:p>
            <w:pPr>
              <w:pStyle w:val="TableParagraph"/>
              <w:spacing w:before="113"/>
              <w:ind w:left="107" w:right="119"/>
              <w:jc w:val="center"/>
              <w:rPr>
                <w:b/>
                <w:sz w:val="20"/>
              </w:rPr>
            </w:pPr>
            <w:r>
              <w:rPr>
                <w:b/>
                <w:sz w:val="20"/>
              </w:rPr>
              <w:t>X±SS</w:t>
            </w:r>
          </w:p>
        </w:tc>
        <w:tc>
          <w:tcPr>
            <w:tcW w:w="1386" w:type="dxa"/>
            <w:tcBorders>
              <w:top w:val="single" w:sz="4" w:space="0" w:color="008000"/>
              <w:bottom w:val="single" w:sz="4" w:space="0" w:color="008000"/>
            </w:tcBorders>
          </w:tcPr>
          <w:p>
            <w:pPr>
              <w:pStyle w:val="TableParagraph"/>
              <w:spacing w:before="6"/>
              <w:rPr>
                <w:sz w:val="19"/>
              </w:rPr>
            </w:pPr>
          </w:p>
          <w:p>
            <w:pPr>
              <w:pStyle w:val="TableParagraph"/>
              <w:ind w:left="118" w:right="115"/>
              <w:jc w:val="center"/>
              <w:rPr>
                <w:sz w:val="20"/>
              </w:rPr>
            </w:pPr>
            <w:r>
              <w:rPr>
                <w:sz w:val="20"/>
              </w:rPr>
              <w:t>Test sonrası</w:t>
            </w:r>
          </w:p>
          <w:p>
            <w:pPr>
              <w:pStyle w:val="TableParagraph"/>
              <w:spacing w:before="113"/>
              <w:ind w:left="118" w:right="116"/>
              <w:jc w:val="center"/>
              <w:rPr>
                <w:b/>
                <w:sz w:val="20"/>
              </w:rPr>
            </w:pPr>
            <w:r>
              <w:rPr>
                <w:b/>
                <w:sz w:val="20"/>
              </w:rPr>
              <w:t>X±SS</w:t>
            </w:r>
          </w:p>
        </w:tc>
        <w:tc>
          <w:tcPr>
            <w:tcW w:w="887" w:type="dxa"/>
            <w:tcBorders>
              <w:top w:val="single" w:sz="4" w:space="0" w:color="008000"/>
              <w:bottom w:val="single" w:sz="4" w:space="0" w:color="008000"/>
            </w:tcBorders>
          </w:tcPr>
          <w:p>
            <w:pPr>
              <w:pStyle w:val="TableParagraph"/>
              <w:rPr>
                <w:rFonts w:ascii="Times New Roman"/>
                <w:sz w:val="20"/>
              </w:rPr>
            </w:pPr>
          </w:p>
        </w:tc>
        <w:tc>
          <w:tcPr>
            <w:tcW w:w="1278" w:type="dxa"/>
            <w:tcBorders>
              <w:top w:val="single" w:sz="4" w:space="0" w:color="008000"/>
              <w:bottom w:val="single" w:sz="4" w:space="0" w:color="008000"/>
            </w:tcBorders>
          </w:tcPr>
          <w:p>
            <w:pPr>
              <w:pStyle w:val="TableParagraph"/>
              <w:spacing w:before="6"/>
              <w:rPr>
                <w:sz w:val="19"/>
              </w:rPr>
            </w:pPr>
          </w:p>
          <w:p>
            <w:pPr>
              <w:pStyle w:val="TableParagraph"/>
              <w:ind w:left="94" w:right="120"/>
              <w:jc w:val="center"/>
              <w:rPr>
                <w:sz w:val="20"/>
              </w:rPr>
            </w:pPr>
            <w:r>
              <w:rPr>
                <w:sz w:val="20"/>
              </w:rPr>
              <w:t>Test öncesi</w:t>
            </w:r>
          </w:p>
          <w:p>
            <w:pPr>
              <w:pStyle w:val="TableParagraph"/>
              <w:spacing w:before="113"/>
              <w:ind w:left="94" w:right="119"/>
              <w:jc w:val="center"/>
              <w:rPr>
                <w:b/>
                <w:sz w:val="20"/>
              </w:rPr>
            </w:pPr>
            <w:r>
              <w:rPr>
                <w:b/>
                <w:sz w:val="20"/>
              </w:rPr>
              <w:t>X±SS</w:t>
            </w:r>
          </w:p>
        </w:tc>
        <w:tc>
          <w:tcPr>
            <w:tcW w:w="1397" w:type="dxa"/>
            <w:tcBorders>
              <w:top w:val="single" w:sz="4" w:space="0" w:color="008000"/>
              <w:bottom w:val="single" w:sz="4" w:space="0" w:color="008000"/>
            </w:tcBorders>
          </w:tcPr>
          <w:p>
            <w:pPr>
              <w:pStyle w:val="TableParagraph"/>
              <w:spacing w:before="6"/>
              <w:rPr>
                <w:sz w:val="19"/>
              </w:rPr>
            </w:pPr>
          </w:p>
          <w:p>
            <w:pPr>
              <w:pStyle w:val="TableParagraph"/>
              <w:ind w:left="127" w:right="128"/>
              <w:jc w:val="center"/>
              <w:rPr>
                <w:sz w:val="20"/>
              </w:rPr>
            </w:pPr>
            <w:r>
              <w:rPr>
                <w:sz w:val="20"/>
              </w:rPr>
              <w:t>Test sonrası</w:t>
            </w:r>
          </w:p>
          <w:p>
            <w:pPr>
              <w:pStyle w:val="TableParagraph"/>
              <w:spacing w:before="113"/>
              <w:ind w:left="126" w:right="128"/>
              <w:jc w:val="center"/>
              <w:rPr>
                <w:b/>
                <w:sz w:val="20"/>
              </w:rPr>
            </w:pPr>
            <w:r>
              <w:rPr>
                <w:b/>
                <w:sz w:val="20"/>
              </w:rPr>
              <w:t>X±SS</w:t>
            </w:r>
          </w:p>
        </w:tc>
        <w:tc>
          <w:tcPr>
            <w:tcW w:w="918" w:type="dxa"/>
            <w:tcBorders>
              <w:top w:val="single" w:sz="4" w:space="0" w:color="008000"/>
              <w:bottom w:val="single" w:sz="4" w:space="0" w:color="008000"/>
            </w:tcBorders>
          </w:tcPr>
          <w:p>
            <w:pPr>
              <w:pStyle w:val="TableParagraph"/>
              <w:rPr>
                <w:rFonts w:ascii="Times New Roman"/>
                <w:sz w:val="20"/>
              </w:rPr>
            </w:pPr>
          </w:p>
        </w:tc>
      </w:tr>
      <w:tr>
        <w:trPr>
          <w:trHeight w:val="923" w:hRule="atLeast"/>
        </w:trPr>
        <w:tc>
          <w:tcPr>
            <w:tcW w:w="1430" w:type="dxa"/>
            <w:tcBorders>
              <w:top w:val="single" w:sz="4" w:space="0" w:color="008000"/>
            </w:tcBorders>
          </w:tcPr>
          <w:p>
            <w:pPr>
              <w:pStyle w:val="TableParagraph"/>
              <w:spacing w:before="5"/>
              <w:rPr>
                <w:sz w:val="17"/>
              </w:rPr>
            </w:pPr>
          </w:p>
          <w:p>
            <w:pPr>
              <w:pStyle w:val="TableParagraph"/>
              <w:ind w:left="328" w:right="293" w:firstLine="7"/>
              <w:rPr>
                <w:sz w:val="20"/>
              </w:rPr>
            </w:pPr>
            <w:r>
              <w:rPr>
                <w:sz w:val="20"/>
              </w:rPr>
              <w:t>Kalp hızı (atım/dk)</w:t>
            </w:r>
          </w:p>
        </w:tc>
        <w:tc>
          <w:tcPr>
            <w:tcW w:w="1294" w:type="dxa"/>
            <w:tcBorders>
              <w:top w:val="single" w:sz="4" w:space="0" w:color="008000"/>
            </w:tcBorders>
          </w:tcPr>
          <w:p>
            <w:pPr>
              <w:pStyle w:val="TableParagraph"/>
              <w:spacing w:before="5"/>
              <w:rPr>
                <w:sz w:val="17"/>
              </w:rPr>
            </w:pPr>
          </w:p>
          <w:p>
            <w:pPr>
              <w:pStyle w:val="TableParagraph"/>
              <w:spacing w:line="229" w:lineRule="exact"/>
              <w:ind w:left="109" w:right="119"/>
              <w:jc w:val="center"/>
              <w:rPr>
                <w:sz w:val="20"/>
              </w:rPr>
            </w:pPr>
            <w:r>
              <w:rPr>
                <w:sz w:val="20"/>
              </w:rPr>
              <w:t>88,91±14,9</w:t>
            </w:r>
          </w:p>
          <w:p>
            <w:pPr>
              <w:pStyle w:val="TableParagraph"/>
              <w:spacing w:line="229" w:lineRule="exact"/>
              <w:ind w:right="8"/>
              <w:jc w:val="center"/>
              <w:rPr>
                <w:sz w:val="20"/>
              </w:rPr>
            </w:pPr>
            <w:r>
              <w:rPr>
                <w:w w:val="99"/>
                <w:sz w:val="20"/>
              </w:rPr>
              <w:t>5</w:t>
            </w:r>
          </w:p>
        </w:tc>
        <w:tc>
          <w:tcPr>
            <w:tcW w:w="1386" w:type="dxa"/>
            <w:tcBorders>
              <w:top w:val="single" w:sz="4" w:space="0" w:color="008000"/>
            </w:tcBorders>
          </w:tcPr>
          <w:p>
            <w:pPr>
              <w:pStyle w:val="TableParagraph"/>
              <w:spacing w:before="3"/>
              <w:rPr>
                <w:sz w:val="27"/>
              </w:rPr>
            </w:pPr>
          </w:p>
          <w:p>
            <w:pPr>
              <w:pStyle w:val="TableParagraph"/>
              <w:ind w:left="118" w:right="117"/>
              <w:jc w:val="center"/>
              <w:rPr>
                <w:sz w:val="20"/>
              </w:rPr>
            </w:pPr>
            <w:r>
              <w:rPr>
                <w:sz w:val="20"/>
              </w:rPr>
              <w:t>112,75±14,6</w:t>
            </w:r>
          </w:p>
        </w:tc>
        <w:tc>
          <w:tcPr>
            <w:tcW w:w="887" w:type="dxa"/>
            <w:tcBorders>
              <w:top w:val="single" w:sz="4" w:space="0" w:color="008000"/>
            </w:tcBorders>
          </w:tcPr>
          <w:p>
            <w:pPr>
              <w:pStyle w:val="TableParagraph"/>
              <w:spacing w:before="2"/>
              <w:rPr>
                <w:sz w:val="28"/>
              </w:rPr>
            </w:pPr>
          </w:p>
          <w:p>
            <w:pPr>
              <w:pStyle w:val="TableParagraph"/>
              <w:ind w:left="116" w:right="107"/>
              <w:jc w:val="center"/>
              <w:rPr>
                <w:sz w:val="12"/>
              </w:rPr>
            </w:pPr>
            <w:r>
              <w:rPr>
                <w:sz w:val="18"/>
              </w:rPr>
              <w:t>&lt;0,001</w:t>
            </w:r>
            <w:r>
              <w:rPr>
                <w:position w:val="6"/>
                <w:sz w:val="12"/>
              </w:rPr>
              <w:t>b</w:t>
            </w:r>
          </w:p>
        </w:tc>
        <w:tc>
          <w:tcPr>
            <w:tcW w:w="1278" w:type="dxa"/>
            <w:tcBorders>
              <w:top w:val="single" w:sz="4" w:space="0" w:color="008000"/>
            </w:tcBorders>
          </w:tcPr>
          <w:p>
            <w:pPr>
              <w:pStyle w:val="TableParagraph"/>
              <w:spacing w:before="3"/>
              <w:rPr>
                <w:sz w:val="27"/>
              </w:rPr>
            </w:pPr>
          </w:p>
          <w:p>
            <w:pPr>
              <w:pStyle w:val="TableParagraph"/>
              <w:ind w:left="125"/>
              <w:rPr>
                <w:sz w:val="20"/>
              </w:rPr>
            </w:pPr>
            <w:r>
              <w:rPr>
                <w:sz w:val="20"/>
              </w:rPr>
              <w:t>85,91±12,5</w:t>
            </w:r>
          </w:p>
        </w:tc>
        <w:tc>
          <w:tcPr>
            <w:tcW w:w="1397" w:type="dxa"/>
            <w:tcBorders>
              <w:top w:val="single" w:sz="4" w:space="0" w:color="008000"/>
            </w:tcBorders>
          </w:tcPr>
          <w:p>
            <w:pPr>
              <w:pStyle w:val="TableParagraph"/>
              <w:spacing w:before="3"/>
              <w:rPr>
                <w:sz w:val="27"/>
              </w:rPr>
            </w:pPr>
          </w:p>
          <w:p>
            <w:pPr>
              <w:pStyle w:val="TableParagraph"/>
              <w:ind w:right="145"/>
              <w:jc w:val="right"/>
              <w:rPr>
                <w:sz w:val="20"/>
              </w:rPr>
            </w:pPr>
            <w:r>
              <w:rPr>
                <w:sz w:val="20"/>
              </w:rPr>
              <w:t>102,08±17,9</w:t>
            </w:r>
          </w:p>
        </w:tc>
        <w:tc>
          <w:tcPr>
            <w:tcW w:w="918" w:type="dxa"/>
            <w:tcBorders>
              <w:top w:val="single" w:sz="4" w:space="0" w:color="008000"/>
            </w:tcBorders>
          </w:tcPr>
          <w:p>
            <w:pPr>
              <w:pStyle w:val="TableParagraph"/>
              <w:spacing w:before="3"/>
              <w:rPr>
                <w:sz w:val="27"/>
              </w:rPr>
            </w:pPr>
          </w:p>
          <w:p>
            <w:pPr>
              <w:pStyle w:val="TableParagraph"/>
              <w:ind w:left="129" w:right="175"/>
              <w:jc w:val="center"/>
              <w:rPr>
                <w:sz w:val="13"/>
              </w:rPr>
            </w:pPr>
            <w:r>
              <w:rPr>
                <w:sz w:val="20"/>
              </w:rPr>
              <w:t>0,003</w:t>
            </w:r>
            <w:r>
              <w:rPr>
                <w:position w:val="6"/>
                <w:sz w:val="13"/>
              </w:rPr>
              <w:t>b</w:t>
            </w:r>
          </w:p>
        </w:tc>
      </w:tr>
      <w:tr>
        <w:trPr>
          <w:trHeight w:val="807" w:hRule="atLeast"/>
        </w:trPr>
        <w:tc>
          <w:tcPr>
            <w:tcW w:w="1430" w:type="dxa"/>
          </w:tcPr>
          <w:p>
            <w:pPr>
              <w:pStyle w:val="TableParagraph"/>
              <w:spacing w:before="3"/>
              <w:rPr>
                <w:sz w:val="22"/>
              </w:rPr>
            </w:pPr>
          </w:p>
          <w:p>
            <w:pPr>
              <w:pStyle w:val="TableParagraph"/>
              <w:ind w:left="133" w:right="122"/>
              <w:jc w:val="center"/>
              <w:rPr>
                <w:sz w:val="20"/>
              </w:rPr>
            </w:pPr>
            <w:r>
              <w:rPr>
                <w:position w:val="1"/>
                <w:sz w:val="20"/>
              </w:rPr>
              <w:t>SaO</w:t>
            </w:r>
            <w:r>
              <w:rPr>
                <w:sz w:val="13"/>
              </w:rPr>
              <w:t>2 </w:t>
            </w:r>
            <w:r>
              <w:rPr>
                <w:position w:val="1"/>
                <w:sz w:val="20"/>
              </w:rPr>
              <w:t>%</w:t>
            </w:r>
          </w:p>
        </w:tc>
        <w:tc>
          <w:tcPr>
            <w:tcW w:w="1294" w:type="dxa"/>
          </w:tcPr>
          <w:p>
            <w:pPr>
              <w:pStyle w:val="TableParagraph"/>
              <w:spacing w:before="4"/>
              <w:rPr>
                <w:sz w:val="22"/>
              </w:rPr>
            </w:pPr>
          </w:p>
          <w:p>
            <w:pPr>
              <w:pStyle w:val="TableParagraph"/>
              <w:ind w:left="197"/>
              <w:rPr>
                <w:sz w:val="20"/>
              </w:rPr>
            </w:pPr>
            <w:r>
              <w:rPr>
                <w:sz w:val="20"/>
              </w:rPr>
              <w:t>96,08±2,5</w:t>
            </w:r>
          </w:p>
        </w:tc>
        <w:tc>
          <w:tcPr>
            <w:tcW w:w="1386" w:type="dxa"/>
          </w:tcPr>
          <w:p>
            <w:pPr>
              <w:pStyle w:val="TableParagraph"/>
              <w:spacing w:before="4"/>
              <w:rPr>
                <w:sz w:val="22"/>
              </w:rPr>
            </w:pPr>
          </w:p>
          <w:p>
            <w:pPr>
              <w:pStyle w:val="TableParagraph"/>
              <w:ind w:left="118" w:right="114"/>
              <w:jc w:val="center"/>
              <w:rPr>
                <w:sz w:val="20"/>
              </w:rPr>
            </w:pPr>
            <w:r>
              <w:rPr>
                <w:sz w:val="20"/>
              </w:rPr>
              <w:t>96,83±2,2</w:t>
            </w:r>
          </w:p>
        </w:tc>
        <w:tc>
          <w:tcPr>
            <w:tcW w:w="887" w:type="dxa"/>
          </w:tcPr>
          <w:p>
            <w:pPr>
              <w:pStyle w:val="TableParagraph"/>
              <w:spacing w:before="4"/>
              <w:rPr>
                <w:sz w:val="22"/>
              </w:rPr>
            </w:pPr>
          </w:p>
          <w:p>
            <w:pPr>
              <w:pStyle w:val="TableParagraph"/>
              <w:ind w:left="112" w:right="107"/>
              <w:jc w:val="center"/>
              <w:rPr>
                <w:sz w:val="13"/>
              </w:rPr>
            </w:pPr>
            <w:r>
              <w:rPr>
                <w:sz w:val="20"/>
              </w:rPr>
              <w:t>0,119</w:t>
            </w:r>
            <w:r>
              <w:rPr>
                <w:position w:val="6"/>
                <w:sz w:val="13"/>
              </w:rPr>
              <w:t>a</w:t>
            </w:r>
          </w:p>
        </w:tc>
        <w:tc>
          <w:tcPr>
            <w:tcW w:w="1278" w:type="dxa"/>
          </w:tcPr>
          <w:p>
            <w:pPr>
              <w:pStyle w:val="TableParagraph"/>
              <w:spacing w:before="4"/>
              <w:rPr>
                <w:sz w:val="22"/>
              </w:rPr>
            </w:pPr>
          </w:p>
          <w:p>
            <w:pPr>
              <w:pStyle w:val="TableParagraph"/>
              <w:ind w:left="125"/>
              <w:rPr>
                <w:sz w:val="20"/>
              </w:rPr>
            </w:pPr>
            <w:r>
              <w:rPr>
                <w:sz w:val="20"/>
              </w:rPr>
              <w:t>95,58±1,83</w:t>
            </w:r>
          </w:p>
        </w:tc>
        <w:tc>
          <w:tcPr>
            <w:tcW w:w="1397" w:type="dxa"/>
          </w:tcPr>
          <w:p>
            <w:pPr>
              <w:pStyle w:val="TableParagraph"/>
              <w:spacing w:before="4"/>
              <w:rPr>
                <w:sz w:val="22"/>
              </w:rPr>
            </w:pPr>
          </w:p>
          <w:p>
            <w:pPr>
              <w:pStyle w:val="TableParagraph"/>
              <w:ind w:right="199"/>
              <w:jc w:val="right"/>
              <w:rPr>
                <w:sz w:val="20"/>
              </w:rPr>
            </w:pPr>
            <w:r>
              <w:rPr>
                <w:sz w:val="20"/>
              </w:rPr>
              <w:t>96,66±1,49</w:t>
            </w:r>
          </w:p>
        </w:tc>
        <w:tc>
          <w:tcPr>
            <w:tcW w:w="918" w:type="dxa"/>
          </w:tcPr>
          <w:p>
            <w:pPr>
              <w:pStyle w:val="TableParagraph"/>
              <w:spacing w:before="4"/>
              <w:rPr>
                <w:sz w:val="22"/>
              </w:rPr>
            </w:pPr>
          </w:p>
          <w:p>
            <w:pPr>
              <w:pStyle w:val="TableParagraph"/>
              <w:ind w:left="129" w:right="175"/>
              <w:jc w:val="center"/>
              <w:rPr>
                <w:sz w:val="13"/>
              </w:rPr>
            </w:pPr>
            <w:r>
              <w:rPr>
                <w:sz w:val="20"/>
              </w:rPr>
              <w:t>0,048</w:t>
            </w:r>
            <w:r>
              <w:rPr>
                <w:position w:val="6"/>
                <w:sz w:val="13"/>
              </w:rPr>
              <w:t>a</w:t>
            </w:r>
          </w:p>
        </w:tc>
      </w:tr>
      <w:tr>
        <w:trPr>
          <w:trHeight w:val="865" w:hRule="atLeast"/>
        </w:trPr>
        <w:tc>
          <w:tcPr>
            <w:tcW w:w="1430" w:type="dxa"/>
          </w:tcPr>
          <w:p>
            <w:pPr>
              <w:pStyle w:val="TableParagraph"/>
              <w:spacing w:before="3"/>
              <w:rPr>
                <w:sz w:val="27"/>
              </w:rPr>
            </w:pPr>
          </w:p>
          <w:p>
            <w:pPr>
              <w:pStyle w:val="TableParagraph"/>
              <w:ind w:left="134" w:right="119"/>
              <w:jc w:val="center"/>
              <w:rPr>
                <w:sz w:val="20"/>
              </w:rPr>
            </w:pPr>
            <w:r>
              <w:rPr>
                <w:sz w:val="20"/>
              </w:rPr>
              <w:t>Yorgunluk</w:t>
            </w:r>
          </w:p>
        </w:tc>
        <w:tc>
          <w:tcPr>
            <w:tcW w:w="1294" w:type="dxa"/>
          </w:tcPr>
          <w:p>
            <w:pPr>
              <w:pStyle w:val="TableParagraph"/>
              <w:spacing w:before="3"/>
              <w:rPr>
                <w:sz w:val="27"/>
              </w:rPr>
            </w:pPr>
          </w:p>
          <w:p>
            <w:pPr>
              <w:pStyle w:val="TableParagraph"/>
              <w:ind w:left="253"/>
              <w:rPr>
                <w:sz w:val="20"/>
              </w:rPr>
            </w:pPr>
            <w:r>
              <w:rPr>
                <w:sz w:val="20"/>
              </w:rPr>
              <w:t>0,58±1,5</w:t>
            </w:r>
          </w:p>
        </w:tc>
        <w:tc>
          <w:tcPr>
            <w:tcW w:w="1386" w:type="dxa"/>
          </w:tcPr>
          <w:p>
            <w:pPr>
              <w:pStyle w:val="TableParagraph"/>
              <w:spacing w:before="3"/>
              <w:rPr>
                <w:sz w:val="27"/>
              </w:rPr>
            </w:pPr>
          </w:p>
          <w:p>
            <w:pPr>
              <w:pStyle w:val="TableParagraph"/>
              <w:ind w:left="118" w:right="114"/>
              <w:jc w:val="center"/>
              <w:rPr>
                <w:sz w:val="20"/>
              </w:rPr>
            </w:pPr>
            <w:r>
              <w:rPr>
                <w:sz w:val="20"/>
              </w:rPr>
              <w:t>4,58±3,23</w:t>
            </w:r>
          </w:p>
        </w:tc>
        <w:tc>
          <w:tcPr>
            <w:tcW w:w="887" w:type="dxa"/>
          </w:tcPr>
          <w:p>
            <w:pPr>
              <w:pStyle w:val="TableParagraph"/>
              <w:spacing w:before="2"/>
              <w:rPr>
                <w:sz w:val="28"/>
              </w:rPr>
            </w:pPr>
          </w:p>
          <w:p>
            <w:pPr>
              <w:pStyle w:val="TableParagraph"/>
              <w:ind w:left="116" w:right="107"/>
              <w:jc w:val="center"/>
              <w:rPr>
                <w:sz w:val="12"/>
              </w:rPr>
            </w:pPr>
            <w:r>
              <w:rPr>
                <w:sz w:val="18"/>
              </w:rPr>
              <w:t>&lt;0,001</w:t>
            </w:r>
            <w:r>
              <w:rPr>
                <w:position w:val="6"/>
                <w:sz w:val="12"/>
              </w:rPr>
              <w:t>b</w:t>
            </w:r>
          </w:p>
        </w:tc>
        <w:tc>
          <w:tcPr>
            <w:tcW w:w="1278" w:type="dxa"/>
          </w:tcPr>
          <w:p>
            <w:pPr>
              <w:pStyle w:val="TableParagraph"/>
              <w:spacing w:before="3"/>
              <w:rPr>
                <w:sz w:val="27"/>
              </w:rPr>
            </w:pPr>
          </w:p>
          <w:p>
            <w:pPr>
              <w:pStyle w:val="TableParagraph"/>
              <w:ind w:left="236"/>
              <w:rPr>
                <w:sz w:val="20"/>
              </w:rPr>
            </w:pPr>
            <w:r>
              <w:rPr>
                <w:sz w:val="20"/>
              </w:rPr>
              <w:t>0,25±0,8</w:t>
            </w:r>
          </w:p>
        </w:tc>
        <w:tc>
          <w:tcPr>
            <w:tcW w:w="1397" w:type="dxa"/>
          </w:tcPr>
          <w:p>
            <w:pPr>
              <w:pStyle w:val="TableParagraph"/>
              <w:spacing w:before="3"/>
              <w:rPr>
                <w:sz w:val="27"/>
              </w:rPr>
            </w:pPr>
          </w:p>
          <w:p>
            <w:pPr>
              <w:pStyle w:val="TableParagraph"/>
              <w:ind w:left="254"/>
              <w:rPr>
                <w:sz w:val="20"/>
              </w:rPr>
            </w:pPr>
            <w:r>
              <w:rPr>
                <w:sz w:val="20"/>
              </w:rPr>
              <w:t>5,75±2,22</w:t>
            </w:r>
          </w:p>
        </w:tc>
        <w:tc>
          <w:tcPr>
            <w:tcW w:w="918" w:type="dxa"/>
          </w:tcPr>
          <w:p>
            <w:pPr>
              <w:pStyle w:val="TableParagraph"/>
              <w:spacing w:before="3"/>
              <w:rPr>
                <w:sz w:val="27"/>
              </w:rPr>
            </w:pPr>
          </w:p>
          <w:p>
            <w:pPr>
              <w:pStyle w:val="TableParagraph"/>
              <w:ind w:left="129" w:right="175"/>
              <w:jc w:val="center"/>
              <w:rPr>
                <w:sz w:val="13"/>
              </w:rPr>
            </w:pPr>
            <w:r>
              <w:rPr>
                <w:sz w:val="20"/>
              </w:rPr>
              <w:t>0,002</w:t>
            </w:r>
            <w:r>
              <w:rPr>
                <w:position w:val="6"/>
                <w:sz w:val="13"/>
              </w:rPr>
              <w:t>a</w:t>
            </w:r>
          </w:p>
        </w:tc>
      </w:tr>
      <w:tr>
        <w:trPr>
          <w:trHeight w:val="864" w:hRule="atLeast"/>
        </w:trPr>
        <w:tc>
          <w:tcPr>
            <w:tcW w:w="1430" w:type="dxa"/>
            <w:tcBorders>
              <w:bottom w:val="single" w:sz="12" w:space="0" w:color="008000"/>
            </w:tcBorders>
          </w:tcPr>
          <w:p>
            <w:pPr>
              <w:pStyle w:val="TableParagraph"/>
              <w:spacing w:before="4"/>
              <w:rPr>
                <w:sz w:val="27"/>
              </w:rPr>
            </w:pPr>
          </w:p>
          <w:p>
            <w:pPr>
              <w:pStyle w:val="TableParagraph"/>
              <w:ind w:left="134" w:right="120"/>
              <w:jc w:val="center"/>
              <w:rPr>
                <w:sz w:val="20"/>
              </w:rPr>
            </w:pPr>
            <w:r>
              <w:rPr>
                <w:sz w:val="20"/>
              </w:rPr>
              <w:t>Dispne</w:t>
            </w:r>
          </w:p>
        </w:tc>
        <w:tc>
          <w:tcPr>
            <w:tcW w:w="1294" w:type="dxa"/>
            <w:tcBorders>
              <w:bottom w:val="single" w:sz="12" w:space="0" w:color="008000"/>
            </w:tcBorders>
          </w:tcPr>
          <w:p>
            <w:pPr>
              <w:pStyle w:val="TableParagraph"/>
              <w:spacing w:before="4"/>
              <w:rPr>
                <w:sz w:val="27"/>
              </w:rPr>
            </w:pPr>
          </w:p>
          <w:p>
            <w:pPr>
              <w:pStyle w:val="TableParagraph"/>
              <w:ind w:right="8"/>
              <w:jc w:val="center"/>
              <w:rPr>
                <w:sz w:val="20"/>
              </w:rPr>
            </w:pPr>
            <w:r>
              <w:rPr>
                <w:w w:val="99"/>
                <w:sz w:val="20"/>
              </w:rPr>
              <w:t>0</w:t>
            </w:r>
          </w:p>
        </w:tc>
        <w:tc>
          <w:tcPr>
            <w:tcW w:w="1386" w:type="dxa"/>
            <w:tcBorders>
              <w:bottom w:val="single" w:sz="12" w:space="0" w:color="008000"/>
            </w:tcBorders>
          </w:tcPr>
          <w:p>
            <w:pPr>
              <w:pStyle w:val="TableParagraph"/>
              <w:spacing w:before="4"/>
              <w:rPr>
                <w:sz w:val="27"/>
              </w:rPr>
            </w:pPr>
          </w:p>
          <w:p>
            <w:pPr>
              <w:pStyle w:val="TableParagraph"/>
              <w:ind w:left="118" w:right="114"/>
              <w:jc w:val="center"/>
              <w:rPr>
                <w:sz w:val="20"/>
              </w:rPr>
            </w:pPr>
            <w:r>
              <w:rPr>
                <w:sz w:val="20"/>
              </w:rPr>
              <w:t>2,25±2,37</w:t>
            </w:r>
          </w:p>
        </w:tc>
        <w:tc>
          <w:tcPr>
            <w:tcW w:w="887" w:type="dxa"/>
            <w:tcBorders>
              <w:bottom w:val="single" w:sz="12" w:space="0" w:color="008000"/>
            </w:tcBorders>
          </w:tcPr>
          <w:p>
            <w:pPr>
              <w:pStyle w:val="TableParagraph"/>
              <w:spacing w:before="4"/>
              <w:rPr>
                <w:sz w:val="27"/>
              </w:rPr>
            </w:pPr>
          </w:p>
          <w:p>
            <w:pPr>
              <w:pStyle w:val="TableParagraph"/>
              <w:ind w:left="112" w:right="107"/>
              <w:jc w:val="center"/>
              <w:rPr>
                <w:sz w:val="13"/>
              </w:rPr>
            </w:pPr>
            <w:r>
              <w:rPr>
                <w:sz w:val="20"/>
              </w:rPr>
              <w:t>0,018</w:t>
            </w:r>
            <w:r>
              <w:rPr>
                <w:position w:val="6"/>
                <w:sz w:val="13"/>
              </w:rPr>
              <w:t>a</w:t>
            </w:r>
          </w:p>
        </w:tc>
        <w:tc>
          <w:tcPr>
            <w:tcW w:w="1278" w:type="dxa"/>
            <w:tcBorders>
              <w:bottom w:val="single" w:sz="12" w:space="0" w:color="008000"/>
            </w:tcBorders>
          </w:tcPr>
          <w:p>
            <w:pPr>
              <w:pStyle w:val="TableParagraph"/>
              <w:spacing w:before="4"/>
              <w:rPr>
                <w:sz w:val="27"/>
              </w:rPr>
            </w:pPr>
          </w:p>
          <w:p>
            <w:pPr>
              <w:pStyle w:val="TableParagraph"/>
              <w:ind w:left="180"/>
              <w:rPr>
                <w:sz w:val="20"/>
              </w:rPr>
            </w:pPr>
            <w:r>
              <w:rPr>
                <w:sz w:val="20"/>
              </w:rPr>
              <w:t>0,41±1,44</w:t>
            </w:r>
          </w:p>
        </w:tc>
        <w:tc>
          <w:tcPr>
            <w:tcW w:w="1397" w:type="dxa"/>
            <w:tcBorders>
              <w:bottom w:val="single" w:sz="12" w:space="0" w:color="008000"/>
            </w:tcBorders>
          </w:tcPr>
          <w:p>
            <w:pPr>
              <w:pStyle w:val="TableParagraph"/>
              <w:spacing w:before="4"/>
              <w:rPr>
                <w:sz w:val="27"/>
              </w:rPr>
            </w:pPr>
          </w:p>
          <w:p>
            <w:pPr>
              <w:pStyle w:val="TableParagraph"/>
              <w:ind w:left="254"/>
              <w:rPr>
                <w:sz w:val="20"/>
              </w:rPr>
            </w:pPr>
            <w:r>
              <w:rPr>
                <w:sz w:val="20"/>
              </w:rPr>
              <w:t>3,16±2,75</w:t>
            </w:r>
          </w:p>
        </w:tc>
        <w:tc>
          <w:tcPr>
            <w:tcW w:w="918" w:type="dxa"/>
            <w:tcBorders>
              <w:bottom w:val="single" w:sz="12" w:space="0" w:color="008000"/>
            </w:tcBorders>
          </w:tcPr>
          <w:p>
            <w:pPr>
              <w:pStyle w:val="TableParagraph"/>
              <w:spacing w:before="4"/>
              <w:rPr>
                <w:sz w:val="27"/>
              </w:rPr>
            </w:pPr>
          </w:p>
          <w:p>
            <w:pPr>
              <w:pStyle w:val="TableParagraph"/>
              <w:ind w:left="129" w:right="175"/>
              <w:jc w:val="center"/>
              <w:rPr>
                <w:sz w:val="13"/>
              </w:rPr>
            </w:pPr>
            <w:r>
              <w:rPr>
                <w:sz w:val="20"/>
              </w:rPr>
              <w:t>0,002</w:t>
            </w:r>
            <w:r>
              <w:rPr>
                <w:position w:val="6"/>
                <w:sz w:val="13"/>
              </w:rPr>
              <w:t>b</w:t>
            </w:r>
          </w:p>
        </w:tc>
      </w:tr>
    </w:tbl>
    <w:p>
      <w:pPr>
        <w:spacing w:before="0"/>
        <w:ind w:left="588" w:right="0" w:firstLine="0"/>
        <w:jc w:val="left"/>
        <w:rPr>
          <w:sz w:val="20"/>
        </w:rPr>
      </w:pPr>
      <w:r>
        <w:rPr>
          <w:sz w:val="20"/>
        </w:rPr>
        <w:t>a: Wilcoxon Eşleştirilmiş İki Örnek Testi, b: t-test</w:t>
      </w:r>
    </w:p>
    <w:p>
      <w:pPr>
        <w:pStyle w:val="BodyText"/>
        <w:rPr>
          <w:sz w:val="24"/>
        </w:rPr>
      </w:pPr>
    </w:p>
    <w:p>
      <w:pPr>
        <w:pStyle w:val="BodyText"/>
        <w:spacing w:line="357" w:lineRule="auto" w:before="1"/>
        <w:ind w:left="588" w:right="296" w:firstLine="708"/>
        <w:jc w:val="both"/>
      </w:pPr>
      <w:r>
        <w:rPr/>
        <w:t>Elde edilen sonuçlar incelendiğinde bireylerin kolorektal cerrahi sonrasında egzersiz kapasitelerinin azaldığı gözlendi.</w:t>
      </w:r>
    </w:p>
    <w:p>
      <w:pPr>
        <w:pStyle w:val="BodyText"/>
        <w:spacing w:line="360" w:lineRule="auto" w:before="165"/>
        <w:ind w:left="588" w:right="288" w:firstLine="708"/>
        <w:jc w:val="both"/>
      </w:pPr>
      <w:r>
        <w:rPr/>
        <w:t>Bireylerin postoperatif ve taburculuk öncesi dönemde hareketlilik ve bağımsızlık düzeyleri Gözlemci Hareketlilik ve Hasta Hareketlilik Ölçeği ile skorları ile belirlendi. Postoperatif Hasta Hareketlilik Skoru ortalama 32,13±16,66 cm iken taburculuk öncesi dönemde 11,45±11,63 cm olarak değiştiği gözlendi ve bu değişim istatistiksel olarak anlamlı bulundu (p=0,005). Gözlemci Hareketlilik Skoru ortalaması ise postoperatif dönemde ortalama 8,33±2,77 iken taburculuk öncesi 4,91±0,99 şeklinde azaldı ve bu azalma istatistiksel olarak anlamlı bulundu (p=0,005). Elde edilen veriler Tablo 4.9 da gösterilmiştir.</w:t>
      </w:r>
    </w:p>
    <w:p>
      <w:pPr>
        <w:pStyle w:val="BodyText"/>
        <w:rPr>
          <w:sz w:val="24"/>
        </w:rPr>
      </w:pPr>
    </w:p>
    <w:p>
      <w:pPr>
        <w:pStyle w:val="BodyText"/>
        <w:spacing w:before="7"/>
        <w:rPr>
          <w:sz w:val="19"/>
        </w:rPr>
      </w:pPr>
    </w:p>
    <w:p>
      <w:pPr>
        <w:spacing w:before="0"/>
        <w:ind w:left="588" w:right="0" w:firstLine="0"/>
        <w:jc w:val="left"/>
        <w:rPr>
          <w:sz w:val="20"/>
        </w:rPr>
      </w:pPr>
      <w:r>
        <w:rPr>
          <w:b/>
          <w:sz w:val="20"/>
        </w:rPr>
        <w:t>Tablo 4.9 </w:t>
      </w:r>
      <w:r>
        <w:rPr>
          <w:sz w:val="20"/>
        </w:rPr>
        <w:t>Kontrol Grubu Hasta Hareketlilik ve Gözlemci Hareketlilik Skor Sonuçları</w:t>
      </w:r>
    </w:p>
    <w:p>
      <w:pPr>
        <w:pStyle w:val="BodyText"/>
        <w:spacing w:before="1"/>
        <w:rPr>
          <w:sz w:val="28"/>
        </w:rPr>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29"/>
        <w:gridCol w:w="1984"/>
        <w:gridCol w:w="2264"/>
        <w:gridCol w:w="2013"/>
      </w:tblGrid>
      <w:tr>
        <w:trPr>
          <w:trHeight w:val="690" w:hRule="atLeast"/>
        </w:trPr>
        <w:tc>
          <w:tcPr>
            <w:tcW w:w="2329" w:type="dxa"/>
            <w:tcBorders>
              <w:top w:val="single" w:sz="12" w:space="0" w:color="008000"/>
              <w:bottom w:val="single" w:sz="4" w:space="0" w:color="008000"/>
            </w:tcBorders>
          </w:tcPr>
          <w:p>
            <w:pPr>
              <w:pStyle w:val="TableParagraph"/>
              <w:spacing w:before="167"/>
              <w:ind w:left="518"/>
              <w:rPr>
                <w:b/>
                <w:sz w:val="20"/>
              </w:rPr>
            </w:pPr>
            <w:r>
              <w:rPr>
                <w:b/>
                <w:sz w:val="20"/>
              </w:rPr>
              <w:t>Değişkenler</w:t>
            </w:r>
          </w:p>
        </w:tc>
        <w:tc>
          <w:tcPr>
            <w:tcW w:w="1984" w:type="dxa"/>
            <w:tcBorders>
              <w:top w:val="single" w:sz="12" w:space="0" w:color="008000"/>
              <w:bottom w:val="single" w:sz="4" w:space="0" w:color="008000"/>
            </w:tcBorders>
          </w:tcPr>
          <w:p>
            <w:pPr>
              <w:pStyle w:val="TableParagraph"/>
              <w:spacing w:line="224" w:lineRule="exact"/>
              <w:ind w:left="296" w:right="480"/>
              <w:jc w:val="center"/>
              <w:rPr>
                <w:b/>
                <w:sz w:val="20"/>
              </w:rPr>
            </w:pPr>
            <w:r>
              <w:rPr>
                <w:b/>
                <w:sz w:val="20"/>
              </w:rPr>
              <w:t>Postoperatif</w:t>
            </w:r>
          </w:p>
          <w:p>
            <w:pPr>
              <w:pStyle w:val="TableParagraph"/>
              <w:spacing w:before="115"/>
              <w:ind w:left="296" w:right="478"/>
              <w:jc w:val="center"/>
              <w:rPr>
                <w:b/>
                <w:sz w:val="20"/>
              </w:rPr>
            </w:pPr>
            <w:r>
              <w:rPr>
                <w:b/>
                <w:sz w:val="20"/>
              </w:rPr>
              <w:t>X±SS</w:t>
            </w:r>
          </w:p>
        </w:tc>
        <w:tc>
          <w:tcPr>
            <w:tcW w:w="2264" w:type="dxa"/>
            <w:tcBorders>
              <w:top w:val="single" w:sz="12" w:space="0" w:color="008000"/>
              <w:bottom w:val="single" w:sz="4" w:space="0" w:color="008000"/>
            </w:tcBorders>
          </w:tcPr>
          <w:p>
            <w:pPr>
              <w:pStyle w:val="TableParagraph"/>
              <w:spacing w:line="224" w:lineRule="exact"/>
              <w:ind w:left="484" w:right="625"/>
              <w:jc w:val="center"/>
              <w:rPr>
                <w:b/>
                <w:sz w:val="20"/>
              </w:rPr>
            </w:pPr>
            <w:r>
              <w:rPr>
                <w:b/>
                <w:sz w:val="20"/>
              </w:rPr>
              <w:t>Taburcu</w:t>
            </w:r>
          </w:p>
          <w:p>
            <w:pPr>
              <w:pStyle w:val="TableParagraph"/>
              <w:spacing w:before="115"/>
              <w:ind w:left="484" w:right="627"/>
              <w:jc w:val="center"/>
              <w:rPr>
                <w:b/>
                <w:sz w:val="20"/>
              </w:rPr>
            </w:pPr>
            <w:r>
              <w:rPr>
                <w:b/>
                <w:sz w:val="20"/>
              </w:rPr>
              <w:t>X±SS</w:t>
            </w:r>
          </w:p>
        </w:tc>
        <w:tc>
          <w:tcPr>
            <w:tcW w:w="2013" w:type="dxa"/>
            <w:tcBorders>
              <w:top w:val="single" w:sz="12" w:space="0" w:color="008000"/>
              <w:bottom w:val="single" w:sz="4" w:space="0" w:color="008000"/>
            </w:tcBorders>
          </w:tcPr>
          <w:p>
            <w:pPr>
              <w:pStyle w:val="TableParagraph"/>
              <w:spacing w:before="167"/>
              <w:ind w:right="131"/>
              <w:jc w:val="center"/>
              <w:rPr>
                <w:b/>
                <w:sz w:val="20"/>
              </w:rPr>
            </w:pPr>
            <w:r>
              <w:rPr>
                <w:b/>
                <w:w w:val="99"/>
                <w:sz w:val="20"/>
              </w:rPr>
              <w:t>p</w:t>
            </w:r>
          </w:p>
        </w:tc>
      </w:tr>
      <w:tr>
        <w:trPr>
          <w:trHeight w:val="557" w:hRule="atLeast"/>
        </w:trPr>
        <w:tc>
          <w:tcPr>
            <w:tcW w:w="2329" w:type="dxa"/>
            <w:tcBorders>
              <w:top w:val="single" w:sz="4" w:space="0" w:color="008000"/>
            </w:tcBorders>
          </w:tcPr>
          <w:p>
            <w:pPr>
              <w:pStyle w:val="TableParagraph"/>
              <w:spacing w:before="45"/>
              <w:ind w:left="597" w:right="446" w:hanging="291"/>
              <w:rPr>
                <w:sz w:val="20"/>
              </w:rPr>
            </w:pPr>
            <w:r>
              <w:rPr>
                <w:sz w:val="20"/>
              </w:rPr>
              <w:t>Hasta Hareketlilik Skoru (cm)</w:t>
            </w:r>
          </w:p>
        </w:tc>
        <w:tc>
          <w:tcPr>
            <w:tcW w:w="1984" w:type="dxa"/>
            <w:tcBorders>
              <w:top w:val="single" w:sz="4" w:space="0" w:color="008000"/>
            </w:tcBorders>
          </w:tcPr>
          <w:p>
            <w:pPr>
              <w:pStyle w:val="TableParagraph"/>
              <w:spacing w:before="160"/>
              <w:ind w:left="296" w:right="479"/>
              <w:jc w:val="center"/>
              <w:rPr>
                <w:sz w:val="20"/>
              </w:rPr>
            </w:pPr>
            <w:r>
              <w:rPr>
                <w:sz w:val="20"/>
              </w:rPr>
              <w:t>32,13±16,66</w:t>
            </w:r>
          </w:p>
        </w:tc>
        <w:tc>
          <w:tcPr>
            <w:tcW w:w="2264" w:type="dxa"/>
            <w:tcBorders>
              <w:top w:val="single" w:sz="4" w:space="0" w:color="008000"/>
            </w:tcBorders>
          </w:tcPr>
          <w:p>
            <w:pPr>
              <w:pStyle w:val="TableParagraph"/>
              <w:spacing w:before="160"/>
              <w:ind w:left="484" w:right="628"/>
              <w:jc w:val="center"/>
              <w:rPr>
                <w:sz w:val="20"/>
              </w:rPr>
            </w:pPr>
            <w:r>
              <w:rPr>
                <w:sz w:val="20"/>
              </w:rPr>
              <w:t>11,45±11,63</w:t>
            </w:r>
          </w:p>
        </w:tc>
        <w:tc>
          <w:tcPr>
            <w:tcW w:w="2013" w:type="dxa"/>
            <w:tcBorders>
              <w:top w:val="single" w:sz="4" w:space="0" w:color="008000"/>
            </w:tcBorders>
          </w:tcPr>
          <w:p>
            <w:pPr>
              <w:pStyle w:val="TableParagraph"/>
              <w:spacing w:before="160"/>
              <w:ind w:left="634" w:right="766"/>
              <w:jc w:val="center"/>
              <w:rPr>
                <w:sz w:val="13"/>
              </w:rPr>
            </w:pPr>
            <w:r>
              <w:rPr>
                <w:sz w:val="20"/>
              </w:rPr>
              <w:t>0,005</w:t>
            </w:r>
            <w:r>
              <w:rPr>
                <w:position w:val="6"/>
                <w:sz w:val="13"/>
              </w:rPr>
              <w:t>a</w:t>
            </w:r>
          </w:p>
        </w:tc>
      </w:tr>
      <w:tr>
        <w:trPr>
          <w:trHeight w:val="558" w:hRule="atLeast"/>
        </w:trPr>
        <w:tc>
          <w:tcPr>
            <w:tcW w:w="2329" w:type="dxa"/>
            <w:tcBorders>
              <w:bottom w:val="single" w:sz="12" w:space="0" w:color="008000"/>
            </w:tcBorders>
          </w:tcPr>
          <w:p>
            <w:pPr>
              <w:pStyle w:val="TableParagraph"/>
              <w:spacing w:before="44"/>
              <w:ind w:left="823" w:hanging="672"/>
              <w:rPr>
                <w:sz w:val="20"/>
              </w:rPr>
            </w:pPr>
            <w:r>
              <w:rPr>
                <w:sz w:val="20"/>
              </w:rPr>
              <w:t>Gözlemci Hareketlilik Skoru</w:t>
            </w:r>
          </w:p>
        </w:tc>
        <w:tc>
          <w:tcPr>
            <w:tcW w:w="1984" w:type="dxa"/>
            <w:tcBorders>
              <w:bottom w:val="single" w:sz="12" w:space="0" w:color="008000"/>
            </w:tcBorders>
          </w:tcPr>
          <w:p>
            <w:pPr>
              <w:pStyle w:val="TableParagraph"/>
              <w:spacing w:before="160"/>
              <w:ind w:left="295" w:right="480"/>
              <w:jc w:val="center"/>
              <w:rPr>
                <w:sz w:val="20"/>
              </w:rPr>
            </w:pPr>
            <w:r>
              <w:rPr>
                <w:sz w:val="20"/>
              </w:rPr>
              <w:t>8,33±2,77</w:t>
            </w:r>
          </w:p>
        </w:tc>
        <w:tc>
          <w:tcPr>
            <w:tcW w:w="2264" w:type="dxa"/>
            <w:tcBorders>
              <w:bottom w:val="single" w:sz="12" w:space="0" w:color="008000"/>
            </w:tcBorders>
          </w:tcPr>
          <w:p>
            <w:pPr>
              <w:pStyle w:val="TableParagraph"/>
              <w:spacing w:before="160"/>
              <w:ind w:left="483" w:right="628"/>
              <w:jc w:val="center"/>
              <w:rPr>
                <w:sz w:val="20"/>
              </w:rPr>
            </w:pPr>
            <w:r>
              <w:rPr>
                <w:sz w:val="20"/>
              </w:rPr>
              <w:t>4,91±0,99</w:t>
            </w:r>
          </w:p>
        </w:tc>
        <w:tc>
          <w:tcPr>
            <w:tcW w:w="2013" w:type="dxa"/>
            <w:tcBorders>
              <w:bottom w:val="single" w:sz="12" w:space="0" w:color="008000"/>
            </w:tcBorders>
          </w:tcPr>
          <w:p>
            <w:pPr>
              <w:pStyle w:val="TableParagraph"/>
              <w:spacing w:before="160"/>
              <w:ind w:left="634" w:right="766"/>
              <w:jc w:val="center"/>
              <w:rPr>
                <w:sz w:val="13"/>
              </w:rPr>
            </w:pPr>
            <w:r>
              <w:rPr>
                <w:sz w:val="20"/>
              </w:rPr>
              <w:t>0,005</w:t>
            </w:r>
            <w:r>
              <w:rPr>
                <w:position w:val="6"/>
                <w:sz w:val="13"/>
              </w:rPr>
              <w:t>a</w:t>
            </w:r>
          </w:p>
        </w:tc>
      </w:tr>
    </w:tbl>
    <w:p>
      <w:pPr>
        <w:spacing w:before="0"/>
        <w:ind w:left="588" w:right="0" w:firstLine="0"/>
        <w:jc w:val="left"/>
        <w:rPr>
          <w:sz w:val="20"/>
        </w:rPr>
      </w:pPr>
      <w:r>
        <w:rPr>
          <w:sz w:val="20"/>
        </w:rPr>
        <w:t>a: Wilcoxon Eşleştirilmiş İki Örnek testi</w:t>
      </w:r>
    </w:p>
    <w:p>
      <w:pPr>
        <w:spacing w:after="0"/>
        <w:jc w:val="left"/>
        <w:rPr>
          <w:sz w:val="20"/>
        </w:rPr>
        <w:sectPr>
          <w:pgSz w:w="11910" w:h="16840"/>
          <w:pgMar w:header="749" w:footer="0" w:top="1320" w:bottom="280" w:left="1680" w:right="840"/>
        </w:sectPr>
      </w:pPr>
    </w:p>
    <w:p>
      <w:pPr>
        <w:pStyle w:val="BodyText"/>
        <w:spacing w:line="360" w:lineRule="auto" w:before="88"/>
        <w:ind w:left="588" w:right="290" w:firstLine="708"/>
        <w:jc w:val="both"/>
      </w:pPr>
      <w:r>
        <w:rPr/>
        <w:t>Kontrol</w:t>
      </w:r>
      <w:r>
        <w:rPr>
          <w:spacing w:val="-23"/>
        </w:rPr>
        <w:t> </w:t>
      </w:r>
      <w:r>
        <w:rPr/>
        <w:t>grubunun</w:t>
      </w:r>
      <w:r>
        <w:rPr>
          <w:spacing w:val="-19"/>
        </w:rPr>
        <w:t> </w:t>
      </w:r>
      <w:r>
        <w:rPr/>
        <w:t>bireylerinin</w:t>
      </w:r>
      <w:r>
        <w:rPr>
          <w:spacing w:val="-19"/>
        </w:rPr>
        <w:t> </w:t>
      </w:r>
      <w:r>
        <w:rPr/>
        <w:t>durumluluk</w:t>
      </w:r>
      <w:r>
        <w:rPr>
          <w:spacing w:val="-20"/>
        </w:rPr>
        <w:t> </w:t>
      </w:r>
      <w:r>
        <w:rPr/>
        <w:t>ve</w:t>
      </w:r>
      <w:r>
        <w:rPr>
          <w:spacing w:val="-19"/>
        </w:rPr>
        <w:t> </w:t>
      </w:r>
      <w:r>
        <w:rPr/>
        <w:t>süreklilik</w:t>
      </w:r>
      <w:r>
        <w:rPr>
          <w:spacing w:val="-19"/>
        </w:rPr>
        <w:t> </w:t>
      </w:r>
      <w:r>
        <w:rPr/>
        <w:t>kaygı</w:t>
      </w:r>
      <w:r>
        <w:rPr>
          <w:spacing w:val="-22"/>
        </w:rPr>
        <w:t> </w:t>
      </w:r>
      <w:r>
        <w:rPr/>
        <w:t>düzeylerini</w:t>
      </w:r>
      <w:r>
        <w:rPr>
          <w:spacing w:val="-21"/>
        </w:rPr>
        <w:t> </w:t>
      </w:r>
      <w:r>
        <w:rPr/>
        <w:t>belirlemek için preoperatif, postoperatif ve taburculuk öncesinde STAI form kullanıldı. Durumluluk ve süreklilik kaygı skorlarında istatistiksel olarak anlamlı fark bulunmadı. Elde edilen veriler Tablo 4.10 ve 4.11’de</w:t>
      </w:r>
      <w:r>
        <w:rPr>
          <w:spacing w:val="-1"/>
        </w:rPr>
        <w:t> </w:t>
      </w:r>
      <w:r>
        <w:rPr/>
        <w:t>gösterilmiştir.</w:t>
      </w:r>
    </w:p>
    <w:p>
      <w:pPr>
        <w:spacing w:before="157"/>
        <w:ind w:left="588" w:right="0" w:firstLine="0"/>
        <w:jc w:val="both"/>
        <w:rPr>
          <w:sz w:val="20"/>
        </w:rPr>
      </w:pPr>
      <w:r>
        <w:rPr>
          <w:b/>
          <w:sz w:val="20"/>
        </w:rPr>
        <w:t>Tablo 4.10 </w:t>
      </w:r>
      <w:r>
        <w:rPr>
          <w:sz w:val="20"/>
        </w:rPr>
        <w:t>Kontrol Grubu Kaygı Skor Sonuçlarının Karşılaştırılması</w:t>
      </w:r>
    </w:p>
    <w:p>
      <w:pPr>
        <w:pStyle w:val="BodyText"/>
        <w:spacing w:before="3" w:after="1"/>
        <w:rPr>
          <w:sz w:val="24"/>
        </w:rPr>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74"/>
        <w:gridCol w:w="1347"/>
        <w:gridCol w:w="1445"/>
        <w:gridCol w:w="757"/>
        <w:gridCol w:w="1472"/>
        <w:gridCol w:w="1319"/>
        <w:gridCol w:w="985"/>
      </w:tblGrid>
      <w:tr>
        <w:trPr>
          <w:trHeight w:val="690" w:hRule="atLeast"/>
        </w:trPr>
        <w:tc>
          <w:tcPr>
            <w:tcW w:w="1274" w:type="dxa"/>
            <w:tcBorders>
              <w:top w:val="single" w:sz="12" w:space="0" w:color="008000"/>
              <w:bottom w:val="single" w:sz="4" w:space="0" w:color="008000"/>
            </w:tcBorders>
          </w:tcPr>
          <w:p>
            <w:pPr>
              <w:pStyle w:val="TableParagraph"/>
              <w:spacing w:before="112"/>
              <w:ind w:left="345" w:right="355" w:firstLine="9"/>
              <w:rPr>
                <w:b/>
                <w:sz w:val="20"/>
              </w:rPr>
            </w:pPr>
            <w:r>
              <w:rPr>
                <w:b/>
                <w:sz w:val="20"/>
              </w:rPr>
              <w:t>Kaygı </w:t>
            </w:r>
            <w:r>
              <w:rPr>
                <w:b/>
                <w:w w:val="95"/>
                <w:sz w:val="20"/>
              </w:rPr>
              <w:t>Skoru</w:t>
            </w:r>
          </w:p>
        </w:tc>
        <w:tc>
          <w:tcPr>
            <w:tcW w:w="1347" w:type="dxa"/>
            <w:tcBorders>
              <w:top w:val="single" w:sz="12" w:space="0" w:color="008000"/>
              <w:bottom w:val="single" w:sz="4" w:space="0" w:color="008000"/>
            </w:tcBorders>
          </w:tcPr>
          <w:p>
            <w:pPr>
              <w:pStyle w:val="TableParagraph"/>
              <w:spacing w:line="227" w:lineRule="exact"/>
              <w:ind w:left="122" w:right="129"/>
              <w:jc w:val="center"/>
              <w:rPr>
                <w:b/>
                <w:sz w:val="20"/>
              </w:rPr>
            </w:pPr>
            <w:r>
              <w:rPr>
                <w:b/>
                <w:sz w:val="20"/>
              </w:rPr>
              <w:t>Preoperatif</w:t>
            </w:r>
          </w:p>
          <w:p>
            <w:pPr>
              <w:pStyle w:val="TableParagraph"/>
              <w:spacing w:before="115"/>
              <w:ind w:left="122" w:right="125"/>
              <w:jc w:val="center"/>
              <w:rPr>
                <w:b/>
                <w:sz w:val="20"/>
              </w:rPr>
            </w:pPr>
            <w:r>
              <w:rPr>
                <w:b/>
                <w:sz w:val="20"/>
              </w:rPr>
              <w:t>X±SS</w:t>
            </w:r>
          </w:p>
        </w:tc>
        <w:tc>
          <w:tcPr>
            <w:tcW w:w="1445" w:type="dxa"/>
            <w:tcBorders>
              <w:top w:val="single" w:sz="12" w:space="0" w:color="008000"/>
              <w:bottom w:val="single" w:sz="4" w:space="0" w:color="008000"/>
            </w:tcBorders>
          </w:tcPr>
          <w:p>
            <w:pPr>
              <w:pStyle w:val="TableParagraph"/>
              <w:spacing w:line="227" w:lineRule="exact"/>
              <w:ind w:left="130" w:right="108"/>
              <w:jc w:val="center"/>
              <w:rPr>
                <w:b/>
                <w:sz w:val="20"/>
              </w:rPr>
            </w:pPr>
            <w:r>
              <w:rPr>
                <w:b/>
                <w:sz w:val="20"/>
              </w:rPr>
              <w:t>Postoperatif</w:t>
            </w:r>
          </w:p>
          <w:p>
            <w:pPr>
              <w:pStyle w:val="TableParagraph"/>
              <w:spacing w:before="115"/>
              <w:ind w:left="128" w:right="108"/>
              <w:jc w:val="center"/>
              <w:rPr>
                <w:b/>
                <w:sz w:val="20"/>
              </w:rPr>
            </w:pPr>
            <w:r>
              <w:rPr>
                <w:b/>
                <w:sz w:val="20"/>
              </w:rPr>
              <w:t>X±SS</w:t>
            </w:r>
          </w:p>
        </w:tc>
        <w:tc>
          <w:tcPr>
            <w:tcW w:w="757" w:type="dxa"/>
            <w:tcBorders>
              <w:top w:val="single" w:sz="12" w:space="0" w:color="008000"/>
              <w:bottom w:val="single" w:sz="4" w:space="0" w:color="008000"/>
            </w:tcBorders>
          </w:tcPr>
          <w:p>
            <w:pPr>
              <w:pStyle w:val="TableParagraph"/>
              <w:spacing w:before="169"/>
              <w:jc w:val="center"/>
              <w:rPr>
                <w:b/>
                <w:sz w:val="20"/>
              </w:rPr>
            </w:pPr>
            <w:r>
              <w:rPr>
                <w:b/>
                <w:w w:val="99"/>
                <w:sz w:val="20"/>
              </w:rPr>
              <w:t>p</w:t>
            </w:r>
          </w:p>
        </w:tc>
        <w:tc>
          <w:tcPr>
            <w:tcW w:w="1472" w:type="dxa"/>
            <w:tcBorders>
              <w:top w:val="single" w:sz="12" w:space="0" w:color="008000"/>
              <w:bottom w:val="single" w:sz="4" w:space="0" w:color="008000"/>
            </w:tcBorders>
          </w:tcPr>
          <w:p>
            <w:pPr>
              <w:pStyle w:val="TableParagraph"/>
              <w:spacing w:line="227" w:lineRule="exact"/>
              <w:ind w:left="106" w:right="158"/>
              <w:jc w:val="center"/>
              <w:rPr>
                <w:b/>
                <w:sz w:val="20"/>
              </w:rPr>
            </w:pPr>
            <w:r>
              <w:rPr>
                <w:b/>
                <w:sz w:val="20"/>
              </w:rPr>
              <w:t>Postoperatif</w:t>
            </w:r>
          </w:p>
          <w:p>
            <w:pPr>
              <w:pStyle w:val="TableParagraph"/>
              <w:spacing w:before="115"/>
              <w:ind w:left="104" w:right="158"/>
              <w:jc w:val="center"/>
              <w:rPr>
                <w:b/>
                <w:sz w:val="20"/>
              </w:rPr>
            </w:pPr>
            <w:r>
              <w:rPr>
                <w:b/>
                <w:sz w:val="20"/>
              </w:rPr>
              <w:t>X±SS</w:t>
            </w:r>
          </w:p>
        </w:tc>
        <w:tc>
          <w:tcPr>
            <w:tcW w:w="1319" w:type="dxa"/>
            <w:tcBorders>
              <w:top w:val="single" w:sz="12" w:space="0" w:color="008000"/>
              <w:bottom w:val="single" w:sz="4" w:space="0" w:color="008000"/>
            </w:tcBorders>
          </w:tcPr>
          <w:p>
            <w:pPr>
              <w:pStyle w:val="TableParagraph"/>
              <w:spacing w:line="227" w:lineRule="exact"/>
              <w:ind w:left="156" w:right="176"/>
              <w:jc w:val="center"/>
              <w:rPr>
                <w:b/>
                <w:sz w:val="20"/>
              </w:rPr>
            </w:pPr>
            <w:r>
              <w:rPr>
                <w:b/>
                <w:sz w:val="20"/>
              </w:rPr>
              <w:t>Taburcu</w:t>
            </w:r>
          </w:p>
          <w:p>
            <w:pPr>
              <w:pStyle w:val="TableParagraph"/>
              <w:spacing w:before="115"/>
              <w:ind w:left="156" w:right="177"/>
              <w:jc w:val="center"/>
              <w:rPr>
                <w:b/>
                <w:sz w:val="20"/>
              </w:rPr>
            </w:pPr>
            <w:r>
              <w:rPr>
                <w:b/>
                <w:sz w:val="20"/>
              </w:rPr>
              <w:t>X±SS</w:t>
            </w:r>
          </w:p>
        </w:tc>
        <w:tc>
          <w:tcPr>
            <w:tcW w:w="985" w:type="dxa"/>
            <w:tcBorders>
              <w:top w:val="single" w:sz="12" w:space="0" w:color="008000"/>
              <w:bottom w:val="single" w:sz="4" w:space="0" w:color="008000"/>
            </w:tcBorders>
          </w:tcPr>
          <w:p>
            <w:pPr>
              <w:pStyle w:val="TableParagraph"/>
              <w:spacing w:before="169"/>
              <w:ind w:left="20"/>
              <w:jc w:val="center"/>
              <w:rPr>
                <w:b/>
                <w:sz w:val="20"/>
              </w:rPr>
            </w:pPr>
            <w:r>
              <w:rPr>
                <w:b/>
                <w:w w:val="99"/>
                <w:sz w:val="20"/>
              </w:rPr>
              <w:t>p</w:t>
            </w:r>
          </w:p>
        </w:tc>
      </w:tr>
      <w:tr>
        <w:trPr>
          <w:trHeight w:val="718" w:hRule="atLeast"/>
        </w:trPr>
        <w:tc>
          <w:tcPr>
            <w:tcW w:w="1274" w:type="dxa"/>
            <w:tcBorders>
              <w:top w:val="single" w:sz="4" w:space="0" w:color="008000"/>
            </w:tcBorders>
          </w:tcPr>
          <w:p>
            <w:pPr>
              <w:pStyle w:val="TableParagraph"/>
              <w:spacing w:before="2"/>
              <w:rPr>
                <w:sz w:val="21"/>
              </w:rPr>
            </w:pPr>
          </w:p>
          <w:p>
            <w:pPr>
              <w:pStyle w:val="TableParagraph"/>
              <w:ind w:left="102" w:right="120"/>
              <w:jc w:val="center"/>
              <w:rPr>
                <w:sz w:val="20"/>
              </w:rPr>
            </w:pPr>
            <w:r>
              <w:rPr>
                <w:sz w:val="20"/>
              </w:rPr>
              <w:t>Durumluluk</w:t>
            </w:r>
          </w:p>
        </w:tc>
        <w:tc>
          <w:tcPr>
            <w:tcW w:w="1347" w:type="dxa"/>
            <w:tcBorders>
              <w:top w:val="single" w:sz="4" w:space="0" w:color="008000"/>
            </w:tcBorders>
          </w:tcPr>
          <w:p>
            <w:pPr>
              <w:pStyle w:val="TableParagraph"/>
              <w:spacing w:before="2"/>
              <w:rPr>
                <w:sz w:val="21"/>
              </w:rPr>
            </w:pPr>
          </w:p>
          <w:p>
            <w:pPr>
              <w:pStyle w:val="TableParagraph"/>
              <w:ind w:left="122" w:right="128"/>
              <w:jc w:val="center"/>
              <w:rPr>
                <w:sz w:val="20"/>
              </w:rPr>
            </w:pPr>
            <w:r>
              <w:rPr>
                <w:sz w:val="20"/>
              </w:rPr>
              <w:t>44,58±6,5</w:t>
            </w:r>
          </w:p>
        </w:tc>
        <w:tc>
          <w:tcPr>
            <w:tcW w:w="1445" w:type="dxa"/>
            <w:tcBorders>
              <w:top w:val="single" w:sz="4" w:space="0" w:color="008000"/>
            </w:tcBorders>
          </w:tcPr>
          <w:p>
            <w:pPr>
              <w:pStyle w:val="TableParagraph"/>
              <w:spacing w:before="2"/>
              <w:rPr>
                <w:sz w:val="21"/>
              </w:rPr>
            </w:pPr>
          </w:p>
          <w:p>
            <w:pPr>
              <w:pStyle w:val="TableParagraph"/>
              <w:ind w:right="266"/>
              <w:jc w:val="right"/>
              <w:rPr>
                <w:sz w:val="20"/>
              </w:rPr>
            </w:pPr>
            <w:r>
              <w:rPr>
                <w:sz w:val="20"/>
              </w:rPr>
              <w:t>42,58±4,4</w:t>
            </w:r>
          </w:p>
        </w:tc>
        <w:tc>
          <w:tcPr>
            <w:tcW w:w="757" w:type="dxa"/>
            <w:tcBorders>
              <w:top w:val="single" w:sz="4" w:space="0" w:color="008000"/>
            </w:tcBorders>
          </w:tcPr>
          <w:p>
            <w:pPr>
              <w:pStyle w:val="TableParagraph"/>
              <w:spacing w:before="2"/>
              <w:rPr>
                <w:sz w:val="21"/>
              </w:rPr>
            </w:pPr>
          </w:p>
          <w:p>
            <w:pPr>
              <w:pStyle w:val="TableParagraph"/>
              <w:ind w:left="108" w:right="108"/>
              <w:jc w:val="center"/>
              <w:rPr>
                <w:sz w:val="20"/>
              </w:rPr>
            </w:pPr>
            <w:r>
              <w:rPr>
                <w:sz w:val="20"/>
              </w:rPr>
              <w:t>0,223</w:t>
            </w:r>
          </w:p>
        </w:tc>
        <w:tc>
          <w:tcPr>
            <w:tcW w:w="1472" w:type="dxa"/>
            <w:tcBorders>
              <w:top w:val="single" w:sz="4" w:space="0" w:color="008000"/>
            </w:tcBorders>
          </w:tcPr>
          <w:p>
            <w:pPr>
              <w:pStyle w:val="TableParagraph"/>
              <w:spacing w:before="2"/>
              <w:rPr>
                <w:sz w:val="21"/>
              </w:rPr>
            </w:pPr>
          </w:p>
          <w:p>
            <w:pPr>
              <w:pStyle w:val="TableParagraph"/>
              <w:ind w:left="106" w:right="158"/>
              <w:jc w:val="center"/>
              <w:rPr>
                <w:sz w:val="20"/>
              </w:rPr>
            </w:pPr>
            <w:r>
              <w:rPr>
                <w:sz w:val="20"/>
              </w:rPr>
              <w:t>42,58±4,4</w:t>
            </w:r>
          </w:p>
        </w:tc>
        <w:tc>
          <w:tcPr>
            <w:tcW w:w="1319" w:type="dxa"/>
            <w:tcBorders>
              <w:top w:val="single" w:sz="4" w:space="0" w:color="008000"/>
            </w:tcBorders>
          </w:tcPr>
          <w:p>
            <w:pPr>
              <w:pStyle w:val="TableParagraph"/>
              <w:spacing w:before="2"/>
              <w:rPr>
                <w:sz w:val="21"/>
              </w:rPr>
            </w:pPr>
          </w:p>
          <w:p>
            <w:pPr>
              <w:pStyle w:val="TableParagraph"/>
              <w:ind w:left="156" w:right="178"/>
              <w:jc w:val="center"/>
              <w:rPr>
                <w:sz w:val="20"/>
              </w:rPr>
            </w:pPr>
            <w:r>
              <w:rPr>
                <w:sz w:val="20"/>
              </w:rPr>
              <w:t>45±2,79</w:t>
            </w:r>
          </w:p>
        </w:tc>
        <w:tc>
          <w:tcPr>
            <w:tcW w:w="985" w:type="dxa"/>
            <w:tcBorders>
              <w:top w:val="single" w:sz="4" w:space="0" w:color="008000"/>
            </w:tcBorders>
          </w:tcPr>
          <w:p>
            <w:pPr>
              <w:pStyle w:val="TableParagraph"/>
              <w:spacing w:before="2"/>
              <w:rPr>
                <w:sz w:val="21"/>
              </w:rPr>
            </w:pPr>
          </w:p>
          <w:p>
            <w:pPr>
              <w:pStyle w:val="TableParagraph"/>
              <w:ind w:left="176" w:right="157"/>
              <w:jc w:val="center"/>
              <w:rPr>
                <w:sz w:val="13"/>
              </w:rPr>
            </w:pPr>
            <w:r>
              <w:rPr>
                <w:sz w:val="20"/>
              </w:rPr>
              <w:t>0,121</w:t>
            </w:r>
            <w:r>
              <w:rPr>
                <w:position w:val="6"/>
                <w:sz w:val="13"/>
              </w:rPr>
              <w:t>a</w:t>
            </w:r>
          </w:p>
        </w:tc>
      </w:tr>
      <w:tr>
        <w:trPr>
          <w:trHeight w:val="704" w:hRule="atLeast"/>
        </w:trPr>
        <w:tc>
          <w:tcPr>
            <w:tcW w:w="1274" w:type="dxa"/>
            <w:tcBorders>
              <w:bottom w:val="single" w:sz="12" w:space="0" w:color="008000"/>
            </w:tcBorders>
          </w:tcPr>
          <w:p>
            <w:pPr>
              <w:pStyle w:val="TableParagraph"/>
              <w:spacing w:before="6"/>
              <w:rPr>
                <w:sz w:val="20"/>
              </w:rPr>
            </w:pPr>
          </w:p>
          <w:p>
            <w:pPr>
              <w:pStyle w:val="TableParagraph"/>
              <w:spacing w:before="1"/>
              <w:ind w:left="102" w:right="120"/>
              <w:jc w:val="center"/>
              <w:rPr>
                <w:sz w:val="20"/>
              </w:rPr>
            </w:pPr>
            <w:r>
              <w:rPr>
                <w:sz w:val="20"/>
              </w:rPr>
              <w:t>Süreklilik</w:t>
            </w:r>
          </w:p>
        </w:tc>
        <w:tc>
          <w:tcPr>
            <w:tcW w:w="1347" w:type="dxa"/>
            <w:tcBorders>
              <w:bottom w:val="single" w:sz="12" w:space="0" w:color="008000"/>
            </w:tcBorders>
          </w:tcPr>
          <w:p>
            <w:pPr>
              <w:pStyle w:val="TableParagraph"/>
              <w:spacing w:before="6"/>
              <w:rPr>
                <w:sz w:val="20"/>
              </w:rPr>
            </w:pPr>
          </w:p>
          <w:p>
            <w:pPr>
              <w:pStyle w:val="TableParagraph"/>
              <w:spacing w:before="1"/>
              <w:ind w:left="122" w:right="128"/>
              <w:jc w:val="center"/>
              <w:rPr>
                <w:sz w:val="20"/>
              </w:rPr>
            </w:pPr>
            <w:r>
              <w:rPr>
                <w:sz w:val="20"/>
              </w:rPr>
              <w:t>47,33±5,3</w:t>
            </w:r>
          </w:p>
        </w:tc>
        <w:tc>
          <w:tcPr>
            <w:tcW w:w="1445" w:type="dxa"/>
            <w:tcBorders>
              <w:bottom w:val="single" w:sz="12" w:space="0" w:color="008000"/>
            </w:tcBorders>
          </w:tcPr>
          <w:p>
            <w:pPr>
              <w:pStyle w:val="TableParagraph"/>
              <w:spacing w:before="6"/>
              <w:rPr>
                <w:sz w:val="20"/>
              </w:rPr>
            </w:pPr>
          </w:p>
          <w:p>
            <w:pPr>
              <w:pStyle w:val="TableParagraph"/>
              <w:spacing w:before="1"/>
              <w:ind w:right="266"/>
              <w:jc w:val="right"/>
              <w:rPr>
                <w:sz w:val="20"/>
              </w:rPr>
            </w:pPr>
            <w:r>
              <w:rPr>
                <w:sz w:val="20"/>
              </w:rPr>
              <w:t>45,58±5,2</w:t>
            </w:r>
          </w:p>
        </w:tc>
        <w:tc>
          <w:tcPr>
            <w:tcW w:w="757" w:type="dxa"/>
            <w:tcBorders>
              <w:bottom w:val="single" w:sz="12" w:space="0" w:color="008000"/>
            </w:tcBorders>
          </w:tcPr>
          <w:p>
            <w:pPr>
              <w:pStyle w:val="TableParagraph"/>
              <w:spacing w:before="6"/>
              <w:rPr>
                <w:sz w:val="20"/>
              </w:rPr>
            </w:pPr>
          </w:p>
          <w:p>
            <w:pPr>
              <w:pStyle w:val="TableParagraph"/>
              <w:spacing w:before="1"/>
              <w:ind w:left="108" w:right="108"/>
              <w:jc w:val="center"/>
              <w:rPr>
                <w:sz w:val="20"/>
              </w:rPr>
            </w:pPr>
            <w:r>
              <w:rPr>
                <w:sz w:val="20"/>
              </w:rPr>
              <w:t>0,181</w:t>
            </w:r>
          </w:p>
        </w:tc>
        <w:tc>
          <w:tcPr>
            <w:tcW w:w="1472" w:type="dxa"/>
            <w:tcBorders>
              <w:bottom w:val="single" w:sz="12" w:space="0" w:color="008000"/>
            </w:tcBorders>
          </w:tcPr>
          <w:p>
            <w:pPr>
              <w:pStyle w:val="TableParagraph"/>
              <w:spacing w:before="6"/>
              <w:rPr>
                <w:sz w:val="20"/>
              </w:rPr>
            </w:pPr>
          </w:p>
          <w:p>
            <w:pPr>
              <w:pStyle w:val="TableParagraph"/>
              <w:spacing w:before="1"/>
              <w:ind w:left="106" w:right="158"/>
              <w:jc w:val="center"/>
              <w:rPr>
                <w:sz w:val="20"/>
              </w:rPr>
            </w:pPr>
            <w:r>
              <w:rPr>
                <w:sz w:val="20"/>
              </w:rPr>
              <w:t>45,48±5,2</w:t>
            </w:r>
          </w:p>
        </w:tc>
        <w:tc>
          <w:tcPr>
            <w:tcW w:w="1319" w:type="dxa"/>
            <w:tcBorders>
              <w:bottom w:val="single" w:sz="12" w:space="0" w:color="008000"/>
            </w:tcBorders>
          </w:tcPr>
          <w:p>
            <w:pPr>
              <w:pStyle w:val="TableParagraph"/>
              <w:spacing w:before="6"/>
              <w:rPr>
                <w:sz w:val="20"/>
              </w:rPr>
            </w:pPr>
          </w:p>
          <w:p>
            <w:pPr>
              <w:pStyle w:val="TableParagraph"/>
              <w:spacing w:before="1"/>
              <w:ind w:left="156" w:right="178"/>
              <w:jc w:val="center"/>
              <w:rPr>
                <w:sz w:val="20"/>
              </w:rPr>
            </w:pPr>
            <w:r>
              <w:rPr>
                <w:sz w:val="20"/>
              </w:rPr>
              <w:t>45,41±,3,7</w:t>
            </w:r>
          </w:p>
        </w:tc>
        <w:tc>
          <w:tcPr>
            <w:tcW w:w="985" w:type="dxa"/>
            <w:tcBorders>
              <w:bottom w:val="single" w:sz="12" w:space="0" w:color="008000"/>
            </w:tcBorders>
          </w:tcPr>
          <w:p>
            <w:pPr>
              <w:pStyle w:val="TableParagraph"/>
              <w:spacing w:before="6"/>
              <w:rPr>
                <w:sz w:val="20"/>
              </w:rPr>
            </w:pPr>
          </w:p>
          <w:p>
            <w:pPr>
              <w:pStyle w:val="TableParagraph"/>
              <w:spacing w:before="1"/>
              <w:ind w:left="176" w:right="157"/>
              <w:jc w:val="center"/>
              <w:rPr>
                <w:sz w:val="20"/>
              </w:rPr>
            </w:pPr>
            <w:r>
              <w:rPr>
                <w:sz w:val="20"/>
              </w:rPr>
              <w:t>0,886a</w:t>
            </w:r>
          </w:p>
        </w:tc>
      </w:tr>
    </w:tbl>
    <w:p>
      <w:pPr>
        <w:spacing w:before="0"/>
        <w:ind w:left="588" w:right="0" w:firstLine="0"/>
        <w:jc w:val="both"/>
        <w:rPr>
          <w:sz w:val="20"/>
        </w:rPr>
      </w:pPr>
      <w:r>
        <w:rPr>
          <w:sz w:val="20"/>
        </w:rPr>
        <w:t>a: t- test</w:t>
      </w:r>
    </w:p>
    <w:p>
      <w:pPr>
        <w:pStyle w:val="BodyText"/>
      </w:pPr>
    </w:p>
    <w:p>
      <w:pPr>
        <w:pStyle w:val="BodyText"/>
      </w:pPr>
    </w:p>
    <w:p>
      <w:pPr>
        <w:pStyle w:val="BodyText"/>
        <w:spacing w:before="7"/>
        <w:rPr>
          <w:sz w:val="23"/>
        </w:rPr>
      </w:pPr>
    </w:p>
    <w:p>
      <w:pPr>
        <w:spacing w:before="0"/>
        <w:ind w:left="588" w:right="0" w:firstLine="0"/>
        <w:jc w:val="both"/>
        <w:rPr>
          <w:sz w:val="20"/>
        </w:rPr>
      </w:pPr>
      <w:r>
        <w:rPr>
          <w:b/>
          <w:sz w:val="20"/>
        </w:rPr>
        <w:t>Tablo 4.11 </w:t>
      </w:r>
      <w:r>
        <w:rPr>
          <w:sz w:val="20"/>
        </w:rPr>
        <w:t>Kontrol Grubu Kaygı Skor Sonuçları Karşılaştırması</w:t>
      </w:r>
    </w:p>
    <w:p>
      <w:pPr>
        <w:pStyle w:val="BodyText"/>
        <w:spacing w:before="6"/>
        <w:rPr>
          <w:sz w:val="24"/>
        </w:rPr>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8"/>
        <w:gridCol w:w="2458"/>
        <w:gridCol w:w="2353"/>
        <w:gridCol w:w="1668"/>
      </w:tblGrid>
      <w:tr>
        <w:trPr>
          <w:trHeight w:val="690" w:hRule="atLeast"/>
        </w:trPr>
        <w:tc>
          <w:tcPr>
            <w:tcW w:w="2118" w:type="dxa"/>
            <w:tcBorders>
              <w:top w:val="single" w:sz="12" w:space="0" w:color="008000"/>
              <w:bottom w:val="single" w:sz="4" w:space="0" w:color="008000"/>
            </w:tcBorders>
          </w:tcPr>
          <w:p>
            <w:pPr>
              <w:pStyle w:val="TableParagraph"/>
              <w:spacing w:before="109"/>
              <w:ind w:left="712" w:right="839" w:hanging="3"/>
              <w:jc w:val="center"/>
              <w:rPr>
                <w:b/>
                <w:sz w:val="20"/>
              </w:rPr>
            </w:pPr>
            <w:r>
              <w:rPr>
                <w:b/>
                <w:sz w:val="20"/>
              </w:rPr>
              <w:t>Kaygı </w:t>
            </w:r>
            <w:r>
              <w:rPr>
                <w:b/>
                <w:w w:val="95"/>
                <w:sz w:val="20"/>
              </w:rPr>
              <w:t>Skoru</w:t>
            </w:r>
          </w:p>
        </w:tc>
        <w:tc>
          <w:tcPr>
            <w:tcW w:w="2458" w:type="dxa"/>
            <w:tcBorders>
              <w:top w:val="single" w:sz="12" w:space="0" w:color="008000"/>
              <w:bottom w:val="single" w:sz="4" w:space="0" w:color="008000"/>
            </w:tcBorders>
          </w:tcPr>
          <w:p>
            <w:pPr>
              <w:pStyle w:val="TableParagraph"/>
              <w:spacing w:line="224" w:lineRule="exact"/>
              <w:ind w:left="598" w:right="764"/>
              <w:jc w:val="center"/>
              <w:rPr>
                <w:b/>
                <w:sz w:val="20"/>
              </w:rPr>
            </w:pPr>
            <w:r>
              <w:rPr>
                <w:b/>
                <w:sz w:val="20"/>
              </w:rPr>
              <w:t>Preoperatif</w:t>
            </w:r>
          </w:p>
          <w:p>
            <w:pPr>
              <w:pStyle w:val="TableParagraph"/>
              <w:spacing w:before="115"/>
              <w:ind w:left="597" w:right="764"/>
              <w:jc w:val="center"/>
              <w:rPr>
                <w:b/>
                <w:sz w:val="20"/>
              </w:rPr>
            </w:pPr>
            <w:r>
              <w:rPr>
                <w:b/>
                <w:sz w:val="20"/>
              </w:rPr>
              <w:t>X±SS</w:t>
            </w:r>
          </w:p>
        </w:tc>
        <w:tc>
          <w:tcPr>
            <w:tcW w:w="2353" w:type="dxa"/>
            <w:tcBorders>
              <w:top w:val="single" w:sz="12" w:space="0" w:color="008000"/>
              <w:bottom w:val="single" w:sz="4" w:space="0" w:color="008000"/>
            </w:tcBorders>
          </w:tcPr>
          <w:p>
            <w:pPr>
              <w:pStyle w:val="TableParagraph"/>
              <w:spacing w:line="224" w:lineRule="exact"/>
              <w:ind w:left="764" w:right="602"/>
              <w:jc w:val="center"/>
              <w:rPr>
                <w:b/>
                <w:sz w:val="20"/>
              </w:rPr>
            </w:pPr>
            <w:r>
              <w:rPr>
                <w:b/>
                <w:sz w:val="20"/>
              </w:rPr>
              <w:t>Taburcu</w:t>
            </w:r>
          </w:p>
          <w:p>
            <w:pPr>
              <w:pStyle w:val="TableParagraph"/>
              <w:spacing w:before="115"/>
              <w:ind w:left="764" w:right="603"/>
              <w:jc w:val="center"/>
              <w:rPr>
                <w:b/>
                <w:sz w:val="20"/>
              </w:rPr>
            </w:pPr>
            <w:r>
              <w:rPr>
                <w:b/>
                <w:sz w:val="20"/>
              </w:rPr>
              <w:t>X±SS</w:t>
            </w:r>
          </w:p>
        </w:tc>
        <w:tc>
          <w:tcPr>
            <w:tcW w:w="1668" w:type="dxa"/>
            <w:tcBorders>
              <w:top w:val="single" w:sz="12" w:space="0" w:color="008000"/>
              <w:bottom w:val="single" w:sz="4" w:space="0" w:color="008000"/>
            </w:tcBorders>
          </w:tcPr>
          <w:p>
            <w:pPr>
              <w:pStyle w:val="TableParagraph"/>
              <w:spacing w:before="6"/>
              <w:rPr>
                <w:sz w:val="19"/>
              </w:rPr>
            </w:pPr>
          </w:p>
          <w:p>
            <w:pPr>
              <w:pStyle w:val="TableParagraph"/>
              <w:ind w:left="155"/>
              <w:jc w:val="center"/>
              <w:rPr>
                <w:b/>
                <w:sz w:val="20"/>
              </w:rPr>
            </w:pPr>
            <w:r>
              <w:rPr>
                <w:b/>
                <w:w w:val="99"/>
                <w:sz w:val="20"/>
              </w:rPr>
              <w:t>p</w:t>
            </w:r>
          </w:p>
        </w:tc>
      </w:tr>
      <w:tr>
        <w:trPr>
          <w:trHeight w:val="690" w:hRule="atLeast"/>
        </w:trPr>
        <w:tc>
          <w:tcPr>
            <w:tcW w:w="2118" w:type="dxa"/>
            <w:tcBorders>
              <w:top w:val="single" w:sz="4" w:space="0" w:color="008000"/>
            </w:tcBorders>
          </w:tcPr>
          <w:p>
            <w:pPr>
              <w:pStyle w:val="TableParagraph"/>
              <w:spacing w:before="11"/>
              <w:rPr>
                <w:sz w:val="19"/>
              </w:rPr>
            </w:pPr>
          </w:p>
          <w:p>
            <w:pPr>
              <w:pStyle w:val="TableParagraph"/>
              <w:ind w:left="212" w:right="339"/>
              <w:jc w:val="center"/>
              <w:rPr>
                <w:sz w:val="20"/>
              </w:rPr>
            </w:pPr>
            <w:r>
              <w:rPr>
                <w:sz w:val="20"/>
              </w:rPr>
              <w:t>Durumluluk</w:t>
            </w:r>
          </w:p>
        </w:tc>
        <w:tc>
          <w:tcPr>
            <w:tcW w:w="2458" w:type="dxa"/>
            <w:tcBorders>
              <w:top w:val="single" w:sz="4" w:space="0" w:color="008000"/>
            </w:tcBorders>
          </w:tcPr>
          <w:p>
            <w:pPr>
              <w:pStyle w:val="TableParagraph"/>
              <w:spacing w:before="11"/>
              <w:rPr>
                <w:sz w:val="19"/>
              </w:rPr>
            </w:pPr>
          </w:p>
          <w:p>
            <w:pPr>
              <w:pStyle w:val="TableParagraph"/>
              <w:ind w:left="702"/>
              <w:rPr>
                <w:sz w:val="20"/>
              </w:rPr>
            </w:pPr>
            <w:r>
              <w:rPr>
                <w:sz w:val="20"/>
              </w:rPr>
              <w:t>44,58±6,5</w:t>
            </w:r>
          </w:p>
        </w:tc>
        <w:tc>
          <w:tcPr>
            <w:tcW w:w="2353" w:type="dxa"/>
            <w:tcBorders>
              <w:top w:val="single" w:sz="4" w:space="0" w:color="008000"/>
            </w:tcBorders>
          </w:tcPr>
          <w:p>
            <w:pPr>
              <w:pStyle w:val="TableParagraph"/>
              <w:spacing w:before="11"/>
              <w:rPr>
                <w:sz w:val="19"/>
              </w:rPr>
            </w:pPr>
          </w:p>
          <w:p>
            <w:pPr>
              <w:pStyle w:val="TableParagraph"/>
              <w:ind w:left="764" w:right="604"/>
              <w:jc w:val="center"/>
              <w:rPr>
                <w:sz w:val="20"/>
              </w:rPr>
            </w:pPr>
            <w:r>
              <w:rPr>
                <w:sz w:val="20"/>
              </w:rPr>
              <w:t>45±2,79</w:t>
            </w:r>
          </w:p>
        </w:tc>
        <w:tc>
          <w:tcPr>
            <w:tcW w:w="1668" w:type="dxa"/>
            <w:tcBorders>
              <w:top w:val="single" w:sz="4" w:space="0" w:color="008000"/>
            </w:tcBorders>
          </w:tcPr>
          <w:p>
            <w:pPr>
              <w:pStyle w:val="TableParagraph"/>
              <w:spacing w:before="11"/>
              <w:rPr>
                <w:sz w:val="19"/>
              </w:rPr>
            </w:pPr>
          </w:p>
          <w:p>
            <w:pPr>
              <w:pStyle w:val="TableParagraph"/>
              <w:ind w:left="604" w:right="450"/>
              <w:jc w:val="center"/>
              <w:rPr>
                <w:sz w:val="13"/>
              </w:rPr>
            </w:pPr>
            <w:r>
              <w:rPr>
                <w:sz w:val="20"/>
              </w:rPr>
              <w:t>0,819</w:t>
            </w:r>
            <w:r>
              <w:rPr>
                <w:position w:val="6"/>
                <w:sz w:val="13"/>
              </w:rPr>
              <w:t>a</w:t>
            </w:r>
          </w:p>
        </w:tc>
      </w:tr>
      <w:tr>
        <w:trPr>
          <w:trHeight w:val="681" w:hRule="atLeast"/>
        </w:trPr>
        <w:tc>
          <w:tcPr>
            <w:tcW w:w="2118" w:type="dxa"/>
            <w:tcBorders>
              <w:bottom w:val="single" w:sz="12" w:space="0" w:color="008000"/>
            </w:tcBorders>
          </w:tcPr>
          <w:p>
            <w:pPr>
              <w:pStyle w:val="TableParagraph"/>
              <w:spacing w:before="5"/>
              <w:rPr>
                <w:sz w:val="19"/>
              </w:rPr>
            </w:pPr>
          </w:p>
          <w:p>
            <w:pPr>
              <w:pStyle w:val="TableParagraph"/>
              <w:ind w:left="212" w:right="339"/>
              <w:jc w:val="center"/>
              <w:rPr>
                <w:sz w:val="20"/>
              </w:rPr>
            </w:pPr>
            <w:r>
              <w:rPr>
                <w:sz w:val="20"/>
              </w:rPr>
              <w:t>Süreklilik</w:t>
            </w:r>
          </w:p>
        </w:tc>
        <w:tc>
          <w:tcPr>
            <w:tcW w:w="2458" w:type="dxa"/>
            <w:tcBorders>
              <w:bottom w:val="single" w:sz="12" w:space="0" w:color="008000"/>
            </w:tcBorders>
          </w:tcPr>
          <w:p>
            <w:pPr>
              <w:pStyle w:val="TableParagraph"/>
              <w:spacing w:before="5"/>
              <w:rPr>
                <w:sz w:val="19"/>
              </w:rPr>
            </w:pPr>
          </w:p>
          <w:p>
            <w:pPr>
              <w:pStyle w:val="TableParagraph"/>
              <w:ind w:left="702"/>
              <w:rPr>
                <w:sz w:val="20"/>
              </w:rPr>
            </w:pPr>
            <w:r>
              <w:rPr>
                <w:sz w:val="20"/>
              </w:rPr>
              <w:t>47,33±5,3</w:t>
            </w:r>
          </w:p>
        </w:tc>
        <w:tc>
          <w:tcPr>
            <w:tcW w:w="2353" w:type="dxa"/>
            <w:tcBorders>
              <w:bottom w:val="single" w:sz="12" w:space="0" w:color="008000"/>
            </w:tcBorders>
          </w:tcPr>
          <w:p>
            <w:pPr>
              <w:pStyle w:val="TableParagraph"/>
              <w:spacing w:before="5"/>
              <w:rPr>
                <w:sz w:val="19"/>
              </w:rPr>
            </w:pPr>
          </w:p>
          <w:p>
            <w:pPr>
              <w:pStyle w:val="TableParagraph"/>
              <w:ind w:left="764" w:right="604"/>
              <w:jc w:val="center"/>
              <w:rPr>
                <w:sz w:val="20"/>
              </w:rPr>
            </w:pPr>
            <w:r>
              <w:rPr>
                <w:sz w:val="20"/>
              </w:rPr>
              <w:t>45,41±,3,7</w:t>
            </w:r>
          </w:p>
        </w:tc>
        <w:tc>
          <w:tcPr>
            <w:tcW w:w="1668" w:type="dxa"/>
            <w:tcBorders>
              <w:bottom w:val="single" w:sz="12" w:space="0" w:color="008000"/>
            </w:tcBorders>
          </w:tcPr>
          <w:p>
            <w:pPr>
              <w:pStyle w:val="TableParagraph"/>
              <w:spacing w:before="5"/>
              <w:rPr>
                <w:sz w:val="19"/>
              </w:rPr>
            </w:pPr>
          </w:p>
          <w:p>
            <w:pPr>
              <w:pStyle w:val="TableParagraph"/>
              <w:ind w:left="604" w:right="450"/>
              <w:jc w:val="center"/>
              <w:rPr>
                <w:sz w:val="13"/>
              </w:rPr>
            </w:pPr>
            <w:r>
              <w:rPr>
                <w:sz w:val="20"/>
              </w:rPr>
              <w:t>0,168</w:t>
            </w:r>
            <w:r>
              <w:rPr>
                <w:position w:val="6"/>
                <w:sz w:val="13"/>
              </w:rPr>
              <w:t>a</w:t>
            </w:r>
          </w:p>
        </w:tc>
      </w:tr>
    </w:tbl>
    <w:p>
      <w:pPr>
        <w:spacing w:before="0"/>
        <w:ind w:left="588" w:right="0" w:firstLine="0"/>
        <w:jc w:val="both"/>
        <w:rPr>
          <w:sz w:val="20"/>
        </w:rPr>
      </w:pPr>
      <w:r>
        <w:rPr>
          <w:sz w:val="20"/>
        </w:rPr>
        <w:t>a: t- test</w:t>
      </w:r>
    </w:p>
    <w:p>
      <w:pPr>
        <w:pStyle w:val="BodyText"/>
      </w:pPr>
    </w:p>
    <w:p>
      <w:pPr>
        <w:pStyle w:val="BodyText"/>
      </w:pPr>
    </w:p>
    <w:p>
      <w:pPr>
        <w:pStyle w:val="BodyText"/>
        <w:spacing w:before="4"/>
        <w:rPr>
          <w:sz w:val="26"/>
        </w:rPr>
      </w:pPr>
    </w:p>
    <w:p>
      <w:pPr>
        <w:pStyle w:val="Heading2"/>
        <w:numPr>
          <w:ilvl w:val="2"/>
          <w:numId w:val="6"/>
        </w:numPr>
        <w:tabs>
          <w:tab w:pos="1203" w:val="left" w:leader="none"/>
        </w:tabs>
        <w:spacing w:line="240" w:lineRule="auto" w:before="0" w:after="0"/>
        <w:ind w:left="1202" w:right="0" w:hanging="615"/>
        <w:jc w:val="left"/>
      </w:pPr>
      <w:bookmarkStart w:name="_bookmark49" w:id="91"/>
      <w:bookmarkEnd w:id="91"/>
      <w:r>
        <w:rPr>
          <w:b w:val="0"/>
        </w:rPr>
      </w:r>
      <w:bookmarkStart w:name="_bookmark49" w:id="92"/>
      <w:bookmarkEnd w:id="92"/>
      <w:r>
        <w:rPr/>
        <w:t>Ç</w:t>
      </w:r>
      <w:r>
        <w:rPr/>
        <w:t>alışma Grubunun Tedavi Öncesi ve Sonrası Verilerinin</w:t>
      </w:r>
      <w:r>
        <w:rPr>
          <w:spacing w:val="-16"/>
        </w:rPr>
        <w:t> </w:t>
      </w:r>
      <w:r>
        <w:rPr/>
        <w:t>Karşılaştırılması</w:t>
      </w:r>
    </w:p>
    <w:p>
      <w:pPr>
        <w:pStyle w:val="BodyText"/>
        <w:spacing w:before="10"/>
        <w:rPr>
          <w:b/>
          <w:sz w:val="21"/>
        </w:rPr>
      </w:pPr>
    </w:p>
    <w:p>
      <w:pPr>
        <w:pStyle w:val="BodyText"/>
        <w:spacing w:line="357" w:lineRule="auto"/>
        <w:ind w:left="588" w:right="289" w:firstLine="708"/>
        <w:jc w:val="both"/>
      </w:pPr>
      <w:r>
        <w:rPr/>
        <w:t>Çalışmaya katılan bireylerin preoperatif, postoperatif ve taburculuk öncesi solunum kas güçleri değerlendirildiğinde (MİP ve MEP) istatistiksel olarak anlamlı fark </w:t>
      </w:r>
      <w:r>
        <w:rPr>
          <w:position w:val="2"/>
        </w:rPr>
        <w:t>bulundu (p&lt;0,05). Preoperatif MİP ortalama 73,25±20,79 cmH</w:t>
      </w:r>
      <w:r>
        <w:rPr>
          <w:sz w:val="14"/>
        </w:rPr>
        <w:t>2</w:t>
      </w:r>
      <w:r>
        <w:rPr>
          <w:position w:val="2"/>
        </w:rPr>
        <w:t>O, postoperatif MİP ortalama 38,91±20,26 cmH</w:t>
      </w:r>
      <w:r>
        <w:rPr>
          <w:sz w:val="14"/>
        </w:rPr>
        <w:t>2</w:t>
      </w:r>
      <w:r>
        <w:rPr>
          <w:position w:val="2"/>
        </w:rPr>
        <w:t>O ve taburculuk MİP ortalama 57,5±26,78 cmH</w:t>
      </w:r>
      <w:r>
        <w:rPr>
          <w:sz w:val="14"/>
        </w:rPr>
        <w:t>2</w:t>
      </w:r>
      <w:r>
        <w:rPr>
          <w:position w:val="2"/>
        </w:rPr>
        <w:t>O olarak bulundu. Preoperatif MEP ortalama 77±24,17 cmH</w:t>
      </w:r>
      <w:r>
        <w:rPr>
          <w:sz w:val="14"/>
        </w:rPr>
        <w:t>2</w:t>
      </w:r>
      <w:r>
        <w:rPr>
          <w:position w:val="2"/>
        </w:rPr>
        <w:t>O, postoperatif MEP ortalama 34,83±17,18 cmH</w:t>
      </w:r>
      <w:r>
        <w:rPr>
          <w:sz w:val="14"/>
        </w:rPr>
        <w:t>2</w:t>
      </w:r>
      <w:r>
        <w:rPr>
          <w:position w:val="2"/>
        </w:rPr>
        <w:t>O ve taburculuk öncesi MEP ortalama 50±19,17 cmH</w:t>
      </w:r>
      <w:r>
        <w:rPr>
          <w:sz w:val="14"/>
        </w:rPr>
        <w:t>2</w:t>
      </w:r>
      <w:r>
        <w:rPr>
          <w:position w:val="2"/>
        </w:rPr>
        <w:t>O olarak </w:t>
      </w:r>
      <w:r>
        <w:rPr/>
        <w:t>bulundu. Elde edilen veriler Tablo 4.12 ve Tablo 4.13’te gösterilmiştir.</w:t>
      </w:r>
    </w:p>
    <w:p>
      <w:pPr>
        <w:spacing w:after="0" w:line="357" w:lineRule="auto"/>
        <w:jc w:val="both"/>
        <w:sectPr>
          <w:pgSz w:w="11910" w:h="16840"/>
          <w:pgMar w:header="749" w:footer="0" w:top="1320" w:bottom="280" w:left="168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spacing w:before="1"/>
        <w:ind w:left="588" w:right="0" w:firstLine="0"/>
        <w:jc w:val="left"/>
        <w:rPr>
          <w:sz w:val="20"/>
        </w:rPr>
      </w:pPr>
      <w:r>
        <w:rPr>
          <w:b/>
          <w:sz w:val="20"/>
        </w:rPr>
        <w:t>Tablo 4.12 </w:t>
      </w:r>
      <w:r>
        <w:rPr>
          <w:sz w:val="20"/>
        </w:rPr>
        <w:t>Çalışma Grubu Maksimal İnspiratuar ve Ekspiratuar Basınçlarının Karşılaştırılması</w:t>
      </w:r>
    </w:p>
    <w:p>
      <w:pPr>
        <w:pStyle w:val="BodyText"/>
        <w:spacing w:before="3"/>
        <w:rPr>
          <w:sz w:val="24"/>
        </w:rPr>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23"/>
        <w:gridCol w:w="1400"/>
        <w:gridCol w:w="1456"/>
        <w:gridCol w:w="966"/>
        <w:gridCol w:w="1458"/>
        <w:gridCol w:w="1292"/>
        <w:gridCol w:w="866"/>
      </w:tblGrid>
      <w:tr>
        <w:trPr>
          <w:trHeight w:val="690" w:hRule="atLeast"/>
        </w:trPr>
        <w:tc>
          <w:tcPr>
            <w:tcW w:w="1123" w:type="dxa"/>
            <w:tcBorders>
              <w:top w:val="single" w:sz="12" w:space="0" w:color="008000"/>
              <w:bottom w:val="single" w:sz="4" w:space="0" w:color="008000"/>
            </w:tcBorders>
          </w:tcPr>
          <w:p>
            <w:pPr>
              <w:pStyle w:val="TableParagraph"/>
              <w:spacing w:line="230" w:lineRule="exact"/>
              <w:ind w:left="130" w:right="139"/>
              <w:jc w:val="center"/>
              <w:rPr>
                <w:b/>
                <w:sz w:val="20"/>
              </w:rPr>
            </w:pPr>
            <w:r>
              <w:rPr>
                <w:b/>
                <w:w w:val="95"/>
                <w:sz w:val="20"/>
              </w:rPr>
              <w:t>Solunum </w:t>
            </w:r>
            <w:r>
              <w:rPr>
                <w:b/>
                <w:sz w:val="20"/>
              </w:rPr>
              <w:t>Kas Gücü</w:t>
            </w:r>
          </w:p>
        </w:tc>
        <w:tc>
          <w:tcPr>
            <w:tcW w:w="1400" w:type="dxa"/>
            <w:tcBorders>
              <w:top w:val="single" w:sz="12" w:space="0" w:color="008000"/>
              <w:bottom w:val="single" w:sz="4" w:space="0" w:color="008000"/>
            </w:tcBorders>
          </w:tcPr>
          <w:p>
            <w:pPr>
              <w:pStyle w:val="TableParagraph"/>
              <w:spacing w:line="227" w:lineRule="exact"/>
              <w:ind w:left="117" w:right="129"/>
              <w:jc w:val="center"/>
              <w:rPr>
                <w:b/>
                <w:sz w:val="20"/>
              </w:rPr>
            </w:pPr>
            <w:r>
              <w:rPr>
                <w:b/>
                <w:sz w:val="20"/>
              </w:rPr>
              <w:t>Preoperatif</w:t>
            </w:r>
          </w:p>
          <w:p>
            <w:pPr>
              <w:pStyle w:val="TableParagraph"/>
              <w:spacing w:before="115"/>
              <w:ind w:left="120" w:right="128"/>
              <w:jc w:val="center"/>
              <w:rPr>
                <w:b/>
                <w:sz w:val="20"/>
              </w:rPr>
            </w:pPr>
            <w:r>
              <w:rPr>
                <w:b/>
                <w:sz w:val="20"/>
              </w:rPr>
              <w:t>X±SS</w:t>
            </w:r>
          </w:p>
        </w:tc>
        <w:tc>
          <w:tcPr>
            <w:tcW w:w="1456" w:type="dxa"/>
            <w:tcBorders>
              <w:top w:val="single" w:sz="12" w:space="0" w:color="008000"/>
              <w:bottom w:val="single" w:sz="4" w:space="0" w:color="008000"/>
            </w:tcBorders>
          </w:tcPr>
          <w:p>
            <w:pPr>
              <w:pStyle w:val="TableParagraph"/>
              <w:spacing w:line="227" w:lineRule="exact"/>
              <w:ind w:left="129" w:right="119"/>
              <w:jc w:val="center"/>
              <w:rPr>
                <w:b/>
                <w:sz w:val="20"/>
              </w:rPr>
            </w:pPr>
            <w:r>
              <w:rPr>
                <w:b/>
                <w:sz w:val="20"/>
              </w:rPr>
              <w:t>Postoperatif</w:t>
            </w:r>
          </w:p>
          <w:p>
            <w:pPr>
              <w:pStyle w:val="TableParagraph"/>
              <w:spacing w:before="115"/>
              <w:ind w:left="129" w:right="116"/>
              <w:jc w:val="center"/>
              <w:rPr>
                <w:b/>
                <w:sz w:val="20"/>
              </w:rPr>
            </w:pPr>
            <w:r>
              <w:rPr>
                <w:b/>
                <w:sz w:val="20"/>
              </w:rPr>
              <w:t>X±SS</w:t>
            </w:r>
          </w:p>
        </w:tc>
        <w:tc>
          <w:tcPr>
            <w:tcW w:w="966" w:type="dxa"/>
            <w:tcBorders>
              <w:top w:val="single" w:sz="12" w:space="0" w:color="008000"/>
              <w:bottom w:val="single" w:sz="4" w:space="0" w:color="008000"/>
            </w:tcBorders>
          </w:tcPr>
          <w:p>
            <w:pPr>
              <w:pStyle w:val="TableParagraph"/>
              <w:spacing w:before="169"/>
              <w:ind w:left="2"/>
              <w:jc w:val="center"/>
              <w:rPr>
                <w:b/>
                <w:sz w:val="20"/>
              </w:rPr>
            </w:pPr>
            <w:r>
              <w:rPr>
                <w:b/>
                <w:w w:val="99"/>
                <w:sz w:val="20"/>
              </w:rPr>
              <w:t>p</w:t>
            </w:r>
          </w:p>
        </w:tc>
        <w:tc>
          <w:tcPr>
            <w:tcW w:w="1458" w:type="dxa"/>
            <w:tcBorders>
              <w:top w:val="single" w:sz="12" w:space="0" w:color="008000"/>
              <w:bottom w:val="single" w:sz="4" w:space="0" w:color="008000"/>
            </w:tcBorders>
          </w:tcPr>
          <w:p>
            <w:pPr>
              <w:pStyle w:val="TableParagraph"/>
              <w:spacing w:line="227" w:lineRule="exact"/>
              <w:ind w:left="119" w:right="132"/>
              <w:jc w:val="center"/>
              <w:rPr>
                <w:b/>
                <w:sz w:val="20"/>
              </w:rPr>
            </w:pPr>
            <w:r>
              <w:rPr>
                <w:b/>
                <w:sz w:val="20"/>
              </w:rPr>
              <w:t>Postoperatif</w:t>
            </w:r>
          </w:p>
          <w:p>
            <w:pPr>
              <w:pStyle w:val="TableParagraph"/>
              <w:spacing w:before="115"/>
              <w:ind w:left="119" w:right="129"/>
              <w:jc w:val="center"/>
              <w:rPr>
                <w:b/>
                <w:sz w:val="20"/>
              </w:rPr>
            </w:pPr>
            <w:r>
              <w:rPr>
                <w:b/>
                <w:sz w:val="20"/>
              </w:rPr>
              <w:t>X±SS</w:t>
            </w:r>
          </w:p>
        </w:tc>
        <w:tc>
          <w:tcPr>
            <w:tcW w:w="1292" w:type="dxa"/>
            <w:tcBorders>
              <w:top w:val="single" w:sz="12" w:space="0" w:color="008000"/>
              <w:bottom w:val="single" w:sz="4" w:space="0" w:color="008000"/>
            </w:tcBorders>
          </w:tcPr>
          <w:p>
            <w:pPr>
              <w:pStyle w:val="TableParagraph"/>
              <w:spacing w:line="227" w:lineRule="exact"/>
              <w:ind w:left="132" w:right="118"/>
              <w:jc w:val="center"/>
              <w:rPr>
                <w:b/>
                <w:sz w:val="20"/>
              </w:rPr>
            </w:pPr>
            <w:r>
              <w:rPr>
                <w:b/>
                <w:sz w:val="20"/>
              </w:rPr>
              <w:t>Taburcu</w:t>
            </w:r>
          </w:p>
          <w:p>
            <w:pPr>
              <w:pStyle w:val="TableParagraph"/>
              <w:spacing w:before="115"/>
              <w:ind w:left="130" w:right="118"/>
              <w:jc w:val="center"/>
              <w:rPr>
                <w:b/>
                <w:sz w:val="20"/>
              </w:rPr>
            </w:pPr>
            <w:r>
              <w:rPr>
                <w:b/>
                <w:sz w:val="20"/>
              </w:rPr>
              <w:t>X±SS</w:t>
            </w:r>
          </w:p>
        </w:tc>
        <w:tc>
          <w:tcPr>
            <w:tcW w:w="866" w:type="dxa"/>
            <w:tcBorders>
              <w:top w:val="single" w:sz="12" w:space="0" w:color="008000"/>
              <w:bottom w:val="single" w:sz="4" w:space="0" w:color="008000"/>
            </w:tcBorders>
          </w:tcPr>
          <w:p>
            <w:pPr>
              <w:pStyle w:val="TableParagraph"/>
              <w:spacing w:before="8"/>
              <w:rPr>
                <w:sz w:val="19"/>
              </w:rPr>
            </w:pPr>
          </w:p>
          <w:p>
            <w:pPr>
              <w:pStyle w:val="TableParagraph"/>
              <w:ind w:right="5"/>
              <w:jc w:val="center"/>
              <w:rPr>
                <w:b/>
                <w:sz w:val="20"/>
              </w:rPr>
            </w:pPr>
            <w:r>
              <w:rPr>
                <w:b/>
                <w:w w:val="99"/>
                <w:sz w:val="20"/>
              </w:rPr>
              <w:t>p</w:t>
            </w:r>
          </w:p>
        </w:tc>
      </w:tr>
      <w:tr>
        <w:trPr>
          <w:trHeight w:val="717" w:hRule="atLeast"/>
        </w:trPr>
        <w:tc>
          <w:tcPr>
            <w:tcW w:w="1123" w:type="dxa"/>
            <w:tcBorders>
              <w:top w:val="single" w:sz="4" w:space="0" w:color="008000"/>
            </w:tcBorders>
          </w:tcPr>
          <w:p>
            <w:pPr>
              <w:pStyle w:val="TableParagraph"/>
              <w:spacing w:before="129"/>
              <w:ind w:left="170" w:right="160" w:firstLine="211"/>
              <w:rPr>
                <w:sz w:val="20"/>
              </w:rPr>
            </w:pPr>
            <w:r>
              <w:rPr>
                <w:sz w:val="20"/>
              </w:rPr>
              <w:t>MİP </w:t>
            </w:r>
            <w:r>
              <w:rPr>
                <w:position w:val="1"/>
                <w:sz w:val="20"/>
              </w:rPr>
              <w:t>(cmH</w:t>
            </w:r>
            <w:r>
              <w:rPr>
                <w:sz w:val="13"/>
              </w:rPr>
              <w:t>2</w:t>
            </w:r>
            <w:r>
              <w:rPr>
                <w:position w:val="1"/>
                <w:sz w:val="20"/>
              </w:rPr>
              <w:t>O)</w:t>
            </w:r>
          </w:p>
        </w:tc>
        <w:tc>
          <w:tcPr>
            <w:tcW w:w="1400" w:type="dxa"/>
            <w:tcBorders>
              <w:top w:val="single" w:sz="4" w:space="0" w:color="008000"/>
            </w:tcBorders>
          </w:tcPr>
          <w:p>
            <w:pPr>
              <w:pStyle w:val="TableParagraph"/>
              <w:spacing w:before="2"/>
              <w:rPr>
                <w:sz w:val="21"/>
              </w:rPr>
            </w:pPr>
          </w:p>
          <w:p>
            <w:pPr>
              <w:pStyle w:val="TableParagraph"/>
              <w:ind w:left="120" w:right="129"/>
              <w:jc w:val="center"/>
              <w:rPr>
                <w:sz w:val="20"/>
              </w:rPr>
            </w:pPr>
            <w:r>
              <w:rPr>
                <w:sz w:val="20"/>
              </w:rPr>
              <w:t>73,25±20,79</w:t>
            </w:r>
          </w:p>
        </w:tc>
        <w:tc>
          <w:tcPr>
            <w:tcW w:w="1456" w:type="dxa"/>
            <w:tcBorders>
              <w:top w:val="single" w:sz="4" w:space="0" w:color="008000"/>
            </w:tcBorders>
          </w:tcPr>
          <w:p>
            <w:pPr>
              <w:pStyle w:val="TableParagraph"/>
              <w:spacing w:before="2"/>
              <w:rPr>
                <w:sz w:val="21"/>
              </w:rPr>
            </w:pPr>
          </w:p>
          <w:p>
            <w:pPr>
              <w:pStyle w:val="TableParagraph"/>
              <w:ind w:left="129" w:right="117"/>
              <w:jc w:val="center"/>
              <w:rPr>
                <w:sz w:val="20"/>
              </w:rPr>
            </w:pPr>
            <w:r>
              <w:rPr>
                <w:sz w:val="20"/>
              </w:rPr>
              <w:t>38,91±20,26</w:t>
            </w:r>
          </w:p>
        </w:tc>
        <w:tc>
          <w:tcPr>
            <w:tcW w:w="966" w:type="dxa"/>
            <w:tcBorders>
              <w:top w:val="single" w:sz="4" w:space="0" w:color="008000"/>
            </w:tcBorders>
          </w:tcPr>
          <w:p>
            <w:pPr>
              <w:pStyle w:val="TableParagraph"/>
              <w:spacing w:before="2"/>
              <w:rPr>
                <w:sz w:val="21"/>
              </w:rPr>
            </w:pPr>
          </w:p>
          <w:p>
            <w:pPr>
              <w:pStyle w:val="TableParagraph"/>
              <w:ind w:left="118" w:right="117"/>
              <w:jc w:val="center"/>
              <w:rPr>
                <w:sz w:val="13"/>
              </w:rPr>
            </w:pPr>
            <w:r>
              <w:rPr>
                <w:sz w:val="20"/>
              </w:rPr>
              <w:t>&lt;0,001</w:t>
            </w:r>
            <w:r>
              <w:rPr>
                <w:position w:val="6"/>
                <w:sz w:val="13"/>
              </w:rPr>
              <w:t>a</w:t>
            </w:r>
          </w:p>
        </w:tc>
        <w:tc>
          <w:tcPr>
            <w:tcW w:w="1458" w:type="dxa"/>
            <w:tcBorders>
              <w:top w:val="single" w:sz="4" w:space="0" w:color="008000"/>
            </w:tcBorders>
          </w:tcPr>
          <w:p>
            <w:pPr>
              <w:pStyle w:val="TableParagraph"/>
              <w:spacing w:before="2"/>
              <w:rPr>
                <w:sz w:val="21"/>
              </w:rPr>
            </w:pPr>
          </w:p>
          <w:p>
            <w:pPr>
              <w:pStyle w:val="TableParagraph"/>
              <w:ind w:left="119" w:right="130"/>
              <w:jc w:val="center"/>
              <w:rPr>
                <w:sz w:val="20"/>
              </w:rPr>
            </w:pPr>
            <w:r>
              <w:rPr>
                <w:sz w:val="20"/>
              </w:rPr>
              <w:t>38,91±20,26</w:t>
            </w:r>
          </w:p>
        </w:tc>
        <w:tc>
          <w:tcPr>
            <w:tcW w:w="1292" w:type="dxa"/>
            <w:tcBorders>
              <w:top w:val="single" w:sz="4" w:space="0" w:color="008000"/>
            </w:tcBorders>
          </w:tcPr>
          <w:p>
            <w:pPr>
              <w:pStyle w:val="TableParagraph"/>
              <w:spacing w:before="2"/>
              <w:rPr>
                <w:sz w:val="21"/>
              </w:rPr>
            </w:pPr>
          </w:p>
          <w:p>
            <w:pPr>
              <w:pStyle w:val="TableParagraph"/>
              <w:ind w:left="133" w:right="118"/>
              <w:jc w:val="center"/>
              <w:rPr>
                <w:sz w:val="20"/>
              </w:rPr>
            </w:pPr>
            <w:r>
              <w:rPr>
                <w:sz w:val="20"/>
              </w:rPr>
              <w:t>57,5±26,78</w:t>
            </w:r>
          </w:p>
        </w:tc>
        <w:tc>
          <w:tcPr>
            <w:tcW w:w="866" w:type="dxa"/>
            <w:tcBorders>
              <w:top w:val="single" w:sz="4" w:space="0" w:color="008000"/>
            </w:tcBorders>
          </w:tcPr>
          <w:p>
            <w:pPr>
              <w:pStyle w:val="TableParagraph"/>
              <w:spacing w:before="2"/>
              <w:rPr>
                <w:sz w:val="21"/>
              </w:rPr>
            </w:pPr>
          </w:p>
          <w:p>
            <w:pPr>
              <w:pStyle w:val="TableParagraph"/>
              <w:ind w:left="123" w:right="130"/>
              <w:jc w:val="center"/>
              <w:rPr>
                <w:sz w:val="13"/>
              </w:rPr>
            </w:pPr>
            <w:r>
              <w:rPr>
                <w:sz w:val="20"/>
              </w:rPr>
              <w:t>0,001</w:t>
            </w:r>
            <w:r>
              <w:rPr>
                <w:position w:val="6"/>
                <w:sz w:val="13"/>
              </w:rPr>
              <w:t>a</w:t>
            </w:r>
          </w:p>
        </w:tc>
      </w:tr>
      <w:tr>
        <w:trPr>
          <w:trHeight w:val="707" w:hRule="atLeast"/>
        </w:trPr>
        <w:tc>
          <w:tcPr>
            <w:tcW w:w="1123" w:type="dxa"/>
            <w:tcBorders>
              <w:bottom w:val="single" w:sz="12" w:space="0" w:color="008000"/>
            </w:tcBorders>
          </w:tcPr>
          <w:p>
            <w:pPr>
              <w:pStyle w:val="TableParagraph"/>
              <w:spacing w:before="121"/>
              <w:ind w:left="170" w:right="160" w:firstLine="170"/>
              <w:rPr>
                <w:sz w:val="20"/>
              </w:rPr>
            </w:pPr>
            <w:r>
              <w:rPr>
                <w:sz w:val="20"/>
              </w:rPr>
              <w:t>MEP </w:t>
            </w:r>
            <w:r>
              <w:rPr>
                <w:position w:val="1"/>
                <w:sz w:val="20"/>
              </w:rPr>
              <w:t>(cmH</w:t>
            </w:r>
            <w:r>
              <w:rPr>
                <w:sz w:val="13"/>
              </w:rPr>
              <w:t>2</w:t>
            </w:r>
            <w:r>
              <w:rPr>
                <w:position w:val="1"/>
                <w:sz w:val="20"/>
              </w:rPr>
              <w:t>O)</w:t>
            </w:r>
          </w:p>
        </w:tc>
        <w:tc>
          <w:tcPr>
            <w:tcW w:w="1400" w:type="dxa"/>
            <w:tcBorders>
              <w:bottom w:val="single" w:sz="12" w:space="0" w:color="008000"/>
            </w:tcBorders>
          </w:tcPr>
          <w:p>
            <w:pPr>
              <w:pStyle w:val="TableParagraph"/>
              <w:spacing w:before="7"/>
              <w:rPr>
                <w:sz w:val="20"/>
              </w:rPr>
            </w:pPr>
          </w:p>
          <w:p>
            <w:pPr>
              <w:pStyle w:val="TableParagraph"/>
              <w:ind w:left="120" w:right="129"/>
              <w:jc w:val="center"/>
              <w:rPr>
                <w:sz w:val="20"/>
              </w:rPr>
            </w:pPr>
            <w:r>
              <w:rPr>
                <w:sz w:val="20"/>
              </w:rPr>
              <w:t>77±24,17</w:t>
            </w:r>
          </w:p>
        </w:tc>
        <w:tc>
          <w:tcPr>
            <w:tcW w:w="1456" w:type="dxa"/>
            <w:tcBorders>
              <w:bottom w:val="single" w:sz="12" w:space="0" w:color="008000"/>
            </w:tcBorders>
          </w:tcPr>
          <w:p>
            <w:pPr>
              <w:pStyle w:val="TableParagraph"/>
              <w:spacing w:before="7"/>
              <w:rPr>
                <w:sz w:val="20"/>
              </w:rPr>
            </w:pPr>
          </w:p>
          <w:p>
            <w:pPr>
              <w:pStyle w:val="TableParagraph"/>
              <w:ind w:left="129" w:right="117"/>
              <w:jc w:val="center"/>
              <w:rPr>
                <w:sz w:val="20"/>
              </w:rPr>
            </w:pPr>
            <w:r>
              <w:rPr>
                <w:sz w:val="20"/>
              </w:rPr>
              <w:t>34,83±17,18</w:t>
            </w:r>
          </w:p>
        </w:tc>
        <w:tc>
          <w:tcPr>
            <w:tcW w:w="966" w:type="dxa"/>
            <w:tcBorders>
              <w:bottom w:val="single" w:sz="12" w:space="0" w:color="008000"/>
            </w:tcBorders>
          </w:tcPr>
          <w:p>
            <w:pPr>
              <w:pStyle w:val="TableParagraph"/>
              <w:spacing w:before="7"/>
              <w:rPr>
                <w:sz w:val="20"/>
              </w:rPr>
            </w:pPr>
          </w:p>
          <w:p>
            <w:pPr>
              <w:pStyle w:val="TableParagraph"/>
              <w:ind w:left="118" w:right="117"/>
              <w:jc w:val="center"/>
              <w:rPr>
                <w:sz w:val="13"/>
              </w:rPr>
            </w:pPr>
            <w:r>
              <w:rPr>
                <w:sz w:val="20"/>
              </w:rPr>
              <w:t>0,002</w:t>
            </w:r>
            <w:r>
              <w:rPr>
                <w:position w:val="6"/>
                <w:sz w:val="13"/>
              </w:rPr>
              <w:t>b</w:t>
            </w:r>
          </w:p>
        </w:tc>
        <w:tc>
          <w:tcPr>
            <w:tcW w:w="1458" w:type="dxa"/>
            <w:tcBorders>
              <w:bottom w:val="single" w:sz="12" w:space="0" w:color="008000"/>
            </w:tcBorders>
          </w:tcPr>
          <w:p>
            <w:pPr>
              <w:pStyle w:val="TableParagraph"/>
              <w:spacing w:before="7"/>
              <w:rPr>
                <w:sz w:val="20"/>
              </w:rPr>
            </w:pPr>
          </w:p>
          <w:p>
            <w:pPr>
              <w:pStyle w:val="TableParagraph"/>
              <w:ind w:left="119" w:right="130"/>
              <w:jc w:val="center"/>
              <w:rPr>
                <w:sz w:val="20"/>
              </w:rPr>
            </w:pPr>
            <w:r>
              <w:rPr>
                <w:sz w:val="20"/>
              </w:rPr>
              <w:t>34,83±17,18</w:t>
            </w:r>
          </w:p>
        </w:tc>
        <w:tc>
          <w:tcPr>
            <w:tcW w:w="1292" w:type="dxa"/>
            <w:tcBorders>
              <w:bottom w:val="single" w:sz="12" w:space="0" w:color="008000"/>
            </w:tcBorders>
          </w:tcPr>
          <w:p>
            <w:pPr>
              <w:pStyle w:val="TableParagraph"/>
              <w:spacing w:before="7"/>
              <w:rPr>
                <w:sz w:val="20"/>
              </w:rPr>
            </w:pPr>
          </w:p>
          <w:p>
            <w:pPr>
              <w:pStyle w:val="TableParagraph"/>
              <w:ind w:left="130" w:right="118"/>
              <w:jc w:val="center"/>
              <w:rPr>
                <w:sz w:val="20"/>
              </w:rPr>
            </w:pPr>
            <w:r>
              <w:rPr>
                <w:sz w:val="20"/>
              </w:rPr>
              <w:t>50±19,17</w:t>
            </w:r>
          </w:p>
        </w:tc>
        <w:tc>
          <w:tcPr>
            <w:tcW w:w="866" w:type="dxa"/>
            <w:tcBorders>
              <w:bottom w:val="single" w:sz="12" w:space="0" w:color="008000"/>
            </w:tcBorders>
          </w:tcPr>
          <w:p>
            <w:pPr>
              <w:pStyle w:val="TableParagraph"/>
              <w:spacing w:before="7"/>
              <w:rPr>
                <w:sz w:val="20"/>
              </w:rPr>
            </w:pPr>
          </w:p>
          <w:p>
            <w:pPr>
              <w:pStyle w:val="TableParagraph"/>
              <w:ind w:left="123" w:right="130"/>
              <w:jc w:val="center"/>
              <w:rPr>
                <w:sz w:val="13"/>
              </w:rPr>
            </w:pPr>
            <w:r>
              <w:rPr>
                <w:sz w:val="20"/>
              </w:rPr>
              <w:t>0,002</w:t>
            </w:r>
            <w:r>
              <w:rPr>
                <w:position w:val="6"/>
                <w:sz w:val="13"/>
              </w:rPr>
              <w:t>b</w:t>
            </w:r>
          </w:p>
        </w:tc>
      </w:tr>
    </w:tbl>
    <w:p>
      <w:pPr>
        <w:spacing w:before="0"/>
        <w:ind w:left="588" w:right="0" w:firstLine="0"/>
        <w:jc w:val="left"/>
        <w:rPr>
          <w:sz w:val="20"/>
        </w:rPr>
      </w:pPr>
      <w:r>
        <w:rPr>
          <w:sz w:val="20"/>
        </w:rPr>
        <w:t>a: t-test, b: Wilcoxon Eşleştirilmiş İki Örnek Testi</w:t>
      </w:r>
    </w:p>
    <w:p>
      <w:pPr>
        <w:pStyle w:val="BodyText"/>
      </w:pPr>
    </w:p>
    <w:p>
      <w:pPr>
        <w:pStyle w:val="BodyText"/>
      </w:pPr>
    </w:p>
    <w:p>
      <w:pPr>
        <w:pStyle w:val="BodyText"/>
        <w:spacing w:before="5"/>
        <w:rPr>
          <w:sz w:val="23"/>
        </w:rPr>
      </w:pPr>
    </w:p>
    <w:p>
      <w:pPr>
        <w:spacing w:line="362" w:lineRule="auto" w:before="0"/>
        <w:ind w:left="588" w:right="0" w:firstLine="0"/>
        <w:jc w:val="left"/>
        <w:rPr>
          <w:sz w:val="20"/>
        </w:rPr>
      </w:pPr>
      <w:r>
        <w:rPr>
          <w:b/>
          <w:sz w:val="20"/>
        </w:rPr>
        <w:t>Tablo 4.13 </w:t>
      </w:r>
      <w:r>
        <w:rPr>
          <w:sz w:val="20"/>
        </w:rPr>
        <w:t>Çalışma Grubu Maksimum İnspiratuar ve Ekspiratuar Basınç Değerlerinin Karşılaştırılması</w:t>
      </w:r>
    </w:p>
    <w:p>
      <w:pPr>
        <w:pStyle w:val="BodyText"/>
        <w:spacing w:before="1" w:after="1"/>
        <w:rPr>
          <w:sz w:val="14"/>
        </w:rPr>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71"/>
        <w:gridCol w:w="2406"/>
        <w:gridCol w:w="2368"/>
        <w:gridCol w:w="1620"/>
      </w:tblGrid>
      <w:tr>
        <w:trPr>
          <w:trHeight w:val="690" w:hRule="atLeast"/>
        </w:trPr>
        <w:tc>
          <w:tcPr>
            <w:tcW w:w="2171" w:type="dxa"/>
            <w:tcBorders>
              <w:top w:val="single" w:sz="12" w:space="0" w:color="008000"/>
              <w:bottom w:val="single" w:sz="4" w:space="0" w:color="008000"/>
            </w:tcBorders>
          </w:tcPr>
          <w:p>
            <w:pPr>
              <w:pStyle w:val="TableParagraph"/>
              <w:spacing w:before="109"/>
              <w:ind w:left="739" w:right="516" w:hanging="382"/>
              <w:rPr>
                <w:b/>
                <w:sz w:val="20"/>
              </w:rPr>
            </w:pPr>
            <w:r>
              <w:rPr>
                <w:b/>
                <w:sz w:val="20"/>
              </w:rPr>
              <w:t>Solunum Kas Gücü</w:t>
            </w:r>
          </w:p>
        </w:tc>
        <w:tc>
          <w:tcPr>
            <w:tcW w:w="2406" w:type="dxa"/>
            <w:tcBorders>
              <w:top w:val="single" w:sz="12" w:space="0" w:color="008000"/>
              <w:bottom w:val="single" w:sz="4" w:space="0" w:color="008000"/>
            </w:tcBorders>
          </w:tcPr>
          <w:p>
            <w:pPr>
              <w:pStyle w:val="TableParagraph"/>
              <w:spacing w:line="224" w:lineRule="exact"/>
              <w:ind w:left="516" w:right="736"/>
              <w:jc w:val="center"/>
              <w:rPr>
                <w:b/>
                <w:sz w:val="20"/>
              </w:rPr>
            </w:pPr>
            <w:r>
              <w:rPr>
                <w:b/>
                <w:sz w:val="20"/>
              </w:rPr>
              <w:t>Preoperatif</w:t>
            </w:r>
          </w:p>
          <w:p>
            <w:pPr>
              <w:pStyle w:val="TableParagraph"/>
              <w:spacing w:before="115"/>
              <w:ind w:left="516" w:right="737"/>
              <w:jc w:val="center"/>
              <w:rPr>
                <w:b/>
                <w:sz w:val="20"/>
              </w:rPr>
            </w:pPr>
            <w:r>
              <w:rPr>
                <w:b/>
                <w:sz w:val="20"/>
              </w:rPr>
              <w:t>X±SS</w:t>
            </w:r>
          </w:p>
        </w:tc>
        <w:tc>
          <w:tcPr>
            <w:tcW w:w="2368" w:type="dxa"/>
            <w:tcBorders>
              <w:top w:val="single" w:sz="12" w:space="0" w:color="008000"/>
              <w:bottom w:val="single" w:sz="4" w:space="0" w:color="008000"/>
            </w:tcBorders>
          </w:tcPr>
          <w:p>
            <w:pPr>
              <w:pStyle w:val="TableParagraph"/>
              <w:spacing w:line="224" w:lineRule="exact"/>
              <w:ind w:left="736" w:right="591"/>
              <w:jc w:val="center"/>
              <w:rPr>
                <w:b/>
                <w:sz w:val="20"/>
              </w:rPr>
            </w:pPr>
            <w:r>
              <w:rPr>
                <w:b/>
                <w:sz w:val="20"/>
              </w:rPr>
              <w:t>Taburcu</w:t>
            </w:r>
          </w:p>
          <w:p>
            <w:pPr>
              <w:pStyle w:val="TableParagraph"/>
              <w:spacing w:before="115"/>
              <w:ind w:left="735" w:right="591"/>
              <w:jc w:val="center"/>
              <w:rPr>
                <w:b/>
                <w:sz w:val="20"/>
              </w:rPr>
            </w:pPr>
            <w:r>
              <w:rPr>
                <w:b/>
                <w:sz w:val="20"/>
              </w:rPr>
              <w:t>X±SS</w:t>
            </w:r>
          </w:p>
        </w:tc>
        <w:tc>
          <w:tcPr>
            <w:tcW w:w="1620" w:type="dxa"/>
            <w:tcBorders>
              <w:top w:val="single" w:sz="12" w:space="0" w:color="008000"/>
              <w:bottom w:val="single" w:sz="4" w:space="0" w:color="008000"/>
            </w:tcBorders>
          </w:tcPr>
          <w:p>
            <w:pPr>
              <w:pStyle w:val="TableParagraph"/>
              <w:spacing w:before="6"/>
              <w:rPr>
                <w:sz w:val="19"/>
              </w:rPr>
            </w:pPr>
          </w:p>
          <w:p>
            <w:pPr>
              <w:pStyle w:val="TableParagraph"/>
              <w:ind w:left="171"/>
              <w:jc w:val="center"/>
              <w:rPr>
                <w:b/>
                <w:sz w:val="20"/>
              </w:rPr>
            </w:pPr>
            <w:r>
              <w:rPr>
                <w:b/>
                <w:w w:val="99"/>
                <w:sz w:val="20"/>
              </w:rPr>
              <w:t>p</w:t>
            </w:r>
          </w:p>
        </w:tc>
      </w:tr>
      <w:tr>
        <w:trPr>
          <w:trHeight w:val="689" w:hRule="atLeast"/>
        </w:trPr>
        <w:tc>
          <w:tcPr>
            <w:tcW w:w="2171" w:type="dxa"/>
            <w:tcBorders>
              <w:top w:val="single" w:sz="4" w:space="0" w:color="008000"/>
            </w:tcBorders>
          </w:tcPr>
          <w:p>
            <w:pPr>
              <w:pStyle w:val="TableParagraph"/>
              <w:spacing w:before="8"/>
              <w:rPr>
                <w:sz w:val="19"/>
              </w:rPr>
            </w:pPr>
          </w:p>
          <w:p>
            <w:pPr>
              <w:pStyle w:val="TableParagraph"/>
              <w:ind w:left="403"/>
              <w:rPr>
                <w:sz w:val="20"/>
              </w:rPr>
            </w:pPr>
            <w:r>
              <w:rPr>
                <w:position w:val="1"/>
                <w:sz w:val="20"/>
              </w:rPr>
              <w:t>MİP (cmH</w:t>
            </w:r>
            <w:r>
              <w:rPr>
                <w:sz w:val="13"/>
              </w:rPr>
              <w:t>2</w:t>
            </w:r>
            <w:r>
              <w:rPr>
                <w:position w:val="1"/>
                <w:sz w:val="20"/>
              </w:rPr>
              <w:t>O)</w:t>
            </w:r>
          </w:p>
        </w:tc>
        <w:tc>
          <w:tcPr>
            <w:tcW w:w="2406" w:type="dxa"/>
            <w:tcBorders>
              <w:top w:val="single" w:sz="4" w:space="0" w:color="008000"/>
            </w:tcBorders>
          </w:tcPr>
          <w:p>
            <w:pPr>
              <w:pStyle w:val="TableParagraph"/>
              <w:spacing w:before="8"/>
              <w:rPr>
                <w:sz w:val="19"/>
              </w:rPr>
            </w:pPr>
          </w:p>
          <w:p>
            <w:pPr>
              <w:pStyle w:val="TableParagraph"/>
              <w:spacing w:before="1"/>
              <w:ind w:left="516" w:right="738"/>
              <w:jc w:val="center"/>
              <w:rPr>
                <w:sz w:val="20"/>
              </w:rPr>
            </w:pPr>
            <w:r>
              <w:rPr>
                <w:sz w:val="20"/>
              </w:rPr>
              <w:t>73,25±20,79</w:t>
            </w:r>
          </w:p>
        </w:tc>
        <w:tc>
          <w:tcPr>
            <w:tcW w:w="2368" w:type="dxa"/>
            <w:tcBorders>
              <w:top w:val="single" w:sz="4" w:space="0" w:color="008000"/>
            </w:tcBorders>
          </w:tcPr>
          <w:p>
            <w:pPr>
              <w:pStyle w:val="TableParagraph"/>
              <w:spacing w:before="8"/>
              <w:rPr>
                <w:sz w:val="19"/>
              </w:rPr>
            </w:pPr>
          </w:p>
          <w:p>
            <w:pPr>
              <w:pStyle w:val="TableParagraph"/>
              <w:spacing w:before="1"/>
              <w:ind w:left="737" w:right="591"/>
              <w:jc w:val="center"/>
              <w:rPr>
                <w:sz w:val="20"/>
              </w:rPr>
            </w:pPr>
            <w:r>
              <w:rPr>
                <w:sz w:val="20"/>
              </w:rPr>
              <w:t>57,5±26,78</w:t>
            </w:r>
          </w:p>
        </w:tc>
        <w:tc>
          <w:tcPr>
            <w:tcW w:w="1620" w:type="dxa"/>
            <w:tcBorders>
              <w:top w:val="single" w:sz="4" w:space="0" w:color="008000"/>
            </w:tcBorders>
          </w:tcPr>
          <w:p>
            <w:pPr>
              <w:pStyle w:val="TableParagraph"/>
              <w:spacing w:before="8"/>
              <w:rPr>
                <w:sz w:val="19"/>
              </w:rPr>
            </w:pPr>
          </w:p>
          <w:p>
            <w:pPr>
              <w:pStyle w:val="TableParagraph"/>
              <w:spacing w:before="1"/>
              <w:ind w:left="588" w:right="418"/>
              <w:jc w:val="center"/>
              <w:rPr>
                <w:sz w:val="13"/>
              </w:rPr>
            </w:pPr>
            <w:r>
              <w:rPr>
                <w:sz w:val="20"/>
              </w:rPr>
              <w:t>0,003</w:t>
            </w:r>
            <w:r>
              <w:rPr>
                <w:position w:val="6"/>
                <w:sz w:val="13"/>
              </w:rPr>
              <w:t>a</w:t>
            </w:r>
          </w:p>
        </w:tc>
      </w:tr>
      <w:tr>
        <w:trPr>
          <w:trHeight w:val="680" w:hRule="atLeast"/>
        </w:trPr>
        <w:tc>
          <w:tcPr>
            <w:tcW w:w="2171" w:type="dxa"/>
            <w:tcBorders>
              <w:bottom w:val="single" w:sz="12" w:space="0" w:color="008000"/>
            </w:tcBorders>
          </w:tcPr>
          <w:p>
            <w:pPr>
              <w:pStyle w:val="TableParagraph"/>
              <w:spacing w:before="5"/>
              <w:rPr>
                <w:sz w:val="19"/>
              </w:rPr>
            </w:pPr>
          </w:p>
          <w:p>
            <w:pPr>
              <w:pStyle w:val="TableParagraph"/>
              <w:spacing w:before="1"/>
              <w:ind w:left="364"/>
              <w:rPr>
                <w:sz w:val="20"/>
              </w:rPr>
            </w:pPr>
            <w:r>
              <w:rPr>
                <w:position w:val="1"/>
                <w:sz w:val="20"/>
              </w:rPr>
              <w:t>MEP (cmH</w:t>
            </w:r>
            <w:r>
              <w:rPr>
                <w:sz w:val="13"/>
              </w:rPr>
              <w:t>2</w:t>
            </w:r>
            <w:r>
              <w:rPr>
                <w:position w:val="1"/>
                <w:sz w:val="20"/>
              </w:rPr>
              <w:t>O)</w:t>
            </w:r>
          </w:p>
        </w:tc>
        <w:tc>
          <w:tcPr>
            <w:tcW w:w="2406" w:type="dxa"/>
            <w:tcBorders>
              <w:bottom w:val="single" w:sz="12" w:space="0" w:color="008000"/>
            </w:tcBorders>
          </w:tcPr>
          <w:p>
            <w:pPr>
              <w:pStyle w:val="TableParagraph"/>
              <w:spacing w:before="6"/>
              <w:rPr>
                <w:sz w:val="19"/>
              </w:rPr>
            </w:pPr>
          </w:p>
          <w:p>
            <w:pPr>
              <w:pStyle w:val="TableParagraph"/>
              <w:ind w:left="516" w:right="737"/>
              <w:jc w:val="center"/>
              <w:rPr>
                <w:sz w:val="20"/>
              </w:rPr>
            </w:pPr>
            <w:r>
              <w:rPr>
                <w:sz w:val="20"/>
              </w:rPr>
              <w:t>77±24,17</w:t>
            </w:r>
          </w:p>
        </w:tc>
        <w:tc>
          <w:tcPr>
            <w:tcW w:w="2368" w:type="dxa"/>
            <w:tcBorders>
              <w:bottom w:val="single" w:sz="12" w:space="0" w:color="008000"/>
            </w:tcBorders>
          </w:tcPr>
          <w:p>
            <w:pPr>
              <w:pStyle w:val="TableParagraph"/>
              <w:spacing w:before="6"/>
              <w:rPr>
                <w:sz w:val="19"/>
              </w:rPr>
            </w:pPr>
          </w:p>
          <w:p>
            <w:pPr>
              <w:pStyle w:val="TableParagraph"/>
              <w:ind w:left="735" w:right="591"/>
              <w:jc w:val="center"/>
              <w:rPr>
                <w:sz w:val="20"/>
              </w:rPr>
            </w:pPr>
            <w:r>
              <w:rPr>
                <w:sz w:val="20"/>
              </w:rPr>
              <w:t>50±19,17</w:t>
            </w:r>
          </w:p>
        </w:tc>
        <w:tc>
          <w:tcPr>
            <w:tcW w:w="1620" w:type="dxa"/>
            <w:tcBorders>
              <w:bottom w:val="single" w:sz="12" w:space="0" w:color="008000"/>
            </w:tcBorders>
          </w:tcPr>
          <w:p>
            <w:pPr>
              <w:pStyle w:val="TableParagraph"/>
              <w:spacing w:before="6"/>
              <w:rPr>
                <w:sz w:val="19"/>
              </w:rPr>
            </w:pPr>
          </w:p>
          <w:p>
            <w:pPr>
              <w:pStyle w:val="TableParagraph"/>
              <w:ind w:left="588" w:right="418"/>
              <w:jc w:val="center"/>
              <w:rPr>
                <w:sz w:val="13"/>
              </w:rPr>
            </w:pPr>
            <w:r>
              <w:rPr>
                <w:sz w:val="20"/>
              </w:rPr>
              <w:t>0,003</w:t>
            </w:r>
            <w:r>
              <w:rPr>
                <w:position w:val="6"/>
                <w:sz w:val="13"/>
              </w:rPr>
              <w:t>b</w:t>
            </w:r>
          </w:p>
        </w:tc>
      </w:tr>
    </w:tbl>
    <w:p>
      <w:pPr>
        <w:spacing w:before="0"/>
        <w:ind w:left="588" w:right="0" w:firstLine="0"/>
        <w:jc w:val="left"/>
        <w:rPr>
          <w:sz w:val="20"/>
        </w:rPr>
      </w:pPr>
      <w:r>
        <w:rPr>
          <w:sz w:val="20"/>
        </w:rPr>
        <w:t>a: t- test, b: Wilcoxon Eşleştirilmiş İki Örnek Testi</w:t>
      </w:r>
    </w:p>
    <w:p>
      <w:pPr>
        <w:pStyle w:val="BodyText"/>
      </w:pPr>
    </w:p>
    <w:p>
      <w:pPr>
        <w:pStyle w:val="BodyText"/>
      </w:pPr>
    </w:p>
    <w:p>
      <w:pPr>
        <w:pStyle w:val="BodyText"/>
        <w:spacing w:before="10"/>
        <w:rPr>
          <w:sz w:val="23"/>
        </w:rPr>
      </w:pPr>
    </w:p>
    <w:p>
      <w:pPr>
        <w:pStyle w:val="BodyText"/>
        <w:spacing w:line="360" w:lineRule="auto"/>
        <w:ind w:left="588" w:right="291" w:firstLine="708"/>
        <w:jc w:val="both"/>
      </w:pPr>
      <w:r>
        <w:rPr/>
        <w:t>Bu sonuçlara göre solunum kas gücünün kolorektal cerrahi sonrası etkilenerek azaldığı, konvansiyonel göğüs fizyoterapisine ek olarak uygulanan ekspiratuar kas eğitiminin solunum kas gücünü artırdığı ancak ameliyat öncesi düzeye ulaşmadığı gözlendi.</w:t>
      </w:r>
    </w:p>
    <w:p>
      <w:pPr>
        <w:pStyle w:val="BodyText"/>
        <w:spacing w:line="360" w:lineRule="auto" w:before="160"/>
        <w:ind w:left="588" w:right="290" w:firstLine="708"/>
        <w:jc w:val="both"/>
      </w:pPr>
      <w:r>
        <w:rPr/>
        <w:t>Çalışma grubundaki bireylerin fonksiyonel kapasite düzeyleri preoperatif ve taburculuk öncesi dönemlerde 6DYT ile 6DYTM kaydedilerek belirlendi. Preoperatif 6DYTM ortalama 437±78,43 m, taburculuk öncesi 6DYTM ortalama 348,45±103,45 m olarak belirlendi. Değerler arasında istatistiksel olarak anlamlı farklılık bulundu (p&lt;0.001). Elde edilen veriler Tablo 4.14’te gösterilmiştir.</w:t>
      </w:r>
    </w:p>
    <w:p>
      <w:pPr>
        <w:spacing w:after="0" w:line="360" w:lineRule="auto"/>
        <w:jc w:val="both"/>
        <w:sectPr>
          <w:pgSz w:w="11910" w:h="16840"/>
          <w:pgMar w:header="749" w:footer="0" w:top="1320" w:bottom="280" w:left="1680" w:right="840"/>
        </w:sectPr>
      </w:pPr>
    </w:p>
    <w:p>
      <w:pPr>
        <w:spacing w:before="85"/>
        <w:ind w:left="588" w:right="0" w:firstLine="0"/>
        <w:jc w:val="left"/>
        <w:rPr>
          <w:sz w:val="20"/>
        </w:rPr>
      </w:pPr>
      <w:r>
        <w:rPr>
          <w:b/>
          <w:sz w:val="20"/>
        </w:rPr>
        <w:t>Tablo 4.14 </w:t>
      </w:r>
      <w:r>
        <w:rPr>
          <w:sz w:val="20"/>
        </w:rPr>
        <w:t>Çalışma Grubu 6 Dakika Yürüme Mesafeleri Karşılaştırması</w:t>
      </w:r>
    </w:p>
    <w:p>
      <w:pPr>
        <w:pStyle w:val="BodyText"/>
        <w:spacing w:before="4"/>
        <w:rPr>
          <w:sz w:val="24"/>
        </w:rPr>
      </w:pPr>
    </w:p>
    <w:tbl>
      <w:tblPr>
        <w:tblW w:w="0" w:type="auto"/>
        <w:jc w:val="left"/>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1"/>
        <w:gridCol w:w="1900"/>
        <w:gridCol w:w="2151"/>
        <w:gridCol w:w="1505"/>
        <w:gridCol w:w="1232"/>
      </w:tblGrid>
      <w:tr>
        <w:trPr>
          <w:trHeight w:val="690" w:hRule="atLeast"/>
        </w:trPr>
        <w:tc>
          <w:tcPr>
            <w:tcW w:w="1701" w:type="dxa"/>
            <w:tcBorders>
              <w:top w:val="single" w:sz="12" w:space="0" w:color="008000"/>
              <w:bottom w:val="single" w:sz="4" w:space="0" w:color="008000"/>
            </w:tcBorders>
          </w:tcPr>
          <w:p>
            <w:pPr>
              <w:pStyle w:val="TableParagraph"/>
              <w:spacing w:before="8"/>
              <w:rPr>
                <w:sz w:val="19"/>
              </w:rPr>
            </w:pPr>
          </w:p>
          <w:p>
            <w:pPr>
              <w:pStyle w:val="TableParagraph"/>
              <w:ind w:left="271" w:right="376"/>
              <w:jc w:val="center"/>
              <w:rPr>
                <w:b/>
                <w:sz w:val="20"/>
              </w:rPr>
            </w:pPr>
            <w:r>
              <w:rPr>
                <w:b/>
                <w:sz w:val="20"/>
              </w:rPr>
              <w:t>6DYTM</w:t>
            </w:r>
          </w:p>
        </w:tc>
        <w:tc>
          <w:tcPr>
            <w:tcW w:w="1900" w:type="dxa"/>
            <w:tcBorders>
              <w:top w:val="single" w:sz="12" w:space="0" w:color="008000"/>
              <w:bottom w:val="single" w:sz="4" w:space="0" w:color="008000"/>
            </w:tcBorders>
          </w:tcPr>
          <w:p>
            <w:pPr>
              <w:pStyle w:val="TableParagraph"/>
              <w:spacing w:line="227" w:lineRule="exact"/>
              <w:ind w:left="379" w:right="425"/>
              <w:jc w:val="center"/>
              <w:rPr>
                <w:b/>
                <w:sz w:val="20"/>
              </w:rPr>
            </w:pPr>
            <w:r>
              <w:rPr>
                <w:b/>
                <w:sz w:val="20"/>
              </w:rPr>
              <w:t>Preoperatif</w:t>
            </w:r>
          </w:p>
          <w:p>
            <w:pPr>
              <w:pStyle w:val="TableParagraph"/>
              <w:spacing w:before="113"/>
              <w:ind w:left="379" w:right="421"/>
              <w:jc w:val="center"/>
              <w:rPr>
                <w:b/>
                <w:sz w:val="20"/>
              </w:rPr>
            </w:pPr>
            <w:r>
              <w:rPr>
                <w:b/>
                <w:sz w:val="20"/>
              </w:rPr>
              <w:t>X±SS</w:t>
            </w:r>
          </w:p>
        </w:tc>
        <w:tc>
          <w:tcPr>
            <w:tcW w:w="2151" w:type="dxa"/>
            <w:tcBorders>
              <w:top w:val="single" w:sz="12" w:space="0" w:color="008000"/>
              <w:bottom w:val="single" w:sz="4" w:space="0" w:color="008000"/>
            </w:tcBorders>
          </w:tcPr>
          <w:p>
            <w:pPr>
              <w:pStyle w:val="TableParagraph"/>
              <w:spacing w:line="227" w:lineRule="exact"/>
              <w:ind w:left="702" w:right="620"/>
              <w:jc w:val="center"/>
              <w:rPr>
                <w:b/>
                <w:sz w:val="20"/>
              </w:rPr>
            </w:pPr>
            <w:r>
              <w:rPr>
                <w:b/>
                <w:sz w:val="20"/>
              </w:rPr>
              <w:t>Taburcu</w:t>
            </w:r>
          </w:p>
          <w:p>
            <w:pPr>
              <w:pStyle w:val="TableParagraph"/>
              <w:spacing w:before="113"/>
              <w:ind w:left="701" w:right="620"/>
              <w:jc w:val="center"/>
              <w:rPr>
                <w:b/>
                <w:sz w:val="20"/>
              </w:rPr>
            </w:pPr>
            <w:r>
              <w:rPr>
                <w:b/>
                <w:sz w:val="20"/>
              </w:rPr>
              <w:t>X±SS</w:t>
            </w:r>
          </w:p>
        </w:tc>
        <w:tc>
          <w:tcPr>
            <w:tcW w:w="1505" w:type="dxa"/>
            <w:tcBorders>
              <w:top w:val="single" w:sz="12" w:space="0" w:color="008000"/>
              <w:bottom w:val="single" w:sz="4" w:space="0" w:color="008000"/>
            </w:tcBorders>
          </w:tcPr>
          <w:p>
            <w:pPr>
              <w:pStyle w:val="TableParagraph"/>
              <w:spacing w:line="227" w:lineRule="exact"/>
              <w:ind w:left="378" w:right="307"/>
              <w:jc w:val="center"/>
              <w:rPr>
                <w:b/>
                <w:sz w:val="20"/>
              </w:rPr>
            </w:pPr>
            <w:r>
              <w:rPr>
                <w:b/>
                <w:sz w:val="20"/>
              </w:rPr>
              <w:t>Değişim</w:t>
            </w:r>
          </w:p>
          <w:p>
            <w:pPr>
              <w:pStyle w:val="TableParagraph"/>
              <w:spacing w:before="113"/>
              <w:ind w:left="376" w:right="307"/>
              <w:jc w:val="center"/>
              <w:rPr>
                <w:b/>
                <w:sz w:val="20"/>
              </w:rPr>
            </w:pPr>
            <w:r>
              <w:rPr>
                <w:b/>
                <w:sz w:val="20"/>
              </w:rPr>
              <w:t>X±SS</w:t>
            </w:r>
          </w:p>
        </w:tc>
        <w:tc>
          <w:tcPr>
            <w:tcW w:w="1232" w:type="dxa"/>
            <w:tcBorders>
              <w:top w:val="single" w:sz="12" w:space="0" w:color="008000"/>
              <w:bottom w:val="single" w:sz="4" w:space="0" w:color="008000"/>
            </w:tcBorders>
          </w:tcPr>
          <w:p>
            <w:pPr>
              <w:pStyle w:val="TableParagraph"/>
              <w:spacing w:before="8"/>
              <w:rPr>
                <w:sz w:val="19"/>
              </w:rPr>
            </w:pPr>
          </w:p>
          <w:p>
            <w:pPr>
              <w:pStyle w:val="TableParagraph"/>
              <w:ind w:left="65"/>
              <w:jc w:val="center"/>
              <w:rPr>
                <w:b/>
                <w:sz w:val="20"/>
              </w:rPr>
            </w:pPr>
            <w:r>
              <w:rPr>
                <w:b/>
                <w:w w:val="99"/>
                <w:sz w:val="20"/>
              </w:rPr>
              <w:t>p</w:t>
            </w:r>
          </w:p>
        </w:tc>
      </w:tr>
      <w:tr>
        <w:trPr>
          <w:trHeight w:val="673" w:hRule="atLeast"/>
        </w:trPr>
        <w:tc>
          <w:tcPr>
            <w:tcW w:w="1701" w:type="dxa"/>
            <w:tcBorders>
              <w:top w:val="single" w:sz="4" w:space="0" w:color="008000"/>
              <w:bottom w:val="single" w:sz="12" w:space="0" w:color="008000"/>
            </w:tcBorders>
          </w:tcPr>
          <w:p>
            <w:pPr>
              <w:pStyle w:val="TableParagraph"/>
              <w:spacing w:before="1"/>
              <w:rPr>
                <w:sz w:val="19"/>
              </w:rPr>
            </w:pPr>
          </w:p>
          <w:p>
            <w:pPr>
              <w:pStyle w:val="TableParagraph"/>
              <w:ind w:left="271" w:right="377"/>
              <w:jc w:val="center"/>
              <w:rPr>
                <w:sz w:val="20"/>
              </w:rPr>
            </w:pPr>
            <w:r>
              <w:rPr>
                <w:sz w:val="20"/>
              </w:rPr>
              <w:t>Mesafe (m)</w:t>
            </w:r>
          </w:p>
        </w:tc>
        <w:tc>
          <w:tcPr>
            <w:tcW w:w="1900" w:type="dxa"/>
            <w:tcBorders>
              <w:top w:val="single" w:sz="4" w:space="0" w:color="008000"/>
              <w:bottom w:val="single" w:sz="12" w:space="0" w:color="008000"/>
            </w:tcBorders>
          </w:tcPr>
          <w:p>
            <w:pPr>
              <w:pStyle w:val="TableParagraph"/>
              <w:spacing w:before="1"/>
              <w:rPr>
                <w:sz w:val="19"/>
              </w:rPr>
            </w:pPr>
          </w:p>
          <w:p>
            <w:pPr>
              <w:pStyle w:val="TableParagraph"/>
              <w:ind w:left="457"/>
              <w:rPr>
                <w:sz w:val="20"/>
              </w:rPr>
            </w:pPr>
            <w:r>
              <w:rPr>
                <w:sz w:val="20"/>
              </w:rPr>
              <w:t>437±78,43</w:t>
            </w:r>
          </w:p>
        </w:tc>
        <w:tc>
          <w:tcPr>
            <w:tcW w:w="2151" w:type="dxa"/>
            <w:tcBorders>
              <w:top w:val="single" w:sz="4" w:space="0" w:color="008000"/>
              <w:bottom w:val="single" w:sz="12" w:space="0" w:color="008000"/>
            </w:tcBorders>
          </w:tcPr>
          <w:p>
            <w:pPr>
              <w:pStyle w:val="TableParagraph"/>
              <w:spacing w:before="1"/>
              <w:rPr>
                <w:sz w:val="19"/>
              </w:rPr>
            </w:pPr>
          </w:p>
          <w:p>
            <w:pPr>
              <w:pStyle w:val="TableParagraph"/>
              <w:ind w:left="448"/>
              <w:rPr>
                <w:sz w:val="20"/>
              </w:rPr>
            </w:pPr>
            <w:r>
              <w:rPr>
                <w:sz w:val="20"/>
              </w:rPr>
              <w:t>348,45±103,45</w:t>
            </w:r>
          </w:p>
        </w:tc>
        <w:tc>
          <w:tcPr>
            <w:tcW w:w="1505" w:type="dxa"/>
            <w:tcBorders>
              <w:top w:val="single" w:sz="4" w:space="0" w:color="008000"/>
              <w:bottom w:val="single" w:sz="12" w:space="0" w:color="008000"/>
            </w:tcBorders>
          </w:tcPr>
          <w:p>
            <w:pPr>
              <w:pStyle w:val="TableParagraph"/>
              <w:spacing w:before="1"/>
              <w:rPr>
                <w:sz w:val="19"/>
              </w:rPr>
            </w:pPr>
          </w:p>
          <w:p>
            <w:pPr>
              <w:pStyle w:val="TableParagraph"/>
              <w:ind w:left="371"/>
              <w:rPr>
                <w:sz w:val="20"/>
              </w:rPr>
            </w:pPr>
            <w:r>
              <w:rPr>
                <w:sz w:val="20"/>
              </w:rPr>
              <w:t>88,43±43</w:t>
            </w:r>
          </w:p>
        </w:tc>
        <w:tc>
          <w:tcPr>
            <w:tcW w:w="1232" w:type="dxa"/>
            <w:tcBorders>
              <w:top w:val="single" w:sz="4" w:space="0" w:color="008000"/>
              <w:bottom w:val="single" w:sz="12" w:space="0" w:color="008000"/>
            </w:tcBorders>
          </w:tcPr>
          <w:p>
            <w:pPr>
              <w:pStyle w:val="TableParagraph"/>
              <w:spacing w:before="1"/>
              <w:rPr>
                <w:sz w:val="19"/>
              </w:rPr>
            </w:pPr>
          </w:p>
          <w:p>
            <w:pPr>
              <w:pStyle w:val="TableParagraph"/>
              <w:ind w:left="282" w:right="219"/>
              <w:jc w:val="center"/>
              <w:rPr>
                <w:sz w:val="13"/>
              </w:rPr>
            </w:pPr>
            <w:r>
              <w:rPr>
                <w:sz w:val="20"/>
              </w:rPr>
              <w:t>&lt;0.001</w:t>
            </w:r>
            <w:r>
              <w:rPr>
                <w:position w:val="6"/>
                <w:sz w:val="13"/>
              </w:rPr>
              <w:t>a</w:t>
            </w:r>
          </w:p>
        </w:tc>
      </w:tr>
    </w:tbl>
    <w:p>
      <w:pPr>
        <w:spacing w:before="0"/>
        <w:ind w:left="588" w:right="0" w:firstLine="0"/>
        <w:jc w:val="left"/>
        <w:rPr>
          <w:sz w:val="20"/>
        </w:rPr>
      </w:pPr>
      <w:r>
        <w:rPr>
          <w:sz w:val="20"/>
        </w:rPr>
        <w:t>a: t-test</w:t>
      </w:r>
    </w:p>
    <w:p>
      <w:pPr>
        <w:pStyle w:val="BodyText"/>
      </w:pPr>
    </w:p>
    <w:p>
      <w:pPr>
        <w:pStyle w:val="BodyText"/>
      </w:pPr>
    </w:p>
    <w:p>
      <w:pPr>
        <w:pStyle w:val="BodyText"/>
        <w:spacing w:before="9"/>
        <w:rPr>
          <w:sz w:val="26"/>
        </w:rPr>
      </w:pPr>
    </w:p>
    <w:p>
      <w:pPr>
        <w:pStyle w:val="BodyText"/>
        <w:spacing w:line="360" w:lineRule="auto"/>
        <w:ind w:left="588" w:right="286" w:firstLine="708"/>
        <w:jc w:val="both"/>
      </w:pPr>
      <w:r>
        <w:rPr/>
        <w:t>Çalışma grubunun preoperatif ve taburculuk öncesi dönemde 6DYT öncesi ve sonrası kalp hızı, oksijen saturasyonu, algılanan dispne ve yorgunluk düzeyleri değerlendirildi. Preoperatif test öncesi kalp hızı ortalama 74±15,06 atım/dk iken test sonrası 84,58±9,77 atım/dk şeklinde arttı ve bu artış istatistiksel olarak anlamlı bulundu (p=0,005). Taburculuk öncesi kalp hızı değerlerine bakıldığında ise test öncesi kalp hızı ortalama 81,75±16,54 atım/dk iken test sonrasında 91,5±15,71 atım/dk olarak artış gösterdi ve bu artış istatistiksel olarak anlamlı bulundu (p=0,002). Algılanan yorgunluk düzeyi preoperatif dönemde test öncesi ortalama 0,41±1,44 iken test sonrası 4,08±2,77 olarak artış gösterdi. Bu artış istatistiksel olarak anlamlı bulundu (p=0,001). Taburculuk öncesi yorgunluk düzeyleri incelendiğinde test öncesi ortalama 0 iken test sonrası 3,91±2,57 şeklinde artış göstermiştir. Bu artış istatistiksel olarak anlamlı bulundu (p=0,007). Preoperatif dönemde test öncesi dispne düzeyleri ortalama 0,41±1,44 iken test</w:t>
      </w:r>
      <w:r>
        <w:rPr>
          <w:spacing w:val="-17"/>
        </w:rPr>
        <w:t> </w:t>
      </w:r>
      <w:r>
        <w:rPr/>
        <w:t>sonrası</w:t>
      </w:r>
      <w:r>
        <w:rPr>
          <w:spacing w:val="-18"/>
        </w:rPr>
        <w:t> </w:t>
      </w:r>
      <w:r>
        <w:rPr/>
        <w:t>1,83±2,12</w:t>
      </w:r>
      <w:r>
        <w:rPr>
          <w:spacing w:val="-18"/>
        </w:rPr>
        <w:t> </w:t>
      </w:r>
      <w:r>
        <w:rPr/>
        <w:t>olarak</w:t>
      </w:r>
      <w:r>
        <w:rPr>
          <w:spacing w:val="-13"/>
        </w:rPr>
        <w:t> </w:t>
      </w:r>
      <w:r>
        <w:rPr/>
        <w:t>artış</w:t>
      </w:r>
      <w:r>
        <w:rPr>
          <w:spacing w:val="-15"/>
        </w:rPr>
        <w:t> </w:t>
      </w:r>
      <w:r>
        <w:rPr/>
        <w:t>gösterdi</w:t>
      </w:r>
      <w:r>
        <w:rPr>
          <w:spacing w:val="-18"/>
        </w:rPr>
        <w:t> </w:t>
      </w:r>
      <w:r>
        <w:rPr/>
        <w:t>ve</w:t>
      </w:r>
      <w:r>
        <w:rPr>
          <w:spacing w:val="-16"/>
        </w:rPr>
        <w:t> </w:t>
      </w:r>
      <w:r>
        <w:rPr/>
        <w:t>bu</w:t>
      </w:r>
      <w:r>
        <w:rPr>
          <w:spacing w:val="-21"/>
        </w:rPr>
        <w:t> </w:t>
      </w:r>
      <w:r>
        <w:rPr/>
        <w:t>artış</w:t>
      </w:r>
      <w:r>
        <w:rPr>
          <w:spacing w:val="-13"/>
        </w:rPr>
        <w:t> </w:t>
      </w:r>
      <w:r>
        <w:rPr/>
        <w:t>istatistiksel</w:t>
      </w:r>
      <w:r>
        <w:rPr>
          <w:spacing w:val="-14"/>
        </w:rPr>
        <w:t> </w:t>
      </w:r>
      <w:r>
        <w:rPr/>
        <w:t>olarak</w:t>
      </w:r>
      <w:r>
        <w:rPr>
          <w:spacing w:val="-15"/>
        </w:rPr>
        <w:t> </w:t>
      </w:r>
      <w:r>
        <w:rPr/>
        <w:t>anlamlı</w:t>
      </w:r>
      <w:r>
        <w:rPr>
          <w:spacing w:val="-19"/>
        </w:rPr>
        <w:t> </w:t>
      </w:r>
      <w:r>
        <w:rPr/>
        <w:t>bulundu (p=0,041). Taburculuk öncesi dispne düzeylerine incelendiğinde test öncesi ortalama 0 iken</w:t>
      </w:r>
      <w:r>
        <w:rPr>
          <w:spacing w:val="-17"/>
        </w:rPr>
        <w:t> </w:t>
      </w:r>
      <w:r>
        <w:rPr/>
        <w:t>test</w:t>
      </w:r>
      <w:r>
        <w:rPr>
          <w:spacing w:val="-12"/>
        </w:rPr>
        <w:t> </w:t>
      </w:r>
      <w:r>
        <w:rPr/>
        <w:t>sonrası</w:t>
      </w:r>
      <w:r>
        <w:rPr>
          <w:spacing w:val="-15"/>
        </w:rPr>
        <w:t> </w:t>
      </w:r>
      <w:r>
        <w:rPr/>
        <w:t>2,08±2,15</w:t>
      </w:r>
      <w:r>
        <w:rPr>
          <w:spacing w:val="-14"/>
        </w:rPr>
        <w:t> </w:t>
      </w:r>
      <w:r>
        <w:rPr/>
        <w:t>olarak</w:t>
      </w:r>
      <w:r>
        <w:rPr>
          <w:spacing w:val="-11"/>
        </w:rPr>
        <w:t> </w:t>
      </w:r>
      <w:r>
        <w:rPr/>
        <w:t>değişti.</w:t>
      </w:r>
      <w:r>
        <w:rPr>
          <w:spacing w:val="-13"/>
        </w:rPr>
        <w:t> </w:t>
      </w:r>
      <w:r>
        <w:rPr/>
        <w:t>Bu</w:t>
      </w:r>
      <w:r>
        <w:rPr>
          <w:spacing w:val="-16"/>
        </w:rPr>
        <w:t> </w:t>
      </w:r>
      <w:r>
        <w:rPr/>
        <w:t>değişim</w:t>
      </w:r>
      <w:r>
        <w:rPr>
          <w:spacing w:val="-10"/>
        </w:rPr>
        <w:t> </w:t>
      </w:r>
      <w:r>
        <w:rPr/>
        <w:t>istatistiksel</w:t>
      </w:r>
      <w:r>
        <w:rPr>
          <w:spacing w:val="-14"/>
        </w:rPr>
        <w:t> </w:t>
      </w:r>
      <w:r>
        <w:rPr/>
        <w:t>olarak</w:t>
      </w:r>
      <w:r>
        <w:rPr>
          <w:spacing w:val="-13"/>
        </w:rPr>
        <w:t> </w:t>
      </w:r>
      <w:r>
        <w:rPr/>
        <w:t>anlamlı</w:t>
      </w:r>
      <w:r>
        <w:rPr>
          <w:spacing w:val="-17"/>
        </w:rPr>
        <w:t> </w:t>
      </w:r>
      <w:r>
        <w:rPr/>
        <w:t>bulundu (p=0,006). Preoperatif ve taburculuk öncesi dönemde test öncesi ve sonrası oksijen saturasyonunda</w:t>
      </w:r>
      <w:r>
        <w:rPr>
          <w:spacing w:val="-16"/>
        </w:rPr>
        <w:t> </w:t>
      </w:r>
      <w:r>
        <w:rPr/>
        <w:t>anlamlı</w:t>
      </w:r>
      <w:r>
        <w:rPr>
          <w:spacing w:val="-17"/>
        </w:rPr>
        <w:t> </w:t>
      </w:r>
      <w:r>
        <w:rPr/>
        <w:t>bir</w:t>
      </w:r>
      <w:r>
        <w:rPr>
          <w:spacing w:val="-14"/>
        </w:rPr>
        <w:t> </w:t>
      </w:r>
      <w:r>
        <w:rPr/>
        <w:t>değişim</w:t>
      </w:r>
      <w:r>
        <w:rPr>
          <w:spacing w:val="-17"/>
        </w:rPr>
        <w:t> </w:t>
      </w:r>
      <w:r>
        <w:rPr/>
        <w:t>gözlenmedi.</w:t>
      </w:r>
      <w:r>
        <w:rPr>
          <w:spacing w:val="-13"/>
        </w:rPr>
        <w:t> </w:t>
      </w:r>
      <w:r>
        <w:rPr/>
        <w:t>Elde</w:t>
      </w:r>
      <w:r>
        <w:rPr>
          <w:spacing w:val="-15"/>
        </w:rPr>
        <w:t> </w:t>
      </w:r>
      <w:r>
        <w:rPr/>
        <w:t>edilen</w:t>
      </w:r>
      <w:r>
        <w:rPr>
          <w:spacing w:val="-15"/>
        </w:rPr>
        <w:t> </w:t>
      </w:r>
      <w:r>
        <w:rPr/>
        <w:t>veriler</w:t>
      </w:r>
      <w:r>
        <w:rPr>
          <w:spacing w:val="-13"/>
        </w:rPr>
        <w:t> </w:t>
      </w:r>
      <w:r>
        <w:rPr/>
        <w:t>4.15’te</w:t>
      </w:r>
      <w:r>
        <w:rPr>
          <w:spacing w:val="-19"/>
        </w:rPr>
        <w:t> </w:t>
      </w:r>
      <w:r>
        <w:rPr/>
        <w:t>gösterilmiştir.</w:t>
      </w:r>
    </w:p>
    <w:p>
      <w:pPr>
        <w:spacing w:after="0" w:line="360" w:lineRule="auto"/>
        <w:jc w:val="both"/>
        <w:sectPr>
          <w:pgSz w:w="11910" w:h="16840"/>
          <w:pgMar w:header="749" w:footer="0" w:top="1320" w:bottom="280" w:left="1680" w:right="840"/>
        </w:sectPr>
      </w:pPr>
    </w:p>
    <w:p>
      <w:pPr>
        <w:spacing w:before="85"/>
        <w:ind w:left="588" w:right="0" w:firstLine="0"/>
        <w:jc w:val="left"/>
        <w:rPr>
          <w:sz w:val="20"/>
        </w:rPr>
      </w:pPr>
      <w:r>
        <w:rPr>
          <w:b/>
          <w:sz w:val="20"/>
        </w:rPr>
        <w:t>Tablo 4.15 </w:t>
      </w:r>
      <w:r>
        <w:rPr>
          <w:sz w:val="20"/>
        </w:rPr>
        <w:t>Çalışma Grubu Kalp Hızı, Okisjen Saturasyonu, Yorgunluk ve Dispne Sonuçları</w:t>
      </w:r>
    </w:p>
    <w:p>
      <w:pPr>
        <w:pStyle w:val="BodyText"/>
        <w:rPr>
          <w:sz w:val="20"/>
        </w:rPr>
      </w:pPr>
    </w:p>
    <w:p>
      <w:pPr>
        <w:pStyle w:val="BodyText"/>
        <w:spacing w:before="3"/>
        <w:rPr>
          <w:sz w:val="17"/>
        </w:rPr>
      </w:pPr>
    </w:p>
    <w:tbl>
      <w:tblPr>
        <w:tblW w:w="0" w:type="auto"/>
        <w:jc w:val="left"/>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10"/>
        <w:gridCol w:w="1358"/>
        <w:gridCol w:w="1370"/>
        <w:gridCol w:w="876"/>
        <w:gridCol w:w="1298"/>
        <w:gridCol w:w="1333"/>
        <w:gridCol w:w="874"/>
      </w:tblGrid>
      <w:tr>
        <w:trPr>
          <w:trHeight w:val="459" w:hRule="atLeast"/>
        </w:trPr>
        <w:tc>
          <w:tcPr>
            <w:tcW w:w="1310" w:type="dxa"/>
            <w:tcBorders>
              <w:top w:val="single" w:sz="12" w:space="0" w:color="008000"/>
              <w:bottom w:val="single" w:sz="4" w:space="0" w:color="000000"/>
            </w:tcBorders>
          </w:tcPr>
          <w:p>
            <w:pPr>
              <w:pStyle w:val="TableParagraph"/>
              <w:spacing w:line="230" w:lineRule="exact"/>
              <w:ind w:left="441" w:hanging="322"/>
              <w:rPr>
                <w:sz w:val="20"/>
              </w:rPr>
            </w:pPr>
            <w:r>
              <w:rPr>
                <w:w w:val="95"/>
                <w:sz w:val="20"/>
              </w:rPr>
              <w:t>DEĞİŞKEN </w:t>
            </w:r>
            <w:r>
              <w:rPr>
                <w:sz w:val="20"/>
              </w:rPr>
              <w:t>LER</w:t>
            </w:r>
          </w:p>
        </w:tc>
        <w:tc>
          <w:tcPr>
            <w:tcW w:w="2728" w:type="dxa"/>
            <w:gridSpan w:val="2"/>
            <w:tcBorders>
              <w:top w:val="single" w:sz="12" w:space="0" w:color="008000"/>
              <w:bottom w:val="single" w:sz="4" w:space="0" w:color="000000"/>
            </w:tcBorders>
          </w:tcPr>
          <w:p>
            <w:pPr>
              <w:pStyle w:val="TableParagraph"/>
              <w:spacing w:before="52"/>
              <w:ind w:left="833"/>
              <w:rPr>
                <w:b/>
                <w:sz w:val="20"/>
              </w:rPr>
            </w:pPr>
            <w:r>
              <w:rPr>
                <w:b/>
                <w:sz w:val="20"/>
              </w:rPr>
              <w:t>Preoperatif</w:t>
            </w:r>
          </w:p>
        </w:tc>
        <w:tc>
          <w:tcPr>
            <w:tcW w:w="876" w:type="dxa"/>
            <w:tcBorders>
              <w:top w:val="single" w:sz="12" w:space="0" w:color="008000"/>
              <w:bottom w:val="single" w:sz="4" w:space="0" w:color="000000"/>
            </w:tcBorders>
          </w:tcPr>
          <w:p>
            <w:pPr>
              <w:pStyle w:val="TableParagraph"/>
              <w:spacing w:before="52"/>
              <w:ind w:left="42"/>
              <w:jc w:val="center"/>
              <w:rPr>
                <w:b/>
                <w:sz w:val="20"/>
              </w:rPr>
            </w:pPr>
            <w:r>
              <w:rPr>
                <w:b/>
                <w:w w:val="99"/>
                <w:sz w:val="20"/>
              </w:rPr>
              <w:t>p</w:t>
            </w:r>
          </w:p>
        </w:tc>
        <w:tc>
          <w:tcPr>
            <w:tcW w:w="2631" w:type="dxa"/>
            <w:gridSpan w:val="2"/>
            <w:tcBorders>
              <w:top w:val="single" w:sz="12" w:space="0" w:color="008000"/>
              <w:bottom w:val="single" w:sz="4" w:space="0" w:color="000000"/>
            </w:tcBorders>
          </w:tcPr>
          <w:p>
            <w:pPr>
              <w:pStyle w:val="TableParagraph"/>
              <w:spacing w:before="52"/>
              <w:ind w:left="45"/>
              <w:jc w:val="center"/>
              <w:rPr>
                <w:b/>
                <w:sz w:val="20"/>
              </w:rPr>
            </w:pPr>
            <w:r>
              <w:rPr>
                <w:b/>
                <w:sz w:val="20"/>
              </w:rPr>
              <w:t>Taburcu</w:t>
            </w:r>
          </w:p>
        </w:tc>
        <w:tc>
          <w:tcPr>
            <w:tcW w:w="874" w:type="dxa"/>
            <w:tcBorders>
              <w:top w:val="single" w:sz="12" w:space="0" w:color="008000"/>
              <w:bottom w:val="single" w:sz="4" w:space="0" w:color="000000"/>
            </w:tcBorders>
          </w:tcPr>
          <w:p>
            <w:pPr>
              <w:pStyle w:val="TableParagraph"/>
              <w:spacing w:before="109"/>
              <w:ind w:left="44"/>
              <w:jc w:val="center"/>
              <w:rPr>
                <w:b/>
                <w:sz w:val="20"/>
              </w:rPr>
            </w:pPr>
            <w:r>
              <w:rPr>
                <w:b/>
                <w:w w:val="99"/>
                <w:sz w:val="20"/>
              </w:rPr>
              <w:t>p</w:t>
            </w:r>
          </w:p>
        </w:tc>
      </w:tr>
      <w:tr>
        <w:trPr>
          <w:trHeight w:val="698" w:hRule="atLeast"/>
        </w:trPr>
        <w:tc>
          <w:tcPr>
            <w:tcW w:w="1310" w:type="dxa"/>
            <w:tcBorders>
              <w:top w:val="single" w:sz="4" w:space="0" w:color="000000"/>
              <w:bottom w:val="single" w:sz="4" w:space="0" w:color="000000"/>
            </w:tcBorders>
          </w:tcPr>
          <w:p>
            <w:pPr>
              <w:pStyle w:val="TableParagraph"/>
              <w:rPr>
                <w:rFonts w:ascii="Times New Roman"/>
                <w:sz w:val="20"/>
              </w:rPr>
            </w:pPr>
          </w:p>
        </w:tc>
        <w:tc>
          <w:tcPr>
            <w:tcW w:w="2728" w:type="dxa"/>
            <w:gridSpan w:val="2"/>
            <w:tcBorders>
              <w:top w:val="single" w:sz="4" w:space="0" w:color="000000"/>
              <w:bottom w:val="single" w:sz="4" w:space="0" w:color="000000"/>
            </w:tcBorders>
          </w:tcPr>
          <w:p>
            <w:pPr>
              <w:pStyle w:val="TableParagraph"/>
              <w:tabs>
                <w:tab w:pos="1287" w:val="left" w:leader="none"/>
              </w:tabs>
              <w:spacing w:before="2"/>
              <w:ind w:right="4"/>
              <w:jc w:val="center"/>
              <w:rPr>
                <w:sz w:val="20"/>
              </w:rPr>
            </w:pPr>
            <w:r>
              <w:rPr>
                <w:sz w:val="20"/>
              </w:rPr>
              <w:t>Test</w:t>
            </w:r>
            <w:r>
              <w:rPr>
                <w:spacing w:val="-3"/>
                <w:sz w:val="20"/>
              </w:rPr>
              <w:t> </w:t>
            </w:r>
            <w:r>
              <w:rPr>
                <w:sz w:val="20"/>
              </w:rPr>
              <w:t>Öncesi</w:t>
              <w:tab/>
              <w:t>Test</w:t>
            </w:r>
            <w:r>
              <w:rPr>
                <w:spacing w:val="-2"/>
                <w:sz w:val="20"/>
              </w:rPr>
              <w:t> </w:t>
            </w:r>
            <w:r>
              <w:rPr>
                <w:sz w:val="20"/>
              </w:rPr>
              <w:t>sonrası</w:t>
            </w:r>
          </w:p>
          <w:p>
            <w:pPr>
              <w:pStyle w:val="TableParagraph"/>
              <w:tabs>
                <w:tab w:pos="1286" w:val="left" w:leader="none"/>
              </w:tabs>
              <w:spacing w:before="113"/>
              <w:ind w:right="6"/>
              <w:jc w:val="center"/>
              <w:rPr>
                <w:b/>
                <w:sz w:val="20"/>
              </w:rPr>
            </w:pPr>
            <w:r>
              <w:rPr>
                <w:b/>
                <w:sz w:val="20"/>
              </w:rPr>
              <w:t>X±SS</w:t>
              <w:tab/>
              <w:t>X±SS</w:t>
            </w:r>
          </w:p>
        </w:tc>
        <w:tc>
          <w:tcPr>
            <w:tcW w:w="876" w:type="dxa"/>
            <w:tcBorders>
              <w:top w:val="single" w:sz="4" w:space="0" w:color="000000"/>
              <w:bottom w:val="single" w:sz="4" w:space="0" w:color="000000"/>
            </w:tcBorders>
          </w:tcPr>
          <w:p>
            <w:pPr>
              <w:pStyle w:val="TableParagraph"/>
              <w:rPr>
                <w:rFonts w:ascii="Times New Roman"/>
                <w:sz w:val="20"/>
              </w:rPr>
            </w:pPr>
          </w:p>
        </w:tc>
        <w:tc>
          <w:tcPr>
            <w:tcW w:w="2631" w:type="dxa"/>
            <w:gridSpan w:val="2"/>
            <w:tcBorders>
              <w:top w:val="single" w:sz="4" w:space="0" w:color="000000"/>
              <w:bottom w:val="single" w:sz="4" w:space="0" w:color="000000"/>
            </w:tcBorders>
          </w:tcPr>
          <w:p>
            <w:pPr>
              <w:pStyle w:val="TableParagraph"/>
              <w:tabs>
                <w:tab w:pos="1284" w:val="left" w:leader="none"/>
              </w:tabs>
              <w:spacing w:before="2"/>
              <w:ind w:left="42"/>
              <w:jc w:val="center"/>
              <w:rPr>
                <w:sz w:val="20"/>
              </w:rPr>
            </w:pPr>
            <w:r>
              <w:rPr>
                <w:sz w:val="20"/>
              </w:rPr>
              <w:t>Test</w:t>
            </w:r>
            <w:r>
              <w:rPr>
                <w:spacing w:val="-3"/>
                <w:sz w:val="20"/>
              </w:rPr>
              <w:t> </w:t>
            </w:r>
            <w:r>
              <w:rPr>
                <w:sz w:val="20"/>
              </w:rPr>
              <w:t>öncesi</w:t>
              <w:tab/>
              <w:t>Test</w:t>
            </w:r>
            <w:r>
              <w:rPr>
                <w:spacing w:val="-3"/>
                <w:sz w:val="20"/>
              </w:rPr>
              <w:t> </w:t>
            </w:r>
            <w:r>
              <w:rPr>
                <w:sz w:val="20"/>
              </w:rPr>
              <w:t>sonrası</w:t>
            </w:r>
          </w:p>
          <w:p>
            <w:pPr>
              <w:pStyle w:val="TableParagraph"/>
              <w:tabs>
                <w:tab w:pos="1277" w:val="left" w:leader="none"/>
              </w:tabs>
              <w:spacing w:before="113"/>
              <w:ind w:left="45"/>
              <w:jc w:val="center"/>
              <w:rPr>
                <w:b/>
                <w:sz w:val="20"/>
              </w:rPr>
            </w:pPr>
            <w:r>
              <w:rPr>
                <w:b/>
                <w:sz w:val="20"/>
              </w:rPr>
              <w:t>X±SS</w:t>
              <w:tab/>
              <w:t>X±SS</w:t>
            </w:r>
          </w:p>
        </w:tc>
        <w:tc>
          <w:tcPr>
            <w:tcW w:w="874" w:type="dxa"/>
            <w:tcBorders>
              <w:top w:val="single" w:sz="4" w:space="0" w:color="000000"/>
              <w:bottom w:val="single" w:sz="4" w:space="0" w:color="000000"/>
            </w:tcBorders>
          </w:tcPr>
          <w:p>
            <w:pPr>
              <w:pStyle w:val="TableParagraph"/>
              <w:rPr>
                <w:rFonts w:ascii="Times New Roman"/>
                <w:sz w:val="20"/>
              </w:rPr>
            </w:pPr>
          </w:p>
        </w:tc>
      </w:tr>
      <w:tr>
        <w:trPr>
          <w:trHeight w:val="920" w:hRule="atLeast"/>
        </w:trPr>
        <w:tc>
          <w:tcPr>
            <w:tcW w:w="1310" w:type="dxa"/>
            <w:tcBorders>
              <w:top w:val="single" w:sz="4" w:space="0" w:color="000000"/>
            </w:tcBorders>
          </w:tcPr>
          <w:p>
            <w:pPr>
              <w:pStyle w:val="TableParagraph"/>
              <w:spacing w:before="3"/>
              <w:rPr>
                <w:sz w:val="17"/>
              </w:rPr>
            </w:pPr>
          </w:p>
          <w:p>
            <w:pPr>
              <w:pStyle w:val="TableParagraph"/>
              <w:ind w:left="242" w:right="259" w:firstLine="7"/>
              <w:rPr>
                <w:sz w:val="20"/>
              </w:rPr>
            </w:pPr>
            <w:r>
              <w:rPr>
                <w:sz w:val="20"/>
              </w:rPr>
              <w:t>Kalp hızı (atım/dk)</w:t>
            </w:r>
          </w:p>
        </w:tc>
        <w:tc>
          <w:tcPr>
            <w:tcW w:w="1358" w:type="dxa"/>
            <w:tcBorders>
              <w:top w:val="single" w:sz="4" w:space="0" w:color="000000"/>
            </w:tcBorders>
          </w:tcPr>
          <w:p>
            <w:pPr>
              <w:pStyle w:val="TableParagraph"/>
              <w:spacing w:before="3"/>
              <w:rPr>
                <w:sz w:val="27"/>
              </w:rPr>
            </w:pPr>
          </w:p>
          <w:p>
            <w:pPr>
              <w:pStyle w:val="TableParagraph"/>
              <w:ind w:left="243"/>
              <w:rPr>
                <w:sz w:val="20"/>
              </w:rPr>
            </w:pPr>
            <w:r>
              <w:rPr>
                <w:sz w:val="20"/>
              </w:rPr>
              <w:t>74±15,06</w:t>
            </w:r>
          </w:p>
        </w:tc>
        <w:tc>
          <w:tcPr>
            <w:tcW w:w="1370" w:type="dxa"/>
            <w:tcBorders>
              <w:top w:val="single" w:sz="4" w:space="0" w:color="000000"/>
            </w:tcBorders>
          </w:tcPr>
          <w:p>
            <w:pPr>
              <w:pStyle w:val="TableParagraph"/>
              <w:spacing w:before="3"/>
              <w:rPr>
                <w:sz w:val="27"/>
              </w:rPr>
            </w:pPr>
          </w:p>
          <w:p>
            <w:pPr>
              <w:pStyle w:val="TableParagraph"/>
              <w:ind w:left="183" w:right="147"/>
              <w:jc w:val="center"/>
              <w:rPr>
                <w:sz w:val="20"/>
              </w:rPr>
            </w:pPr>
            <w:r>
              <w:rPr>
                <w:sz w:val="20"/>
              </w:rPr>
              <w:t>84,58±9,77</w:t>
            </w:r>
          </w:p>
        </w:tc>
        <w:tc>
          <w:tcPr>
            <w:tcW w:w="876" w:type="dxa"/>
            <w:tcBorders>
              <w:top w:val="single" w:sz="4" w:space="0" w:color="000000"/>
            </w:tcBorders>
          </w:tcPr>
          <w:p>
            <w:pPr>
              <w:pStyle w:val="TableParagraph"/>
              <w:spacing w:before="3"/>
              <w:rPr>
                <w:sz w:val="27"/>
              </w:rPr>
            </w:pPr>
          </w:p>
          <w:p>
            <w:pPr>
              <w:pStyle w:val="TableParagraph"/>
              <w:ind w:left="151" w:right="111"/>
              <w:jc w:val="center"/>
              <w:rPr>
                <w:sz w:val="13"/>
              </w:rPr>
            </w:pPr>
            <w:r>
              <w:rPr>
                <w:sz w:val="20"/>
              </w:rPr>
              <w:t>0,005</w:t>
            </w:r>
            <w:r>
              <w:rPr>
                <w:position w:val="6"/>
                <w:sz w:val="13"/>
              </w:rPr>
              <w:t>b</w:t>
            </w:r>
          </w:p>
        </w:tc>
        <w:tc>
          <w:tcPr>
            <w:tcW w:w="1298" w:type="dxa"/>
            <w:tcBorders>
              <w:top w:val="single" w:sz="4" w:space="0" w:color="000000"/>
            </w:tcBorders>
          </w:tcPr>
          <w:p>
            <w:pPr>
              <w:pStyle w:val="TableParagraph"/>
              <w:spacing w:before="3"/>
              <w:rPr>
                <w:sz w:val="27"/>
              </w:rPr>
            </w:pPr>
          </w:p>
          <w:p>
            <w:pPr>
              <w:pStyle w:val="TableParagraph"/>
              <w:ind w:left="115" w:right="141"/>
              <w:jc w:val="center"/>
              <w:rPr>
                <w:sz w:val="20"/>
              </w:rPr>
            </w:pPr>
            <w:r>
              <w:rPr>
                <w:sz w:val="20"/>
              </w:rPr>
              <w:t>81,75±16,5</w:t>
            </w:r>
          </w:p>
        </w:tc>
        <w:tc>
          <w:tcPr>
            <w:tcW w:w="1333" w:type="dxa"/>
            <w:tcBorders>
              <w:top w:val="single" w:sz="4" w:space="0" w:color="000000"/>
            </w:tcBorders>
          </w:tcPr>
          <w:p>
            <w:pPr>
              <w:pStyle w:val="TableParagraph"/>
              <w:spacing w:before="3"/>
              <w:rPr>
                <w:sz w:val="27"/>
              </w:rPr>
            </w:pPr>
          </w:p>
          <w:p>
            <w:pPr>
              <w:pStyle w:val="TableParagraph"/>
              <w:ind w:left="149" w:right="144"/>
              <w:jc w:val="center"/>
              <w:rPr>
                <w:sz w:val="20"/>
              </w:rPr>
            </w:pPr>
            <w:r>
              <w:rPr>
                <w:sz w:val="20"/>
              </w:rPr>
              <w:t>91,5±15,71</w:t>
            </w:r>
          </w:p>
        </w:tc>
        <w:tc>
          <w:tcPr>
            <w:tcW w:w="874" w:type="dxa"/>
            <w:tcBorders>
              <w:top w:val="single" w:sz="4" w:space="0" w:color="000000"/>
            </w:tcBorders>
          </w:tcPr>
          <w:p>
            <w:pPr>
              <w:pStyle w:val="TableParagraph"/>
              <w:spacing w:before="3"/>
              <w:rPr>
                <w:sz w:val="27"/>
              </w:rPr>
            </w:pPr>
          </w:p>
          <w:p>
            <w:pPr>
              <w:pStyle w:val="TableParagraph"/>
              <w:ind w:left="151" w:right="109"/>
              <w:jc w:val="center"/>
              <w:rPr>
                <w:sz w:val="13"/>
              </w:rPr>
            </w:pPr>
            <w:r>
              <w:rPr>
                <w:sz w:val="20"/>
              </w:rPr>
              <w:t>0,002</w:t>
            </w:r>
            <w:r>
              <w:rPr>
                <w:position w:val="6"/>
                <w:sz w:val="13"/>
              </w:rPr>
              <w:t>a</w:t>
            </w:r>
          </w:p>
        </w:tc>
      </w:tr>
      <w:tr>
        <w:trPr>
          <w:trHeight w:val="804" w:hRule="atLeast"/>
        </w:trPr>
        <w:tc>
          <w:tcPr>
            <w:tcW w:w="1310" w:type="dxa"/>
          </w:tcPr>
          <w:p>
            <w:pPr>
              <w:pStyle w:val="TableParagraph"/>
              <w:spacing w:before="1"/>
              <w:rPr>
                <w:sz w:val="22"/>
              </w:rPr>
            </w:pPr>
          </w:p>
          <w:p>
            <w:pPr>
              <w:pStyle w:val="TableParagraph"/>
              <w:ind w:left="163" w:right="201"/>
              <w:jc w:val="center"/>
              <w:rPr>
                <w:sz w:val="20"/>
              </w:rPr>
            </w:pPr>
            <w:r>
              <w:rPr>
                <w:position w:val="1"/>
                <w:sz w:val="20"/>
              </w:rPr>
              <w:t>SaO</w:t>
            </w:r>
            <w:r>
              <w:rPr>
                <w:sz w:val="13"/>
              </w:rPr>
              <w:t>2 </w:t>
            </w:r>
            <w:r>
              <w:rPr>
                <w:position w:val="1"/>
                <w:sz w:val="20"/>
              </w:rPr>
              <w:t>%</w:t>
            </w:r>
          </w:p>
        </w:tc>
        <w:tc>
          <w:tcPr>
            <w:tcW w:w="1358" w:type="dxa"/>
          </w:tcPr>
          <w:p>
            <w:pPr>
              <w:pStyle w:val="TableParagraph"/>
              <w:spacing w:before="1"/>
              <w:rPr>
                <w:sz w:val="22"/>
              </w:rPr>
            </w:pPr>
          </w:p>
          <w:p>
            <w:pPr>
              <w:pStyle w:val="TableParagraph"/>
              <w:ind w:left="159"/>
              <w:rPr>
                <w:sz w:val="20"/>
              </w:rPr>
            </w:pPr>
            <w:r>
              <w:rPr>
                <w:sz w:val="20"/>
              </w:rPr>
              <w:t>95,83±2,08</w:t>
            </w:r>
          </w:p>
        </w:tc>
        <w:tc>
          <w:tcPr>
            <w:tcW w:w="1370" w:type="dxa"/>
          </w:tcPr>
          <w:p>
            <w:pPr>
              <w:pStyle w:val="TableParagraph"/>
              <w:spacing w:before="1"/>
              <w:rPr>
                <w:sz w:val="22"/>
              </w:rPr>
            </w:pPr>
          </w:p>
          <w:p>
            <w:pPr>
              <w:pStyle w:val="TableParagraph"/>
              <w:ind w:left="183" w:right="147"/>
              <w:jc w:val="center"/>
              <w:rPr>
                <w:sz w:val="20"/>
              </w:rPr>
            </w:pPr>
            <w:r>
              <w:rPr>
                <w:sz w:val="20"/>
              </w:rPr>
              <w:t>96,41±1,62</w:t>
            </w:r>
          </w:p>
        </w:tc>
        <w:tc>
          <w:tcPr>
            <w:tcW w:w="876" w:type="dxa"/>
          </w:tcPr>
          <w:p>
            <w:pPr>
              <w:pStyle w:val="TableParagraph"/>
              <w:spacing w:before="1"/>
              <w:rPr>
                <w:sz w:val="22"/>
              </w:rPr>
            </w:pPr>
          </w:p>
          <w:p>
            <w:pPr>
              <w:pStyle w:val="TableParagraph"/>
              <w:ind w:left="151" w:right="111"/>
              <w:jc w:val="center"/>
              <w:rPr>
                <w:sz w:val="13"/>
              </w:rPr>
            </w:pPr>
            <w:r>
              <w:rPr>
                <w:sz w:val="20"/>
              </w:rPr>
              <w:t>0,159</w:t>
            </w:r>
            <w:r>
              <w:rPr>
                <w:position w:val="6"/>
                <w:sz w:val="13"/>
              </w:rPr>
              <w:t>a</w:t>
            </w:r>
          </w:p>
        </w:tc>
        <w:tc>
          <w:tcPr>
            <w:tcW w:w="1298" w:type="dxa"/>
          </w:tcPr>
          <w:p>
            <w:pPr>
              <w:pStyle w:val="TableParagraph"/>
              <w:spacing w:before="1"/>
              <w:rPr>
                <w:sz w:val="22"/>
              </w:rPr>
            </w:pPr>
          </w:p>
          <w:p>
            <w:pPr>
              <w:pStyle w:val="TableParagraph"/>
              <w:ind w:left="115" w:right="142"/>
              <w:jc w:val="center"/>
              <w:rPr>
                <w:sz w:val="20"/>
              </w:rPr>
            </w:pPr>
            <w:r>
              <w:rPr>
                <w:sz w:val="20"/>
              </w:rPr>
              <w:t>95,75±2,05</w:t>
            </w:r>
          </w:p>
        </w:tc>
        <w:tc>
          <w:tcPr>
            <w:tcW w:w="1333" w:type="dxa"/>
          </w:tcPr>
          <w:p>
            <w:pPr>
              <w:pStyle w:val="TableParagraph"/>
              <w:spacing w:before="1"/>
              <w:rPr>
                <w:sz w:val="22"/>
              </w:rPr>
            </w:pPr>
          </w:p>
          <w:p>
            <w:pPr>
              <w:pStyle w:val="TableParagraph"/>
              <w:ind w:left="149" w:right="144"/>
              <w:jc w:val="center"/>
              <w:rPr>
                <w:sz w:val="20"/>
              </w:rPr>
            </w:pPr>
            <w:r>
              <w:rPr>
                <w:sz w:val="20"/>
              </w:rPr>
              <w:t>96,33±2,1</w:t>
            </w:r>
          </w:p>
        </w:tc>
        <w:tc>
          <w:tcPr>
            <w:tcW w:w="874" w:type="dxa"/>
          </w:tcPr>
          <w:p>
            <w:pPr>
              <w:pStyle w:val="TableParagraph"/>
              <w:spacing w:before="1"/>
              <w:rPr>
                <w:sz w:val="22"/>
              </w:rPr>
            </w:pPr>
          </w:p>
          <w:p>
            <w:pPr>
              <w:pStyle w:val="TableParagraph"/>
              <w:ind w:left="151" w:right="109"/>
              <w:jc w:val="center"/>
              <w:rPr>
                <w:sz w:val="13"/>
              </w:rPr>
            </w:pPr>
            <w:r>
              <w:rPr>
                <w:sz w:val="20"/>
              </w:rPr>
              <w:t>0,084</w:t>
            </w:r>
            <w:r>
              <w:rPr>
                <w:position w:val="6"/>
                <w:sz w:val="13"/>
              </w:rPr>
              <w:t>a</w:t>
            </w:r>
          </w:p>
        </w:tc>
      </w:tr>
      <w:tr>
        <w:trPr>
          <w:trHeight w:val="860" w:hRule="atLeast"/>
        </w:trPr>
        <w:tc>
          <w:tcPr>
            <w:tcW w:w="1310" w:type="dxa"/>
          </w:tcPr>
          <w:p>
            <w:pPr>
              <w:pStyle w:val="TableParagraph"/>
              <w:spacing w:before="2"/>
              <w:rPr>
                <w:sz w:val="27"/>
              </w:rPr>
            </w:pPr>
          </w:p>
          <w:p>
            <w:pPr>
              <w:pStyle w:val="TableParagraph"/>
              <w:ind w:left="167" w:right="201"/>
              <w:jc w:val="center"/>
              <w:rPr>
                <w:sz w:val="20"/>
              </w:rPr>
            </w:pPr>
            <w:r>
              <w:rPr>
                <w:sz w:val="20"/>
              </w:rPr>
              <w:t>Yorgunluk</w:t>
            </w:r>
          </w:p>
        </w:tc>
        <w:tc>
          <w:tcPr>
            <w:tcW w:w="1358" w:type="dxa"/>
          </w:tcPr>
          <w:p>
            <w:pPr>
              <w:pStyle w:val="TableParagraph"/>
              <w:spacing w:before="2"/>
              <w:rPr>
                <w:sz w:val="27"/>
              </w:rPr>
            </w:pPr>
          </w:p>
          <w:p>
            <w:pPr>
              <w:pStyle w:val="TableParagraph"/>
              <w:ind w:left="214"/>
              <w:rPr>
                <w:sz w:val="20"/>
              </w:rPr>
            </w:pPr>
            <w:r>
              <w:rPr>
                <w:sz w:val="20"/>
              </w:rPr>
              <w:t>0,41±1,44</w:t>
            </w:r>
          </w:p>
        </w:tc>
        <w:tc>
          <w:tcPr>
            <w:tcW w:w="1370" w:type="dxa"/>
          </w:tcPr>
          <w:p>
            <w:pPr>
              <w:pStyle w:val="TableParagraph"/>
              <w:spacing w:before="2"/>
              <w:rPr>
                <w:sz w:val="27"/>
              </w:rPr>
            </w:pPr>
          </w:p>
          <w:p>
            <w:pPr>
              <w:pStyle w:val="TableParagraph"/>
              <w:ind w:left="183" w:right="147"/>
              <w:jc w:val="center"/>
              <w:rPr>
                <w:sz w:val="20"/>
              </w:rPr>
            </w:pPr>
            <w:r>
              <w:rPr>
                <w:sz w:val="20"/>
              </w:rPr>
              <w:t>4,08±2,77</w:t>
            </w:r>
          </w:p>
        </w:tc>
        <w:tc>
          <w:tcPr>
            <w:tcW w:w="876" w:type="dxa"/>
          </w:tcPr>
          <w:p>
            <w:pPr>
              <w:pStyle w:val="TableParagraph"/>
              <w:spacing w:before="2"/>
              <w:rPr>
                <w:sz w:val="27"/>
              </w:rPr>
            </w:pPr>
          </w:p>
          <w:p>
            <w:pPr>
              <w:pStyle w:val="TableParagraph"/>
              <w:ind w:left="151" w:right="111"/>
              <w:jc w:val="center"/>
              <w:rPr>
                <w:sz w:val="13"/>
              </w:rPr>
            </w:pPr>
            <w:r>
              <w:rPr>
                <w:sz w:val="20"/>
              </w:rPr>
              <w:t>0,001</w:t>
            </w:r>
            <w:r>
              <w:rPr>
                <w:position w:val="6"/>
                <w:sz w:val="13"/>
              </w:rPr>
              <w:t>b</w:t>
            </w:r>
          </w:p>
        </w:tc>
        <w:tc>
          <w:tcPr>
            <w:tcW w:w="1298" w:type="dxa"/>
          </w:tcPr>
          <w:p>
            <w:pPr>
              <w:pStyle w:val="TableParagraph"/>
              <w:spacing w:before="2"/>
              <w:rPr>
                <w:sz w:val="27"/>
              </w:rPr>
            </w:pPr>
          </w:p>
          <w:p>
            <w:pPr>
              <w:pStyle w:val="TableParagraph"/>
              <w:ind w:right="24"/>
              <w:jc w:val="center"/>
              <w:rPr>
                <w:sz w:val="20"/>
              </w:rPr>
            </w:pPr>
            <w:r>
              <w:rPr>
                <w:w w:val="99"/>
                <w:sz w:val="20"/>
              </w:rPr>
              <w:t>0</w:t>
            </w:r>
          </w:p>
        </w:tc>
        <w:tc>
          <w:tcPr>
            <w:tcW w:w="1333" w:type="dxa"/>
          </w:tcPr>
          <w:p>
            <w:pPr>
              <w:pStyle w:val="TableParagraph"/>
              <w:spacing w:before="2"/>
              <w:rPr>
                <w:sz w:val="27"/>
              </w:rPr>
            </w:pPr>
          </w:p>
          <w:p>
            <w:pPr>
              <w:pStyle w:val="TableParagraph"/>
              <w:ind w:left="149" w:right="144"/>
              <w:jc w:val="center"/>
              <w:rPr>
                <w:sz w:val="20"/>
              </w:rPr>
            </w:pPr>
            <w:r>
              <w:rPr>
                <w:sz w:val="20"/>
              </w:rPr>
              <w:t>3,91±2,57</w:t>
            </w:r>
          </w:p>
        </w:tc>
        <w:tc>
          <w:tcPr>
            <w:tcW w:w="874" w:type="dxa"/>
          </w:tcPr>
          <w:p>
            <w:pPr>
              <w:pStyle w:val="TableParagraph"/>
              <w:spacing w:before="2"/>
              <w:rPr>
                <w:sz w:val="27"/>
              </w:rPr>
            </w:pPr>
          </w:p>
          <w:p>
            <w:pPr>
              <w:pStyle w:val="TableParagraph"/>
              <w:ind w:left="151" w:right="109"/>
              <w:jc w:val="center"/>
              <w:rPr>
                <w:sz w:val="13"/>
              </w:rPr>
            </w:pPr>
            <w:r>
              <w:rPr>
                <w:sz w:val="20"/>
              </w:rPr>
              <w:t>0,007</w:t>
            </w:r>
            <w:r>
              <w:rPr>
                <w:position w:val="6"/>
                <w:sz w:val="13"/>
              </w:rPr>
              <w:t>a</w:t>
            </w:r>
          </w:p>
        </w:tc>
      </w:tr>
      <w:tr>
        <w:trPr>
          <w:trHeight w:val="860" w:hRule="atLeast"/>
        </w:trPr>
        <w:tc>
          <w:tcPr>
            <w:tcW w:w="1310" w:type="dxa"/>
            <w:tcBorders>
              <w:bottom w:val="single" w:sz="12" w:space="0" w:color="008000"/>
            </w:tcBorders>
          </w:tcPr>
          <w:p>
            <w:pPr>
              <w:pStyle w:val="TableParagraph"/>
              <w:rPr>
                <w:sz w:val="27"/>
              </w:rPr>
            </w:pPr>
          </w:p>
          <w:p>
            <w:pPr>
              <w:pStyle w:val="TableParagraph"/>
              <w:ind w:left="166" w:right="201"/>
              <w:jc w:val="center"/>
              <w:rPr>
                <w:sz w:val="20"/>
              </w:rPr>
            </w:pPr>
            <w:r>
              <w:rPr>
                <w:sz w:val="20"/>
              </w:rPr>
              <w:t>Dispne</w:t>
            </w:r>
          </w:p>
        </w:tc>
        <w:tc>
          <w:tcPr>
            <w:tcW w:w="1358" w:type="dxa"/>
            <w:tcBorders>
              <w:bottom w:val="single" w:sz="12" w:space="0" w:color="008000"/>
            </w:tcBorders>
          </w:tcPr>
          <w:p>
            <w:pPr>
              <w:pStyle w:val="TableParagraph"/>
              <w:rPr>
                <w:sz w:val="27"/>
              </w:rPr>
            </w:pPr>
          </w:p>
          <w:p>
            <w:pPr>
              <w:pStyle w:val="TableParagraph"/>
              <w:ind w:left="214"/>
              <w:rPr>
                <w:sz w:val="20"/>
              </w:rPr>
            </w:pPr>
            <w:r>
              <w:rPr>
                <w:sz w:val="20"/>
              </w:rPr>
              <w:t>0,41±1,44</w:t>
            </w:r>
          </w:p>
        </w:tc>
        <w:tc>
          <w:tcPr>
            <w:tcW w:w="1370" w:type="dxa"/>
            <w:tcBorders>
              <w:bottom w:val="single" w:sz="12" w:space="0" w:color="008000"/>
            </w:tcBorders>
          </w:tcPr>
          <w:p>
            <w:pPr>
              <w:pStyle w:val="TableParagraph"/>
              <w:rPr>
                <w:sz w:val="27"/>
              </w:rPr>
            </w:pPr>
          </w:p>
          <w:p>
            <w:pPr>
              <w:pStyle w:val="TableParagraph"/>
              <w:ind w:left="183" w:right="147"/>
              <w:jc w:val="center"/>
              <w:rPr>
                <w:sz w:val="20"/>
              </w:rPr>
            </w:pPr>
            <w:r>
              <w:rPr>
                <w:sz w:val="20"/>
              </w:rPr>
              <w:t>1,83±2,12</w:t>
            </w:r>
          </w:p>
        </w:tc>
        <w:tc>
          <w:tcPr>
            <w:tcW w:w="876" w:type="dxa"/>
            <w:tcBorders>
              <w:bottom w:val="single" w:sz="12" w:space="0" w:color="008000"/>
            </w:tcBorders>
          </w:tcPr>
          <w:p>
            <w:pPr>
              <w:pStyle w:val="TableParagraph"/>
              <w:rPr>
                <w:sz w:val="27"/>
              </w:rPr>
            </w:pPr>
          </w:p>
          <w:p>
            <w:pPr>
              <w:pStyle w:val="TableParagraph"/>
              <w:ind w:left="151" w:right="111"/>
              <w:jc w:val="center"/>
              <w:rPr>
                <w:sz w:val="13"/>
              </w:rPr>
            </w:pPr>
            <w:r>
              <w:rPr>
                <w:sz w:val="20"/>
              </w:rPr>
              <w:t>0,041</w:t>
            </w:r>
            <w:r>
              <w:rPr>
                <w:position w:val="6"/>
                <w:sz w:val="13"/>
              </w:rPr>
              <w:t>a</w:t>
            </w:r>
          </w:p>
        </w:tc>
        <w:tc>
          <w:tcPr>
            <w:tcW w:w="1298" w:type="dxa"/>
            <w:tcBorders>
              <w:bottom w:val="single" w:sz="12" w:space="0" w:color="008000"/>
            </w:tcBorders>
          </w:tcPr>
          <w:p>
            <w:pPr>
              <w:pStyle w:val="TableParagraph"/>
              <w:rPr>
                <w:sz w:val="27"/>
              </w:rPr>
            </w:pPr>
          </w:p>
          <w:p>
            <w:pPr>
              <w:pStyle w:val="TableParagraph"/>
              <w:ind w:right="24"/>
              <w:jc w:val="center"/>
              <w:rPr>
                <w:sz w:val="20"/>
              </w:rPr>
            </w:pPr>
            <w:r>
              <w:rPr>
                <w:w w:val="99"/>
                <w:sz w:val="20"/>
              </w:rPr>
              <w:t>0</w:t>
            </w:r>
          </w:p>
        </w:tc>
        <w:tc>
          <w:tcPr>
            <w:tcW w:w="1333" w:type="dxa"/>
            <w:tcBorders>
              <w:bottom w:val="single" w:sz="12" w:space="0" w:color="008000"/>
            </w:tcBorders>
          </w:tcPr>
          <w:p>
            <w:pPr>
              <w:pStyle w:val="TableParagraph"/>
              <w:rPr>
                <w:sz w:val="27"/>
              </w:rPr>
            </w:pPr>
          </w:p>
          <w:p>
            <w:pPr>
              <w:pStyle w:val="TableParagraph"/>
              <w:ind w:left="149" w:right="144"/>
              <w:jc w:val="center"/>
              <w:rPr>
                <w:sz w:val="20"/>
              </w:rPr>
            </w:pPr>
            <w:r>
              <w:rPr>
                <w:sz w:val="20"/>
              </w:rPr>
              <w:t>2,08±2,15</w:t>
            </w:r>
          </w:p>
        </w:tc>
        <w:tc>
          <w:tcPr>
            <w:tcW w:w="874" w:type="dxa"/>
            <w:tcBorders>
              <w:bottom w:val="single" w:sz="12" w:space="0" w:color="008000"/>
            </w:tcBorders>
          </w:tcPr>
          <w:p>
            <w:pPr>
              <w:pStyle w:val="TableParagraph"/>
              <w:rPr>
                <w:sz w:val="27"/>
              </w:rPr>
            </w:pPr>
          </w:p>
          <w:p>
            <w:pPr>
              <w:pStyle w:val="TableParagraph"/>
              <w:ind w:left="151" w:right="109"/>
              <w:jc w:val="center"/>
              <w:rPr>
                <w:sz w:val="13"/>
              </w:rPr>
            </w:pPr>
            <w:r>
              <w:rPr>
                <w:sz w:val="20"/>
              </w:rPr>
              <w:t>0,006</w:t>
            </w:r>
            <w:r>
              <w:rPr>
                <w:position w:val="6"/>
                <w:sz w:val="13"/>
              </w:rPr>
              <w:t>b</w:t>
            </w:r>
          </w:p>
        </w:tc>
      </w:tr>
    </w:tbl>
    <w:p>
      <w:pPr>
        <w:spacing w:before="0"/>
        <w:ind w:left="588" w:right="0" w:firstLine="0"/>
        <w:jc w:val="left"/>
        <w:rPr>
          <w:sz w:val="20"/>
        </w:rPr>
      </w:pPr>
      <w:r>
        <w:rPr>
          <w:sz w:val="20"/>
        </w:rPr>
        <w:t>a: Wilcoxon Eşleştirilmiş İki Örnek Testi, b: t-test</w:t>
      </w:r>
    </w:p>
    <w:p>
      <w:pPr>
        <w:pStyle w:val="BodyText"/>
      </w:pPr>
    </w:p>
    <w:p>
      <w:pPr>
        <w:pStyle w:val="BodyText"/>
      </w:pPr>
    </w:p>
    <w:p>
      <w:pPr>
        <w:pStyle w:val="BodyText"/>
        <w:spacing w:before="10"/>
        <w:rPr>
          <w:sz w:val="23"/>
        </w:rPr>
      </w:pPr>
    </w:p>
    <w:p>
      <w:pPr>
        <w:pStyle w:val="BodyText"/>
        <w:spacing w:line="357" w:lineRule="auto"/>
        <w:ind w:left="588" w:right="289" w:firstLine="708"/>
        <w:jc w:val="both"/>
      </w:pPr>
      <w:r>
        <w:rPr/>
        <w:t>Elde edilen sonuçlar incelendiğinde kolorektal cerrahinin egzersiz toleransını olumsuz yönde etkilediği gözlendi.</w:t>
      </w:r>
    </w:p>
    <w:p>
      <w:pPr>
        <w:pStyle w:val="BodyText"/>
        <w:spacing w:line="360" w:lineRule="auto" w:before="166"/>
        <w:ind w:left="588" w:right="285" w:firstLine="708"/>
        <w:jc w:val="both"/>
      </w:pPr>
      <w:r>
        <w:rPr/>
        <w:t>Bireylerin postoperatif ve taburculuk öncesi dönemde hareketlilik ve bağımsızlık düzeyleri Gözlemci Hareketlilik ve Hasta Hareketlilik Ölçeği skorları ile belirlendi. Postoperatif Hasta Hareketlilik Skoru ortalama 21,04±10,38 cm iken taburculuk öncesi dönemde 10,63±12,49 cm olarak değişti ve bu değişim istatistiksel olarak anlamlı bulundu</w:t>
      </w:r>
      <w:r>
        <w:rPr>
          <w:spacing w:val="-13"/>
        </w:rPr>
        <w:t> </w:t>
      </w:r>
      <w:r>
        <w:rPr/>
        <w:t>(p=0,019).</w:t>
      </w:r>
      <w:r>
        <w:rPr>
          <w:spacing w:val="-13"/>
        </w:rPr>
        <w:t> </w:t>
      </w:r>
      <w:r>
        <w:rPr/>
        <w:t>Bireylerin</w:t>
      </w:r>
      <w:r>
        <w:rPr>
          <w:spacing w:val="-13"/>
        </w:rPr>
        <w:t> </w:t>
      </w:r>
      <w:r>
        <w:rPr/>
        <w:t>postoperatif</w:t>
      </w:r>
      <w:r>
        <w:rPr>
          <w:spacing w:val="-11"/>
        </w:rPr>
        <w:t> </w:t>
      </w:r>
      <w:r>
        <w:rPr/>
        <w:t>dönemde</w:t>
      </w:r>
      <w:r>
        <w:rPr>
          <w:spacing w:val="-14"/>
        </w:rPr>
        <w:t> </w:t>
      </w:r>
      <w:r>
        <w:rPr/>
        <w:t>gözlemci</w:t>
      </w:r>
      <w:r>
        <w:rPr>
          <w:spacing w:val="-13"/>
        </w:rPr>
        <w:t> </w:t>
      </w:r>
      <w:r>
        <w:rPr/>
        <w:t>hareketlilik</w:t>
      </w:r>
      <w:r>
        <w:rPr>
          <w:spacing w:val="-11"/>
        </w:rPr>
        <w:t> </w:t>
      </w:r>
      <w:r>
        <w:rPr/>
        <w:t>skoru</w:t>
      </w:r>
      <w:r>
        <w:rPr>
          <w:spacing w:val="-12"/>
        </w:rPr>
        <w:t> </w:t>
      </w:r>
      <w:r>
        <w:rPr/>
        <w:t>ortalama 6,58±2,57 iken taburculuk öncesi dönemde 4,83±1,8 olarak değişti ve bu değişim istatistiksel olarak anlamlı buldu (p=0,016). Elde edilen veriler Tablo 4.16’te gösterilmiştir.</w:t>
      </w:r>
    </w:p>
    <w:p>
      <w:pPr>
        <w:pStyle w:val="BodyText"/>
        <w:rPr>
          <w:sz w:val="24"/>
        </w:rPr>
      </w:pPr>
    </w:p>
    <w:p>
      <w:pPr>
        <w:pStyle w:val="BodyText"/>
        <w:rPr>
          <w:sz w:val="24"/>
        </w:rPr>
      </w:pPr>
    </w:p>
    <w:p>
      <w:pPr>
        <w:spacing w:before="144"/>
        <w:ind w:left="588" w:right="0" w:firstLine="0"/>
        <w:jc w:val="left"/>
        <w:rPr>
          <w:sz w:val="20"/>
        </w:rPr>
      </w:pPr>
      <w:r>
        <w:rPr>
          <w:b/>
          <w:sz w:val="20"/>
        </w:rPr>
        <w:t>Tablo 4.16 </w:t>
      </w:r>
      <w:r>
        <w:rPr>
          <w:sz w:val="20"/>
        </w:rPr>
        <w:t>Çalışma Grubu Hasta Hareketlilik ve Gözlemci Hareketlilik Skor Sonuçları</w:t>
      </w:r>
    </w:p>
    <w:p>
      <w:pPr>
        <w:pStyle w:val="BodyText"/>
        <w:rPr>
          <w:sz w:val="20"/>
        </w:rPr>
      </w:pPr>
    </w:p>
    <w:p>
      <w:pPr>
        <w:pStyle w:val="BodyText"/>
        <w:spacing w:before="2"/>
        <w:rPr>
          <w:sz w:val="20"/>
        </w:rPr>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29"/>
        <w:gridCol w:w="1984"/>
        <w:gridCol w:w="2264"/>
        <w:gridCol w:w="2013"/>
      </w:tblGrid>
      <w:tr>
        <w:trPr>
          <w:trHeight w:val="690" w:hRule="atLeast"/>
        </w:trPr>
        <w:tc>
          <w:tcPr>
            <w:tcW w:w="2329" w:type="dxa"/>
            <w:tcBorders>
              <w:top w:val="single" w:sz="12" w:space="0" w:color="008000"/>
              <w:bottom w:val="single" w:sz="6" w:space="0" w:color="008000"/>
            </w:tcBorders>
          </w:tcPr>
          <w:p>
            <w:pPr>
              <w:pStyle w:val="TableParagraph"/>
              <w:spacing w:before="8"/>
              <w:rPr>
                <w:sz w:val="19"/>
              </w:rPr>
            </w:pPr>
          </w:p>
          <w:p>
            <w:pPr>
              <w:pStyle w:val="TableParagraph"/>
              <w:ind w:left="518"/>
              <w:rPr>
                <w:b/>
                <w:sz w:val="20"/>
              </w:rPr>
            </w:pPr>
            <w:r>
              <w:rPr>
                <w:b/>
                <w:sz w:val="20"/>
              </w:rPr>
              <w:t>Değişkenler</w:t>
            </w:r>
          </w:p>
        </w:tc>
        <w:tc>
          <w:tcPr>
            <w:tcW w:w="1984" w:type="dxa"/>
            <w:tcBorders>
              <w:top w:val="single" w:sz="12" w:space="0" w:color="008000"/>
              <w:bottom w:val="single" w:sz="6" w:space="0" w:color="008000"/>
            </w:tcBorders>
          </w:tcPr>
          <w:p>
            <w:pPr>
              <w:pStyle w:val="TableParagraph"/>
              <w:spacing w:line="227" w:lineRule="exact"/>
              <w:ind w:left="296" w:right="480"/>
              <w:jc w:val="center"/>
              <w:rPr>
                <w:b/>
                <w:sz w:val="20"/>
              </w:rPr>
            </w:pPr>
            <w:r>
              <w:rPr>
                <w:b/>
                <w:sz w:val="20"/>
              </w:rPr>
              <w:t>Postoperatif</w:t>
            </w:r>
          </w:p>
          <w:p>
            <w:pPr>
              <w:pStyle w:val="TableParagraph"/>
              <w:spacing w:before="115"/>
              <w:ind w:left="296" w:right="478"/>
              <w:jc w:val="center"/>
              <w:rPr>
                <w:b/>
                <w:sz w:val="20"/>
              </w:rPr>
            </w:pPr>
            <w:r>
              <w:rPr>
                <w:b/>
                <w:sz w:val="20"/>
              </w:rPr>
              <w:t>X±SS</w:t>
            </w:r>
          </w:p>
        </w:tc>
        <w:tc>
          <w:tcPr>
            <w:tcW w:w="2264" w:type="dxa"/>
            <w:tcBorders>
              <w:top w:val="single" w:sz="12" w:space="0" w:color="008000"/>
              <w:bottom w:val="single" w:sz="6" w:space="0" w:color="008000"/>
            </w:tcBorders>
          </w:tcPr>
          <w:p>
            <w:pPr>
              <w:pStyle w:val="TableParagraph"/>
              <w:spacing w:line="227" w:lineRule="exact"/>
              <w:ind w:left="484" w:right="625"/>
              <w:jc w:val="center"/>
              <w:rPr>
                <w:b/>
                <w:sz w:val="20"/>
              </w:rPr>
            </w:pPr>
            <w:r>
              <w:rPr>
                <w:b/>
                <w:sz w:val="20"/>
              </w:rPr>
              <w:t>Taburcu</w:t>
            </w:r>
          </w:p>
          <w:p>
            <w:pPr>
              <w:pStyle w:val="TableParagraph"/>
              <w:spacing w:before="115"/>
              <w:ind w:left="484" w:right="627"/>
              <w:jc w:val="center"/>
              <w:rPr>
                <w:b/>
                <w:sz w:val="20"/>
              </w:rPr>
            </w:pPr>
            <w:r>
              <w:rPr>
                <w:b/>
                <w:sz w:val="20"/>
              </w:rPr>
              <w:t>X±SS</w:t>
            </w:r>
          </w:p>
        </w:tc>
        <w:tc>
          <w:tcPr>
            <w:tcW w:w="2013" w:type="dxa"/>
            <w:tcBorders>
              <w:top w:val="single" w:sz="12" w:space="0" w:color="008000"/>
              <w:bottom w:val="single" w:sz="6" w:space="0" w:color="008000"/>
            </w:tcBorders>
          </w:tcPr>
          <w:p>
            <w:pPr>
              <w:pStyle w:val="TableParagraph"/>
              <w:spacing w:before="8"/>
              <w:rPr>
                <w:sz w:val="19"/>
              </w:rPr>
            </w:pPr>
          </w:p>
          <w:p>
            <w:pPr>
              <w:pStyle w:val="TableParagraph"/>
              <w:ind w:right="131"/>
              <w:jc w:val="center"/>
              <w:rPr>
                <w:b/>
                <w:sz w:val="20"/>
              </w:rPr>
            </w:pPr>
            <w:r>
              <w:rPr>
                <w:b/>
                <w:w w:val="99"/>
                <w:sz w:val="20"/>
              </w:rPr>
              <w:t>p</w:t>
            </w:r>
          </w:p>
        </w:tc>
      </w:tr>
      <w:tr>
        <w:trPr>
          <w:trHeight w:val="559" w:hRule="atLeast"/>
        </w:trPr>
        <w:tc>
          <w:tcPr>
            <w:tcW w:w="2329" w:type="dxa"/>
            <w:tcBorders>
              <w:top w:val="single" w:sz="6" w:space="0" w:color="008000"/>
            </w:tcBorders>
          </w:tcPr>
          <w:p>
            <w:pPr>
              <w:pStyle w:val="TableParagraph"/>
              <w:spacing w:before="47"/>
              <w:ind w:left="597" w:right="446" w:hanging="291"/>
              <w:rPr>
                <w:sz w:val="20"/>
              </w:rPr>
            </w:pPr>
            <w:r>
              <w:rPr>
                <w:sz w:val="20"/>
              </w:rPr>
              <w:t>Hasta Hareketlilik Skoru (cm)</w:t>
            </w:r>
          </w:p>
        </w:tc>
        <w:tc>
          <w:tcPr>
            <w:tcW w:w="1984" w:type="dxa"/>
            <w:tcBorders>
              <w:top w:val="single" w:sz="6" w:space="0" w:color="008000"/>
            </w:tcBorders>
          </w:tcPr>
          <w:p>
            <w:pPr>
              <w:pStyle w:val="TableParagraph"/>
              <w:spacing w:before="162"/>
              <w:ind w:left="296" w:right="479"/>
              <w:jc w:val="center"/>
              <w:rPr>
                <w:sz w:val="20"/>
              </w:rPr>
            </w:pPr>
            <w:r>
              <w:rPr>
                <w:sz w:val="20"/>
              </w:rPr>
              <w:t>21,04±10,38</w:t>
            </w:r>
          </w:p>
        </w:tc>
        <w:tc>
          <w:tcPr>
            <w:tcW w:w="2264" w:type="dxa"/>
            <w:tcBorders>
              <w:top w:val="single" w:sz="6" w:space="0" w:color="008000"/>
            </w:tcBorders>
          </w:tcPr>
          <w:p>
            <w:pPr>
              <w:pStyle w:val="TableParagraph"/>
              <w:spacing w:before="162"/>
              <w:ind w:left="484" w:right="628"/>
              <w:jc w:val="center"/>
              <w:rPr>
                <w:sz w:val="20"/>
              </w:rPr>
            </w:pPr>
            <w:r>
              <w:rPr>
                <w:sz w:val="20"/>
              </w:rPr>
              <w:t>10,63±12,49</w:t>
            </w:r>
          </w:p>
        </w:tc>
        <w:tc>
          <w:tcPr>
            <w:tcW w:w="2013" w:type="dxa"/>
            <w:tcBorders>
              <w:top w:val="single" w:sz="6" w:space="0" w:color="008000"/>
            </w:tcBorders>
          </w:tcPr>
          <w:p>
            <w:pPr>
              <w:pStyle w:val="TableParagraph"/>
              <w:spacing w:before="162"/>
              <w:ind w:left="634" w:right="766"/>
              <w:jc w:val="center"/>
              <w:rPr>
                <w:sz w:val="13"/>
              </w:rPr>
            </w:pPr>
            <w:r>
              <w:rPr>
                <w:sz w:val="20"/>
              </w:rPr>
              <w:t>0,019</w:t>
            </w:r>
            <w:r>
              <w:rPr>
                <w:position w:val="6"/>
                <w:sz w:val="13"/>
              </w:rPr>
              <w:t>a</w:t>
            </w:r>
          </w:p>
        </w:tc>
      </w:tr>
      <w:tr>
        <w:trPr>
          <w:trHeight w:val="555" w:hRule="atLeast"/>
        </w:trPr>
        <w:tc>
          <w:tcPr>
            <w:tcW w:w="2329" w:type="dxa"/>
            <w:tcBorders>
              <w:bottom w:val="single" w:sz="12" w:space="0" w:color="008000"/>
            </w:tcBorders>
          </w:tcPr>
          <w:p>
            <w:pPr>
              <w:pStyle w:val="TableParagraph"/>
              <w:spacing w:before="44"/>
              <w:ind w:left="823" w:hanging="672"/>
              <w:rPr>
                <w:sz w:val="20"/>
              </w:rPr>
            </w:pPr>
            <w:r>
              <w:rPr>
                <w:sz w:val="20"/>
              </w:rPr>
              <w:t>Gözlemci Hareketlilik Skoru</w:t>
            </w:r>
          </w:p>
        </w:tc>
        <w:tc>
          <w:tcPr>
            <w:tcW w:w="1984" w:type="dxa"/>
            <w:tcBorders>
              <w:bottom w:val="single" w:sz="12" w:space="0" w:color="008000"/>
            </w:tcBorders>
          </w:tcPr>
          <w:p>
            <w:pPr>
              <w:pStyle w:val="TableParagraph"/>
              <w:spacing w:before="160"/>
              <w:ind w:left="295" w:right="480"/>
              <w:jc w:val="center"/>
              <w:rPr>
                <w:sz w:val="20"/>
              </w:rPr>
            </w:pPr>
            <w:r>
              <w:rPr>
                <w:sz w:val="20"/>
              </w:rPr>
              <w:t>6,58±2,57</w:t>
            </w:r>
          </w:p>
        </w:tc>
        <w:tc>
          <w:tcPr>
            <w:tcW w:w="2264" w:type="dxa"/>
            <w:tcBorders>
              <w:bottom w:val="single" w:sz="12" w:space="0" w:color="008000"/>
            </w:tcBorders>
          </w:tcPr>
          <w:p>
            <w:pPr>
              <w:pStyle w:val="TableParagraph"/>
              <w:spacing w:before="160"/>
              <w:ind w:left="482" w:right="628"/>
              <w:jc w:val="center"/>
              <w:rPr>
                <w:sz w:val="20"/>
              </w:rPr>
            </w:pPr>
            <w:r>
              <w:rPr>
                <w:sz w:val="20"/>
              </w:rPr>
              <w:t>4,83±1,8</w:t>
            </w:r>
          </w:p>
        </w:tc>
        <w:tc>
          <w:tcPr>
            <w:tcW w:w="2013" w:type="dxa"/>
            <w:tcBorders>
              <w:bottom w:val="single" w:sz="12" w:space="0" w:color="008000"/>
            </w:tcBorders>
          </w:tcPr>
          <w:p>
            <w:pPr>
              <w:pStyle w:val="TableParagraph"/>
              <w:spacing w:before="160"/>
              <w:ind w:left="634" w:right="766"/>
              <w:jc w:val="center"/>
              <w:rPr>
                <w:sz w:val="13"/>
              </w:rPr>
            </w:pPr>
            <w:r>
              <w:rPr>
                <w:sz w:val="20"/>
              </w:rPr>
              <w:t>0,016</w:t>
            </w:r>
            <w:r>
              <w:rPr>
                <w:position w:val="6"/>
                <w:sz w:val="13"/>
              </w:rPr>
              <w:t>a</w:t>
            </w:r>
          </w:p>
        </w:tc>
      </w:tr>
    </w:tbl>
    <w:p>
      <w:pPr>
        <w:spacing w:before="0"/>
        <w:ind w:left="588" w:right="0" w:firstLine="0"/>
        <w:jc w:val="left"/>
        <w:rPr>
          <w:sz w:val="20"/>
        </w:rPr>
      </w:pPr>
      <w:r>
        <w:rPr>
          <w:sz w:val="20"/>
        </w:rPr>
        <w:t>a: Wilcoxon Eşleştirilmiş İki Örnek testi</w:t>
      </w:r>
    </w:p>
    <w:p>
      <w:pPr>
        <w:spacing w:after="0"/>
        <w:jc w:val="left"/>
        <w:rPr>
          <w:sz w:val="20"/>
        </w:rPr>
        <w:sectPr>
          <w:pgSz w:w="11910" w:h="16840"/>
          <w:pgMar w:header="749" w:footer="0" w:top="1320" w:bottom="280" w:left="1680" w:right="840"/>
        </w:sectPr>
      </w:pPr>
    </w:p>
    <w:p>
      <w:pPr>
        <w:pStyle w:val="BodyText"/>
        <w:spacing w:line="360" w:lineRule="auto" w:before="88"/>
        <w:ind w:left="588" w:right="292" w:firstLine="708"/>
        <w:jc w:val="both"/>
      </w:pPr>
      <w:r>
        <w:rPr/>
        <w:t>Bireylerin durumluluk ve süreklilik kaygı durumu STAI ölçeği ile belirlendi ve postoperatif süreklilik kaygı skoru ile taburculuk dönemi süreklilik kaygı skoru arasında istatistiksel olarak anlamlı fark bulundu (p=0,013). Diğer karşılaştırmalarda anlamlı bir fark gözlenmedi. Elde edilen veriler Tablo 4.17 ve Tablo 4.18’de gösterilmiştir.</w:t>
      </w:r>
    </w:p>
    <w:p>
      <w:pPr>
        <w:pStyle w:val="BodyText"/>
        <w:rPr>
          <w:sz w:val="24"/>
        </w:rPr>
      </w:pPr>
    </w:p>
    <w:p>
      <w:pPr>
        <w:pStyle w:val="BodyText"/>
        <w:rPr>
          <w:sz w:val="24"/>
        </w:rPr>
      </w:pPr>
    </w:p>
    <w:p>
      <w:pPr>
        <w:spacing w:before="145"/>
        <w:ind w:left="588" w:right="0" w:firstLine="0"/>
        <w:jc w:val="left"/>
        <w:rPr>
          <w:sz w:val="20"/>
        </w:rPr>
      </w:pPr>
      <w:r>
        <w:rPr>
          <w:b/>
          <w:sz w:val="20"/>
        </w:rPr>
        <w:t>Tablo 4.17 </w:t>
      </w:r>
      <w:r>
        <w:rPr>
          <w:sz w:val="20"/>
        </w:rPr>
        <w:t>Çalışma Grubu Kaygı Skor Sonuçlarının Karşılaştırılması</w:t>
      </w:r>
    </w:p>
    <w:p>
      <w:pPr>
        <w:pStyle w:val="BodyText"/>
        <w:spacing w:before="3" w:after="1"/>
        <w:rPr>
          <w:sz w:val="24"/>
        </w:rPr>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2"/>
        <w:gridCol w:w="1368"/>
        <w:gridCol w:w="1432"/>
        <w:gridCol w:w="806"/>
        <w:gridCol w:w="1465"/>
        <w:gridCol w:w="1264"/>
        <w:gridCol w:w="915"/>
      </w:tblGrid>
      <w:tr>
        <w:trPr>
          <w:trHeight w:val="690" w:hRule="atLeast"/>
        </w:trPr>
        <w:tc>
          <w:tcPr>
            <w:tcW w:w="1342" w:type="dxa"/>
            <w:tcBorders>
              <w:top w:val="single" w:sz="12" w:space="0" w:color="008000"/>
              <w:bottom w:val="single" w:sz="6" w:space="0" w:color="008000"/>
            </w:tcBorders>
          </w:tcPr>
          <w:p>
            <w:pPr>
              <w:pStyle w:val="TableParagraph"/>
              <w:spacing w:before="112"/>
              <w:ind w:left="391" w:right="377" w:firstLine="9"/>
              <w:rPr>
                <w:b/>
                <w:sz w:val="20"/>
              </w:rPr>
            </w:pPr>
            <w:r>
              <w:rPr>
                <w:b/>
                <w:sz w:val="20"/>
              </w:rPr>
              <w:t>Kaygı </w:t>
            </w:r>
            <w:r>
              <w:rPr>
                <w:b/>
                <w:w w:val="95"/>
                <w:sz w:val="20"/>
              </w:rPr>
              <w:t>Skoru</w:t>
            </w:r>
          </w:p>
        </w:tc>
        <w:tc>
          <w:tcPr>
            <w:tcW w:w="1368" w:type="dxa"/>
            <w:tcBorders>
              <w:top w:val="single" w:sz="12" w:space="0" w:color="008000"/>
              <w:bottom w:val="single" w:sz="6" w:space="0" w:color="008000"/>
            </w:tcBorders>
          </w:tcPr>
          <w:p>
            <w:pPr>
              <w:pStyle w:val="TableParagraph"/>
              <w:spacing w:line="227" w:lineRule="exact"/>
              <w:ind w:left="143" w:right="128"/>
              <w:jc w:val="center"/>
              <w:rPr>
                <w:b/>
                <w:sz w:val="20"/>
              </w:rPr>
            </w:pPr>
            <w:r>
              <w:rPr>
                <w:b/>
                <w:sz w:val="20"/>
              </w:rPr>
              <w:t>Preoperatif</w:t>
            </w:r>
          </w:p>
          <w:p>
            <w:pPr>
              <w:pStyle w:val="TableParagraph"/>
              <w:spacing w:before="113"/>
              <w:ind w:left="143" w:right="128"/>
              <w:jc w:val="center"/>
              <w:rPr>
                <w:b/>
                <w:sz w:val="20"/>
              </w:rPr>
            </w:pPr>
            <w:r>
              <w:rPr>
                <w:b/>
                <w:sz w:val="20"/>
              </w:rPr>
              <w:t>X±SS</w:t>
            </w:r>
          </w:p>
        </w:tc>
        <w:tc>
          <w:tcPr>
            <w:tcW w:w="1432" w:type="dxa"/>
            <w:tcBorders>
              <w:top w:val="single" w:sz="12" w:space="0" w:color="008000"/>
              <w:bottom w:val="single" w:sz="6" w:space="0" w:color="008000"/>
            </w:tcBorders>
          </w:tcPr>
          <w:p>
            <w:pPr>
              <w:pStyle w:val="TableParagraph"/>
              <w:spacing w:line="227" w:lineRule="exact"/>
              <w:ind w:left="130" w:right="95"/>
              <w:jc w:val="center"/>
              <w:rPr>
                <w:b/>
                <w:sz w:val="20"/>
              </w:rPr>
            </w:pPr>
            <w:r>
              <w:rPr>
                <w:b/>
                <w:sz w:val="20"/>
              </w:rPr>
              <w:t>Postoperatif</w:t>
            </w:r>
          </w:p>
          <w:p>
            <w:pPr>
              <w:pStyle w:val="TableParagraph"/>
              <w:spacing w:before="113"/>
              <w:ind w:left="127" w:right="95"/>
              <w:jc w:val="center"/>
              <w:rPr>
                <w:b/>
                <w:sz w:val="20"/>
              </w:rPr>
            </w:pPr>
            <w:r>
              <w:rPr>
                <w:b/>
                <w:sz w:val="20"/>
              </w:rPr>
              <w:t>X±SS</w:t>
            </w:r>
          </w:p>
        </w:tc>
        <w:tc>
          <w:tcPr>
            <w:tcW w:w="806" w:type="dxa"/>
            <w:tcBorders>
              <w:top w:val="single" w:sz="12" w:space="0" w:color="008000"/>
              <w:bottom w:val="single" w:sz="6" w:space="0" w:color="008000"/>
            </w:tcBorders>
          </w:tcPr>
          <w:p>
            <w:pPr>
              <w:pStyle w:val="TableParagraph"/>
              <w:spacing w:before="167"/>
              <w:ind w:left="4"/>
              <w:jc w:val="center"/>
              <w:rPr>
                <w:b/>
                <w:sz w:val="20"/>
              </w:rPr>
            </w:pPr>
            <w:r>
              <w:rPr>
                <w:b/>
                <w:w w:val="99"/>
                <w:sz w:val="20"/>
              </w:rPr>
              <w:t>p</w:t>
            </w:r>
          </w:p>
        </w:tc>
        <w:tc>
          <w:tcPr>
            <w:tcW w:w="1465" w:type="dxa"/>
            <w:tcBorders>
              <w:top w:val="single" w:sz="12" w:space="0" w:color="008000"/>
              <w:bottom w:val="single" w:sz="6" w:space="0" w:color="008000"/>
            </w:tcBorders>
          </w:tcPr>
          <w:p>
            <w:pPr>
              <w:pStyle w:val="TableParagraph"/>
              <w:spacing w:line="227" w:lineRule="exact"/>
              <w:ind w:left="99" w:right="158"/>
              <w:jc w:val="center"/>
              <w:rPr>
                <w:b/>
                <w:sz w:val="20"/>
              </w:rPr>
            </w:pPr>
            <w:r>
              <w:rPr>
                <w:b/>
                <w:sz w:val="20"/>
              </w:rPr>
              <w:t>Postoperatif</w:t>
            </w:r>
          </w:p>
          <w:p>
            <w:pPr>
              <w:pStyle w:val="TableParagraph"/>
              <w:spacing w:before="113"/>
              <w:ind w:left="96" w:right="158"/>
              <w:jc w:val="center"/>
              <w:rPr>
                <w:b/>
                <w:sz w:val="20"/>
              </w:rPr>
            </w:pPr>
            <w:r>
              <w:rPr>
                <w:b/>
                <w:sz w:val="20"/>
              </w:rPr>
              <w:t>X±SS</w:t>
            </w:r>
          </w:p>
        </w:tc>
        <w:tc>
          <w:tcPr>
            <w:tcW w:w="1264" w:type="dxa"/>
            <w:tcBorders>
              <w:top w:val="single" w:sz="12" w:space="0" w:color="008000"/>
              <w:bottom w:val="single" w:sz="6" w:space="0" w:color="008000"/>
            </w:tcBorders>
          </w:tcPr>
          <w:p>
            <w:pPr>
              <w:pStyle w:val="TableParagraph"/>
              <w:spacing w:line="227" w:lineRule="exact"/>
              <w:ind w:left="166" w:right="167"/>
              <w:jc w:val="center"/>
              <w:rPr>
                <w:b/>
                <w:sz w:val="20"/>
              </w:rPr>
            </w:pPr>
            <w:r>
              <w:rPr>
                <w:b/>
                <w:sz w:val="20"/>
              </w:rPr>
              <w:t>Taburcu</w:t>
            </w:r>
          </w:p>
          <w:p>
            <w:pPr>
              <w:pStyle w:val="TableParagraph"/>
              <w:spacing w:before="113"/>
              <w:ind w:left="166" w:right="167"/>
              <w:jc w:val="center"/>
              <w:rPr>
                <w:b/>
                <w:sz w:val="20"/>
              </w:rPr>
            </w:pPr>
            <w:r>
              <w:rPr>
                <w:b/>
                <w:sz w:val="20"/>
              </w:rPr>
              <w:t>X±SS</w:t>
            </w:r>
          </w:p>
        </w:tc>
        <w:tc>
          <w:tcPr>
            <w:tcW w:w="915" w:type="dxa"/>
            <w:tcBorders>
              <w:top w:val="single" w:sz="12" w:space="0" w:color="008000"/>
              <w:bottom w:val="single" w:sz="6" w:space="0" w:color="008000"/>
            </w:tcBorders>
          </w:tcPr>
          <w:p>
            <w:pPr>
              <w:pStyle w:val="TableParagraph"/>
              <w:spacing w:before="6"/>
              <w:rPr>
                <w:sz w:val="19"/>
              </w:rPr>
            </w:pPr>
          </w:p>
          <w:p>
            <w:pPr>
              <w:pStyle w:val="TableParagraph"/>
              <w:ind w:left="55"/>
              <w:jc w:val="center"/>
              <w:rPr>
                <w:b/>
                <w:sz w:val="20"/>
              </w:rPr>
            </w:pPr>
            <w:r>
              <w:rPr>
                <w:b/>
                <w:w w:val="99"/>
                <w:sz w:val="20"/>
              </w:rPr>
              <w:t>p</w:t>
            </w:r>
          </w:p>
        </w:tc>
      </w:tr>
      <w:tr>
        <w:trPr>
          <w:trHeight w:val="717" w:hRule="atLeast"/>
        </w:trPr>
        <w:tc>
          <w:tcPr>
            <w:tcW w:w="1342" w:type="dxa"/>
            <w:tcBorders>
              <w:top w:val="single" w:sz="6" w:space="0" w:color="008000"/>
            </w:tcBorders>
          </w:tcPr>
          <w:p>
            <w:pPr>
              <w:pStyle w:val="TableParagraph"/>
              <w:rPr>
                <w:sz w:val="21"/>
              </w:rPr>
            </w:pPr>
          </w:p>
          <w:p>
            <w:pPr>
              <w:pStyle w:val="TableParagraph"/>
              <w:spacing w:before="1"/>
              <w:ind w:left="146" w:right="143"/>
              <w:jc w:val="center"/>
              <w:rPr>
                <w:sz w:val="20"/>
              </w:rPr>
            </w:pPr>
            <w:r>
              <w:rPr>
                <w:sz w:val="20"/>
              </w:rPr>
              <w:t>Durumluluk</w:t>
            </w:r>
          </w:p>
        </w:tc>
        <w:tc>
          <w:tcPr>
            <w:tcW w:w="1368" w:type="dxa"/>
            <w:tcBorders>
              <w:top w:val="single" w:sz="6" w:space="0" w:color="008000"/>
            </w:tcBorders>
          </w:tcPr>
          <w:p>
            <w:pPr>
              <w:pStyle w:val="TableParagraph"/>
              <w:rPr>
                <w:sz w:val="21"/>
              </w:rPr>
            </w:pPr>
          </w:p>
          <w:p>
            <w:pPr>
              <w:pStyle w:val="TableParagraph"/>
              <w:spacing w:before="1"/>
              <w:ind w:right="230"/>
              <w:jc w:val="right"/>
              <w:rPr>
                <w:sz w:val="20"/>
              </w:rPr>
            </w:pPr>
            <w:r>
              <w:rPr>
                <w:sz w:val="20"/>
              </w:rPr>
              <w:t>40,33±2,8</w:t>
            </w:r>
          </w:p>
        </w:tc>
        <w:tc>
          <w:tcPr>
            <w:tcW w:w="1432" w:type="dxa"/>
            <w:tcBorders>
              <w:top w:val="single" w:sz="6" w:space="0" w:color="008000"/>
            </w:tcBorders>
          </w:tcPr>
          <w:p>
            <w:pPr>
              <w:pStyle w:val="TableParagraph"/>
              <w:rPr>
                <w:sz w:val="21"/>
              </w:rPr>
            </w:pPr>
          </w:p>
          <w:p>
            <w:pPr>
              <w:pStyle w:val="TableParagraph"/>
              <w:spacing w:before="1"/>
              <w:ind w:left="129" w:right="95"/>
              <w:jc w:val="center"/>
              <w:rPr>
                <w:sz w:val="20"/>
              </w:rPr>
            </w:pPr>
            <w:r>
              <w:rPr>
                <w:sz w:val="20"/>
              </w:rPr>
              <w:t>41,75±5,1</w:t>
            </w:r>
          </w:p>
        </w:tc>
        <w:tc>
          <w:tcPr>
            <w:tcW w:w="806" w:type="dxa"/>
            <w:tcBorders>
              <w:top w:val="single" w:sz="6" w:space="0" w:color="008000"/>
            </w:tcBorders>
          </w:tcPr>
          <w:p>
            <w:pPr>
              <w:pStyle w:val="TableParagraph"/>
              <w:rPr>
                <w:sz w:val="21"/>
              </w:rPr>
            </w:pPr>
          </w:p>
          <w:p>
            <w:pPr>
              <w:pStyle w:val="TableParagraph"/>
              <w:spacing w:before="1"/>
              <w:ind w:left="98" w:right="95"/>
              <w:jc w:val="center"/>
              <w:rPr>
                <w:sz w:val="13"/>
              </w:rPr>
            </w:pPr>
            <w:r>
              <w:rPr>
                <w:sz w:val="20"/>
              </w:rPr>
              <w:t>0,293</w:t>
            </w:r>
            <w:r>
              <w:rPr>
                <w:position w:val="6"/>
                <w:sz w:val="13"/>
              </w:rPr>
              <w:t>a</w:t>
            </w:r>
          </w:p>
        </w:tc>
        <w:tc>
          <w:tcPr>
            <w:tcW w:w="1465" w:type="dxa"/>
            <w:tcBorders>
              <w:top w:val="single" w:sz="6" w:space="0" w:color="008000"/>
            </w:tcBorders>
          </w:tcPr>
          <w:p>
            <w:pPr>
              <w:pStyle w:val="TableParagraph"/>
              <w:rPr>
                <w:sz w:val="21"/>
              </w:rPr>
            </w:pPr>
          </w:p>
          <w:p>
            <w:pPr>
              <w:pStyle w:val="TableParagraph"/>
              <w:spacing w:before="1"/>
              <w:ind w:left="98" w:right="158"/>
              <w:jc w:val="center"/>
              <w:rPr>
                <w:sz w:val="20"/>
              </w:rPr>
            </w:pPr>
            <w:r>
              <w:rPr>
                <w:sz w:val="20"/>
              </w:rPr>
              <w:t>41,75±5,1</w:t>
            </w:r>
          </w:p>
        </w:tc>
        <w:tc>
          <w:tcPr>
            <w:tcW w:w="1264" w:type="dxa"/>
            <w:tcBorders>
              <w:top w:val="single" w:sz="6" w:space="0" w:color="008000"/>
            </w:tcBorders>
          </w:tcPr>
          <w:p>
            <w:pPr>
              <w:pStyle w:val="TableParagraph"/>
              <w:rPr>
                <w:sz w:val="21"/>
              </w:rPr>
            </w:pPr>
          </w:p>
          <w:p>
            <w:pPr>
              <w:pStyle w:val="TableParagraph"/>
              <w:spacing w:before="1"/>
              <w:ind w:left="166" w:right="169"/>
              <w:jc w:val="center"/>
              <w:rPr>
                <w:sz w:val="20"/>
              </w:rPr>
            </w:pPr>
            <w:r>
              <w:rPr>
                <w:sz w:val="20"/>
              </w:rPr>
              <w:t>41,75±4,8</w:t>
            </w:r>
          </w:p>
        </w:tc>
        <w:tc>
          <w:tcPr>
            <w:tcW w:w="915" w:type="dxa"/>
            <w:tcBorders>
              <w:top w:val="single" w:sz="6" w:space="0" w:color="008000"/>
            </w:tcBorders>
          </w:tcPr>
          <w:p>
            <w:pPr>
              <w:pStyle w:val="TableParagraph"/>
              <w:rPr>
                <w:sz w:val="21"/>
              </w:rPr>
            </w:pPr>
          </w:p>
          <w:p>
            <w:pPr>
              <w:pStyle w:val="TableParagraph"/>
              <w:spacing w:before="1"/>
              <w:ind w:left="178" w:right="124"/>
              <w:jc w:val="center"/>
              <w:rPr>
                <w:sz w:val="13"/>
              </w:rPr>
            </w:pPr>
            <w:r>
              <w:rPr>
                <w:sz w:val="20"/>
              </w:rPr>
              <w:t>0.999</w:t>
            </w:r>
            <w:r>
              <w:rPr>
                <w:position w:val="6"/>
                <w:sz w:val="13"/>
              </w:rPr>
              <w:t>a</w:t>
            </w:r>
          </w:p>
        </w:tc>
      </w:tr>
      <w:tr>
        <w:trPr>
          <w:trHeight w:val="705" w:hRule="atLeast"/>
        </w:trPr>
        <w:tc>
          <w:tcPr>
            <w:tcW w:w="1342" w:type="dxa"/>
            <w:tcBorders>
              <w:bottom w:val="single" w:sz="12" w:space="0" w:color="008000"/>
            </w:tcBorders>
          </w:tcPr>
          <w:p>
            <w:pPr>
              <w:pStyle w:val="TableParagraph"/>
              <w:spacing w:before="7"/>
              <w:rPr>
                <w:sz w:val="20"/>
              </w:rPr>
            </w:pPr>
          </w:p>
          <w:p>
            <w:pPr>
              <w:pStyle w:val="TableParagraph"/>
              <w:spacing w:before="1"/>
              <w:ind w:left="145" w:right="143"/>
              <w:jc w:val="center"/>
              <w:rPr>
                <w:sz w:val="20"/>
              </w:rPr>
            </w:pPr>
            <w:r>
              <w:rPr>
                <w:sz w:val="20"/>
              </w:rPr>
              <w:t>Süreklilik</w:t>
            </w:r>
          </w:p>
        </w:tc>
        <w:tc>
          <w:tcPr>
            <w:tcW w:w="1368" w:type="dxa"/>
            <w:tcBorders>
              <w:bottom w:val="single" w:sz="12" w:space="0" w:color="008000"/>
            </w:tcBorders>
          </w:tcPr>
          <w:p>
            <w:pPr>
              <w:pStyle w:val="TableParagraph"/>
              <w:spacing w:before="7"/>
              <w:rPr>
                <w:sz w:val="20"/>
              </w:rPr>
            </w:pPr>
          </w:p>
          <w:p>
            <w:pPr>
              <w:pStyle w:val="TableParagraph"/>
              <w:spacing w:before="1"/>
              <w:ind w:right="175"/>
              <w:jc w:val="right"/>
              <w:rPr>
                <w:sz w:val="20"/>
              </w:rPr>
            </w:pPr>
            <w:r>
              <w:rPr>
                <w:sz w:val="20"/>
              </w:rPr>
              <w:t>45,16±6,14</w:t>
            </w:r>
          </w:p>
        </w:tc>
        <w:tc>
          <w:tcPr>
            <w:tcW w:w="1432" w:type="dxa"/>
            <w:tcBorders>
              <w:bottom w:val="single" w:sz="12" w:space="0" w:color="008000"/>
            </w:tcBorders>
          </w:tcPr>
          <w:p>
            <w:pPr>
              <w:pStyle w:val="TableParagraph"/>
              <w:spacing w:before="7"/>
              <w:rPr>
                <w:sz w:val="20"/>
              </w:rPr>
            </w:pPr>
          </w:p>
          <w:p>
            <w:pPr>
              <w:pStyle w:val="TableParagraph"/>
              <w:spacing w:before="1"/>
              <w:ind w:left="129" w:right="95"/>
              <w:jc w:val="center"/>
              <w:rPr>
                <w:sz w:val="20"/>
              </w:rPr>
            </w:pPr>
            <w:r>
              <w:rPr>
                <w:sz w:val="20"/>
              </w:rPr>
              <w:t>48,91±4,54</w:t>
            </w:r>
          </w:p>
        </w:tc>
        <w:tc>
          <w:tcPr>
            <w:tcW w:w="806" w:type="dxa"/>
            <w:tcBorders>
              <w:bottom w:val="single" w:sz="12" w:space="0" w:color="008000"/>
            </w:tcBorders>
          </w:tcPr>
          <w:p>
            <w:pPr>
              <w:pStyle w:val="TableParagraph"/>
              <w:spacing w:before="7"/>
              <w:rPr>
                <w:sz w:val="20"/>
              </w:rPr>
            </w:pPr>
          </w:p>
          <w:p>
            <w:pPr>
              <w:pStyle w:val="TableParagraph"/>
              <w:spacing w:before="1"/>
              <w:ind w:left="98" w:right="95"/>
              <w:jc w:val="center"/>
              <w:rPr>
                <w:sz w:val="13"/>
              </w:rPr>
            </w:pPr>
            <w:r>
              <w:rPr>
                <w:sz w:val="20"/>
              </w:rPr>
              <w:t>0,064</w:t>
            </w:r>
            <w:r>
              <w:rPr>
                <w:position w:val="6"/>
                <w:sz w:val="13"/>
              </w:rPr>
              <w:t>a</w:t>
            </w:r>
          </w:p>
        </w:tc>
        <w:tc>
          <w:tcPr>
            <w:tcW w:w="1465" w:type="dxa"/>
            <w:tcBorders>
              <w:bottom w:val="single" w:sz="12" w:space="0" w:color="008000"/>
            </w:tcBorders>
          </w:tcPr>
          <w:p>
            <w:pPr>
              <w:pStyle w:val="TableParagraph"/>
              <w:spacing w:before="7"/>
              <w:rPr>
                <w:sz w:val="20"/>
              </w:rPr>
            </w:pPr>
          </w:p>
          <w:p>
            <w:pPr>
              <w:pStyle w:val="TableParagraph"/>
              <w:spacing w:before="1"/>
              <w:ind w:left="98" w:right="158"/>
              <w:jc w:val="center"/>
              <w:rPr>
                <w:sz w:val="20"/>
              </w:rPr>
            </w:pPr>
            <w:r>
              <w:rPr>
                <w:sz w:val="20"/>
              </w:rPr>
              <w:t>45,16±6,14</w:t>
            </w:r>
          </w:p>
        </w:tc>
        <w:tc>
          <w:tcPr>
            <w:tcW w:w="1264" w:type="dxa"/>
            <w:tcBorders>
              <w:bottom w:val="single" w:sz="12" w:space="0" w:color="008000"/>
            </w:tcBorders>
          </w:tcPr>
          <w:p>
            <w:pPr>
              <w:pStyle w:val="TableParagraph"/>
              <w:spacing w:before="7"/>
              <w:rPr>
                <w:sz w:val="20"/>
              </w:rPr>
            </w:pPr>
          </w:p>
          <w:p>
            <w:pPr>
              <w:pStyle w:val="TableParagraph"/>
              <w:spacing w:before="1"/>
              <w:ind w:left="166" w:right="167"/>
              <w:jc w:val="center"/>
              <w:rPr>
                <w:sz w:val="20"/>
              </w:rPr>
            </w:pPr>
            <w:r>
              <w:rPr>
                <w:sz w:val="20"/>
              </w:rPr>
              <w:t>45±4,24</w:t>
            </w:r>
          </w:p>
        </w:tc>
        <w:tc>
          <w:tcPr>
            <w:tcW w:w="915" w:type="dxa"/>
            <w:tcBorders>
              <w:bottom w:val="single" w:sz="12" w:space="0" w:color="008000"/>
            </w:tcBorders>
          </w:tcPr>
          <w:p>
            <w:pPr>
              <w:pStyle w:val="TableParagraph"/>
              <w:spacing w:before="7"/>
              <w:rPr>
                <w:sz w:val="20"/>
              </w:rPr>
            </w:pPr>
          </w:p>
          <w:p>
            <w:pPr>
              <w:pStyle w:val="TableParagraph"/>
              <w:spacing w:before="1"/>
              <w:ind w:left="178" w:right="124"/>
              <w:jc w:val="center"/>
              <w:rPr>
                <w:sz w:val="13"/>
              </w:rPr>
            </w:pPr>
            <w:r>
              <w:rPr>
                <w:sz w:val="20"/>
              </w:rPr>
              <w:t>0,013</w:t>
            </w:r>
            <w:r>
              <w:rPr>
                <w:position w:val="6"/>
                <w:sz w:val="13"/>
              </w:rPr>
              <w:t>a</w:t>
            </w:r>
          </w:p>
        </w:tc>
      </w:tr>
    </w:tbl>
    <w:p>
      <w:pPr>
        <w:spacing w:before="0"/>
        <w:ind w:left="588" w:right="0" w:firstLine="0"/>
        <w:jc w:val="left"/>
        <w:rPr>
          <w:sz w:val="20"/>
        </w:rPr>
      </w:pPr>
      <w:r>
        <w:rPr>
          <w:sz w:val="20"/>
        </w:rPr>
        <w:t>a: t- test</w:t>
      </w:r>
    </w:p>
    <w:p>
      <w:pPr>
        <w:pStyle w:val="BodyText"/>
      </w:pPr>
    </w:p>
    <w:p>
      <w:pPr>
        <w:pStyle w:val="BodyText"/>
      </w:pPr>
    </w:p>
    <w:p>
      <w:pPr>
        <w:pStyle w:val="BodyText"/>
        <w:spacing w:before="9"/>
        <w:rPr>
          <w:sz w:val="26"/>
        </w:rPr>
      </w:pPr>
    </w:p>
    <w:p>
      <w:pPr>
        <w:spacing w:before="0"/>
        <w:ind w:left="588" w:right="0" w:firstLine="0"/>
        <w:jc w:val="left"/>
        <w:rPr>
          <w:sz w:val="20"/>
        </w:rPr>
      </w:pPr>
      <w:r>
        <w:rPr>
          <w:b/>
          <w:sz w:val="20"/>
        </w:rPr>
        <w:t>Tablo 4.18 </w:t>
      </w:r>
      <w:r>
        <w:rPr>
          <w:sz w:val="20"/>
        </w:rPr>
        <w:t>Çalışma Grubu Kaygı skor Sonuçlarının Karşılatırması</w:t>
      </w:r>
    </w:p>
    <w:p>
      <w:pPr>
        <w:pStyle w:val="BodyText"/>
        <w:spacing w:before="3"/>
        <w:rPr>
          <w:sz w:val="24"/>
        </w:rPr>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18"/>
        <w:gridCol w:w="2473"/>
        <w:gridCol w:w="2326"/>
        <w:gridCol w:w="1681"/>
      </w:tblGrid>
      <w:tr>
        <w:trPr>
          <w:trHeight w:val="690" w:hRule="atLeast"/>
        </w:trPr>
        <w:tc>
          <w:tcPr>
            <w:tcW w:w="2118" w:type="dxa"/>
            <w:tcBorders>
              <w:top w:val="single" w:sz="12" w:space="0" w:color="008000"/>
              <w:bottom w:val="single" w:sz="6" w:space="0" w:color="008000"/>
            </w:tcBorders>
          </w:tcPr>
          <w:p>
            <w:pPr>
              <w:pStyle w:val="TableParagraph"/>
              <w:spacing w:before="109"/>
              <w:ind w:left="712" w:right="839" w:hanging="3"/>
              <w:jc w:val="center"/>
              <w:rPr>
                <w:b/>
                <w:sz w:val="20"/>
              </w:rPr>
            </w:pPr>
            <w:r>
              <w:rPr>
                <w:b/>
                <w:sz w:val="20"/>
              </w:rPr>
              <w:t>Kaygı </w:t>
            </w:r>
            <w:r>
              <w:rPr>
                <w:b/>
                <w:w w:val="95"/>
                <w:sz w:val="20"/>
              </w:rPr>
              <w:t>Skoru</w:t>
            </w:r>
          </w:p>
        </w:tc>
        <w:tc>
          <w:tcPr>
            <w:tcW w:w="2473" w:type="dxa"/>
            <w:tcBorders>
              <w:top w:val="single" w:sz="12" w:space="0" w:color="008000"/>
              <w:bottom w:val="single" w:sz="6" w:space="0" w:color="008000"/>
            </w:tcBorders>
          </w:tcPr>
          <w:p>
            <w:pPr>
              <w:pStyle w:val="TableParagraph"/>
              <w:spacing w:line="224" w:lineRule="exact"/>
              <w:ind w:left="598" w:right="779"/>
              <w:jc w:val="center"/>
              <w:rPr>
                <w:b/>
                <w:sz w:val="20"/>
              </w:rPr>
            </w:pPr>
            <w:r>
              <w:rPr>
                <w:b/>
                <w:sz w:val="20"/>
              </w:rPr>
              <w:t>Preoperatif</w:t>
            </w:r>
          </w:p>
          <w:p>
            <w:pPr>
              <w:pStyle w:val="TableParagraph"/>
              <w:spacing w:before="115"/>
              <w:ind w:left="597" w:right="779"/>
              <w:jc w:val="center"/>
              <w:rPr>
                <w:b/>
                <w:sz w:val="20"/>
              </w:rPr>
            </w:pPr>
            <w:r>
              <w:rPr>
                <w:b/>
                <w:sz w:val="20"/>
              </w:rPr>
              <w:t>X±SS</w:t>
            </w:r>
          </w:p>
        </w:tc>
        <w:tc>
          <w:tcPr>
            <w:tcW w:w="2326" w:type="dxa"/>
            <w:tcBorders>
              <w:top w:val="single" w:sz="12" w:space="0" w:color="008000"/>
              <w:bottom w:val="single" w:sz="6" w:space="0" w:color="008000"/>
            </w:tcBorders>
          </w:tcPr>
          <w:p>
            <w:pPr>
              <w:pStyle w:val="TableParagraph"/>
              <w:spacing w:line="224" w:lineRule="exact"/>
              <w:ind w:left="777" w:right="618"/>
              <w:jc w:val="center"/>
              <w:rPr>
                <w:b/>
                <w:sz w:val="20"/>
              </w:rPr>
            </w:pPr>
            <w:r>
              <w:rPr>
                <w:b/>
                <w:sz w:val="20"/>
              </w:rPr>
              <w:t>Taburcu</w:t>
            </w:r>
          </w:p>
          <w:p>
            <w:pPr>
              <w:pStyle w:val="TableParagraph"/>
              <w:spacing w:before="115"/>
              <w:ind w:left="776" w:right="618"/>
              <w:jc w:val="center"/>
              <w:rPr>
                <w:b/>
                <w:sz w:val="20"/>
              </w:rPr>
            </w:pPr>
            <w:r>
              <w:rPr>
                <w:b/>
                <w:sz w:val="20"/>
              </w:rPr>
              <w:t>X±SS</w:t>
            </w:r>
          </w:p>
        </w:tc>
        <w:tc>
          <w:tcPr>
            <w:tcW w:w="1681" w:type="dxa"/>
            <w:tcBorders>
              <w:top w:val="single" w:sz="12" w:space="0" w:color="008000"/>
              <w:bottom w:val="single" w:sz="6" w:space="0" w:color="008000"/>
            </w:tcBorders>
          </w:tcPr>
          <w:p>
            <w:pPr>
              <w:pStyle w:val="TableParagraph"/>
              <w:spacing w:before="6"/>
              <w:rPr>
                <w:sz w:val="19"/>
              </w:rPr>
            </w:pPr>
          </w:p>
          <w:p>
            <w:pPr>
              <w:pStyle w:val="TableParagraph"/>
              <w:ind w:left="166"/>
              <w:jc w:val="center"/>
              <w:rPr>
                <w:b/>
                <w:sz w:val="20"/>
              </w:rPr>
            </w:pPr>
            <w:r>
              <w:rPr>
                <w:b/>
                <w:w w:val="99"/>
                <w:sz w:val="20"/>
              </w:rPr>
              <w:t>p</w:t>
            </w:r>
          </w:p>
        </w:tc>
      </w:tr>
      <w:tr>
        <w:trPr>
          <w:trHeight w:val="690" w:hRule="atLeast"/>
        </w:trPr>
        <w:tc>
          <w:tcPr>
            <w:tcW w:w="2118" w:type="dxa"/>
            <w:tcBorders>
              <w:top w:val="single" w:sz="6" w:space="0" w:color="008000"/>
            </w:tcBorders>
          </w:tcPr>
          <w:p>
            <w:pPr>
              <w:pStyle w:val="TableParagraph"/>
              <w:rPr>
                <w:sz w:val="20"/>
              </w:rPr>
            </w:pPr>
          </w:p>
          <w:p>
            <w:pPr>
              <w:pStyle w:val="TableParagraph"/>
              <w:ind w:left="212" w:right="339"/>
              <w:jc w:val="center"/>
              <w:rPr>
                <w:sz w:val="20"/>
              </w:rPr>
            </w:pPr>
            <w:r>
              <w:rPr>
                <w:sz w:val="20"/>
              </w:rPr>
              <w:t>Durumluluk</w:t>
            </w:r>
          </w:p>
        </w:tc>
        <w:tc>
          <w:tcPr>
            <w:tcW w:w="2473" w:type="dxa"/>
            <w:tcBorders>
              <w:top w:val="single" w:sz="6" w:space="0" w:color="008000"/>
            </w:tcBorders>
          </w:tcPr>
          <w:p>
            <w:pPr>
              <w:pStyle w:val="TableParagraph"/>
              <w:rPr>
                <w:sz w:val="20"/>
              </w:rPr>
            </w:pPr>
          </w:p>
          <w:p>
            <w:pPr>
              <w:pStyle w:val="TableParagraph"/>
              <w:ind w:left="702"/>
              <w:rPr>
                <w:sz w:val="20"/>
              </w:rPr>
            </w:pPr>
            <w:r>
              <w:rPr>
                <w:sz w:val="20"/>
              </w:rPr>
              <w:t>40,33±2,8</w:t>
            </w:r>
          </w:p>
        </w:tc>
        <w:tc>
          <w:tcPr>
            <w:tcW w:w="2326" w:type="dxa"/>
            <w:tcBorders>
              <w:top w:val="single" w:sz="6" w:space="0" w:color="008000"/>
            </w:tcBorders>
          </w:tcPr>
          <w:p>
            <w:pPr>
              <w:pStyle w:val="TableParagraph"/>
              <w:rPr>
                <w:sz w:val="20"/>
              </w:rPr>
            </w:pPr>
          </w:p>
          <w:p>
            <w:pPr>
              <w:pStyle w:val="TableParagraph"/>
              <w:ind w:left="778" w:right="618"/>
              <w:jc w:val="center"/>
              <w:rPr>
                <w:sz w:val="20"/>
              </w:rPr>
            </w:pPr>
            <w:r>
              <w:rPr>
                <w:sz w:val="20"/>
              </w:rPr>
              <w:t>41,75±4,8</w:t>
            </w:r>
          </w:p>
        </w:tc>
        <w:tc>
          <w:tcPr>
            <w:tcW w:w="1681" w:type="dxa"/>
            <w:tcBorders>
              <w:top w:val="single" w:sz="6" w:space="0" w:color="008000"/>
            </w:tcBorders>
          </w:tcPr>
          <w:p>
            <w:pPr>
              <w:pStyle w:val="TableParagraph"/>
              <w:rPr>
                <w:sz w:val="20"/>
              </w:rPr>
            </w:pPr>
          </w:p>
          <w:p>
            <w:pPr>
              <w:pStyle w:val="TableParagraph"/>
              <w:ind w:left="616" w:right="451"/>
              <w:jc w:val="center"/>
              <w:rPr>
                <w:sz w:val="13"/>
              </w:rPr>
            </w:pPr>
            <w:r>
              <w:rPr>
                <w:sz w:val="20"/>
              </w:rPr>
              <w:t>0,264</w:t>
            </w:r>
            <w:r>
              <w:rPr>
                <w:position w:val="6"/>
                <w:sz w:val="13"/>
              </w:rPr>
              <w:t>a</w:t>
            </w:r>
          </w:p>
        </w:tc>
      </w:tr>
      <w:tr>
        <w:trPr>
          <w:trHeight w:val="681" w:hRule="atLeast"/>
        </w:trPr>
        <w:tc>
          <w:tcPr>
            <w:tcW w:w="2118" w:type="dxa"/>
            <w:tcBorders>
              <w:bottom w:val="single" w:sz="12" w:space="0" w:color="008000"/>
            </w:tcBorders>
          </w:tcPr>
          <w:p>
            <w:pPr>
              <w:pStyle w:val="TableParagraph"/>
              <w:spacing w:before="4"/>
              <w:rPr>
                <w:sz w:val="19"/>
              </w:rPr>
            </w:pPr>
          </w:p>
          <w:p>
            <w:pPr>
              <w:pStyle w:val="TableParagraph"/>
              <w:spacing w:before="1"/>
              <w:ind w:left="212" w:right="339"/>
              <w:jc w:val="center"/>
              <w:rPr>
                <w:sz w:val="20"/>
              </w:rPr>
            </w:pPr>
            <w:r>
              <w:rPr>
                <w:sz w:val="20"/>
              </w:rPr>
              <w:t>Süreklilik</w:t>
            </w:r>
          </w:p>
        </w:tc>
        <w:tc>
          <w:tcPr>
            <w:tcW w:w="2473" w:type="dxa"/>
            <w:tcBorders>
              <w:bottom w:val="single" w:sz="12" w:space="0" w:color="008000"/>
            </w:tcBorders>
          </w:tcPr>
          <w:p>
            <w:pPr>
              <w:pStyle w:val="TableParagraph"/>
              <w:spacing w:before="4"/>
              <w:rPr>
                <w:sz w:val="19"/>
              </w:rPr>
            </w:pPr>
          </w:p>
          <w:p>
            <w:pPr>
              <w:pStyle w:val="TableParagraph"/>
              <w:spacing w:before="1"/>
              <w:ind w:left="647"/>
              <w:rPr>
                <w:sz w:val="20"/>
              </w:rPr>
            </w:pPr>
            <w:r>
              <w:rPr>
                <w:sz w:val="20"/>
              </w:rPr>
              <w:t>45,16±6,14</w:t>
            </w:r>
          </w:p>
        </w:tc>
        <w:tc>
          <w:tcPr>
            <w:tcW w:w="2326" w:type="dxa"/>
            <w:tcBorders>
              <w:bottom w:val="single" w:sz="12" w:space="0" w:color="008000"/>
            </w:tcBorders>
          </w:tcPr>
          <w:p>
            <w:pPr>
              <w:pStyle w:val="TableParagraph"/>
              <w:spacing w:before="4"/>
              <w:rPr>
                <w:sz w:val="19"/>
              </w:rPr>
            </w:pPr>
          </w:p>
          <w:p>
            <w:pPr>
              <w:pStyle w:val="TableParagraph"/>
              <w:spacing w:before="1"/>
              <w:ind w:left="775" w:right="618"/>
              <w:jc w:val="center"/>
              <w:rPr>
                <w:sz w:val="20"/>
              </w:rPr>
            </w:pPr>
            <w:r>
              <w:rPr>
                <w:sz w:val="20"/>
              </w:rPr>
              <w:t>45±4,24</w:t>
            </w:r>
          </w:p>
        </w:tc>
        <w:tc>
          <w:tcPr>
            <w:tcW w:w="1681" w:type="dxa"/>
            <w:tcBorders>
              <w:bottom w:val="single" w:sz="12" w:space="0" w:color="008000"/>
            </w:tcBorders>
          </w:tcPr>
          <w:p>
            <w:pPr>
              <w:pStyle w:val="TableParagraph"/>
              <w:spacing w:before="4"/>
              <w:rPr>
                <w:sz w:val="19"/>
              </w:rPr>
            </w:pPr>
          </w:p>
          <w:p>
            <w:pPr>
              <w:pStyle w:val="TableParagraph"/>
              <w:spacing w:before="1"/>
              <w:ind w:left="616" w:right="451"/>
              <w:jc w:val="center"/>
              <w:rPr>
                <w:sz w:val="13"/>
              </w:rPr>
            </w:pPr>
            <w:r>
              <w:rPr>
                <w:sz w:val="20"/>
              </w:rPr>
              <w:t>0,864</w:t>
            </w:r>
            <w:r>
              <w:rPr>
                <w:position w:val="6"/>
                <w:sz w:val="13"/>
              </w:rPr>
              <w:t>a</w:t>
            </w:r>
          </w:p>
        </w:tc>
      </w:tr>
    </w:tbl>
    <w:p>
      <w:pPr>
        <w:spacing w:before="0"/>
        <w:ind w:left="588" w:right="0" w:firstLine="0"/>
        <w:jc w:val="left"/>
        <w:rPr>
          <w:sz w:val="20"/>
        </w:rPr>
      </w:pPr>
      <w:r>
        <w:rPr>
          <w:sz w:val="20"/>
        </w:rPr>
        <w:t>a: t- test</w:t>
      </w:r>
    </w:p>
    <w:p>
      <w:pPr>
        <w:pStyle w:val="BodyText"/>
      </w:pPr>
    </w:p>
    <w:p>
      <w:pPr>
        <w:pStyle w:val="BodyText"/>
      </w:pPr>
    </w:p>
    <w:p>
      <w:pPr>
        <w:pStyle w:val="BodyText"/>
        <w:spacing w:before="7"/>
        <w:rPr>
          <w:sz w:val="26"/>
        </w:rPr>
      </w:pPr>
    </w:p>
    <w:p>
      <w:pPr>
        <w:pStyle w:val="Heading2"/>
        <w:numPr>
          <w:ilvl w:val="2"/>
          <w:numId w:val="6"/>
        </w:numPr>
        <w:tabs>
          <w:tab w:pos="1203" w:val="left" w:leader="none"/>
        </w:tabs>
        <w:spacing w:line="240" w:lineRule="auto" w:before="0" w:after="0"/>
        <w:ind w:left="1202" w:right="0" w:hanging="615"/>
        <w:jc w:val="left"/>
      </w:pPr>
      <w:bookmarkStart w:name="_bookmark50" w:id="93"/>
      <w:bookmarkEnd w:id="93"/>
      <w:r>
        <w:rPr>
          <w:b w:val="0"/>
        </w:rPr>
      </w:r>
      <w:bookmarkStart w:name="_bookmark50" w:id="94"/>
      <w:bookmarkEnd w:id="94"/>
      <w:r>
        <w:rPr/>
        <w:t>K</w:t>
      </w:r>
      <w:r>
        <w:rPr/>
        <w:t>ontrol ve Çalışma Grubu Verilerinin</w:t>
      </w:r>
      <w:r>
        <w:rPr>
          <w:spacing w:val="-12"/>
        </w:rPr>
        <w:t> </w:t>
      </w:r>
      <w:r>
        <w:rPr/>
        <w:t>Karşılaştırılması</w:t>
      </w:r>
    </w:p>
    <w:p>
      <w:pPr>
        <w:pStyle w:val="BodyText"/>
        <w:spacing w:before="7"/>
        <w:rPr>
          <w:b/>
          <w:sz w:val="21"/>
        </w:rPr>
      </w:pPr>
    </w:p>
    <w:p>
      <w:pPr>
        <w:pStyle w:val="BodyText"/>
        <w:spacing w:line="357" w:lineRule="auto"/>
        <w:ind w:left="588" w:right="287" w:firstLine="708"/>
        <w:jc w:val="both"/>
      </w:pPr>
      <w:r>
        <w:rPr/>
        <w:t>Kontrol ve çalışma grubunun preoperatif, postoperatif ve taburculuk öncesi MİP </w:t>
      </w:r>
      <w:r>
        <w:rPr>
          <w:position w:val="2"/>
        </w:rPr>
        <w:t>ve MEP değerleri karşılaştırıldı. Çalışma grubu preoperatif MİP 73,25±20,79 cmH</w:t>
      </w:r>
      <w:r>
        <w:rPr>
          <w:sz w:val="14"/>
        </w:rPr>
        <w:t>2</w:t>
      </w:r>
      <w:r>
        <w:rPr>
          <w:position w:val="2"/>
        </w:rPr>
        <w:t>O, kontrol grubu preoperatif MİP 67,5±34,37 cmH</w:t>
      </w:r>
      <w:r>
        <w:rPr>
          <w:sz w:val="14"/>
        </w:rPr>
        <w:t>2</w:t>
      </w:r>
      <w:r>
        <w:rPr>
          <w:position w:val="2"/>
        </w:rPr>
        <w:t>O olarak bulundu ve gruplar arası </w:t>
      </w:r>
      <w:r>
        <w:rPr/>
        <w:t>istatistiksel olarak anlamlı fark bulunmadı (p=0.625). Postoperatif 2. gün </w:t>
      </w:r>
      <w:r>
        <w:rPr>
          <w:position w:val="2"/>
        </w:rPr>
        <w:t>değerlendirildiğinde çalışma grubu MİP 38,91±20,26 cmH</w:t>
      </w:r>
      <w:r>
        <w:rPr>
          <w:sz w:val="14"/>
        </w:rPr>
        <w:t>2</w:t>
      </w:r>
      <w:r>
        <w:rPr>
          <w:position w:val="2"/>
        </w:rPr>
        <w:t>O, kontrol grubu postoperatif MİP 33,83±14,96 cmH</w:t>
      </w:r>
      <w:r>
        <w:rPr>
          <w:sz w:val="14"/>
        </w:rPr>
        <w:t>2</w:t>
      </w:r>
      <w:r>
        <w:rPr>
          <w:position w:val="2"/>
        </w:rPr>
        <w:t>O bulundu  ve gruplar arasında  istatistiksel  olarak  anlamlı  </w:t>
      </w:r>
      <w:r>
        <w:rPr/>
        <w:t>fark</w:t>
      </w:r>
      <w:r>
        <w:rPr>
          <w:spacing w:val="-6"/>
        </w:rPr>
        <w:t> </w:t>
      </w:r>
      <w:r>
        <w:rPr/>
        <w:t>yoktu</w:t>
      </w:r>
      <w:r>
        <w:rPr>
          <w:spacing w:val="-11"/>
        </w:rPr>
        <w:t> </w:t>
      </w:r>
      <w:r>
        <w:rPr/>
        <w:t>(p=0.492).</w:t>
      </w:r>
      <w:r>
        <w:rPr>
          <w:spacing w:val="-8"/>
        </w:rPr>
        <w:t> </w:t>
      </w:r>
      <w:r>
        <w:rPr/>
        <w:t>Taburculuk</w:t>
      </w:r>
      <w:r>
        <w:rPr>
          <w:spacing w:val="-8"/>
        </w:rPr>
        <w:t> </w:t>
      </w:r>
      <w:r>
        <w:rPr/>
        <w:t>öncesi</w:t>
      </w:r>
      <w:r>
        <w:rPr>
          <w:spacing w:val="-9"/>
        </w:rPr>
        <w:t> </w:t>
      </w:r>
      <w:r>
        <w:rPr/>
        <w:t>MİP</w:t>
      </w:r>
      <w:r>
        <w:rPr>
          <w:spacing w:val="-8"/>
        </w:rPr>
        <w:t> </w:t>
      </w:r>
      <w:r>
        <w:rPr/>
        <w:t>değerleri</w:t>
      </w:r>
      <w:r>
        <w:rPr>
          <w:spacing w:val="-11"/>
        </w:rPr>
        <w:t> </w:t>
      </w:r>
      <w:r>
        <w:rPr/>
        <w:t>karşılaştırıldığında</w:t>
      </w:r>
      <w:r>
        <w:rPr>
          <w:spacing w:val="-7"/>
        </w:rPr>
        <w:t> </w:t>
      </w:r>
      <w:r>
        <w:rPr/>
        <w:t>çalışma</w:t>
      </w:r>
      <w:r>
        <w:rPr>
          <w:spacing w:val="-8"/>
        </w:rPr>
        <w:t> </w:t>
      </w:r>
      <w:r>
        <w:rPr/>
        <w:t>grubu </w:t>
      </w:r>
      <w:r>
        <w:rPr>
          <w:position w:val="2"/>
        </w:rPr>
        <w:t>MİP</w:t>
      </w:r>
      <w:r>
        <w:rPr>
          <w:spacing w:val="-15"/>
          <w:position w:val="2"/>
        </w:rPr>
        <w:t> </w:t>
      </w:r>
      <w:r>
        <w:rPr>
          <w:position w:val="2"/>
        </w:rPr>
        <w:t>57,5±26,78</w:t>
      </w:r>
      <w:r>
        <w:rPr>
          <w:spacing w:val="-15"/>
          <w:position w:val="2"/>
        </w:rPr>
        <w:t> </w:t>
      </w:r>
      <w:r>
        <w:rPr>
          <w:position w:val="2"/>
        </w:rPr>
        <w:t>cmH</w:t>
      </w:r>
      <w:r>
        <w:rPr>
          <w:sz w:val="14"/>
        </w:rPr>
        <w:t>2</w:t>
      </w:r>
      <w:r>
        <w:rPr>
          <w:position w:val="2"/>
        </w:rPr>
        <w:t>O,</w:t>
      </w:r>
      <w:r>
        <w:rPr>
          <w:spacing w:val="-16"/>
          <w:position w:val="2"/>
        </w:rPr>
        <w:t> </w:t>
      </w:r>
      <w:r>
        <w:rPr>
          <w:position w:val="2"/>
        </w:rPr>
        <w:t>kontrol</w:t>
      </w:r>
      <w:r>
        <w:rPr>
          <w:spacing w:val="-17"/>
          <w:position w:val="2"/>
        </w:rPr>
        <w:t> </w:t>
      </w:r>
      <w:r>
        <w:rPr>
          <w:position w:val="2"/>
        </w:rPr>
        <w:t>grubu</w:t>
      </w:r>
      <w:r>
        <w:rPr>
          <w:spacing w:val="-17"/>
          <w:position w:val="2"/>
        </w:rPr>
        <w:t> </w:t>
      </w:r>
      <w:r>
        <w:rPr>
          <w:position w:val="2"/>
        </w:rPr>
        <w:t>MİP</w:t>
      </w:r>
      <w:r>
        <w:rPr>
          <w:spacing w:val="-14"/>
          <w:position w:val="2"/>
        </w:rPr>
        <w:t> </w:t>
      </w:r>
      <w:r>
        <w:rPr>
          <w:position w:val="2"/>
        </w:rPr>
        <w:t>53,33±23,7</w:t>
      </w:r>
      <w:r>
        <w:rPr>
          <w:spacing w:val="-15"/>
          <w:position w:val="2"/>
        </w:rPr>
        <w:t> </w:t>
      </w:r>
      <w:r>
        <w:rPr>
          <w:position w:val="2"/>
        </w:rPr>
        <w:t>cmH</w:t>
      </w:r>
      <w:r>
        <w:rPr>
          <w:sz w:val="14"/>
        </w:rPr>
        <w:t>2</w:t>
      </w:r>
      <w:r>
        <w:rPr>
          <w:position w:val="2"/>
        </w:rPr>
        <w:t>O</w:t>
      </w:r>
      <w:r>
        <w:rPr>
          <w:spacing w:val="-16"/>
          <w:position w:val="2"/>
        </w:rPr>
        <w:t> </w:t>
      </w:r>
      <w:r>
        <w:rPr>
          <w:position w:val="2"/>
        </w:rPr>
        <w:t>olarak</w:t>
      </w:r>
      <w:r>
        <w:rPr>
          <w:spacing w:val="-14"/>
          <w:position w:val="2"/>
        </w:rPr>
        <w:t> </w:t>
      </w:r>
      <w:r>
        <w:rPr>
          <w:position w:val="2"/>
        </w:rPr>
        <w:t>bulundu</w:t>
      </w:r>
      <w:r>
        <w:rPr>
          <w:spacing w:val="-14"/>
          <w:position w:val="2"/>
        </w:rPr>
        <w:t> </w:t>
      </w:r>
      <w:r>
        <w:rPr>
          <w:position w:val="2"/>
        </w:rPr>
        <w:t>ve</w:t>
      </w:r>
      <w:r>
        <w:rPr>
          <w:spacing w:val="-17"/>
          <w:position w:val="2"/>
        </w:rPr>
        <w:t> </w:t>
      </w:r>
      <w:r>
        <w:rPr>
          <w:position w:val="2"/>
        </w:rPr>
        <w:t>gruplar </w:t>
      </w:r>
      <w:r>
        <w:rPr/>
        <w:t>arasında anlamlı fark bulunmadı (p=0.403). Veriler Tablo 4.19’da gösterilmiştir (Şekil 4.3).</w:t>
      </w:r>
    </w:p>
    <w:p>
      <w:pPr>
        <w:spacing w:after="0" w:line="357" w:lineRule="auto"/>
        <w:jc w:val="both"/>
        <w:sectPr>
          <w:pgSz w:w="11910" w:h="16840"/>
          <w:pgMar w:header="749" w:footer="0" w:top="1320" w:bottom="280" w:left="1680" w:right="840"/>
        </w:sectPr>
      </w:pPr>
    </w:p>
    <w:p>
      <w:pPr>
        <w:pStyle w:val="BodyText"/>
        <w:spacing w:line="357" w:lineRule="auto" w:before="88"/>
        <w:ind w:left="588" w:right="288" w:firstLine="708"/>
        <w:jc w:val="both"/>
      </w:pPr>
      <w:r>
        <w:rPr/>
        <w:t>Gruplar arası MEP değerleri karşılaştırıldığında çalışma grubu preoperatif MEP </w:t>
      </w:r>
      <w:r>
        <w:rPr>
          <w:position w:val="2"/>
        </w:rPr>
        <w:t>77±24,17 cmH</w:t>
      </w:r>
      <w:r>
        <w:rPr>
          <w:sz w:val="14"/>
        </w:rPr>
        <w:t>2</w:t>
      </w:r>
      <w:r>
        <w:rPr>
          <w:position w:val="2"/>
        </w:rPr>
        <w:t>O, kontrol grubu MEP 69,75±28,93 cmH</w:t>
      </w:r>
      <w:r>
        <w:rPr>
          <w:sz w:val="14"/>
        </w:rPr>
        <w:t>2</w:t>
      </w:r>
      <w:r>
        <w:rPr>
          <w:position w:val="2"/>
        </w:rPr>
        <w:t>O bulundu ve iki grup arasında </w:t>
      </w:r>
      <w:r>
        <w:rPr/>
        <w:t>istatistiksel olarak anlamlı fark yoktu (p=0,512). Postoperatif 2. gün MEP değerlerine </w:t>
      </w:r>
      <w:r>
        <w:rPr>
          <w:position w:val="2"/>
        </w:rPr>
        <w:t>bakıldığında çalışma grubu MEP 34,83±17,18 cmH</w:t>
      </w:r>
      <w:r>
        <w:rPr>
          <w:sz w:val="14"/>
        </w:rPr>
        <w:t>2</w:t>
      </w:r>
      <w:r>
        <w:rPr>
          <w:position w:val="2"/>
        </w:rPr>
        <w:t>O, kontrol grubu MEP 27,25±7,88 cmH</w:t>
      </w:r>
      <w:r>
        <w:rPr>
          <w:sz w:val="14"/>
        </w:rPr>
        <w:t>2</w:t>
      </w:r>
      <w:r>
        <w:rPr>
          <w:position w:val="2"/>
        </w:rPr>
        <w:t>O olarak bulundu ve gruplar arasında istatistiksel olarak anlamlı fark yoktu </w:t>
      </w:r>
      <w:r>
        <w:rPr/>
        <w:t>(p=0,355).</w:t>
      </w:r>
    </w:p>
    <w:p>
      <w:pPr>
        <w:pStyle w:val="BodyText"/>
        <w:spacing w:line="357" w:lineRule="auto" w:before="7"/>
        <w:ind w:left="588" w:right="291"/>
        <w:jc w:val="both"/>
      </w:pPr>
      <w:r>
        <w:rPr/>
        <w:t>Taburculuk öncesi MEP değerleri gruplar arası karşılaştırıldı. Çalışma grubu MEP </w:t>
      </w:r>
      <w:r>
        <w:rPr>
          <w:position w:val="2"/>
        </w:rPr>
        <w:t>50±19,17 cmH</w:t>
      </w:r>
      <w:r>
        <w:rPr>
          <w:sz w:val="14"/>
        </w:rPr>
        <w:t>2</w:t>
      </w:r>
      <w:r>
        <w:rPr>
          <w:position w:val="2"/>
        </w:rPr>
        <w:t>O, kontrol grubu MEP 40,91±14,06 cmH</w:t>
      </w:r>
      <w:r>
        <w:rPr>
          <w:sz w:val="14"/>
        </w:rPr>
        <w:t>2</w:t>
      </w:r>
      <w:r>
        <w:rPr>
          <w:position w:val="2"/>
        </w:rPr>
        <w:t>O olarak bulundu ve gruplar </w:t>
      </w:r>
      <w:r>
        <w:rPr/>
        <w:t>arasında istatistiksel olarak anlamlı fark yoktu (p=0,184). Veriler tablo 4.19’da gösterilmiştir (Şekil 4.4).</w:t>
      </w:r>
    </w:p>
    <w:p>
      <w:pPr>
        <w:pStyle w:val="BodyText"/>
        <w:spacing w:line="360" w:lineRule="auto" w:before="168"/>
        <w:ind w:left="588" w:right="288" w:firstLine="708"/>
        <w:jc w:val="both"/>
      </w:pPr>
      <w:r>
        <w:rPr/>
        <w:t>Çalışma grubu ve kontrol grubunda solunum kas gücü kolorektal cerrahi sonrası anlamlı</w:t>
      </w:r>
      <w:r>
        <w:rPr>
          <w:spacing w:val="-14"/>
        </w:rPr>
        <w:t> </w:t>
      </w:r>
      <w:r>
        <w:rPr/>
        <w:t>derecede</w:t>
      </w:r>
      <w:r>
        <w:rPr>
          <w:spacing w:val="-14"/>
        </w:rPr>
        <w:t> </w:t>
      </w:r>
      <w:r>
        <w:rPr/>
        <w:t>azaldı.</w:t>
      </w:r>
      <w:r>
        <w:rPr>
          <w:spacing w:val="-9"/>
        </w:rPr>
        <w:t> </w:t>
      </w:r>
      <w:r>
        <w:rPr/>
        <w:t>Uygulanan</w:t>
      </w:r>
      <w:r>
        <w:rPr>
          <w:spacing w:val="-11"/>
        </w:rPr>
        <w:t> </w:t>
      </w:r>
      <w:r>
        <w:rPr/>
        <w:t>tedavi</w:t>
      </w:r>
      <w:r>
        <w:rPr>
          <w:spacing w:val="-11"/>
        </w:rPr>
        <w:t> </w:t>
      </w:r>
      <w:r>
        <w:rPr/>
        <w:t>sonucu</w:t>
      </w:r>
      <w:r>
        <w:rPr>
          <w:spacing w:val="-14"/>
        </w:rPr>
        <w:t> </w:t>
      </w:r>
      <w:r>
        <w:rPr/>
        <w:t>taburculuk</w:t>
      </w:r>
      <w:r>
        <w:rPr>
          <w:spacing w:val="-11"/>
        </w:rPr>
        <w:t> </w:t>
      </w:r>
      <w:r>
        <w:rPr/>
        <w:t>öncesi</w:t>
      </w:r>
      <w:r>
        <w:rPr>
          <w:spacing w:val="-12"/>
        </w:rPr>
        <w:t> </w:t>
      </w:r>
      <w:r>
        <w:rPr/>
        <w:t>dönemde</w:t>
      </w:r>
      <w:r>
        <w:rPr>
          <w:spacing w:val="-13"/>
        </w:rPr>
        <w:t> </w:t>
      </w:r>
      <w:r>
        <w:rPr/>
        <w:t>solunum kas gücünde anlamlı derecede artış gözlenmesine rağmen gruplar arasında istatistiksel olarak anlamlı bir fark</w:t>
      </w:r>
      <w:r>
        <w:rPr>
          <w:spacing w:val="-2"/>
        </w:rPr>
        <w:t> </w:t>
      </w:r>
      <w:r>
        <w:rPr/>
        <w:t>bulunmadı.</w:t>
      </w:r>
    </w:p>
    <w:p>
      <w:pPr>
        <w:pStyle w:val="BodyText"/>
        <w:spacing w:line="357" w:lineRule="auto" w:before="159"/>
        <w:ind w:left="588" w:right="288" w:firstLine="708"/>
        <w:jc w:val="both"/>
      </w:pPr>
      <w:r>
        <w:rPr/>
        <w:t>İki grup arasında durumluluk ve süreklilik kaygı skorları karşılaştırıldığında istatistiksel olarak anlamlı fark bulunmadı (p&gt;0,05). Elde edilen veriler tablo 4.19’da gösterilmiştir.</w:t>
      </w:r>
    </w:p>
    <w:p>
      <w:pPr>
        <w:pStyle w:val="BodyText"/>
        <w:rPr>
          <w:sz w:val="20"/>
        </w:rPr>
      </w:pPr>
    </w:p>
    <w:p>
      <w:pPr>
        <w:pStyle w:val="BodyText"/>
        <w:rPr>
          <w:sz w:val="20"/>
        </w:rPr>
      </w:pPr>
    </w:p>
    <w:p>
      <w:pPr>
        <w:pStyle w:val="BodyText"/>
        <w:spacing w:before="7"/>
        <w:rPr>
          <w:sz w:val="17"/>
        </w:rPr>
      </w:pPr>
      <w:r>
        <w:rPr/>
        <w:pict>
          <v:group style="position:absolute;margin-left:113.040001pt;margin-top:12.123549pt;width:422.2pt;height:253.8pt;mso-position-horizontal-relative:page;mso-position-vertical-relative:paragraph;z-index:-251608064;mso-wrap-distance-left:0;mso-wrap-distance-right:0" coordorigin="2261,242" coordsize="8444,5076">
            <v:line style="position:absolute" from="3000,3826" to="10481,3826" stroked="true" strokeweight=".72pt" strokecolor="#d9d9d9">
              <v:stroke dashstyle="solid"/>
            </v:line>
            <v:line style="position:absolute" from="3000,3456" to="10481,3456" stroked="true" strokeweight=".72pt" strokecolor="#d9d9d9">
              <v:stroke dashstyle="solid"/>
            </v:line>
            <v:line style="position:absolute" from="3000,3084" to="10481,3084" stroked="true" strokeweight=".72pt" strokecolor="#d9d9d9">
              <v:stroke dashstyle="solid"/>
            </v:line>
            <v:line style="position:absolute" from="3000,2714" to="10481,2714" stroked="true" strokeweight=".72pt" strokecolor="#d9d9d9">
              <v:stroke dashstyle="solid"/>
            </v:line>
            <v:line style="position:absolute" from="3000,2342" to="10481,2342" stroked="true" strokeweight=".72pt" strokecolor="#d9d9d9">
              <v:stroke dashstyle="solid"/>
            </v:line>
            <v:line style="position:absolute" from="3000,1973" to="10481,1973" stroked="true" strokeweight=".72pt" strokecolor="#d9d9d9">
              <v:stroke dashstyle="solid"/>
            </v:line>
            <v:line style="position:absolute" from="3000,1601" to="10481,1601" stroked="true" strokeweight=".72pt" strokecolor="#d9d9d9">
              <v:stroke dashstyle="solid"/>
            </v:line>
            <v:shape style="position:absolute;left:4246;top:1479;width:4988;height:1275" coordorigin="4247,1480" coordsize="4988,1275" path="m4247,1480l6740,2754,9234,2065e" filled="false" stroked="true" strokeweight="2.280pt" strokecolor="#5b9bd4">
              <v:path arrowok="t"/>
              <v:stroke dashstyle="solid"/>
            </v:shape>
            <v:shape style="position:absolute;left:4190;top:1422;width:116;height:116" type="#_x0000_t75" stroked="false">
              <v:imagedata r:id="rId33" o:title=""/>
            </v:shape>
            <v:shape style="position:absolute;left:6684;top:2696;width:116;height:116" type="#_x0000_t75" stroked="false">
              <v:imagedata r:id="rId34" o:title=""/>
            </v:shape>
            <v:shape style="position:absolute;left:9175;top:2005;width:116;height:116" type="#_x0000_t75" stroked="false">
              <v:imagedata r:id="rId34" o:title=""/>
            </v:shape>
            <v:shape style="position:absolute;left:4246;top:1693;width:4988;height:1251" coordorigin="4247,1693" coordsize="4988,1251" path="m4247,1693l6740,2944,9234,2219e" filled="false" stroked="true" strokeweight="2.280pt" strokecolor="#ec7c30">
              <v:path arrowok="t"/>
              <v:stroke dashstyle="solid"/>
            </v:shape>
            <v:shape style="position:absolute;left:4190;top:1635;width:116;height:116" type="#_x0000_t75" stroked="false">
              <v:imagedata r:id="rId35" o:title=""/>
            </v:shape>
            <v:shape style="position:absolute;left:6684;top:2883;width:116;height:116" type="#_x0000_t75" stroked="false">
              <v:imagedata r:id="rId36" o:title=""/>
            </v:shape>
            <v:shape style="position:absolute;left:9175;top:2161;width:116;height:116" type="#_x0000_t75" stroked="false">
              <v:imagedata r:id="rId37" o:title=""/>
            </v:shape>
            <v:line style="position:absolute" from="3000,1231" to="10481,1231" stroked="true" strokeweight=".72pt" strokecolor="#d9d9d9">
              <v:stroke dashstyle="solid"/>
            </v:line>
            <v:line style="position:absolute" from="3000,4198" to="10481,4198" stroked="true" strokeweight=".72pt" strokecolor="#d9d9d9">
              <v:stroke dashstyle="solid"/>
            </v:line>
            <v:shape style="position:absolute;left:4398;top:4951;width:384;height:116" type="#_x0000_t75" stroked="false">
              <v:imagedata r:id="rId38" o:title=""/>
            </v:shape>
            <v:shape style="position:absolute;left:6711;top:4951;width:384;height:116" type="#_x0000_t75" stroked="false">
              <v:imagedata r:id="rId39" o:title=""/>
            </v:shape>
            <v:rect style="position:absolute;left:2268;top:249;width:8429;height:5062" filled="false" stroked="true" strokeweight=".72pt" strokecolor="#d9d9d9">
              <v:stroke dashstyle="solid"/>
            </v:rect>
            <v:shape style="position:absolute;left:7137;top:4881;width:1522;height:247" type="#_x0000_t202" filled="false" stroked="false">
              <v:textbox inset="0,0,0,0">
                <w:txbxContent>
                  <w:p>
                    <w:pPr>
                      <w:spacing w:line="247" w:lineRule="exact" w:before="0"/>
                      <w:ind w:left="0" w:right="0" w:firstLine="0"/>
                      <w:jc w:val="left"/>
                      <w:rPr>
                        <w:b/>
                        <w:sz w:val="22"/>
                      </w:rPr>
                    </w:pPr>
                    <w:r>
                      <w:rPr>
                        <w:b/>
                        <w:color w:val="585858"/>
                        <w:sz w:val="22"/>
                      </w:rPr>
                      <w:t>Kontrol Grubu</w:t>
                    </w:r>
                  </w:p>
                </w:txbxContent>
              </v:textbox>
              <w10:wrap type="none"/>
            </v:shape>
            <v:shape style="position:absolute;left:4823;top:4881;width:1586;height:247" type="#_x0000_t202" filled="false" stroked="false">
              <v:textbox inset="0,0,0,0">
                <w:txbxContent>
                  <w:p>
                    <w:pPr>
                      <w:spacing w:line="247" w:lineRule="exact" w:before="0"/>
                      <w:ind w:left="0" w:right="0" w:firstLine="0"/>
                      <w:jc w:val="left"/>
                      <w:rPr>
                        <w:b/>
                        <w:sz w:val="22"/>
                      </w:rPr>
                    </w:pPr>
                    <w:r>
                      <w:rPr>
                        <w:b/>
                        <w:color w:val="585858"/>
                        <w:sz w:val="22"/>
                      </w:rPr>
                      <w:t>Çalışma Grubu</w:t>
                    </w:r>
                  </w:p>
                </w:txbxContent>
              </v:textbox>
              <w10:wrap type="none"/>
            </v:shape>
            <v:shape style="position:absolute;left:9190;top:4348;width:11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3</w:t>
                    </w:r>
                  </w:p>
                </w:txbxContent>
              </v:textbox>
              <w10:wrap type="none"/>
            </v:shape>
            <v:shape style="position:absolute;left:6696;top:4348;width:11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2</w:t>
                    </w:r>
                  </w:p>
                </w:txbxContent>
              </v:textbox>
              <w10:wrap type="none"/>
            </v:shape>
            <v:shape style="position:absolute;left:4202;top:4348;width:112;height:180" type="#_x0000_t202" filled="false" stroked="false">
              <v:textbox inset="0,0,0,0">
                <w:txbxContent>
                  <w:p>
                    <w:pPr>
                      <w:spacing w:line="180" w:lineRule="exact" w:before="0"/>
                      <w:ind w:left="0" w:right="0" w:firstLine="0"/>
                      <w:jc w:val="left"/>
                      <w:rPr>
                        <w:rFonts w:ascii="Calibri"/>
                        <w:sz w:val="18"/>
                      </w:rPr>
                    </w:pPr>
                    <w:r>
                      <w:rPr>
                        <w:rFonts w:ascii="Calibri"/>
                        <w:color w:val="585858"/>
                        <w:sz w:val="18"/>
                      </w:rPr>
                      <w:t>1</w:t>
                    </w:r>
                  </w:p>
                </w:txbxContent>
              </v:textbox>
              <w10:wrap type="none"/>
            </v:shape>
            <v:shape style="position:absolute;left:2652;top:1147;width:203;height:3147" type="#_x0000_t202" filled="false" stroked="false">
              <v:textbox inset="0,0,0,0">
                <w:txbxContent>
                  <w:p>
                    <w:pPr>
                      <w:spacing w:line="183" w:lineRule="exact" w:before="0"/>
                      <w:ind w:left="0" w:right="0" w:firstLine="0"/>
                      <w:jc w:val="left"/>
                      <w:rPr>
                        <w:rFonts w:ascii="Calibri"/>
                        <w:sz w:val="18"/>
                      </w:rPr>
                    </w:pPr>
                    <w:r>
                      <w:rPr>
                        <w:rFonts w:ascii="Calibri"/>
                        <w:color w:val="585858"/>
                        <w:sz w:val="18"/>
                      </w:rPr>
                      <w:t>80</w:t>
                    </w:r>
                  </w:p>
                  <w:p>
                    <w:pPr>
                      <w:spacing w:before="151"/>
                      <w:ind w:left="0" w:right="0" w:firstLine="0"/>
                      <w:jc w:val="left"/>
                      <w:rPr>
                        <w:rFonts w:ascii="Calibri"/>
                        <w:sz w:val="18"/>
                      </w:rPr>
                    </w:pPr>
                    <w:r>
                      <w:rPr>
                        <w:rFonts w:ascii="Calibri"/>
                        <w:color w:val="585858"/>
                        <w:sz w:val="18"/>
                      </w:rPr>
                      <w:t>70</w:t>
                    </w:r>
                  </w:p>
                  <w:p>
                    <w:pPr>
                      <w:spacing w:before="151"/>
                      <w:ind w:left="0" w:right="0" w:firstLine="0"/>
                      <w:jc w:val="left"/>
                      <w:rPr>
                        <w:rFonts w:ascii="Calibri"/>
                        <w:sz w:val="18"/>
                      </w:rPr>
                    </w:pPr>
                    <w:r>
                      <w:rPr>
                        <w:rFonts w:ascii="Calibri"/>
                        <w:color w:val="585858"/>
                        <w:sz w:val="18"/>
                      </w:rPr>
                      <w:t>60</w:t>
                    </w:r>
                  </w:p>
                  <w:p>
                    <w:pPr>
                      <w:spacing w:before="151"/>
                      <w:ind w:left="0" w:right="0" w:firstLine="0"/>
                      <w:jc w:val="left"/>
                      <w:rPr>
                        <w:rFonts w:ascii="Calibri"/>
                        <w:sz w:val="18"/>
                      </w:rPr>
                    </w:pPr>
                    <w:r>
                      <w:rPr>
                        <w:rFonts w:ascii="Calibri"/>
                        <w:color w:val="585858"/>
                        <w:sz w:val="18"/>
                      </w:rPr>
                      <w:t>50</w:t>
                    </w:r>
                  </w:p>
                  <w:p>
                    <w:pPr>
                      <w:spacing w:before="151"/>
                      <w:ind w:left="0" w:right="0" w:firstLine="0"/>
                      <w:jc w:val="left"/>
                      <w:rPr>
                        <w:rFonts w:ascii="Calibri"/>
                        <w:sz w:val="18"/>
                      </w:rPr>
                    </w:pPr>
                    <w:r>
                      <w:rPr>
                        <w:rFonts w:ascii="Calibri"/>
                        <w:color w:val="585858"/>
                        <w:sz w:val="18"/>
                      </w:rPr>
                      <w:t>40</w:t>
                    </w:r>
                  </w:p>
                  <w:p>
                    <w:pPr>
                      <w:spacing w:before="151"/>
                      <w:ind w:left="0" w:right="0" w:firstLine="0"/>
                      <w:jc w:val="left"/>
                      <w:rPr>
                        <w:rFonts w:ascii="Calibri"/>
                        <w:sz w:val="18"/>
                      </w:rPr>
                    </w:pPr>
                    <w:r>
                      <w:rPr>
                        <w:rFonts w:ascii="Calibri"/>
                        <w:color w:val="585858"/>
                        <w:sz w:val="18"/>
                      </w:rPr>
                      <w:t>30</w:t>
                    </w:r>
                  </w:p>
                  <w:p>
                    <w:pPr>
                      <w:spacing w:before="152"/>
                      <w:ind w:left="0" w:right="0" w:firstLine="0"/>
                      <w:jc w:val="left"/>
                      <w:rPr>
                        <w:rFonts w:ascii="Calibri"/>
                        <w:sz w:val="18"/>
                      </w:rPr>
                    </w:pPr>
                    <w:r>
                      <w:rPr>
                        <w:rFonts w:ascii="Calibri"/>
                        <w:color w:val="585858"/>
                        <w:sz w:val="18"/>
                      </w:rPr>
                      <w:t>20</w:t>
                    </w:r>
                  </w:p>
                  <w:p>
                    <w:pPr>
                      <w:spacing w:before="151"/>
                      <w:ind w:left="0" w:right="0" w:firstLine="0"/>
                      <w:jc w:val="left"/>
                      <w:rPr>
                        <w:rFonts w:ascii="Calibri"/>
                        <w:sz w:val="18"/>
                      </w:rPr>
                    </w:pPr>
                    <w:r>
                      <w:rPr>
                        <w:rFonts w:ascii="Calibri"/>
                        <w:color w:val="585858"/>
                        <w:sz w:val="18"/>
                      </w:rPr>
                      <w:t>10</w:t>
                    </w:r>
                  </w:p>
                  <w:p>
                    <w:pPr>
                      <w:spacing w:line="216" w:lineRule="exact" w:before="151"/>
                      <w:ind w:left="91" w:right="0" w:firstLine="0"/>
                      <w:jc w:val="left"/>
                      <w:rPr>
                        <w:rFonts w:ascii="Calibri"/>
                        <w:sz w:val="18"/>
                      </w:rPr>
                    </w:pPr>
                    <w:r>
                      <w:rPr>
                        <w:rFonts w:ascii="Calibri"/>
                        <w:color w:val="585858"/>
                        <w:sz w:val="18"/>
                      </w:rPr>
                      <w:t>0</w:t>
                    </w:r>
                  </w:p>
                </w:txbxContent>
              </v:textbox>
              <w10:wrap type="none"/>
            </v:shape>
            <v:shape style="position:absolute;left:4928;top:407;width:3136;height:314" type="#_x0000_t202" filled="false" stroked="false">
              <v:textbox inset="0,0,0,0">
                <w:txbxContent>
                  <w:p>
                    <w:pPr>
                      <w:spacing w:line="314" w:lineRule="exact" w:before="0"/>
                      <w:ind w:left="0" w:right="0" w:firstLine="0"/>
                      <w:jc w:val="left"/>
                      <w:rPr>
                        <w:b/>
                        <w:sz w:val="28"/>
                      </w:rPr>
                    </w:pPr>
                    <w:r>
                      <w:rPr>
                        <w:b/>
                        <w:color w:val="585858"/>
                        <w:sz w:val="28"/>
                      </w:rPr>
                      <w:t>MİP Değerinin Değişimi</w:t>
                    </w:r>
                  </w:p>
                </w:txbxContent>
              </v:textbox>
              <w10:wrap type="none"/>
            </v:shape>
            <w10:wrap type="topAndBottom"/>
          </v:group>
        </w:pict>
      </w:r>
    </w:p>
    <w:p>
      <w:pPr>
        <w:pStyle w:val="BodyText"/>
        <w:spacing w:before="9"/>
      </w:pPr>
    </w:p>
    <w:p>
      <w:pPr>
        <w:spacing w:before="0"/>
        <w:ind w:left="588" w:right="0" w:firstLine="0"/>
        <w:jc w:val="both"/>
        <w:rPr>
          <w:sz w:val="20"/>
        </w:rPr>
      </w:pPr>
      <w:r>
        <w:rPr>
          <w:b/>
          <w:sz w:val="20"/>
        </w:rPr>
        <w:t>Şekil 4.3 </w:t>
      </w:r>
      <w:r>
        <w:rPr>
          <w:sz w:val="20"/>
        </w:rPr>
        <w:t>Grupların MİP Değerlerinin Değişimi</w:t>
      </w:r>
    </w:p>
    <w:p>
      <w:pPr>
        <w:spacing w:after="0"/>
        <w:jc w:val="both"/>
        <w:rPr>
          <w:sz w:val="20"/>
        </w:rPr>
        <w:sectPr>
          <w:pgSz w:w="11910" w:h="16840"/>
          <w:pgMar w:header="749" w:footer="0" w:top="1320" w:bottom="280" w:left="1680" w:right="8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pStyle w:val="BodyText"/>
        <w:ind w:left="580"/>
        <w:rPr>
          <w:sz w:val="20"/>
        </w:rPr>
      </w:pPr>
      <w:r>
        <w:rPr>
          <w:sz w:val="20"/>
        </w:rPr>
        <w:pict>
          <v:group style="width:415.35pt;height:249.85pt;mso-position-horizontal-relative:char;mso-position-vertical-relative:line" coordorigin="0,0" coordsize="8307,4997">
            <v:line style="position:absolute" from="487,3674" to="8078,3674" stroked="true" strokeweight=".72pt" strokecolor="#d9d9d9">
              <v:stroke dashstyle="solid"/>
            </v:line>
            <v:line style="position:absolute" from="487,3305" to="8078,3305" stroked="true" strokeweight=".72pt" strokecolor="#d9d9d9">
              <v:stroke dashstyle="solid"/>
            </v:line>
            <v:line style="position:absolute" from="487,2938" to="8078,2938" stroked="true" strokeweight=".72pt" strokecolor="#d9d9d9">
              <v:stroke dashstyle="solid"/>
            </v:line>
            <v:line style="position:absolute" from="487,2570" to="8078,2570" stroked="true" strokeweight=".72pt" strokecolor="#d9d9d9">
              <v:stroke dashstyle="solid"/>
            </v:line>
            <v:line style="position:absolute" from="487,2201" to="8078,2201" stroked="true" strokeweight=".72pt" strokecolor="#d9d9d9">
              <v:stroke dashstyle="solid"/>
            </v:line>
            <v:line style="position:absolute" from="487,1834" to="8078,1834" stroked="true" strokeweight=".72pt" strokecolor="#d9d9d9">
              <v:stroke dashstyle="solid"/>
            </v:line>
            <v:line style="position:absolute" from="487,1466" to="8078,1466" stroked="true" strokeweight=".72pt" strokecolor="#d9d9d9">
              <v:stroke dashstyle="solid"/>
            </v:line>
            <v:shape style="position:absolute;left:1750;top:1208;width:5062;height:1553" coordorigin="1751,1208" coordsize="5062,1553" path="m1751,1208l4283,2761,6812,2202e" filled="false" stroked="true" strokeweight="2.280pt" strokecolor="#5b9bd4">
              <v:path arrowok="t"/>
              <v:stroke dashstyle="solid"/>
            </v:shape>
            <v:line style="position:absolute" from="487,1099" to="8078,1099" stroked="true" strokeweight=".72pt" strokecolor="#d9d9d9">
              <v:stroke dashstyle="solid"/>
            </v:line>
            <v:shape style="position:absolute;left:1694;top:1153;width:116;height:116" type="#_x0000_t75" stroked="false">
              <v:imagedata r:id="rId40" o:title=""/>
            </v:shape>
            <v:shape style="position:absolute;left:4224;top:2703;width:116;height:116" type="#_x0000_t75" stroked="false">
              <v:imagedata r:id="rId41" o:title=""/>
            </v:shape>
            <v:shape style="position:absolute;left:6756;top:2144;width:116;height:116" type="#_x0000_t75" stroked="false">
              <v:imagedata r:id="rId42" o:title=""/>
            </v:shape>
            <v:shape style="position:absolute;left:1750;top:1474;width:5062;height:1565" coordorigin="1751,1475" coordsize="5062,1565" path="m1751,1475l4283,3040,6812,2536e" filled="false" stroked="true" strokeweight="2.280pt" strokecolor="#ec7c30">
              <v:path arrowok="t"/>
              <v:stroke dashstyle="solid"/>
            </v:shape>
            <v:shape style="position:absolute;left:1694;top:1419;width:116;height:116" type="#_x0000_t75" stroked="false">
              <v:imagedata r:id="rId43" o:title=""/>
            </v:shape>
            <v:shape style="position:absolute;left:4224;top:2981;width:116;height:116" type="#_x0000_t75" stroked="false">
              <v:imagedata r:id="rId44" o:title=""/>
            </v:shape>
            <v:shape style="position:absolute;left:6756;top:2480;width:116;height:116" type="#_x0000_t75" stroked="false">
              <v:imagedata r:id="rId45" o:title=""/>
            </v:shape>
            <v:line style="position:absolute" from="487,730" to="8078,730" stroked="true" strokeweight=".72pt" strokecolor="#d9d9d9">
              <v:stroke dashstyle="solid"/>
            </v:line>
            <v:line style="position:absolute" from="487,4042" to="8078,4042" stroked="true" strokeweight=".72pt" strokecolor="#d9d9d9">
              <v:stroke dashstyle="solid"/>
            </v:line>
            <v:shape style="position:absolute;left:2067;top:4629;width:384;height:116" type="#_x0000_t75" stroked="false">
              <v:imagedata r:id="rId46" o:title=""/>
            </v:shape>
            <v:shape style="position:absolute;left:4381;top:4629;width:384;height:116" type="#_x0000_t75" stroked="false">
              <v:imagedata r:id="rId39" o:title=""/>
            </v:shape>
            <v:rect style="position:absolute;left:7;top:7;width:8292;height:4983" filled="false" stroked="true" strokeweight=".72pt" strokecolor="#d9d9d9">
              <v:stroke dashstyle="solid"/>
            </v:rect>
            <v:shape style="position:absolute;left:4806;top:4558;width:1522;height:247" type="#_x0000_t202" filled="false" stroked="false">
              <v:textbox inset="0,0,0,0">
                <w:txbxContent>
                  <w:p>
                    <w:pPr>
                      <w:spacing w:line="247" w:lineRule="exact" w:before="0"/>
                      <w:ind w:left="0" w:right="0" w:firstLine="0"/>
                      <w:jc w:val="left"/>
                      <w:rPr>
                        <w:b/>
                        <w:sz w:val="22"/>
                      </w:rPr>
                    </w:pPr>
                    <w:r>
                      <w:rPr>
                        <w:b/>
                        <w:color w:val="585858"/>
                        <w:sz w:val="22"/>
                      </w:rPr>
                      <w:t>Kontrol Grubu</w:t>
                    </w:r>
                  </w:p>
                </w:txbxContent>
              </v:textbox>
              <w10:wrap type="none"/>
            </v:shape>
            <v:shape style="position:absolute;left:2493;top:4558;width:1586;height:247" type="#_x0000_t202" filled="false" stroked="false">
              <v:textbox inset="0,0,0,0">
                <w:txbxContent>
                  <w:p>
                    <w:pPr>
                      <w:spacing w:line="247" w:lineRule="exact" w:before="0"/>
                      <w:ind w:left="0" w:right="0" w:firstLine="0"/>
                      <w:jc w:val="left"/>
                      <w:rPr>
                        <w:b/>
                        <w:sz w:val="22"/>
                      </w:rPr>
                    </w:pPr>
                    <w:r>
                      <w:rPr>
                        <w:b/>
                        <w:color w:val="585858"/>
                        <w:sz w:val="22"/>
                      </w:rPr>
                      <w:t>Çalışma Grubu</w:t>
                    </w:r>
                  </w:p>
                </w:txbxContent>
              </v:textbox>
              <w10:wrap type="none"/>
            </v:shape>
            <v:shape style="position:absolute;left:6769;top:4191;width:112;height:181" type="#_x0000_t202" filled="false" stroked="false">
              <v:textbox inset="0,0,0,0">
                <w:txbxContent>
                  <w:p>
                    <w:pPr>
                      <w:spacing w:line="180" w:lineRule="exact" w:before="0"/>
                      <w:ind w:left="0" w:right="0" w:firstLine="0"/>
                      <w:jc w:val="left"/>
                      <w:rPr>
                        <w:rFonts w:ascii="Calibri"/>
                        <w:sz w:val="18"/>
                      </w:rPr>
                    </w:pPr>
                    <w:r>
                      <w:rPr>
                        <w:rFonts w:ascii="Calibri"/>
                        <w:color w:val="585858"/>
                        <w:w w:val="100"/>
                        <w:sz w:val="18"/>
                      </w:rPr>
                      <w:t>3</w:t>
                    </w:r>
                  </w:p>
                </w:txbxContent>
              </v:textbox>
              <w10:wrap type="none"/>
            </v:shape>
            <v:shape style="position:absolute;left:4238;top:4191;width:112;height:181" type="#_x0000_t202" filled="false" stroked="false">
              <v:textbox inset="0,0,0,0">
                <w:txbxContent>
                  <w:p>
                    <w:pPr>
                      <w:spacing w:line="180" w:lineRule="exact" w:before="0"/>
                      <w:ind w:left="0" w:right="0" w:firstLine="0"/>
                      <w:jc w:val="left"/>
                      <w:rPr>
                        <w:rFonts w:ascii="Calibri"/>
                        <w:sz w:val="18"/>
                      </w:rPr>
                    </w:pPr>
                    <w:r>
                      <w:rPr>
                        <w:rFonts w:ascii="Calibri"/>
                        <w:color w:val="585858"/>
                        <w:w w:val="100"/>
                        <w:sz w:val="18"/>
                      </w:rPr>
                      <w:t>2</w:t>
                    </w:r>
                  </w:p>
                </w:txbxContent>
              </v:textbox>
              <w10:wrap type="none"/>
            </v:shape>
            <v:shape style="position:absolute;left:1706;top:4191;width:112;height:181" type="#_x0000_t202" filled="false" stroked="false">
              <v:textbox inset="0,0,0,0">
                <w:txbxContent>
                  <w:p>
                    <w:pPr>
                      <w:spacing w:line="180" w:lineRule="exact" w:before="0"/>
                      <w:ind w:left="0" w:right="0" w:firstLine="0"/>
                      <w:jc w:val="left"/>
                      <w:rPr>
                        <w:rFonts w:ascii="Calibri"/>
                        <w:sz w:val="18"/>
                      </w:rPr>
                    </w:pPr>
                    <w:r>
                      <w:rPr>
                        <w:rFonts w:ascii="Calibri"/>
                        <w:color w:val="585858"/>
                        <w:w w:val="100"/>
                        <w:sz w:val="18"/>
                      </w:rPr>
                      <w:t>1</w:t>
                    </w:r>
                  </w:p>
                </w:txbxContent>
              </v:textbox>
              <w10:wrap type="none"/>
            </v:shape>
            <v:shape style="position:absolute;left:137;top:646;width:203;height:3492" type="#_x0000_t202" filled="false" stroked="false">
              <v:textbox inset="0,0,0,0">
                <w:txbxContent>
                  <w:p>
                    <w:pPr>
                      <w:spacing w:line="183" w:lineRule="exact" w:before="0"/>
                      <w:ind w:left="0" w:right="0" w:firstLine="0"/>
                      <w:jc w:val="left"/>
                      <w:rPr>
                        <w:rFonts w:ascii="Calibri"/>
                        <w:sz w:val="18"/>
                      </w:rPr>
                    </w:pPr>
                    <w:r>
                      <w:rPr>
                        <w:rFonts w:ascii="Calibri"/>
                        <w:color w:val="585858"/>
                        <w:sz w:val="18"/>
                      </w:rPr>
                      <w:t>90</w:t>
                    </w:r>
                  </w:p>
                  <w:p>
                    <w:pPr>
                      <w:spacing w:before="148"/>
                      <w:ind w:left="0" w:right="0" w:firstLine="0"/>
                      <w:jc w:val="left"/>
                      <w:rPr>
                        <w:rFonts w:ascii="Calibri"/>
                        <w:sz w:val="18"/>
                      </w:rPr>
                    </w:pPr>
                    <w:r>
                      <w:rPr>
                        <w:rFonts w:ascii="Calibri"/>
                        <w:color w:val="585858"/>
                        <w:sz w:val="18"/>
                      </w:rPr>
                      <w:t>80</w:t>
                    </w:r>
                  </w:p>
                  <w:p>
                    <w:pPr>
                      <w:spacing w:before="148"/>
                      <w:ind w:left="0" w:right="0" w:firstLine="0"/>
                      <w:jc w:val="left"/>
                      <w:rPr>
                        <w:rFonts w:ascii="Calibri"/>
                        <w:sz w:val="18"/>
                      </w:rPr>
                    </w:pPr>
                    <w:r>
                      <w:rPr>
                        <w:rFonts w:ascii="Calibri"/>
                        <w:color w:val="585858"/>
                        <w:sz w:val="18"/>
                      </w:rPr>
                      <w:t>70</w:t>
                    </w:r>
                  </w:p>
                  <w:p>
                    <w:pPr>
                      <w:spacing w:before="149"/>
                      <w:ind w:left="0" w:right="0" w:firstLine="0"/>
                      <w:jc w:val="left"/>
                      <w:rPr>
                        <w:rFonts w:ascii="Calibri"/>
                        <w:sz w:val="18"/>
                      </w:rPr>
                    </w:pPr>
                    <w:r>
                      <w:rPr>
                        <w:rFonts w:ascii="Calibri"/>
                        <w:color w:val="585858"/>
                        <w:sz w:val="18"/>
                      </w:rPr>
                      <w:t>60</w:t>
                    </w:r>
                  </w:p>
                  <w:p>
                    <w:pPr>
                      <w:spacing w:before="148"/>
                      <w:ind w:left="0" w:right="0" w:firstLine="0"/>
                      <w:jc w:val="left"/>
                      <w:rPr>
                        <w:rFonts w:ascii="Calibri"/>
                        <w:sz w:val="18"/>
                      </w:rPr>
                    </w:pPr>
                    <w:r>
                      <w:rPr>
                        <w:rFonts w:ascii="Calibri"/>
                        <w:color w:val="585858"/>
                        <w:sz w:val="18"/>
                      </w:rPr>
                      <w:t>50</w:t>
                    </w:r>
                  </w:p>
                  <w:p>
                    <w:pPr>
                      <w:spacing w:before="148"/>
                      <w:ind w:left="0" w:right="0" w:firstLine="0"/>
                      <w:jc w:val="left"/>
                      <w:rPr>
                        <w:rFonts w:ascii="Calibri"/>
                        <w:sz w:val="18"/>
                      </w:rPr>
                    </w:pPr>
                    <w:r>
                      <w:rPr>
                        <w:rFonts w:ascii="Calibri"/>
                        <w:color w:val="585858"/>
                        <w:sz w:val="18"/>
                      </w:rPr>
                      <w:t>40</w:t>
                    </w:r>
                  </w:p>
                  <w:p>
                    <w:pPr>
                      <w:spacing w:before="148"/>
                      <w:ind w:left="0" w:right="0" w:firstLine="0"/>
                      <w:jc w:val="left"/>
                      <w:rPr>
                        <w:rFonts w:ascii="Calibri"/>
                        <w:sz w:val="18"/>
                      </w:rPr>
                    </w:pPr>
                    <w:r>
                      <w:rPr>
                        <w:rFonts w:ascii="Calibri"/>
                        <w:color w:val="585858"/>
                        <w:sz w:val="18"/>
                      </w:rPr>
                      <w:t>30</w:t>
                    </w:r>
                  </w:p>
                  <w:p>
                    <w:pPr>
                      <w:spacing w:before="148"/>
                      <w:ind w:left="0" w:right="0" w:firstLine="0"/>
                      <w:jc w:val="left"/>
                      <w:rPr>
                        <w:rFonts w:ascii="Calibri"/>
                        <w:sz w:val="18"/>
                      </w:rPr>
                    </w:pPr>
                    <w:r>
                      <w:rPr>
                        <w:rFonts w:ascii="Calibri"/>
                        <w:color w:val="585858"/>
                        <w:sz w:val="18"/>
                      </w:rPr>
                      <w:t>20</w:t>
                    </w:r>
                  </w:p>
                  <w:p>
                    <w:pPr>
                      <w:spacing w:before="149"/>
                      <w:ind w:left="0" w:right="0" w:firstLine="0"/>
                      <w:jc w:val="left"/>
                      <w:rPr>
                        <w:rFonts w:ascii="Calibri"/>
                        <w:sz w:val="18"/>
                      </w:rPr>
                    </w:pPr>
                    <w:r>
                      <w:rPr>
                        <w:rFonts w:ascii="Calibri"/>
                        <w:color w:val="585858"/>
                        <w:sz w:val="18"/>
                      </w:rPr>
                      <w:t>10</w:t>
                    </w:r>
                  </w:p>
                  <w:p>
                    <w:pPr>
                      <w:spacing w:line="216" w:lineRule="exact" w:before="148"/>
                      <w:ind w:left="91" w:right="0" w:firstLine="0"/>
                      <w:jc w:val="left"/>
                      <w:rPr>
                        <w:rFonts w:ascii="Calibri"/>
                        <w:sz w:val="18"/>
                      </w:rPr>
                    </w:pPr>
                    <w:r>
                      <w:rPr>
                        <w:rFonts w:ascii="Calibri"/>
                        <w:color w:val="585858"/>
                        <w:sz w:val="18"/>
                      </w:rPr>
                      <w:t>0</w:t>
                    </w:r>
                  </w:p>
                </w:txbxContent>
              </v:textbox>
              <w10:wrap type="none"/>
            </v:shape>
            <v:shape style="position:absolute;left:2543;top:165;width:3247;height:314" type="#_x0000_t202" filled="false" stroked="false">
              <v:textbox inset="0,0,0,0">
                <w:txbxContent>
                  <w:p>
                    <w:pPr>
                      <w:spacing w:line="314" w:lineRule="exact" w:before="0"/>
                      <w:ind w:left="0" w:right="0" w:firstLine="0"/>
                      <w:jc w:val="left"/>
                      <w:rPr>
                        <w:b/>
                        <w:sz w:val="28"/>
                      </w:rPr>
                    </w:pPr>
                    <w:r>
                      <w:rPr>
                        <w:b/>
                        <w:color w:val="585858"/>
                        <w:sz w:val="28"/>
                      </w:rPr>
                      <w:t>MEP Değerinin Değişimi</w:t>
                    </w:r>
                  </w:p>
                </w:txbxContent>
              </v:textbox>
              <w10:wrap type="none"/>
            </v:shape>
          </v:group>
        </w:pict>
      </w:r>
      <w:r>
        <w:rPr>
          <w:sz w:val="20"/>
        </w:rPr>
      </w:r>
    </w:p>
    <w:p>
      <w:pPr>
        <w:pStyle w:val="BodyText"/>
        <w:spacing w:before="4"/>
        <w:rPr>
          <w:sz w:val="16"/>
        </w:rPr>
      </w:pPr>
    </w:p>
    <w:p>
      <w:pPr>
        <w:spacing w:before="93"/>
        <w:ind w:left="588" w:right="0" w:firstLine="0"/>
        <w:jc w:val="left"/>
        <w:rPr>
          <w:sz w:val="20"/>
        </w:rPr>
      </w:pPr>
      <w:r>
        <w:rPr>
          <w:b/>
          <w:sz w:val="20"/>
        </w:rPr>
        <w:t>Şekil 4.4 </w:t>
      </w:r>
      <w:r>
        <w:rPr>
          <w:sz w:val="20"/>
        </w:rPr>
        <w:t>Grupların MEP Değerlerinin Değişimi</w:t>
      </w:r>
    </w:p>
    <w:p>
      <w:pPr>
        <w:pStyle w:val="BodyText"/>
      </w:pPr>
    </w:p>
    <w:p>
      <w:pPr>
        <w:pStyle w:val="BodyText"/>
      </w:pPr>
    </w:p>
    <w:p>
      <w:pPr>
        <w:pStyle w:val="BodyText"/>
        <w:rPr>
          <w:sz w:val="27"/>
        </w:rPr>
      </w:pPr>
    </w:p>
    <w:p>
      <w:pPr>
        <w:pStyle w:val="BodyText"/>
        <w:spacing w:line="360" w:lineRule="auto"/>
        <w:ind w:left="588" w:right="285" w:firstLine="708"/>
        <w:jc w:val="both"/>
      </w:pPr>
      <w:r>
        <w:rPr/>
        <w:t>Bireylerin fonksiyonel kapasitelerini gruplar arası kıyaslamak amacıyla 6DYTM değerleri karşılaştırıldı. Çalışma grubu preoperatif 6DYTM 437±78,4 m iken kontrol grubu 439,47±80,6 m olarak bulundu ve gruplar arası istatistiksel olarak anlamlı bir fark yoktu (p=0.94). Taburculuk öncesi 6DYTM çalışma grubunda 348,56±103,4 m iken kontrol</w:t>
      </w:r>
      <w:r>
        <w:rPr>
          <w:spacing w:val="-20"/>
        </w:rPr>
        <w:t> </w:t>
      </w:r>
      <w:r>
        <w:rPr/>
        <w:t>grubunda</w:t>
      </w:r>
      <w:r>
        <w:rPr>
          <w:spacing w:val="-18"/>
        </w:rPr>
        <w:t> </w:t>
      </w:r>
      <w:r>
        <w:rPr/>
        <w:t>319,24±84,9</w:t>
      </w:r>
      <w:r>
        <w:rPr>
          <w:spacing w:val="-20"/>
        </w:rPr>
        <w:t> </w:t>
      </w:r>
      <w:r>
        <w:rPr/>
        <w:t>m</w:t>
      </w:r>
      <w:r>
        <w:rPr>
          <w:spacing w:val="-18"/>
        </w:rPr>
        <w:t> </w:t>
      </w:r>
      <w:r>
        <w:rPr/>
        <w:t>olarak</w:t>
      </w:r>
      <w:r>
        <w:rPr>
          <w:spacing w:val="-14"/>
        </w:rPr>
        <w:t> </w:t>
      </w:r>
      <w:r>
        <w:rPr/>
        <w:t>bulundu.</w:t>
      </w:r>
      <w:r>
        <w:rPr>
          <w:spacing w:val="-18"/>
        </w:rPr>
        <w:t> </w:t>
      </w:r>
      <w:r>
        <w:rPr/>
        <w:t>Gruplar</w:t>
      </w:r>
      <w:r>
        <w:rPr>
          <w:spacing w:val="-19"/>
        </w:rPr>
        <w:t> </w:t>
      </w:r>
      <w:r>
        <w:rPr/>
        <w:t>arası</w:t>
      </w:r>
      <w:r>
        <w:rPr>
          <w:spacing w:val="-17"/>
        </w:rPr>
        <w:t> </w:t>
      </w:r>
      <w:r>
        <w:rPr/>
        <w:t>istatistiksel</w:t>
      </w:r>
      <w:r>
        <w:rPr>
          <w:spacing w:val="-20"/>
        </w:rPr>
        <w:t> </w:t>
      </w:r>
      <w:r>
        <w:rPr/>
        <w:t>olarak</w:t>
      </w:r>
      <w:r>
        <w:rPr>
          <w:spacing w:val="-18"/>
        </w:rPr>
        <w:t> </w:t>
      </w:r>
      <w:r>
        <w:rPr/>
        <w:t>anlamlı bir fark yoktu (p=0.456). Elde edilen veriler Tablo 4.20’de</w:t>
      </w:r>
      <w:r>
        <w:rPr>
          <w:spacing w:val="-16"/>
        </w:rPr>
        <w:t> </w:t>
      </w:r>
      <w:r>
        <w:rPr/>
        <w:t>gösterilmiştir.</w:t>
      </w:r>
    </w:p>
    <w:p>
      <w:pPr>
        <w:pStyle w:val="BodyText"/>
        <w:spacing w:line="357" w:lineRule="auto" w:before="160"/>
        <w:ind w:left="588" w:right="290" w:firstLine="708"/>
        <w:jc w:val="both"/>
      </w:pPr>
      <w:r>
        <w:rPr/>
        <w:t>Bu</w:t>
      </w:r>
      <w:r>
        <w:rPr>
          <w:spacing w:val="-5"/>
        </w:rPr>
        <w:t> </w:t>
      </w:r>
      <w:r>
        <w:rPr/>
        <w:t>sonuçlara</w:t>
      </w:r>
      <w:r>
        <w:rPr>
          <w:spacing w:val="-8"/>
        </w:rPr>
        <w:t> </w:t>
      </w:r>
      <w:r>
        <w:rPr/>
        <w:t>göre</w:t>
      </w:r>
      <w:r>
        <w:rPr>
          <w:spacing w:val="-7"/>
        </w:rPr>
        <w:t> </w:t>
      </w:r>
      <w:r>
        <w:rPr/>
        <w:t>iki</w:t>
      </w:r>
      <w:r>
        <w:rPr>
          <w:spacing w:val="-9"/>
        </w:rPr>
        <w:t> </w:t>
      </w:r>
      <w:r>
        <w:rPr/>
        <w:t>grubun</w:t>
      </w:r>
      <w:r>
        <w:rPr>
          <w:spacing w:val="-4"/>
        </w:rPr>
        <w:t> </w:t>
      </w:r>
      <w:r>
        <w:rPr/>
        <w:t>da</w:t>
      </w:r>
      <w:r>
        <w:rPr>
          <w:spacing w:val="-10"/>
        </w:rPr>
        <w:t> </w:t>
      </w:r>
      <w:r>
        <w:rPr/>
        <w:t>fonksiyonel</w:t>
      </w:r>
      <w:r>
        <w:rPr>
          <w:spacing w:val="-5"/>
        </w:rPr>
        <w:t> </w:t>
      </w:r>
      <w:r>
        <w:rPr/>
        <w:t>kapasitesi</w:t>
      </w:r>
      <w:r>
        <w:rPr>
          <w:spacing w:val="-7"/>
        </w:rPr>
        <w:t> </w:t>
      </w:r>
      <w:r>
        <w:rPr/>
        <w:t>kolorektal</w:t>
      </w:r>
      <w:r>
        <w:rPr>
          <w:spacing w:val="-8"/>
        </w:rPr>
        <w:t> </w:t>
      </w:r>
      <w:r>
        <w:rPr/>
        <w:t>cerrahi</w:t>
      </w:r>
      <w:r>
        <w:rPr>
          <w:spacing w:val="-5"/>
        </w:rPr>
        <w:t> </w:t>
      </w:r>
      <w:r>
        <w:rPr/>
        <w:t>sonrası anlamlı derecede azalmasına rağmen preoperatif dönemdeki düzeyine</w:t>
      </w:r>
      <w:r>
        <w:rPr>
          <w:spacing w:val="-36"/>
        </w:rPr>
        <w:t> </w:t>
      </w:r>
      <w:r>
        <w:rPr/>
        <w:t>ulaşamamıştır.</w:t>
      </w:r>
    </w:p>
    <w:p>
      <w:pPr>
        <w:pStyle w:val="BodyText"/>
        <w:spacing w:line="360" w:lineRule="auto" w:before="165"/>
        <w:ind w:left="588" w:right="291" w:firstLine="708"/>
        <w:jc w:val="both"/>
      </w:pPr>
      <w:r>
        <w:rPr/>
        <w:t>Bireylerin hareketlilik ve bağımsızlık düzeylerini gruplar arası değerleri karşılaştırıldı ve istatistiksel olarak iki grup arasında postoperatif ve taburculuk öncesi dönemlerde ‘Hasta Hareketlilik Skoru’ ve ‘Gözlemci Hareketlilik Skoru’ bakımından anlamlı bir fark bulunmadı (p&gt;0.05). Elde edilen veriler Tablo 4.21’de gösterilmiştir.</w:t>
      </w:r>
    </w:p>
    <w:p>
      <w:pPr>
        <w:pStyle w:val="BodyText"/>
        <w:spacing w:line="357" w:lineRule="auto" w:before="160"/>
        <w:ind w:left="588" w:right="292" w:firstLine="708"/>
        <w:jc w:val="both"/>
      </w:pPr>
      <w:r>
        <w:rPr/>
        <w:t>Postoperatif ve taburcu olmadan önce bireylerin ağrı düzeyleri ‘Numerik Ağrı Skalası</w:t>
      </w:r>
      <w:r>
        <w:rPr>
          <w:spacing w:val="-10"/>
        </w:rPr>
        <w:t> </w:t>
      </w:r>
      <w:r>
        <w:rPr/>
        <w:t>(NAS)’</w:t>
      </w:r>
      <w:r>
        <w:rPr>
          <w:spacing w:val="-5"/>
        </w:rPr>
        <w:t> </w:t>
      </w:r>
      <w:r>
        <w:rPr/>
        <w:t>ile</w:t>
      </w:r>
      <w:r>
        <w:rPr>
          <w:spacing w:val="-5"/>
        </w:rPr>
        <w:t> </w:t>
      </w:r>
      <w:r>
        <w:rPr/>
        <w:t>değerlendirildi.</w:t>
      </w:r>
      <w:r>
        <w:rPr>
          <w:spacing w:val="-5"/>
        </w:rPr>
        <w:t> </w:t>
      </w:r>
      <w:r>
        <w:rPr/>
        <w:t>İki</w:t>
      </w:r>
      <w:r>
        <w:rPr>
          <w:spacing w:val="-7"/>
        </w:rPr>
        <w:t> </w:t>
      </w:r>
      <w:r>
        <w:rPr/>
        <w:t>grup</w:t>
      </w:r>
      <w:r>
        <w:rPr>
          <w:spacing w:val="-5"/>
        </w:rPr>
        <w:t> </w:t>
      </w:r>
      <w:r>
        <w:rPr/>
        <w:t>arasında</w:t>
      </w:r>
      <w:r>
        <w:rPr>
          <w:spacing w:val="-4"/>
        </w:rPr>
        <w:t> </w:t>
      </w:r>
      <w:r>
        <w:rPr/>
        <w:t>istatistiksel</w:t>
      </w:r>
      <w:r>
        <w:rPr>
          <w:spacing w:val="-6"/>
        </w:rPr>
        <w:t> </w:t>
      </w:r>
      <w:r>
        <w:rPr/>
        <w:t>olarak</w:t>
      </w:r>
      <w:r>
        <w:rPr>
          <w:spacing w:val="-5"/>
        </w:rPr>
        <w:t> </w:t>
      </w:r>
      <w:r>
        <w:rPr/>
        <w:t>anlamlı</w:t>
      </w:r>
      <w:r>
        <w:rPr>
          <w:spacing w:val="-10"/>
        </w:rPr>
        <w:t> </w:t>
      </w:r>
      <w:r>
        <w:rPr/>
        <w:t>bir</w:t>
      </w:r>
      <w:r>
        <w:rPr>
          <w:spacing w:val="-4"/>
        </w:rPr>
        <w:t> </w:t>
      </w:r>
      <w:r>
        <w:rPr/>
        <w:t>farklılık bulunmadı. Elde edilen veriler Tablo 4.21’de</w:t>
      </w:r>
      <w:r>
        <w:rPr>
          <w:spacing w:val="-5"/>
        </w:rPr>
        <w:t> </w:t>
      </w:r>
      <w:r>
        <w:rPr/>
        <w:t>gösterilmiştir.</w:t>
      </w:r>
    </w:p>
    <w:p>
      <w:pPr>
        <w:spacing w:after="0" w:line="357" w:lineRule="auto"/>
        <w:jc w:val="both"/>
        <w:sectPr>
          <w:pgSz w:w="11910" w:h="16840"/>
          <w:pgMar w:header="749" w:footer="0" w:top="1320" w:bottom="280" w:left="1680" w:right="840"/>
        </w:sectPr>
      </w:pPr>
    </w:p>
    <w:p>
      <w:pPr>
        <w:pStyle w:val="BodyText"/>
        <w:spacing w:before="38"/>
        <w:ind w:right="372"/>
        <w:jc w:val="right"/>
        <w:rPr>
          <w:rFonts w:ascii="Calibri"/>
        </w:rPr>
      </w:pPr>
      <w:r>
        <w:rPr>
          <w:rFonts w:ascii="Calibri"/>
        </w:rPr>
        <w:t>40</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rPr>
          <w:rFonts w:ascii="Calibri"/>
          <w:sz w:val="18"/>
        </w:rPr>
      </w:pPr>
    </w:p>
    <w:p>
      <w:pPr>
        <w:spacing w:before="93"/>
        <w:ind w:left="118" w:right="0" w:firstLine="0"/>
        <w:jc w:val="left"/>
        <w:rPr>
          <w:sz w:val="20"/>
        </w:rPr>
      </w:pPr>
      <w:r>
        <w:rPr>
          <w:b/>
          <w:sz w:val="20"/>
        </w:rPr>
        <w:t>Tablo 4.19 </w:t>
      </w:r>
      <w:r>
        <w:rPr>
          <w:sz w:val="20"/>
        </w:rPr>
        <w:t>Çalışma ve Kontrol Grubu Preoperatif, Postoperatif ve Taburculuk Öncesi Verilerinin Karşılaştırılması</w:t>
      </w:r>
    </w:p>
    <w:p>
      <w:pPr>
        <w:pStyle w:val="BodyText"/>
        <w:rPr>
          <w:sz w:val="20"/>
        </w:rPr>
      </w:pPr>
    </w:p>
    <w:p>
      <w:pPr>
        <w:pStyle w:val="BodyText"/>
        <w:rPr>
          <w:sz w:val="12"/>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8"/>
        <w:gridCol w:w="1351"/>
        <w:gridCol w:w="1545"/>
        <w:gridCol w:w="1124"/>
        <w:gridCol w:w="1558"/>
        <w:gridCol w:w="1557"/>
        <w:gridCol w:w="1176"/>
        <w:gridCol w:w="1395"/>
        <w:gridCol w:w="1558"/>
        <w:gridCol w:w="1233"/>
      </w:tblGrid>
      <w:tr>
        <w:trPr>
          <w:trHeight w:val="1406" w:hRule="atLeast"/>
        </w:trPr>
        <w:tc>
          <w:tcPr>
            <w:tcW w:w="1788" w:type="dxa"/>
            <w:tcBorders>
              <w:top w:val="single" w:sz="12" w:space="0" w:color="008000"/>
              <w:bottom w:val="single" w:sz="6" w:space="0" w:color="008000"/>
            </w:tcBorders>
          </w:tcPr>
          <w:p>
            <w:pPr>
              <w:pStyle w:val="TableParagraph"/>
              <w:rPr>
                <w:sz w:val="22"/>
              </w:rPr>
            </w:pPr>
          </w:p>
          <w:p>
            <w:pPr>
              <w:pStyle w:val="TableParagraph"/>
              <w:spacing w:before="10"/>
              <w:rPr>
                <w:sz w:val="28"/>
              </w:rPr>
            </w:pPr>
          </w:p>
          <w:p>
            <w:pPr>
              <w:pStyle w:val="TableParagraph"/>
              <w:ind w:left="160" w:right="165"/>
              <w:jc w:val="center"/>
              <w:rPr>
                <w:sz w:val="20"/>
              </w:rPr>
            </w:pPr>
            <w:r>
              <w:rPr>
                <w:sz w:val="20"/>
              </w:rPr>
              <w:t>DEĞİŞKENLER</w:t>
            </w:r>
          </w:p>
        </w:tc>
        <w:tc>
          <w:tcPr>
            <w:tcW w:w="2896" w:type="dxa"/>
            <w:gridSpan w:val="2"/>
            <w:tcBorders>
              <w:top w:val="single" w:sz="12" w:space="0" w:color="008000"/>
              <w:bottom w:val="single" w:sz="6" w:space="0" w:color="008000"/>
            </w:tcBorders>
          </w:tcPr>
          <w:p>
            <w:pPr>
              <w:pStyle w:val="TableParagraph"/>
              <w:spacing w:before="9"/>
              <w:rPr>
                <w:sz w:val="20"/>
              </w:rPr>
            </w:pPr>
          </w:p>
          <w:p>
            <w:pPr>
              <w:pStyle w:val="TableParagraph"/>
              <w:tabs>
                <w:tab w:pos="1763" w:val="left" w:leader="none"/>
              </w:tabs>
              <w:spacing w:line="357" w:lineRule="auto"/>
              <w:ind w:left="689" w:right="831"/>
              <w:jc w:val="center"/>
              <w:rPr>
                <w:b/>
                <w:sz w:val="20"/>
              </w:rPr>
            </w:pPr>
            <w:r>
              <w:rPr>
                <w:b/>
                <w:sz w:val="20"/>
              </w:rPr>
              <w:t>Preoperatif ÇG</w:t>
              <w:tab/>
            </w:r>
            <w:r>
              <w:rPr>
                <w:b/>
                <w:spacing w:val="-9"/>
                <w:sz w:val="20"/>
              </w:rPr>
              <w:t>KG</w:t>
            </w:r>
          </w:p>
          <w:p>
            <w:pPr>
              <w:pStyle w:val="TableParagraph"/>
              <w:tabs>
                <w:tab w:pos="1119" w:val="left" w:leader="none"/>
              </w:tabs>
              <w:spacing w:before="4"/>
              <w:ind w:right="140"/>
              <w:jc w:val="center"/>
              <w:rPr>
                <w:b/>
                <w:sz w:val="20"/>
              </w:rPr>
            </w:pPr>
            <w:r>
              <w:rPr>
                <w:b/>
                <w:sz w:val="20"/>
              </w:rPr>
              <w:t>X±SS</w:t>
              <w:tab/>
              <w:t>X±SS</w:t>
            </w:r>
          </w:p>
        </w:tc>
        <w:tc>
          <w:tcPr>
            <w:tcW w:w="1124" w:type="dxa"/>
            <w:tcBorders>
              <w:top w:val="single" w:sz="12" w:space="0" w:color="008000"/>
              <w:bottom w:val="single" w:sz="6" w:space="0" w:color="008000"/>
            </w:tcBorders>
          </w:tcPr>
          <w:p>
            <w:pPr>
              <w:pStyle w:val="TableParagraph"/>
              <w:rPr>
                <w:sz w:val="22"/>
              </w:rPr>
            </w:pPr>
          </w:p>
          <w:p>
            <w:pPr>
              <w:pStyle w:val="TableParagraph"/>
              <w:spacing w:before="7"/>
              <w:rPr>
                <w:sz w:val="28"/>
              </w:rPr>
            </w:pPr>
          </w:p>
          <w:p>
            <w:pPr>
              <w:pStyle w:val="TableParagraph"/>
              <w:spacing w:before="1"/>
              <w:ind w:right="12"/>
              <w:jc w:val="center"/>
              <w:rPr>
                <w:b/>
                <w:sz w:val="20"/>
              </w:rPr>
            </w:pPr>
            <w:r>
              <w:rPr>
                <w:b/>
                <w:w w:val="99"/>
                <w:sz w:val="20"/>
              </w:rPr>
              <w:t>p</w:t>
            </w:r>
          </w:p>
        </w:tc>
        <w:tc>
          <w:tcPr>
            <w:tcW w:w="3115" w:type="dxa"/>
            <w:gridSpan w:val="2"/>
            <w:tcBorders>
              <w:top w:val="single" w:sz="12" w:space="0" w:color="008000"/>
              <w:bottom w:val="single" w:sz="6" w:space="0" w:color="008000"/>
            </w:tcBorders>
          </w:tcPr>
          <w:p>
            <w:pPr>
              <w:pStyle w:val="TableParagraph"/>
              <w:spacing w:before="9"/>
              <w:rPr>
                <w:sz w:val="20"/>
              </w:rPr>
            </w:pPr>
          </w:p>
          <w:p>
            <w:pPr>
              <w:pStyle w:val="TableParagraph"/>
              <w:tabs>
                <w:tab w:pos="2110" w:val="left" w:leader="none"/>
              </w:tabs>
              <w:spacing w:line="357" w:lineRule="auto"/>
              <w:ind w:left="701" w:right="702" w:firstLine="271"/>
              <w:rPr>
                <w:b/>
                <w:sz w:val="20"/>
              </w:rPr>
            </w:pPr>
            <w:r>
              <w:rPr>
                <w:b/>
                <w:sz w:val="20"/>
              </w:rPr>
              <w:t>Postoperatif ÇG</w:t>
              <w:tab/>
            </w:r>
            <w:r>
              <w:rPr>
                <w:b/>
                <w:spacing w:val="-8"/>
                <w:sz w:val="20"/>
              </w:rPr>
              <w:t>KG</w:t>
            </w:r>
          </w:p>
          <w:p>
            <w:pPr>
              <w:pStyle w:val="TableParagraph"/>
              <w:tabs>
                <w:tab w:pos="1998" w:val="left" w:leader="none"/>
              </w:tabs>
              <w:spacing w:before="4"/>
              <w:ind w:left="601"/>
              <w:rPr>
                <w:b/>
                <w:sz w:val="20"/>
              </w:rPr>
            </w:pPr>
            <w:r>
              <w:rPr>
                <w:b/>
                <w:sz w:val="20"/>
              </w:rPr>
              <w:t>X±SS</w:t>
              <w:tab/>
              <w:t>X±SS</w:t>
            </w:r>
          </w:p>
        </w:tc>
        <w:tc>
          <w:tcPr>
            <w:tcW w:w="1176" w:type="dxa"/>
            <w:tcBorders>
              <w:top w:val="single" w:sz="12" w:space="0" w:color="008000"/>
              <w:bottom w:val="single" w:sz="6" w:space="0" w:color="008000"/>
            </w:tcBorders>
          </w:tcPr>
          <w:p>
            <w:pPr>
              <w:pStyle w:val="TableParagraph"/>
              <w:rPr>
                <w:sz w:val="22"/>
              </w:rPr>
            </w:pPr>
          </w:p>
          <w:p>
            <w:pPr>
              <w:pStyle w:val="TableParagraph"/>
              <w:spacing w:before="7"/>
              <w:rPr>
                <w:sz w:val="28"/>
              </w:rPr>
            </w:pPr>
          </w:p>
          <w:p>
            <w:pPr>
              <w:pStyle w:val="TableParagraph"/>
              <w:spacing w:before="1"/>
              <w:ind w:right="41"/>
              <w:jc w:val="center"/>
              <w:rPr>
                <w:b/>
                <w:sz w:val="20"/>
              </w:rPr>
            </w:pPr>
            <w:r>
              <w:rPr>
                <w:b/>
                <w:w w:val="99"/>
                <w:sz w:val="20"/>
              </w:rPr>
              <w:t>p</w:t>
            </w:r>
          </w:p>
        </w:tc>
        <w:tc>
          <w:tcPr>
            <w:tcW w:w="2953" w:type="dxa"/>
            <w:gridSpan w:val="2"/>
            <w:tcBorders>
              <w:top w:val="single" w:sz="12" w:space="0" w:color="008000"/>
              <w:bottom w:val="single" w:sz="6" w:space="0" w:color="008000"/>
            </w:tcBorders>
          </w:tcPr>
          <w:p>
            <w:pPr>
              <w:pStyle w:val="TableParagraph"/>
              <w:spacing w:before="9"/>
              <w:rPr>
                <w:sz w:val="20"/>
              </w:rPr>
            </w:pPr>
          </w:p>
          <w:p>
            <w:pPr>
              <w:pStyle w:val="TableParagraph"/>
              <w:ind w:right="55"/>
              <w:jc w:val="center"/>
              <w:rPr>
                <w:b/>
                <w:sz w:val="20"/>
              </w:rPr>
            </w:pPr>
            <w:r>
              <w:rPr>
                <w:b/>
                <w:sz w:val="20"/>
              </w:rPr>
              <w:t>Taburcu</w:t>
            </w:r>
          </w:p>
          <w:p>
            <w:pPr>
              <w:pStyle w:val="TableParagraph"/>
              <w:tabs>
                <w:tab w:pos="1186" w:val="left" w:leader="none"/>
              </w:tabs>
              <w:spacing w:before="114"/>
              <w:ind w:right="60"/>
              <w:jc w:val="center"/>
              <w:rPr>
                <w:b/>
                <w:sz w:val="20"/>
              </w:rPr>
            </w:pPr>
            <w:r>
              <w:rPr>
                <w:b/>
                <w:sz w:val="20"/>
              </w:rPr>
              <w:t>ÇG</w:t>
              <w:tab/>
              <w:t>KG</w:t>
            </w:r>
          </w:p>
          <w:p>
            <w:pPr>
              <w:pStyle w:val="TableParagraph"/>
              <w:tabs>
                <w:tab w:pos="1231" w:val="left" w:leader="none"/>
              </w:tabs>
              <w:spacing w:before="115"/>
              <w:ind w:right="59"/>
              <w:jc w:val="center"/>
              <w:rPr>
                <w:b/>
                <w:sz w:val="20"/>
              </w:rPr>
            </w:pPr>
            <w:r>
              <w:rPr>
                <w:b/>
                <w:sz w:val="20"/>
              </w:rPr>
              <w:t>X±SS</w:t>
              <w:tab/>
              <w:t>X±SS</w:t>
            </w:r>
          </w:p>
        </w:tc>
        <w:tc>
          <w:tcPr>
            <w:tcW w:w="1233" w:type="dxa"/>
            <w:tcBorders>
              <w:top w:val="single" w:sz="12" w:space="0" w:color="008000"/>
              <w:bottom w:val="single" w:sz="6" w:space="0" w:color="008000"/>
            </w:tcBorders>
          </w:tcPr>
          <w:p>
            <w:pPr>
              <w:pStyle w:val="TableParagraph"/>
              <w:rPr>
                <w:sz w:val="22"/>
              </w:rPr>
            </w:pPr>
          </w:p>
          <w:p>
            <w:pPr>
              <w:pStyle w:val="TableParagraph"/>
              <w:spacing w:before="7"/>
              <w:rPr>
                <w:sz w:val="28"/>
              </w:rPr>
            </w:pPr>
          </w:p>
          <w:p>
            <w:pPr>
              <w:pStyle w:val="TableParagraph"/>
              <w:spacing w:before="1"/>
              <w:ind w:right="142"/>
              <w:jc w:val="center"/>
              <w:rPr>
                <w:b/>
                <w:sz w:val="20"/>
              </w:rPr>
            </w:pPr>
            <w:r>
              <w:rPr>
                <w:b/>
                <w:w w:val="99"/>
                <w:sz w:val="20"/>
              </w:rPr>
              <w:t>p</w:t>
            </w:r>
          </w:p>
        </w:tc>
      </w:tr>
      <w:tr>
        <w:trPr>
          <w:trHeight w:val="1306" w:hRule="atLeast"/>
        </w:trPr>
        <w:tc>
          <w:tcPr>
            <w:tcW w:w="1788" w:type="dxa"/>
            <w:tcBorders>
              <w:top w:val="single" w:sz="6" w:space="0" w:color="008000"/>
            </w:tcBorders>
          </w:tcPr>
          <w:p>
            <w:pPr>
              <w:pStyle w:val="TableParagraph"/>
              <w:spacing w:before="3"/>
              <w:rPr>
                <w:sz w:val="28"/>
              </w:rPr>
            </w:pPr>
          </w:p>
          <w:p>
            <w:pPr>
              <w:pStyle w:val="TableParagraph"/>
              <w:ind w:left="346" w:right="332" w:firstLine="38"/>
              <w:rPr>
                <w:sz w:val="20"/>
              </w:rPr>
            </w:pPr>
            <w:r>
              <w:rPr>
                <w:sz w:val="20"/>
              </w:rPr>
              <w:t>Durumluluk Kaygı Skoru</w:t>
            </w:r>
          </w:p>
        </w:tc>
        <w:tc>
          <w:tcPr>
            <w:tcW w:w="1351" w:type="dxa"/>
            <w:tcBorders>
              <w:top w:val="single" w:sz="6" w:space="0" w:color="008000"/>
            </w:tcBorders>
          </w:tcPr>
          <w:p>
            <w:pPr>
              <w:pStyle w:val="TableParagraph"/>
              <w:rPr>
                <w:sz w:val="22"/>
              </w:rPr>
            </w:pPr>
          </w:p>
          <w:p>
            <w:pPr>
              <w:pStyle w:val="TableParagraph"/>
              <w:spacing w:before="4"/>
              <w:rPr>
                <w:sz w:val="26"/>
              </w:rPr>
            </w:pPr>
          </w:p>
          <w:p>
            <w:pPr>
              <w:pStyle w:val="TableParagraph"/>
              <w:ind w:right="220"/>
              <w:jc w:val="right"/>
              <w:rPr>
                <w:sz w:val="20"/>
              </w:rPr>
            </w:pPr>
            <w:r>
              <w:rPr>
                <w:sz w:val="20"/>
              </w:rPr>
              <w:t>40,33±2,8</w:t>
            </w:r>
          </w:p>
        </w:tc>
        <w:tc>
          <w:tcPr>
            <w:tcW w:w="1545" w:type="dxa"/>
            <w:tcBorders>
              <w:top w:val="single" w:sz="6" w:space="0" w:color="008000"/>
            </w:tcBorders>
          </w:tcPr>
          <w:p>
            <w:pPr>
              <w:pStyle w:val="TableParagraph"/>
              <w:rPr>
                <w:sz w:val="22"/>
              </w:rPr>
            </w:pPr>
          </w:p>
          <w:p>
            <w:pPr>
              <w:pStyle w:val="TableParagraph"/>
              <w:spacing w:before="4"/>
              <w:rPr>
                <w:sz w:val="26"/>
              </w:rPr>
            </w:pPr>
          </w:p>
          <w:p>
            <w:pPr>
              <w:pStyle w:val="TableParagraph"/>
              <w:ind w:left="144" w:right="248"/>
              <w:jc w:val="center"/>
              <w:rPr>
                <w:sz w:val="20"/>
              </w:rPr>
            </w:pPr>
            <w:r>
              <w:rPr>
                <w:sz w:val="20"/>
              </w:rPr>
              <w:t>44,58±6,5</w:t>
            </w:r>
          </w:p>
        </w:tc>
        <w:tc>
          <w:tcPr>
            <w:tcW w:w="1124" w:type="dxa"/>
            <w:tcBorders>
              <w:top w:val="single" w:sz="6" w:space="0" w:color="008000"/>
            </w:tcBorders>
          </w:tcPr>
          <w:p>
            <w:pPr>
              <w:pStyle w:val="TableParagraph"/>
              <w:rPr>
                <w:sz w:val="22"/>
              </w:rPr>
            </w:pPr>
          </w:p>
          <w:p>
            <w:pPr>
              <w:pStyle w:val="TableParagraph"/>
              <w:spacing w:before="4"/>
              <w:rPr>
                <w:sz w:val="26"/>
              </w:rPr>
            </w:pPr>
          </w:p>
          <w:p>
            <w:pPr>
              <w:pStyle w:val="TableParagraph"/>
              <w:ind w:left="248" w:right="259"/>
              <w:jc w:val="center"/>
              <w:rPr>
                <w:sz w:val="13"/>
              </w:rPr>
            </w:pPr>
            <w:r>
              <w:rPr>
                <w:sz w:val="20"/>
              </w:rPr>
              <w:t>0.56</w:t>
            </w:r>
            <w:r>
              <w:rPr>
                <w:position w:val="6"/>
                <w:sz w:val="13"/>
              </w:rPr>
              <w:t>a</w:t>
            </w:r>
          </w:p>
        </w:tc>
        <w:tc>
          <w:tcPr>
            <w:tcW w:w="1558" w:type="dxa"/>
            <w:tcBorders>
              <w:top w:val="single" w:sz="6" w:space="0" w:color="008000"/>
            </w:tcBorders>
          </w:tcPr>
          <w:p>
            <w:pPr>
              <w:pStyle w:val="TableParagraph"/>
              <w:rPr>
                <w:sz w:val="22"/>
              </w:rPr>
            </w:pPr>
          </w:p>
          <w:p>
            <w:pPr>
              <w:pStyle w:val="TableParagraph"/>
              <w:spacing w:before="4"/>
              <w:rPr>
                <w:sz w:val="26"/>
              </w:rPr>
            </w:pPr>
          </w:p>
          <w:p>
            <w:pPr>
              <w:pStyle w:val="TableParagraph"/>
              <w:ind w:left="161" w:right="49"/>
              <w:jc w:val="center"/>
              <w:rPr>
                <w:sz w:val="20"/>
              </w:rPr>
            </w:pPr>
            <w:r>
              <w:rPr>
                <w:sz w:val="20"/>
              </w:rPr>
              <w:t>41,75±5,1</w:t>
            </w:r>
          </w:p>
        </w:tc>
        <w:tc>
          <w:tcPr>
            <w:tcW w:w="1557" w:type="dxa"/>
            <w:tcBorders>
              <w:top w:val="single" w:sz="6" w:space="0" w:color="008000"/>
            </w:tcBorders>
          </w:tcPr>
          <w:p>
            <w:pPr>
              <w:pStyle w:val="TableParagraph"/>
              <w:rPr>
                <w:sz w:val="22"/>
              </w:rPr>
            </w:pPr>
          </w:p>
          <w:p>
            <w:pPr>
              <w:pStyle w:val="TableParagraph"/>
              <w:spacing w:before="4"/>
              <w:rPr>
                <w:sz w:val="26"/>
              </w:rPr>
            </w:pPr>
          </w:p>
          <w:p>
            <w:pPr>
              <w:pStyle w:val="TableParagraph"/>
              <w:ind w:left="142" w:right="262"/>
              <w:jc w:val="center"/>
              <w:rPr>
                <w:sz w:val="20"/>
              </w:rPr>
            </w:pPr>
            <w:r>
              <w:rPr>
                <w:sz w:val="20"/>
              </w:rPr>
              <w:t>42,58±4,4</w:t>
            </w:r>
          </w:p>
        </w:tc>
        <w:tc>
          <w:tcPr>
            <w:tcW w:w="1176" w:type="dxa"/>
            <w:tcBorders>
              <w:top w:val="single" w:sz="6" w:space="0" w:color="008000"/>
            </w:tcBorders>
          </w:tcPr>
          <w:p>
            <w:pPr>
              <w:pStyle w:val="TableParagraph"/>
              <w:rPr>
                <w:sz w:val="22"/>
              </w:rPr>
            </w:pPr>
          </w:p>
          <w:p>
            <w:pPr>
              <w:pStyle w:val="TableParagraph"/>
              <w:spacing w:before="4"/>
              <w:rPr>
                <w:sz w:val="26"/>
              </w:rPr>
            </w:pPr>
          </w:p>
          <w:p>
            <w:pPr>
              <w:pStyle w:val="TableParagraph"/>
              <w:ind w:left="260" w:right="302"/>
              <w:jc w:val="center"/>
              <w:rPr>
                <w:sz w:val="13"/>
              </w:rPr>
            </w:pPr>
            <w:r>
              <w:rPr>
                <w:sz w:val="20"/>
              </w:rPr>
              <w:t>0.674</w:t>
            </w:r>
            <w:r>
              <w:rPr>
                <w:position w:val="6"/>
                <w:sz w:val="13"/>
              </w:rPr>
              <w:t>a</w:t>
            </w:r>
          </w:p>
        </w:tc>
        <w:tc>
          <w:tcPr>
            <w:tcW w:w="1395" w:type="dxa"/>
            <w:tcBorders>
              <w:top w:val="single" w:sz="6" w:space="0" w:color="008000"/>
            </w:tcBorders>
          </w:tcPr>
          <w:p>
            <w:pPr>
              <w:pStyle w:val="TableParagraph"/>
              <w:rPr>
                <w:sz w:val="22"/>
              </w:rPr>
            </w:pPr>
          </w:p>
          <w:p>
            <w:pPr>
              <w:pStyle w:val="TableParagraph"/>
              <w:spacing w:before="4"/>
              <w:rPr>
                <w:sz w:val="26"/>
              </w:rPr>
            </w:pPr>
          </w:p>
          <w:p>
            <w:pPr>
              <w:pStyle w:val="TableParagraph"/>
              <w:ind w:left="296" w:right="169"/>
              <w:jc w:val="center"/>
              <w:rPr>
                <w:sz w:val="20"/>
              </w:rPr>
            </w:pPr>
            <w:r>
              <w:rPr>
                <w:sz w:val="20"/>
              </w:rPr>
              <w:t>41,75±4,8</w:t>
            </w:r>
          </w:p>
        </w:tc>
        <w:tc>
          <w:tcPr>
            <w:tcW w:w="1558" w:type="dxa"/>
            <w:tcBorders>
              <w:top w:val="single" w:sz="6" w:space="0" w:color="008000"/>
            </w:tcBorders>
          </w:tcPr>
          <w:p>
            <w:pPr>
              <w:pStyle w:val="TableParagraph"/>
              <w:rPr>
                <w:sz w:val="22"/>
              </w:rPr>
            </w:pPr>
          </w:p>
          <w:p>
            <w:pPr>
              <w:pStyle w:val="TableParagraph"/>
              <w:spacing w:before="4"/>
              <w:rPr>
                <w:sz w:val="26"/>
              </w:rPr>
            </w:pPr>
          </w:p>
          <w:p>
            <w:pPr>
              <w:pStyle w:val="TableParagraph"/>
              <w:ind w:left="66" w:right="147"/>
              <w:jc w:val="center"/>
              <w:rPr>
                <w:sz w:val="20"/>
              </w:rPr>
            </w:pPr>
            <w:r>
              <w:rPr>
                <w:sz w:val="20"/>
              </w:rPr>
              <w:t>45±2,7</w:t>
            </w:r>
          </w:p>
        </w:tc>
        <w:tc>
          <w:tcPr>
            <w:tcW w:w="1233" w:type="dxa"/>
            <w:tcBorders>
              <w:top w:val="single" w:sz="6" w:space="0" w:color="008000"/>
            </w:tcBorders>
          </w:tcPr>
          <w:p>
            <w:pPr>
              <w:pStyle w:val="TableParagraph"/>
              <w:rPr>
                <w:sz w:val="22"/>
              </w:rPr>
            </w:pPr>
          </w:p>
          <w:p>
            <w:pPr>
              <w:pStyle w:val="TableParagraph"/>
              <w:spacing w:before="4"/>
              <w:rPr>
                <w:sz w:val="26"/>
              </w:rPr>
            </w:pPr>
          </w:p>
          <w:p>
            <w:pPr>
              <w:pStyle w:val="TableParagraph"/>
              <w:ind w:left="238" w:right="381"/>
              <w:jc w:val="center"/>
              <w:rPr>
                <w:sz w:val="13"/>
              </w:rPr>
            </w:pPr>
            <w:r>
              <w:rPr>
                <w:sz w:val="20"/>
              </w:rPr>
              <w:t>0.059</w:t>
            </w:r>
            <w:r>
              <w:rPr>
                <w:position w:val="6"/>
                <w:sz w:val="13"/>
              </w:rPr>
              <w:t>a</w:t>
            </w:r>
          </w:p>
        </w:tc>
      </w:tr>
      <w:tr>
        <w:trPr>
          <w:trHeight w:val="1507" w:hRule="atLeast"/>
        </w:trPr>
        <w:tc>
          <w:tcPr>
            <w:tcW w:w="1788" w:type="dxa"/>
          </w:tcPr>
          <w:p>
            <w:pPr>
              <w:pStyle w:val="TableParagraph"/>
              <w:rPr>
                <w:sz w:val="22"/>
              </w:rPr>
            </w:pPr>
          </w:p>
          <w:p>
            <w:pPr>
              <w:pStyle w:val="TableParagraph"/>
              <w:spacing w:before="6"/>
              <w:rPr>
                <w:sz w:val="22"/>
              </w:rPr>
            </w:pPr>
          </w:p>
          <w:p>
            <w:pPr>
              <w:pStyle w:val="TableParagraph"/>
              <w:spacing w:before="1"/>
              <w:ind w:left="629" w:right="192" w:hanging="421"/>
              <w:rPr>
                <w:sz w:val="20"/>
              </w:rPr>
            </w:pPr>
            <w:r>
              <w:rPr>
                <w:sz w:val="20"/>
              </w:rPr>
              <w:t>Süreklilik Kaygı Skoru</w:t>
            </w:r>
          </w:p>
        </w:tc>
        <w:tc>
          <w:tcPr>
            <w:tcW w:w="1351" w:type="dxa"/>
          </w:tcPr>
          <w:p>
            <w:pPr>
              <w:pStyle w:val="TableParagraph"/>
              <w:rPr>
                <w:sz w:val="22"/>
              </w:rPr>
            </w:pPr>
          </w:p>
          <w:p>
            <w:pPr>
              <w:pStyle w:val="TableParagraph"/>
              <w:spacing w:before="7"/>
              <w:rPr>
                <w:sz w:val="32"/>
              </w:rPr>
            </w:pPr>
          </w:p>
          <w:p>
            <w:pPr>
              <w:pStyle w:val="TableParagraph"/>
              <w:ind w:right="220"/>
              <w:jc w:val="right"/>
              <w:rPr>
                <w:sz w:val="20"/>
              </w:rPr>
            </w:pPr>
            <w:r>
              <w:rPr>
                <w:sz w:val="20"/>
              </w:rPr>
              <w:t>45,16±6,1</w:t>
            </w:r>
          </w:p>
        </w:tc>
        <w:tc>
          <w:tcPr>
            <w:tcW w:w="1545" w:type="dxa"/>
          </w:tcPr>
          <w:p>
            <w:pPr>
              <w:pStyle w:val="TableParagraph"/>
              <w:rPr>
                <w:sz w:val="22"/>
              </w:rPr>
            </w:pPr>
          </w:p>
          <w:p>
            <w:pPr>
              <w:pStyle w:val="TableParagraph"/>
              <w:spacing w:before="7"/>
              <w:rPr>
                <w:sz w:val="32"/>
              </w:rPr>
            </w:pPr>
          </w:p>
          <w:p>
            <w:pPr>
              <w:pStyle w:val="TableParagraph"/>
              <w:ind w:left="145" w:right="248"/>
              <w:jc w:val="center"/>
              <w:rPr>
                <w:sz w:val="20"/>
              </w:rPr>
            </w:pPr>
            <w:r>
              <w:rPr>
                <w:sz w:val="20"/>
              </w:rPr>
              <w:t>47,3±5,3</w:t>
            </w:r>
          </w:p>
        </w:tc>
        <w:tc>
          <w:tcPr>
            <w:tcW w:w="1124" w:type="dxa"/>
          </w:tcPr>
          <w:p>
            <w:pPr>
              <w:pStyle w:val="TableParagraph"/>
              <w:rPr>
                <w:sz w:val="22"/>
              </w:rPr>
            </w:pPr>
          </w:p>
          <w:p>
            <w:pPr>
              <w:pStyle w:val="TableParagraph"/>
              <w:spacing w:before="7"/>
              <w:rPr>
                <w:sz w:val="32"/>
              </w:rPr>
            </w:pPr>
          </w:p>
          <w:p>
            <w:pPr>
              <w:pStyle w:val="TableParagraph"/>
              <w:ind w:left="248" w:right="262"/>
              <w:jc w:val="center"/>
              <w:rPr>
                <w:sz w:val="13"/>
              </w:rPr>
            </w:pPr>
            <w:r>
              <w:rPr>
                <w:sz w:val="20"/>
              </w:rPr>
              <w:t>0.367</w:t>
            </w:r>
            <w:r>
              <w:rPr>
                <w:position w:val="6"/>
                <w:sz w:val="13"/>
              </w:rPr>
              <w:t>a</w:t>
            </w:r>
          </w:p>
        </w:tc>
        <w:tc>
          <w:tcPr>
            <w:tcW w:w="1558" w:type="dxa"/>
          </w:tcPr>
          <w:p>
            <w:pPr>
              <w:pStyle w:val="TableParagraph"/>
              <w:rPr>
                <w:sz w:val="22"/>
              </w:rPr>
            </w:pPr>
          </w:p>
          <w:p>
            <w:pPr>
              <w:pStyle w:val="TableParagraph"/>
              <w:spacing w:before="7"/>
              <w:rPr>
                <w:sz w:val="32"/>
              </w:rPr>
            </w:pPr>
          </w:p>
          <w:p>
            <w:pPr>
              <w:pStyle w:val="TableParagraph"/>
              <w:ind w:left="161" w:right="49"/>
              <w:jc w:val="center"/>
              <w:rPr>
                <w:sz w:val="20"/>
              </w:rPr>
            </w:pPr>
            <w:r>
              <w:rPr>
                <w:sz w:val="20"/>
              </w:rPr>
              <w:t>48,91±4,5</w:t>
            </w:r>
          </w:p>
        </w:tc>
        <w:tc>
          <w:tcPr>
            <w:tcW w:w="1557" w:type="dxa"/>
          </w:tcPr>
          <w:p>
            <w:pPr>
              <w:pStyle w:val="TableParagraph"/>
              <w:rPr>
                <w:sz w:val="22"/>
              </w:rPr>
            </w:pPr>
          </w:p>
          <w:p>
            <w:pPr>
              <w:pStyle w:val="TableParagraph"/>
              <w:spacing w:before="7"/>
              <w:rPr>
                <w:sz w:val="32"/>
              </w:rPr>
            </w:pPr>
          </w:p>
          <w:p>
            <w:pPr>
              <w:pStyle w:val="TableParagraph"/>
              <w:ind w:left="142" w:right="262"/>
              <w:jc w:val="center"/>
              <w:rPr>
                <w:sz w:val="20"/>
              </w:rPr>
            </w:pPr>
            <w:r>
              <w:rPr>
                <w:sz w:val="20"/>
              </w:rPr>
              <w:t>45,58±5,2</w:t>
            </w:r>
          </w:p>
        </w:tc>
        <w:tc>
          <w:tcPr>
            <w:tcW w:w="1176" w:type="dxa"/>
          </w:tcPr>
          <w:p>
            <w:pPr>
              <w:pStyle w:val="TableParagraph"/>
              <w:rPr>
                <w:sz w:val="22"/>
              </w:rPr>
            </w:pPr>
          </w:p>
          <w:p>
            <w:pPr>
              <w:pStyle w:val="TableParagraph"/>
              <w:spacing w:before="7"/>
              <w:rPr>
                <w:sz w:val="32"/>
              </w:rPr>
            </w:pPr>
          </w:p>
          <w:p>
            <w:pPr>
              <w:pStyle w:val="TableParagraph"/>
              <w:ind w:left="260" w:right="302"/>
              <w:jc w:val="center"/>
              <w:rPr>
                <w:sz w:val="13"/>
              </w:rPr>
            </w:pPr>
            <w:r>
              <w:rPr>
                <w:sz w:val="20"/>
              </w:rPr>
              <w:t>0.112</w:t>
            </w:r>
            <w:r>
              <w:rPr>
                <w:position w:val="6"/>
                <w:sz w:val="13"/>
              </w:rPr>
              <w:t>a</w:t>
            </w:r>
          </w:p>
        </w:tc>
        <w:tc>
          <w:tcPr>
            <w:tcW w:w="1395" w:type="dxa"/>
          </w:tcPr>
          <w:p>
            <w:pPr>
              <w:pStyle w:val="TableParagraph"/>
              <w:rPr>
                <w:sz w:val="22"/>
              </w:rPr>
            </w:pPr>
          </w:p>
          <w:p>
            <w:pPr>
              <w:pStyle w:val="TableParagraph"/>
              <w:spacing w:before="7"/>
              <w:rPr>
                <w:sz w:val="32"/>
              </w:rPr>
            </w:pPr>
          </w:p>
          <w:p>
            <w:pPr>
              <w:pStyle w:val="TableParagraph"/>
              <w:ind w:left="296" w:right="169"/>
              <w:jc w:val="center"/>
              <w:rPr>
                <w:sz w:val="20"/>
              </w:rPr>
            </w:pPr>
            <w:r>
              <w:rPr>
                <w:sz w:val="20"/>
              </w:rPr>
              <w:t>45±4,2</w:t>
            </w:r>
          </w:p>
        </w:tc>
        <w:tc>
          <w:tcPr>
            <w:tcW w:w="1558" w:type="dxa"/>
          </w:tcPr>
          <w:p>
            <w:pPr>
              <w:pStyle w:val="TableParagraph"/>
              <w:rPr>
                <w:sz w:val="22"/>
              </w:rPr>
            </w:pPr>
          </w:p>
          <w:p>
            <w:pPr>
              <w:pStyle w:val="TableParagraph"/>
              <w:spacing w:before="7"/>
              <w:rPr>
                <w:sz w:val="32"/>
              </w:rPr>
            </w:pPr>
          </w:p>
          <w:p>
            <w:pPr>
              <w:pStyle w:val="TableParagraph"/>
              <w:ind w:left="66" w:right="147"/>
              <w:jc w:val="center"/>
              <w:rPr>
                <w:sz w:val="20"/>
              </w:rPr>
            </w:pPr>
            <w:r>
              <w:rPr>
                <w:sz w:val="20"/>
              </w:rPr>
              <w:t>45,41±3,7</w:t>
            </w:r>
          </w:p>
        </w:tc>
        <w:tc>
          <w:tcPr>
            <w:tcW w:w="1233" w:type="dxa"/>
          </w:tcPr>
          <w:p>
            <w:pPr>
              <w:pStyle w:val="TableParagraph"/>
              <w:rPr>
                <w:sz w:val="22"/>
              </w:rPr>
            </w:pPr>
          </w:p>
          <w:p>
            <w:pPr>
              <w:pStyle w:val="TableParagraph"/>
              <w:spacing w:before="7"/>
              <w:rPr>
                <w:sz w:val="32"/>
              </w:rPr>
            </w:pPr>
          </w:p>
          <w:p>
            <w:pPr>
              <w:pStyle w:val="TableParagraph"/>
              <w:ind w:left="238" w:right="381"/>
              <w:jc w:val="center"/>
              <w:rPr>
                <w:sz w:val="13"/>
              </w:rPr>
            </w:pPr>
            <w:r>
              <w:rPr>
                <w:sz w:val="20"/>
              </w:rPr>
              <w:t>0.801</w:t>
            </w:r>
            <w:r>
              <w:rPr>
                <w:position w:val="6"/>
                <w:sz w:val="13"/>
              </w:rPr>
              <w:t>a</w:t>
            </w:r>
          </w:p>
        </w:tc>
      </w:tr>
      <w:tr>
        <w:trPr>
          <w:trHeight w:val="1334" w:hRule="atLeast"/>
        </w:trPr>
        <w:tc>
          <w:tcPr>
            <w:tcW w:w="1788" w:type="dxa"/>
          </w:tcPr>
          <w:p>
            <w:pPr>
              <w:pStyle w:val="TableParagraph"/>
              <w:rPr>
                <w:sz w:val="22"/>
              </w:rPr>
            </w:pPr>
          </w:p>
          <w:p>
            <w:pPr>
              <w:pStyle w:val="TableParagraph"/>
              <w:spacing w:before="9"/>
              <w:rPr>
                <w:sz w:val="23"/>
              </w:rPr>
            </w:pPr>
          </w:p>
          <w:p>
            <w:pPr>
              <w:pStyle w:val="TableParagraph"/>
              <w:ind w:left="160" w:right="161"/>
              <w:jc w:val="center"/>
              <w:rPr>
                <w:sz w:val="20"/>
              </w:rPr>
            </w:pPr>
            <w:r>
              <w:rPr>
                <w:position w:val="1"/>
                <w:sz w:val="20"/>
              </w:rPr>
              <w:t>MİP (cmH</w:t>
            </w:r>
            <w:r>
              <w:rPr>
                <w:sz w:val="13"/>
              </w:rPr>
              <w:t>2</w:t>
            </w:r>
            <w:r>
              <w:rPr>
                <w:position w:val="1"/>
                <w:sz w:val="20"/>
              </w:rPr>
              <w:t>O)</w:t>
            </w:r>
          </w:p>
        </w:tc>
        <w:tc>
          <w:tcPr>
            <w:tcW w:w="1351" w:type="dxa"/>
          </w:tcPr>
          <w:p>
            <w:pPr>
              <w:pStyle w:val="TableParagraph"/>
              <w:rPr>
                <w:sz w:val="22"/>
              </w:rPr>
            </w:pPr>
          </w:p>
          <w:p>
            <w:pPr>
              <w:pStyle w:val="TableParagraph"/>
              <w:spacing w:before="9"/>
              <w:rPr>
                <w:sz w:val="23"/>
              </w:rPr>
            </w:pPr>
          </w:p>
          <w:p>
            <w:pPr>
              <w:pStyle w:val="TableParagraph"/>
              <w:ind w:right="165"/>
              <w:jc w:val="right"/>
              <w:rPr>
                <w:sz w:val="20"/>
              </w:rPr>
            </w:pPr>
            <w:r>
              <w:rPr>
                <w:sz w:val="20"/>
              </w:rPr>
              <w:t>73,25±20,7</w:t>
            </w:r>
          </w:p>
        </w:tc>
        <w:tc>
          <w:tcPr>
            <w:tcW w:w="1545" w:type="dxa"/>
          </w:tcPr>
          <w:p>
            <w:pPr>
              <w:pStyle w:val="TableParagraph"/>
              <w:rPr>
                <w:sz w:val="22"/>
              </w:rPr>
            </w:pPr>
          </w:p>
          <w:p>
            <w:pPr>
              <w:pStyle w:val="TableParagraph"/>
              <w:spacing w:before="9"/>
              <w:rPr>
                <w:sz w:val="23"/>
              </w:rPr>
            </w:pPr>
          </w:p>
          <w:p>
            <w:pPr>
              <w:pStyle w:val="TableParagraph"/>
              <w:ind w:left="145" w:right="248"/>
              <w:jc w:val="center"/>
              <w:rPr>
                <w:sz w:val="20"/>
              </w:rPr>
            </w:pPr>
            <w:r>
              <w:rPr>
                <w:sz w:val="20"/>
              </w:rPr>
              <w:t>67,5±34,3</w:t>
            </w:r>
          </w:p>
        </w:tc>
        <w:tc>
          <w:tcPr>
            <w:tcW w:w="1124" w:type="dxa"/>
          </w:tcPr>
          <w:p>
            <w:pPr>
              <w:pStyle w:val="TableParagraph"/>
              <w:rPr>
                <w:sz w:val="22"/>
              </w:rPr>
            </w:pPr>
          </w:p>
          <w:p>
            <w:pPr>
              <w:pStyle w:val="TableParagraph"/>
              <w:spacing w:before="9"/>
              <w:rPr>
                <w:sz w:val="23"/>
              </w:rPr>
            </w:pPr>
          </w:p>
          <w:p>
            <w:pPr>
              <w:pStyle w:val="TableParagraph"/>
              <w:ind w:left="248" w:right="262"/>
              <w:jc w:val="center"/>
              <w:rPr>
                <w:sz w:val="13"/>
              </w:rPr>
            </w:pPr>
            <w:r>
              <w:rPr>
                <w:sz w:val="20"/>
              </w:rPr>
              <w:t>0.625</w:t>
            </w:r>
            <w:r>
              <w:rPr>
                <w:position w:val="6"/>
                <w:sz w:val="13"/>
              </w:rPr>
              <w:t>a</w:t>
            </w:r>
          </w:p>
        </w:tc>
        <w:tc>
          <w:tcPr>
            <w:tcW w:w="1558" w:type="dxa"/>
          </w:tcPr>
          <w:p>
            <w:pPr>
              <w:pStyle w:val="TableParagraph"/>
              <w:rPr>
                <w:sz w:val="22"/>
              </w:rPr>
            </w:pPr>
          </w:p>
          <w:p>
            <w:pPr>
              <w:pStyle w:val="TableParagraph"/>
              <w:spacing w:before="9"/>
              <w:rPr>
                <w:sz w:val="23"/>
              </w:rPr>
            </w:pPr>
          </w:p>
          <w:p>
            <w:pPr>
              <w:pStyle w:val="TableParagraph"/>
              <w:ind w:left="161" w:right="48"/>
              <w:jc w:val="center"/>
              <w:rPr>
                <w:sz w:val="20"/>
              </w:rPr>
            </w:pPr>
            <w:r>
              <w:rPr>
                <w:sz w:val="20"/>
              </w:rPr>
              <w:t>38,91±20,26</w:t>
            </w:r>
          </w:p>
        </w:tc>
        <w:tc>
          <w:tcPr>
            <w:tcW w:w="1557" w:type="dxa"/>
          </w:tcPr>
          <w:p>
            <w:pPr>
              <w:pStyle w:val="TableParagraph"/>
              <w:rPr>
                <w:sz w:val="22"/>
              </w:rPr>
            </w:pPr>
          </w:p>
          <w:p>
            <w:pPr>
              <w:pStyle w:val="TableParagraph"/>
              <w:spacing w:before="9"/>
              <w:rPr>
                <w:sz w:val="23"/>
              </w:rPr>
            </w:pPr>
          </w:p>
          <w:p>
            <w:pPr>
              <w:pStyle w:val="TableParagraph"/>
              <w:ind w:left="144" w:right="262"/>
              <w:jc w:val="center"/>
              <w:rPr>
                <w:sz w:val="20"/>
              </w:rPr>
            </w:pPr>
            <w:r>
              <w:rPr>
                <w:sz w:val="20"/>
              </w:rPr>
              <w:t>33,83±14,96</w:t>
            </w:r>
          </w:p>
        </w:tc>
        <w:tc>
          <w:tcPr>
            <w:tcW w:w="1176" w:type="dxa"/>
          </w:tcPr>
          <w:p>
            <w:pPr>
              <w:pStyle w:val="TableParagraph"/>
              <w:rPr>
                <w:sz w:val="22"/>
              </w:rPr>
            </w:pPr>
          </w:p>
          <w:p>
            <w:pPr>
              <w:pStyle w:val="TableParagraph"/>
              <w:spacing w:before="9"/>
              <w:rPr>
                <w:sz w:val="23"/>
              </w:rPr>
            </w:pPr>
          </w:p>
          <w:p>
            <w:pPr>
              <w:pStyle w:val="TableParagraph"/>
              <w:ind w:left="260" w:right="302"/>
              <w:jc w:val="center"/>
              <w:rPr>
                <w:sz w:val="13"/>
              </w:rPr>
            </w:pPr>
            <w:r>
              <w:rPr>
                <w:sz w:val="20"/>
              </w:rPr>
              <w:t>0.492</w:t>
            </w:r>
            <w:r>
              <w:rPr>
                <w:position w:val="6"/>
                <w:sz w:val="13"/>
              </w:rPr>
              <w:t>a</w:t>
            </w:r>
          </w:p>
        </w:tc>
        <w:tc>
          <w:tcPr>
            <w:tcW w:w="1395" w:type="dxa"/>
          </w:tcPr>
          <w:p>
            <w:pPr>
              <w:pStyle w:val="TableParagraph"/>
              <w:rPr>
                <w:sz w:val="22"/>
              </w:rPr>
            </w:pPr>
          </w:p>
          <w:p>
            <w:pPr>
              <w:pStyle w:val="TableParagraph"/>
              <w:spacing w:before="9"/>
              <w:rPr>
                <w:sz w:val="23"/>
              </w:rPr>
            </w:pPr>
          </w:p>
          <w:p>
            <w:pPr>
              <w:pStyle w:val="TableParagraph"/>
              <w:ind w:left="296" w:right="168"/>
              <w:jc w:val="center"/>
              <w:rPr>
                <w:sz w:val="20"/>
              </w:rPr>
            </w:pPr>
            <w:r>
              <w:rPr>
                <w:sz w:val="20"/>
              </w:rPr>
              <w:t>57,5±26,7</w:t>
            </w:r>
          </w:p>
        </w:tc>
        <w:tc>
          <w:tcPr>
            <w:tcW w:w="1558" w:type="dxa"/>
          </w:tcPr>
          <w:p>
            <w:pPr>
              <w:pStyle w:val="TableParagraph"/>
              <w:rPr>
                <w:sz w:val="22"/>
              </w:rPr>
            </w:pPr>
          </w:p>
          <w:p>
            <w:pPr>
              <w:pStyle w:val="TableParagraph"/>
              <w:spacing w:before="9"/>
              <w:rPr>
                <w:sz w:val="23"/>
              </w:rPr>
            </w:pPr>
          </w:p>
          <w:p>
            <w:pPr>
              <w:pStyle w:val="TableParagraph"/>
              <w:ind w:left="66" w:right="147"/>
              <w:jc w:val="center"/>
              <w:rPr>
                <w:sz w:val="20"/>
              </w:rPr>
            </w:pPr>
            <w:r>
              <w:rPr>
                <w:sz w:val="20"/>
              </w:rPr>
              <w:t>53,33±23,7</w:t>
            </w:r>
          </w:p>
        </w:tc>
        <w:tc>
          <w:tcPr>
            <w:tcW w:w="1233" w:type="dxa"/>
          </w:tcPr>
          <w:p>
            <w:pPr>
              <w:pStyle w:val="TableParagraph"/>
              <w:rPr>
                <w:sz w:val="22"/>
              </w:rPr>
            </w:pPr>
          </w:p>
          <w:p>
            <w:pPr>
              <w:pStyle w:val="TableParagraph"/>
              <w:spacing w:before="9"/>
              <w:rPr>
                <w:sz w:val="23"/>
              </w:rPr>
            </w:pPr>
          </w:p>
          <w:p>
            <w:pPr>
              <w:pStyle w:val="TableParagraph"/>
              <w:ind w:left="238" w:right="381"/>
              <w:jc w:val="center"/>
              <w:rPr>
                <w:sz w:val="13"/>
              </w:rPr>
            </w:pPr>
            <w:r>
              <w:rPr>
                <w:sz w:val="20"/>
              </w:rPr>
              <w:t>0.403</w:t>
            </w:r>
            <w:r>
              <w:rPr>
                <w:position w:val="6"/>
                <w:sz w:val="13"/>
              </w:rPr>
              <w:t>a</w:t>
            </w:r>
          </w:p>
        </w:tc>
      </w:tr>
      <w:tr>
        <w:trPr>
          <w:trHeight w:val="800" w:hRule="atLeast"/>
        </w:trPr>
        <w:tc>
          <w:tcPr>
            <w:tcW w:w="1788" w:type="dxa"/>
          </w:tcPr>
          <w:p>
            <w:pPr>
              <w:pStyle w:val="TableParagraph"/>
              <w:rPr>
                <w:sz w:val="22"/>
              </w:rPr>
            </w:pPr>
          </w:p>
          <w:p>
            <w:pPr>
              <w:pStyle w:val="TableParagraph"/>
              <w:spacing w:before="6"/>
              <w:rPr>
                <w:sz w:val="27"/>
              </w:rPr>
            </w:pPr>
          </w:p>
          <w:p>
            <w:pPr>
              <w:pStyle w:val="TableParagraph"/>
              <w:spacing w:line="210" w:lineRule="exact"/>
              <w:ind w:left="160" w:right="161"/>
              <w:jc w:val="center"/>
              <w:rPr>
                <w:sz w:val="20"/>
              </w:rPr>
            </w:pPr>
            <w:r>
              <w:rPr>
                <w:position w:val="1"/>
                <w:sz w:val="20"/>
              </w:rPr>
              <w:t>MEP (cmH</w:t>
            </w:r>
            <w:r>
              <w:rPr>
                <w:sz w:val="13"/>
              </w:rPr>
              <w:t>2</w:t>
            </w:r>
            <w:r>
              <w:rPr>
                <w:position w:val="1"/>
                <w:sz w:val="20"/>
              </w:rPr>
              <w:t>O)</w:t>
            </w:r>
          </w:p>
        </w:tc>
        <w:tc>
          <w:tcPr>
            <w:tcW w:w="1351" w:type="dxa"/>
          </w:tcPr>
          <w:p>
            <w:pPr>
              <w:pStyle w:val="TableParagraph"/>
              <w:rPr>
                <w:sz w:val="22"/>
              </w:rPr>
            </w:pPr>
          </w:p>
          <w:p>
            <w:pPr>
              <w:pStyle w:val="TableParagraph"/>
              <w:spacing w:before="7"/>
              <w:rPr>
                <w:sz w:val="27"/>
              </w:rPr>
            </w:pPr>
          </w:p>
          <w:p>
            <w:pPr>
              <w:pStyle w:val="TableParagraph"/>
              <w:spacing w:line="210" w:lineRule="exact"/>
              <w:ind w:right="249"/>
              <w:jc w:val="right"/>
              <w:rPr>
                <w:sz w:val="20"/>
              </w:rPr>
            </w:pPr>
            <w:r>
              <w:rPr>
                <w:sz w:val="20"/>
              </w:rPr>
              <w:t>77±24,17</w:t>
            </w:r>
          </w:p>
        </w:tc>
        <w:tc>
          <w:tcPr>
            <w:tcW w:w="1545" w:type="dxa"/>
          </w:tcPr>
          <w:p>
            <w:pPr>
              <w:pStyle w:val="TableParagraph"/>
              <w:rPr>
                <w:sz w:val="22"/>
              </w:rPr>
            </w:pPr>
          </w:p>
          <w:p>
            <w:pPr>
              <w:pStyle w:val="TableParagraph"/>
              <w:spacing w:before="7"/>
              <w:rPr>
                <w:sz w:val="27"/>
              </w:rPr>
            </w:pPr>
          </w:p>
          <w:p>
            <w:pPr>
              <w:pStyle w:val="TableParagraph"/>
              <w:spacing w:line="210" w:lineRule="exact"/>
              <w:ind w:left="146" w:right="248"/>
              <w:jc w:val="center"/>
              <w:rPr>
                <w:sz w:val="20"/>
              </w:rPr>
            </w:pPr>
            <w:r>
              <w:rPr>
                <w:sz w:val="20"/>
              </w:rPr>
              <w:t>69,75±28,93</w:t>
            </w:r>
          </w:p>
        </w:tc>
        <w:tc>
          <w:tcPr>
            <w:tcW w:w="1124" w:type="dxa"/>
          </w:tcPr>
          <w:p>
            <w:pPr>
              <w:pStyle w:val="TableParagraph"/>
              <w:rPr>
                <w:sz w:val="22"/>
              </w:rPr>
            </w:pPr>
          </w:p>
          <w:p>
            <w:pPr>
              <w:pStyle w:val="TableParagraph"/>
              <w:spacing w:before="7"/>
              <w:rPr>
                <w:sz w:val="27"/>
              </w:rPr>
            </w:pPr>
          </w:p>
          <w:p>
            <w:pPr>
              <w:pStyle w:val="TableParagraph"/>
              <w:spacing w:line="210" w:lineRule="exact"/>
              <w:ind w:left="248" w:right="262"/>
              <w:jc w:val="center"/>
              <w:rPr>
                <w:sz w:val="13"/>
              </w:rPr>
            </w:pPr>
            <w:r>
              <w:rPr>
                <w:sz w:val="20"/>
              </w:rPr>
              <w:t>0.512</w:t>
            </w:r>
            <w:r>
              <w:rPr>
                <w:position w:val="6"/>
                <w:sz w:val="13"/>
              </w:rPr>
              <w:t>a</w:t>
            </w:r>
          </w:p>
        </w:tc>
        <w:tc>
          <w:tcPr>
            <w:tcW w:w="1558" w:type="dxa"/>
          </w:tcPr>
          <w:p>
            <w:pPr>
              <w:pStyle w:val="TableParagraph"/>
              <w:rPr>
                <w:sz w:val="22"/>
              </w:rPr>
            </w:pPr>
          </w:p>
          <w:p>
            <w:pPr>
              <w:pStyle w:val="TableParagraph"/>
              <w:spacing w:before="7"/>
              <w:rPr>
                <w:sz w:val="27"/>
              </w:rPr>
            </w:pPr>
          </w:p>
          <w:p>
            <w:pPr>
              <w:pStyle w:val="TableParagraph"/>
              <w:spacing w:line="210" w:lineRule="exact"/>
              <w:ind w:left="161" w:right="48"/>
              <w:jc w:val="center"/>
              <w:rPr>
                <w:sz w:val="20"/>
              </w:rPr>
            </w:pPr>
            <w:r>
              <w:rPr>
                <w:sz w:val="20"/>
              </w:rPr>
              <w:t>34,83±17,18</w:t>
            </w:r>
          </w:p>
        </w:tc>
        <w:tc>
          <w:tcPr>
            <w:tcW w:w="1557" w:type="dxa"/>
          </w:tcPr>
          <w:p>
            <w:pPr>
              <w:pStyle w:val="TableParagraph"/>
              <w:rPr>
                <w:sz w:val="22"/>
              </w:rPr>
            </w:pPr>
          </w:p>
          <w:p>
            <w:pPr>
              <w:pStyle w:val="TableParagraph"/>
              <w:spacing w:before="7"/>
              <w:rPr>
                <w:sz w:val="27"/>
              </w:rPr>
            </w:pPr>
          </w:p>
          <w:p>
            <w:pPr>
              <w:pStyle w:val="TableParagraph"/>
              <w:spacing w:line="210" w:lineRule="exact"/>
              <w:ind w:left="142" w:right="262"/>
              <w:jc w:val="center"/>
              <w:rPr>
                <w:sz w:val="20"/>
              </w:rPr>
            </w:pPr>
            <w:r>
              <w:rPr>
                <w:sz w:val="20"/>
              </w:rPr>
              <w:t>27,25±7,88</w:t>
            </w:r>
          </w:p>
        </w:tc>
        <w:tc>
          <w:tcPr>
            <w:tcW w:w="1176" w:type="dxa"/>
          </w:tcPr>
          <w:p>
            <w:pPr>
              <w:pStyle w:val="TableParagraph"/>
              <w:rPr>
                <w:sz w:val="22"/>
              </w:rPr>
            </w:pPr>
          </w:p>
          <w:p>
            <w:pPr>
              <w:pStyle w:val="TableParagraph"/>
              <w:spacing w:before="7"/>
              <w:rPr>
                <w:sz w:val="27"/>
              </w:rPr>
            </w:pPr>
          </w:p>
          <w:p>
            <w:pPr>
              <w:pStyle w:val="TableParagraph"/>
              <w:spacing w:line="210" w:lineRule="exact"/>
              <w:ind w:left="260" w:right="302"/>
              <w:jc w:val="center"/>
              <w:rPr>
                <w:sz w:val="13"/>
              </w:rPr>
            </w:pPr>
            <w:r>
              <w:rPr>
                <w:sz w:val="20"/>
              </w:rPr>
              <w:t>0.355</w:t>
            </w:r>
            <w:r>
              <w:rPr>
                <w:position w:val="6"/>
                <w:sz w:val="13"/>
              </w:rPr>
              <w:t>b</w:t>
            </w:r>
          </w:p>
        </w:tc>
        <w:tc>
          <w:tcPr>
            <w:tcW w:w="1395" w:type="dxa"/>
          </w:tcPr>
          <w:p>
            <w:pPr>
              <w:pStyle w:val="TableParagraph"/>
              <w:rPr>
                <w:sz w:val="22"/>
              </w:rPr>
            </w:pPr>
          </w:p>
          <w:p>
            <w:pPr>
              <w:pStyle w:val="TableParagraph"/>
              <w:spacing w:before="7"/>
              <w:rPr>
                <w:sz w:val="27"/>
              </w:rPr>
            </w:pPr>
          </w:p>
          <w:p>
            <w:pPr>
              <w:pStyle w:val="TableParagraph"/>
              <w:spacing w:line="210" w:lineRule="exact"/>
              <w:ind w:left="296" w:right="167"/>
              <w:jc w:val="center"/>
              <w:rPr>
                <w:sz w:val="20"/>
              </w:rPr>
            </w:pPr>
            <w:r>
              <w:rPr>
                <w:sz w:val="20"/>
              </w:rPr>
              <w:t>50±19,17</w:t>
            </w:r>
          </w:p>
        </w:tc>
        <w:tc>
          <w:tcPr>
            <w:tcW w:w="1558" w:type="dxa"/>
          </w:tcPr>
          <w:p>
            <w:pPr>
              <w:pStyle w:val="TableParagraph"/>
              <w:rPr>
                <w:sz w:val="22"/>
              </w:rPr>
            </w:pPr>
          </w:p>
          <w:p>
            <w:pPr>
              <w:pStyle w:val="TableParagraph"/>
              <w:spacing w:before="7"/>
              <w:rPr>
                <w:sz w:val="27"/>
              </w:rPr>
            </w:pPr>
          </w:p>
          <w:p>
            <w:pPr>
              <w:pStyle w:val="TableParagraph"/>
              <w:spacing w:line="210" w:lineRule="exact"/>
              <w:ind w:left="63" w:right="147"/>
              <w:jc w:val="center"/>
              <w:rPr>
                <w:sz w:val="20"/>
              </w:rPr>
            </w:pPr>
            <w:r>
              <w:rPr>
                <w:sz w:val="20"/>
              </w:rPr>
              <w:t>40,91±14,06</w:t>
            </w:r>
          </w:p>
        </w:tc>
        <w:tc>
          <w:tcPr>
            <w:tcW w:w="1233" w:type="dxa"/>
          </w:tcPr>
          <w:p>
            <w:pPr>
              <w:pStyle w:val="TableParagraph"/>
              <w:rPr>
                <w:sz w:val="22"/>
              </w:rPr>
            </w:pPr>
          </w:p>
          <w:p>
            <w:pPr>
              <w:pStyle w:val="TableParagraph"/>
              <w:spacing w:before="7"/>
              <w:rPr>
                <w:sz w:val="27"/>
              </w:rPr>
            </w:pPr>
          </w:p>
          <w:p>
            <w:pPr>
              <w:pStyle w:val="TableParagraph"/>
              <w:spacing w:line="210" w:lineRule="exact"/>
              <w:ind w:left="238" w:right="381"/>
              <w:jc w:val="center"/>
              <w:rPr>
                <w:sz w:val="13"/>
              </w:rPr>
            </w:pPr>
            <w:r>
              <w:rPr>
                <w:sz w:val="20"/>
              </w:rPr>
              <w:t>0.184</w:t>
            </w:r>
            <w:r>
              <w:rPr>
                <w:position w:val="6"/>
                <w:sz w:val="13"/>
              </w:rPr>
              <w:t>b</w:t>
            </w:r>
          </w:p>
        </w:tc>
      </w:tr>
    </w:tbl>
    <w:p>
      <w:pPr>
        <w:pStyle w:val="BodyText"/>
        <w:rPr>
          <w:sz w:val="20"/>
        </w:rPr>
      </w:pPr>
    </w:p>
    <w:p>
      <w:pPr>
        <w:pStyle w:val="BodyText"/>
        <w:spacing w:before="3"/>
        <w:rPr>
          <w:sz w:val="25"/>
        </w:rPr>
      </w:pPr>
      <w:r>
        <w:rPr/>
        <w:pict>
          <v:group style="position:absolute;margin-left:70.199997pt;margin-top:16.510313pt;width:714.7pt;height:1.45pt;mso-position-horizontal-relative:page;mso-position-vertical-relative:paragraph;z-index:-251598848;mso-wrap-distance-left:0;mso-wrap-distance-right:0" coordorigin="1404,330" coordsize="14294,29">
            <v:line style="position:absolute" from="1404,345" to="3202,345" stroked="true" strokeweight="1.44pt" strokecolor="#008000">
              <v:stroke dashstyle="solid"/>
            </v:line>
            <v:rect style="position:absolute;left:3187;top:330;width:29;height:29" filled="true" fillcolor="#008000" stroked="false">
              <v:fill type="solid"/>
            </v:rect>
            <v:line style="position:absolute" from="3216,345" to="4587,345" stroked="true" strokeweight="1.44pt" strokecolor="#008000">
              <v:stroke dashstyle="solid"/>
            </v:line>
            <v:rect style="position:absolute;left:4572;top:330;width:29;height:29" filled="true" fillcolor="#008000" stroked="false">
              <v:fill type="solid"/>
            </v:rect>
            <v:line style="position:absolute" from="4601,345" to="5972,345" stroked="true" strokeweight="1.44pt" strokecolor="#008000">
              <v:stroke dashstyle="solid"/>
            </v:line>
            <v:rect style="position:absolute;left:5957;top:330;width:29;height:29" filled="true" fillcolor="#008000" stroked="false">
              <v:fill type="solid"/>
            </v:rect>
            <v:line style="position:absolute" from="5987,345" to="7347,345" stroked="true" strokeweight="1.44pt" strokecolor="#008000">
              <v:stroke dashstyle="solid"/>
            </v:line>
            <v:rect style="position:absolute;left:7333;top:330;width:29;height:29" filled="true" fillcolor="#008000" stroked="false">
              <v:fill type="solid"/>
            </v:rect>
            <v:line style="position:absolute" from="7362,345" to="8785,345" stroked="true" strokeweight="1.44pt" strokecolor="#008000">
              <v:stroke dashstyle="solid"/>
            </v:line>
            <v:rect style="position:absolute;left:8770;top:330;width:30;height:29" filled="true" fillcolor="#008000" stroked="false">
              <v:fill type="solid"/>
            </v:rect>
            <v:line style="position:absolute" from="8800,345" to="10223,345" stroked="true" strokeweight="1.44pt" strokecolor="#008000">
              <v:stroke dashstyle="solid"/>
            </v:line>
            <v:rect style="position:absolute;left:10208;top:330;width:29;height:29" filled="true" fillcolor="#008000" stroked="false">
              <v:fill type="solid"/>
            </v:rect>
            <v:line style="position:absolute" from="10237,345" to="11596,345" stroked="true" strokeweight="1.44pt" strokecolor="#008000">
              <v:stroke dashstyle="solid"/>
            </v:line>
            <v:rect style="position:absolute;left:11581;top:330;width:29;height:29" filled="true" fillcolor="#008000" stroked="false">
              <v:fill type="solid"/>
            </v:rect>
            <v:line style="position:absolute" from="11610,345" to="12967,345" stroked="true" strokeweight="1.44pt" strokecolor="#008000">
              <v:stroke dashstyle="solid"/>
            </v:line>
            <v:rect style="position:absolute;left:12952;top:330;width:29;height:29" filled="true" fillcolor="#008000" stroked="false">
              <v:fill type="solid"/>
            </v:rect>
            <v:line style="position:absolute" from="12981,345" to="14335,345" stroked="true" strokeweight="1.44pt" strokecolor="#008000">
              <v:stroke dashstyle="solid"/>
            </v:line>
            <v:rect style="position:absolute;left:14320;top:330;width:29;height:29" filled="true" fillcolor="#008000" stroked="false">
              <v:fill type="solid"/>
            </v:rect>
            <v:line style="position:absolute" from="14349,345" to="15698,345" stroked="true" strokeweight="1.44pt" strokecolor="#008000">
              <v:stroke dashstyle="solid"/>
            </v:line>
            <w10:wrap type="topAndBottom"/>
          </v:group>
        </w:pict>
      </w:r>
    </w:p>
    <w:p>
      <w:pPr>
        <w:spacing w:before="0"/>
        <w:ind w:left="118" w:right="0" w:firstLine="0"/>
        <w:jc w:val="left"/>
        <w:rPr>
          <w:sz w:val="20"/>
        </w:rPr>
      </w:pPr>
      <w:r>
        <w:rPr>
          <w:sz w:val="20"/>
        </w:rPr>
        <w:t>a: t-test, b: Mann Whitney U Testi</w:t>
      </w:r>
    </w:p>
    <w:p>
      <w:pPr>
        <w:spacing w:after="0"/>
        <w:jc w:val="left"/>
        <w:rPr>
          <w:sz w:val="20"/>
        </w:rPr>
        <w:sectPr>
          <w:headerReference w:type="default" r:id="rId47"/>
          <w:pgSz w:w="16840" w:h="11910" w:orient="landscape"/>
          <w:pgMar w:header="0" w:footer="0" w:top="660" w:bottom="280" w:left="1300" w:right="1040"/>
        </w:sectPr>
      </w:pPr>
    </w:p>
    <w:p>
      <w:pPr>
        <w:spacing w:before="75"/>
        <w:ind w:left="588" w:right="0" w:firstLine="0"/>
        <w:jc w:val="left"/>
        <w:rPr>
          <w:sz w:val="20"/>
        </w:rPr>
      </w:pPr>
      <w:r>
        <w:rPr>
          <w:b/>
          <w:sz w:val="20"/>
        </w:rPr>
        <w:t>Tablo 4.20 </w:t>
      </w:r>
      <w:r>
        <w:rPr>
          <w:sz w:val="20"/>
        </w:rPr>
        <w:t>Grupların 6DYTM Verilerinin Karşılaştırılması</w:t>
      </w:r>
    </w:p>
    <w:p>
      <w:pPr>
        <w:pStyle w:val="BodyText"/>
        <w:spacing w:before="3"/>
        <w:rPr>
          <w:sz w:val="24"/>
        </w:rPr>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105"/>
        <w:gridCol w:w="1163"/>
        <w:gridCol w:w="1452"/>
        <w:gridCol w:w="867"/>
        <w:gridCol w:w="1533"/>
        <w:gridCol w:w="375"/>
        <w:gridCol w:w="1028"/>
        <w:gridCol w:w="1018"/>
      </w:tblGrid>
      <w:tr>
        <w:trPr>
          <w:trHeight w:val="419" w:hRule="atLeast"/>
        </w:trPr>
        <w:tc>
          <w:tcPr>
            <w:tcW w:w="1105" w:type="dxa"/>
            <w:tcBorders>
              <w:top w:val="single" w:sz="12" w:space="0" w:color="008000"/>
              <w:bottom w:val="single" w:sz="4" w:space="0" w:color="000000"/>
            </w:tcBorders>
          </w:tcPr>
          <w:p>
            <w:pPr>
              <w:pStyle w:val="TableParagraph"/>
              <w:spacing w:before="90"/>
              <w:ind w:left="235"/>
              <w:rPr>
                <w:b/>
                <w:sz w:val="20"/>
              </w:rPr>
            </w:pPr>
            <w:r>
              <w:rPr>
                <w:b/>
                <w:sz w:val="20"/>
              </w:rPr>
              <w:t>6DYTM</w:t>
            </w:r>
          </w:p>
        </w:tc>
        <w:tc>
          <w:tcPr>
            <w:tcW w:w="2615" w:type="dxa"/>
            <w:gridSpan w:val="2"/>
            <w:tcBorders>
              <w:top w:val="single" w:sz="12" w:space="0" w:color="008000"/>
              <w:bottom w:val="single" w:sz="4" w:space="0" w:color="000000"/>
            </w:tcBorders>
          </w:tcPr>
          <w:p>
            <w:pPr>
              <w:pStyle w:val="TableParagraph"/>
              <w:spacing w:before="90"/>
              <w:ind w:left="746"/>
              <w:rPr>
                <w:b/>
                <w:sz w:val="20"/>
              </w:rPr>
            </w:pPr>
            <w:r>
              <w:rPr>
                <w:b/>
                <w:sz w:val="20"/>
              </w:rPr>
              <w:t>Preoperatif</w:t>
            </w:r>
          </w:p>
        </w:tc>
        <w:tc>
          <w:tcPr>
            <w:tcW w:w="867" w:type="dxa"/>
            <w:tcBorders>
              <w:top w:val="single" w:sz="12" w:space="0" w:color="008000"/>
              <w:bottom w:val="single" w:sz="4" w:space="0" w:color="000000"/>
            </w:tcBorders>
          </w:tcPr>
          <w:p>
            <w:pPr>
              <w:pStyle w:val="TableParagraph"/>
              <w:spacing w:before="90"/>
              <w:ind w:left="2"/>
              <w:jc w:val="center"/>
              <w:rPr>
                <w:b/>
                <w:sz w:val="20"/>
              </w:rPr>
            </w:pPr>
            <w:r>
              <w:rPr>
                <w:b/>
                <w:w w:val="99"/>
                <w:sz w:val="20"/>
              </w:rPr>
              <w:t>P</w:t>
            </w:r>
          </w:p>
        </w:tc>
        <w:tc>
          <w:tcPr>
            <w:tcW w:w="1908" w:type="dxa"/>
            <w:gridSpan w:val="2"/>
            <w:tcBorders>
              <w:top w:val="single" w:sz="12" w:space="0" w:color="008000"/>
              <w:bottom w:val="single" w:sz="4" w:space="0" w:color="000000"/>
            </w:tcBorders>
          </w:tcPr>
          <w:p>
            <w:pPr>
              <w:pStyle w:val="TableParagraph"/>
              <w:spacing w:before="90"/>
              <w:ind w:left="1082"/>
              <w:rPr>
                <w:b/>
                <w:sz w:val="20"/>
              </w:rPr>
            </w:pPr>
            <w:r>
              <w:rPr>
                <w:b/>
                <w:sz w:val="20"/>
              </w:rPr>
              <w:t>Taburcu</w:t>
            </w:r>
          </w:p>
        </w:tc>
        <w:tc>
          <w:tcPr>
            <w:tcW w:w="1028" w:type="dxa"/>
            <w:tcBorders>
              <w:top w:val="single" w:sz="12" w:space="0" w:color="008000"/>
              <w:bottom w:val="single" w:sz="4" w:space="0" w:color="000000"/>
            </w:tcBorders>
          </w:tcPr>
          <w:p>
            <w:pPr>
              <w:pStyle w:val="TableParagraph"/>
              <w:rPr>
                <w:rFonts w:ascii="Times New Roman"/>
                <w:sz w:val="20"/>
              </w:rPr>
            </w:pPr>
          </w:p>
        </w:tc>
        <w:tc>
          <w:tcPr>
            <w:tcW w:w="1018" w:type="dxa"/>
            <w:tcBorders>
              <w:top w:val="single" w:sz="12" w:space="0" w:color="008000"/>
              <w:bottom w:val="single" w:sz="4" w:space="0" w:color="000000"/>
            </w:tcBorders>
          </w:tcPr>
          <w:p>
            <w:pPr>
              <w:pStyle w:val="TableParagraph"/>
              <w:spacing w:before="90"/>
              <w:ind w:right="76"/>
              <w:jc w:val="center"/>
              <w:rPr>
                <w:b/>
                <w:sz w:val="20"/>
              </w:rPr>
            </w:pPr>
            <w:r>
              <w:rPr>
                <w:b/>
                <w:w w:val="99"/>
                <w:sz w:val="20"/>
              </w:rPr>
              <w:t>P</w:t>
            </w:r>
          </w:p>
        </w:tc>
      </w:tr>
      <w:tr>
        <w:trPr>
          <w:trHeight w:val="446" w:hRule="atLeast"/>
        </w:trPr>
        <w:tc>
          <w:tcPr>
            <w:tcW w:w="1105" w:type="dxa"/>
            <w:tcBorders>
              <w:top w:val="single" w:sz="4" w:space="0" w:color="000000"/>
            </w:tcBorders>
          </w:tcPr>
          <w:p>
            <w:pPr>
              <w:pStyle w:val="TableParagraph"/>
              <w:rPr>
                <w:rFonts w:ascii="Times New Roman"/>
                <w:sz w:val="20"/>
              </w:rPr>
            </w:pPr>
          </w:p>
        </w:tc>
        <w:tc>
          <w:tcPr>
            <w:tcW w:w="1163" w:type="dxa"/>
            <w:tcBorders>
              <w:top w:val="single" w:sz="4" w:space="0" w:color="000000"/>
            </w:tcBorders>
          </w:tcPr>
          <w:p>
            <w:pPr>
              <w:pStyle w:val="TableParagraph"/>
              <w:spacing w:before="88"/>
              <w:ind w:left="172" w:right="116"/>
              <w:jc w:val="center"/>
              <w:rPr>
                <w:b/>
                <w:sz w:val="20"/>
              </w:rPr>
            </w:pPr>
            <w:r>
              <w:rPr>
                <w:b/>
                <w:sz w:val="20"/>
              </w:rPr>
              <w:t>ÇG</w:t>
            </w:r>
          </w:p>
        </w:tc>
        <w:tc>
          <w:tcPr>
            <w:tcW w:w="1452" w:type="dxa"/>
            <w:tcBorders>
              <w:top w:val="single" w:sz="4" w:space="0" w:color="000000"/>
            </w:tcBorders>
          </w:tcPr>
          <w:p>
            <w:pPr>
              <w:pStyle w:val="TableParagraph"/>
              <w:spacing w:before="88"/>
              <w:ind w:left="71" w:right="131"/>
              <w:jc w:val="center"/>
              <w:rPr>
                <w:b/>
                <w:sz w:val="20"/>
              </w:rPr>
            </w:pPr>
            <w:r>
              <w:rPr>
                <w:b/>
                <w:sz w:val="20"/>
              </w:rPr>
              <w:t>KG</w:t>
            </w:r>
          </w:p>
        </w:tc>
        <w:tc>
          <w:tcPr>
            <w:tcW w:w="867" w:type="dxa"/>
            <w:tcBorders>
              <w:top w:val="single" w:sz="4" w:space="0" w:color="000000"/>
            </w:tcBorders>
          </w:tcPr>
          <w:p>
            <w:pPr>
              <w:pStyle w:val="TableParagraph"/>
              <w:rPr>
                <w:rFonts w:ascii="Times New Roman"/>
                <w:sz w:val="20"/>
              </w:rPr>
            </w:pPr>
          </w:p>
        </w:tc>
        <w:tc>
          <w:tcPr>
            <w:tcW w:w="1533" w:type="dxa"/>
            <w:tcBorders>
              <w:top w:val="single" w:sz="4" w:space="0" w:color="000000"/>
            </w:tcBorders>
          </w:tcPr>
          <w:p>
            <w:pPr>
              <w:pStyle w:val="TableParagraph"/>
              <w:spacing w:before="88"/>
              <w:ind w:left="182" w:right="86"/>
              <w:jc w:val="center"/>
              <w:rPr>
                <w:b/>
                <w:sz w:val="20"/>
              </w:rPr>
            </w:pPr>
            <w:r>
              <w:rPr>
                <w:b/>
                <w:sz w:val="20"/>
              </w:rPr>
              <w:t>ÇG</w:t>
            </w:r>
          </w:p>
        </w:tc>
        <w:tc>
          <w:tcPr>
            <w:tcW w:w="375" w:type="dxa"/>
            <w:tcBorders>
              <w:top w:val="single" w:sz="4" w:space="0" w:color="000000"/>
            </w:tcBorders>
          </w:tcPr>
          <w:p>
            <w:pPr>
              <w:pStyle w:val="TableParagraph"/>
              <w:rPr>
                <w:rFonts w:ascii="Times New Roman"/>
                <w:sz w:val="20"/>
              </w:rPr>
            </w:pPr>
          </w:p>
        </w:tc>
        <w:tc>
          <w:tcPr>
            <w:tcW w:w="1028" w:type="dxa"/>
            <w:tcBorders>
              <w:top w:val="single" w:sz="4" w:space="0" w:color="000000"/>
            </w:tcBorders>
          </w:tcPr>
          <w:p>
            <w:pPr>
              <w:pStyle w:val="TableParagraph"/>
              <w:spacing w:before="88"/>
              <w:ind w:left="140"/>
              <w:rPr>
                <w:b/>
                <w:sz w:val="20"/>
              </w:rPr>
            </w:pPr>
            <w:r>
              <w:rPr>
                <w:b/>
                <w:sz w:val="20"/>
              </w:rPr>
              <w:t>KG</w:t>
            </w:r>
          </w:p>
        </w:tc>
        <w:tc>
          <w:tcPr>
            <w:tcW w:w="1018" w:type="dxa"/>
            <w:tcBorders>
              <w:top w:val="single" w:sz="4" w:space="0" w:color="000000"/>
            </w:tcBorders>
          </w:tcPr>
          <w:p>
            <w:pPr>
              <w:pStyle w:val="TableParagraph"/>
              <w:rPr>
                <w:rFonts w:ascii="Times New Roman"/>
                <w:sz w:val="20"/>
              </w:rPr>
            </w:pPr>
          </w:p>
        </w:tc>
      </w:tr>
      <w:tr>
        <w:trPr>
          <w:trHeight w:val="512" w:hRule="atLeast"/>
        </w:trPr>
        <w:tc>
          <w:tcPr>
            <w:tcW w:w="1105" w:type="dxa"/>
            <w:tcBorders>
              <w:bottom w:val="single" w:sz="4" w:space="0" w:color="000000"/>
            </w:tcBorders>
          </w:tcPr>
          <w:p>
            <w:pPr>
              <w:pStyle w:val="TableParagraph"/>
              <w:rPr>
                <w:rFonts w:ascii="Times New Roman"/>
                <w:sz w:val="20"/>
              </w:rPr>
            </w:pPr>
          </w:p>
        </w:tc>
        <w:tc>
          <w:tcPr>
            <w:tcW w:w="1163" w:type="dxa"/>
            <w:tcBorders>
              <w:bottom w:val="single" w:sz="4" w:space="0" w:color="000000"/>
            </w:tcBorders>
          </w:tcPr>
          <w:p>
            <w:pPr>
              <w:pStyle w:val="TableParagraph"/>
              <w:spacing w:before="121"/>
              <w:ind w:left="172" w:right="117"/>
              <w:jc w:val="center"/>
              <w:rPr>
                <w:b/>
                <w:sz w:val="20"/>
              </w:rPr>
            </w:pPr>
            <w:r>
              <w:rPr>
                <w:b/>
                <w:sz w:val="20"/>
              </w:rPr>
              <w:t>X±SS</w:t>
            </w:r>
          </w:p>
        </w:tc>
        <w:tc>
          <w:tcPr>
            <w:tcW w:w="1452" w:type="dxa"/>
            <w:tcBorders>
              <w:bottom w:val="single" w:sz="4" w:space="0" w:color="000000"/>
            </w:tcBorders>
          </w:tcPr>
          <w:p>
            <w:pPr>
              <w:pStyle w:val="TableParagraph"/>
              <w:spacing w:before="121"/>
              <w:ind w:left="70" w:right="131"/>
              <w:jc w:val="center"/>
              <w:rPr>
                <w:b/>
                <w:sz w:val="20"/>
              </w:rPr>
            </w:pPr>
            <w:r>
              <w:rPr>
                <w:b/>
                <w:sz w:val="20"/>
              </w:rPr>
              <w:t>X±SS</w:t>
            </w:r>
          </w:p>
        </w:tc>
        <w:tc>
          <w:tcPr>
            <w:tcW w:w="867" w:type="dxa"/>
            <w:tcBorders>
              <w:bottom w:val="single" w:sz="4" w:space="0" w:color="000000"/>
            </w:tcBorders>
          </w:tcPr>
          <w:p>
            <w:pPr>
              <w:pStyle w:val="TableParagraph"/>
              <w:rPr>
                <w:rFonts w:ascii="Times New Roman"/>
                <w:sz w:val="20"/>
              </w:rPr>
            </w:pPr>
          </w:p>
        </w:tc>
        <w:tc>
          <w:tcPr>
            <w:tcW w:w="1533" w:type="dxa"/>
            <w:tcBorders>
              <w:bottom w:val="single" w:sz="4" w:space="0" w:color="000000"/>
            </w:tcBorders>
          </w:tcPr>
          <w:p>
            <w:pPr>
              <w:pStyle w:val="TableParagraph"/>
              <w:spacing w:before="121"/>
              <w:ind w:left="182" w:right="87"/>
              <w:jc w:val="center"/>
              <w:rPr>
                <w:b/>
                <w:sz w:val="20"/>
              </w:rPr>
            </w:pPr>
            <w:r>
              <w:rPr>
                <w:b/>
                <w:sz w:val="20"/>
              </w:rPr>
              <w:t>X±SS</w:t>
            </w:r>
          </w:p>
        </w:tc>
        <w:tc>
          <w:tcPr>
            <w:tcW w:w="375" w:type="dxa"/>
            <w:tcBorders>
              <w:bottom w:val="single" w:sz="4" w:space="0" w:color="000000"/>
            </w:tcBorders>
          </w:tcPr>
          <w:p>
            <w:pPr>
              <w:pStyle w:val="TableParagraph"/>
              <w:rPr>
                <w:rFonts w:ascii="Times New Roman"/>
                <w:sz w:val="20"/>
              </w:rPr>
            </w:pPr>
          </w:p>
        </w:tc>
        <w:tc>
          <w:tcPr>
            <w:tcW w:w="1028" w:type="dxa"/>
            <w:tcBorders>
              <w:bottom w:val="single" w:sz="4" w:space="0" w:color="000000"/>
            </w:tcBorders>
          </w:tcPr>
          <w:p>
            <w:pPr>
              <w:pStyle w:val="TableParagraph"/>
              <w:spacing w:before="121"/>
              <w:ind w:left="34"/>
              <w:rPr>
                <w:b/>
                <w:sz w:val="20"/>
              </w:rPr>
            </w:pPr>
            <w:r>
              <w:rPr>
                <w:b/>
                <w:sz w:val="20"/>
              </w:rPr>
              <w:t>X±SS</w:t>
            </w:r>
          </w:p>
        </w:tc>
        <w:tc>
          <w:tcPr>
            <w:tcW w:w="1018" w:type="dxa"/>
            <w:tcBorders>
              <w:bottom w:val="single" w:sz="4" w:space="0" w:color="000000"/>
            </w:tcBorders>
          </w:tcPr>
          <w:p>
            <w:pPr>
              <w:pStyle w:val="TableParagraph"/>
              <w:rPr>
                <w:rFonts w:ascii="Times New Roman"/>
                <w:sz w:val="20"/>
              </w:rPr>
            </w:pPr>
          </w:p>
        </w:tc>
      </w:tr>
      <w:tr>
        <w:trPr>
          <w:trHeight w:val="868" w:hRule="atLeast"/>
        </w:trPr>
        <w:tc>
          <w:tcPr>
            <w:tcW w:w="1105" w:type="dxa"/>
            <w:tcBorders>
              <w:top w:val="single" w:sz="4" w:space="0" w:color="000000"/>
              <w:bottom w:val="single" w:sz="12" w:space="0" w:color="008000"/>
            </w:tcBorders>
          </w:tcPr>
          <w:p>
            <w:pPr>
              <w:pStyle w:val="TableParagraph"/>
              <w:spacing w:before="5"/>
              <w:rPr>
                <w:sz w:val="17"/>
              </w:rPr>
            </w:pPr>
          </w:p>
          <w:p>
            <w:pPr>
              <w:pStyle w:val="TableParagraph"/>
              <w:ind w:left="422" w:right="185" w:hanging="178"/>
              <w:rPr>
                <w:sz w:val="20"/>
              </w:rPr>
            </w:pPr>
            <w:r>
              <w:rPr>
                <w:sz w:val="20"/>
              </w:rPr>
              <w:t>Mesafe (m)</w:t>
            </w:r>
          </w:p>
        </w:tc>
        <w:tc>
          <w:tcPr>
            <w:tcW w:w="1163" w:type="dxa"/>
            <w:tcBorders>
              <w:top w:val="single" w:sz="4" w:space="0" w:color="000000"/>
              <w:bottom w:val="single" w:sz="12" w:space="0" w:color="008000"/>
            </w:tcBorders>
          </w:tcPr>
          <w:p>
            <w:pPr>
              <w:pStyle w:val="TableParagraph"/>
              <w:spacing w:before="5"/>
              <w:rPr>
                <w:sz w:val="27"/>
              </w:rPr>
            </w:pPr>
          </w:p>
          <w:p>
            <w:pPr>
              <w:pStyle w:val="TableParagraph"/>
              <w:ind w:left="172" w:right="117"/>
              <w:jc w:val="center"/>
              <w:rPr>
                <w:sz w:val="20"/>
              </w:rPr>
            </w:pPr>
            <w:r>
              <w:rPr>
                <w:sz w:val="20"/>
              </w:rPr>
              <w:t>437±78,4</w:t>
            </w:r>
          </w:p>
        </w:tc>
        <w:tc>
          <w:tcPr>
            <w:tcW w:w="1452" w:type="dxa"/>
            <w:tcBorders>
              <w:top w:val="single" w:sz="4" w:space="0" w:color="000000"/>
              <w:bottom w:val="single" w:sz="12" w:space="0" w:color="008000"/>
            </w:tcBorders>
          </w:tcPr>
          <w:p>
            <w:pPr>
              <w:pStyle w:val="TableParagraph"/>
              <w:spacing w:before="5"/>
              <w:rPr>
                <w:sz w:val="27"/>
              </w:rPr>
            </w:pPr>
          </w:p>
          <w:p>
            <w:pPr>
              <w:pStyle w:val="TableParagraph"/>
              <w:ind w:left="69" w:right="131"/>
              <w:jc w:val="center"/>
              <w:rPr>
                <w:sz w:val="20"/>
              </w:rPr>
            </w:pPr>
            <w:r>
              <w:rPr>
                <w:sz w:val="20"/>
              </w:rPr>
              <w:t>439,47±80,6</w:t>
            </w:r>
          </w:p>
        </w:tc>
        <w:tc>
          <w:tcPr>
            <w:tcW w:w="867" w:type="dxa"/>
            <w:tcBorders>
              <w:top w:val="single" w:sz="4" w:space="0" w:color="000000"/>
              <w:bottom w:val="single" w:sz="12" w:space="0" w:color="008000"/>
            </w:tcBorders>
          </w:tcPr>
          <w:p>
            <w:pPr>
              <w:pStyle w:val="TableParagraph"/>
              <w:spacing w:before="5"/>
              <w:rPr>
                <w:sz w:val="27"/>
              </w:rPr>
            </w:pPr>
          </w:p>
          <w:p>
            <w:pPr>
              <w:pStyle w:val="TableParagraph"/>
              <w:ind w:left="183" w:right="182"/>
              <w:jc w:val="center"/>
              <w:rPr>
                <w:sz w:val="13"/>
              </w:rPr>
            </w:pPr>
            <w:r>
              <w:rPr>
                <w:sz w:val="20"/>
              </w:rPr>
              <w:t>0.94</w:t>
            </w:r>
            <w:r>
              <w:rPr>
                <w:position w:val="6"/>
                <w:sz w:val="13"/>
              </w:rPr>
              <w:t>a</w:t>
            </w:r>
          </w:p>
        </w:tc>
        <w:tc>
          <w:tcPr>
            <w:tcW w:w="1533" w:type="dxa"/>
            <w:tcBorders>
              <w:top w:val="single" w:sz="4" w:space="0" w:color="000000"/>
              <w:bottom w:val="single" w:sz="12" w:space="0" w:color="008000"/>
            </w:tcBorders>
          </w:tcPr>
          <w:p>
            <w:pPr>
              <w:pStyle w:val="TableParagraph"/>
              <w:spacing w:before="5"/>
              <w:rPr>
                <w:sz w:val="27"/>
              </w:rPr>
            </w:pPr>
          </w:p>
          <w:p>
            <w:pPr>
              <w:pStyle w:val="TableParagraph"/>
              <w:ind w:left="182" w:right="88"/>
              <w:jc w:val="center"/>
              <w:rPr>
                <w:sz w:val="20"/>
              </w:rPr>
            </w:pPr>
            <w:r>
              <w:rPr>
                <w:sz w:val="20"/>
              </w:rPr>
              <w:t>348,56±103,4</w:t>
            </w:r>
          </w:p>
        </w:tc>
        <w:tc>
          <w:tcPr>
            <w:tcW w:w="1403" w:type="dxa"/>
            <w:gridSpan w:val="2"/>
            <w:tcBorders>
              <w:top w:val="single" w:sz="4" w:space="0" w:color="000000"/>
              <w:bottom w:val="single" w:sz="12" w:space="0" w:color="008000"/>
            </w:tcBorders>
          </w:tcPr>
          <w:p>
            <w:pPr>
              <w:pStyle w:val="TableParagraph"/>
              <w:spacing w:before="5"/>
              <w:rPr>
                <w:sz w:val="27"/>
              </w:rPr>
            </w:pPr>
          </w:p>
          <w:p>
            <w:pPr>
              <w:pStyle w:val="TableParagraph"/>
              <w:ind w:left="109"/>
              <w:rPr>
                <w:sz w:val="20"/>
              </w:rPr>
            </w:pPr>
            <w:r>
              <w:rPr>
                <w:sz w:val="20"/>
              </w:rPr>
              <w:t>319,24±84,9</w:t>
            </w:r>
          </w:p>
        </w:tc>
        <w:tc>
          <w:tcPr>
            <w:tcW w:w="1018" w:type="dxa"/>
            <w:tcBorders>
              <w:top w:val="single" w:sz="4" w:space="0" w:color="000000"/>
              <w:bottom w:val="single" w:sz="12" w:space="0" w:color="008000"/>
            </w:tcBorders>
          </w:tcPr>
          <w:p>
            <w:pPr>
              <w:pStyle w:val="TableParagraph"/>
              <w:spacing w:before="5"/>
              <w:rPr>
                <w:sz w:val="27"/>
              </w:rPr>
            </w:pPr>
          </w:p>
          <w:p>
            <w:pPr>
              <w:pStyle w:val="TableParagraph"/>
              <w:ind w:left="163" w:right="242"/>
              <w:jc w:val="center"/>
              <w:rPr>
                <w:sz w:val="13"/>
              </w:rPr>
            </w:pPr>
            <w:r>
              <w:rPr>
                <w:sz w:val="20"/>
              </w:rPr>
              <w:t>0.456</w:t>
            </w:r>
            <w:r>
              <w:rPr>
                <w:position w:val="6"/>
                <w:sz w:val="13"/>
              </w:rPr>
              <w:t>a</w:t>
            </w:r>
          </w:p>
        </w:tc>
      </w:tr>
    </w:tbl>
    <w:p>
      <w:pPr>
        <w:spacing w:before="0"/>
        <w:ind w:left="588" w:right="0" w:firstLine="0"/>
        <w:jc w:val="left"/>
        <w:rPr>
          <w:sz w:val="20"/>
        </w:rPr>
      </w:pPr>
      <w:r>
        <w:rPr>
          <w:sz w:val="20"/>
        </w:rPr>
        <w:t>a: t-test</w:t>
      </w:r>
    </w:p>
    <w:p>
      <w:pPr>
        <w:pStyle w:val="BodyText"/>
      </w:pPr>
    </w:p>
    <w:p>
      <w:pPr>
        <w:pStyle w:val="BodyText"/>
      </w:pPr>
    </w:p>
    <w:p>
      <w:pPr>
        <w:pStyle w:val="BodyText"/>
        <w:spacing w:before="8"/>
        <w:rPr>
          <w:sz w:val="23"/>
        </w:rPr>
      </w:pPr>
    </w:p>
    <w:p>
      <w:pPr>
        <w:spacing w:before="0"/>
        <w:ind w:left="588" w:right="0" w:firstLine="0"/>
        <w:jc w:val="left"/>
        <w:rPr>
          <w:sz w:val="20"/>
        </w:rPr>
      </w:pPr>
      <w:r>
        <w:rPr>
          <w:b/>
          <w:sz w:val="20"/>
        </w:rPr>
        <w:t>Tablo 4.21 </w:t>
      </w:r>
      <w:r>
        <w:rPr>
          <w:sz w:val="20"/>
        </w:rPr>
        <w:t>Grupların Postoperatif ve Taburculuk Öncesi Verilerinin Karşılaştırılması</w:t>
      </w:r>
    </w:p>
    <w:p>
      <w:pPr>
        <w:pStyle w:val="BodyText"/>
        <w:spacing w:before="5" w:after="1"/>
        <w:rPr>
          <w:sz w:val="24"/>
        </w:rPr>
      </w:pPr>
    </w:p>
    <w:tbl>
      <w:tblPr>
        <w:tblW w:w="0" w:type="auto"/>
        <w:jc w:val="left"/>
        <w:tblInd w:w="5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5"/>
        <w:gridCol w:w="1309"/>
        <w:gridCol w:w="1280"/>
        <w:gridCol w:w="825"/>
        <w:gridCol w:w="1274"/>
        <w:gridCol w:w="1268"/>
        <w:gridCol w:w="871"/>
      </w:tblGrid>
      <w:tr>
        <w:trPr>
          <w:trHeight w:val="416" w:hRule="atLeast"/>
        </w:trPr>
        <w:tc>
          <w:tcPr>
            <w:tcW w:w="1715" w:type="dxa"/>
            <w:tcBorders>
              <w:top w:val="single" w:sz="12" w:space="0" w:color="008000"/>
              <w:bottom w:val="single" w:sz="4" w:space="0" w:color="000000"/>
            </w:tcBorders>
          </w:tcPr>
          <w:p>
            <w:pPr>
              <w:pStyle w:val="TableParagraph"/>
              <w:spacing w:before="88"/>
              <w:ind w:left="122"/>
              <w:rPr>
                <w:b/>
                <w:sz w:val="20"/>
              </w:rPr>
            </w:pPr>
            <w:r>
              <w:rPr>
                <w:b/>
                <w:sz w:val="20"/>
              </w:rPr>
              <w:t>DEĞİŞKENLER</w:t>
            </w:r>
          </w:p>
        </w:tc>
        <w:tc>
          <w:tcPr>
            <w:tcW w:w="2589" w:type="dxa"/>
            <w:gridSpan w:val="2"/>
            <w:tcBorders>
              <w:top w:val="single" w:sz="12" w:space="0" w:color="008000"/>
              <w:bottom w:val="single" w:sz="4" w:space="0" w:color="000000"/>
            </w:tcBorders>
          </w:tcPr>
          <w:p>
            <w:pPr>
              <w:pStyle w:val="TableParagraph"/>
              <w:spacing w:before="88"/>
              <w:ind w:left="697"/>
              <w:rPr>
                <w:b/>
                <w:sz w:val="20"/>
              </w:rPr>
            </w:pPr>
            <w:r>
              <w:rPr>
                <w:b/>
                <w:sz w:val="20"/>
              </w:rPr>
              <w:t>Postoperatif</w:t>
            </w:r>
          </w:p>
        </w:tc>
        <w:tc>
          <w:tcPr>
            <w:tcW w:w="825" w:type="dxa"/>
            <w:tcBorders>
              <w:top w:val="single" w:sz="12" w:space="0" w:color="008000"/>
              <w:bottom w:val="single" w:sz="4" w:space="0" w:color="000000"/>
            </w:tcBorders>
          </w:tcPr>
          <w:p>
            <w:pPr>
              <w:pStyle w:val="TableParagraph"/>
              <w:spacing w:before="88"/>
              <w:ind w:right="19"/>
              <w:jc w:val="center"/>
              <w:rPr>
                <w:b/>
                <w:sz w:val="20"/>
              </w:rPr>
            </w:pPr>
            <w:r>
              <w:rPr>
                <w:b/>
                <w:w w:val="99"/>
                <w:sz w:val="20"/>
              </w:rPr>
              <w:t>p</w:t>
            </w:r>
          </w:p>
        </w:tc>
        <w:tc>
          <w:tcPr>
            <w:tcW w:w="2542" w:type="dxa"/>
            <w:gridSpan w:val="2"/>
            <w:tcBorders>
              <w:top w:val="single" w:sz="12" w:space="0" w:color="008000"/>
              <w:bottom w:val="single" w:sz="4" w:space="0" w:color="000000"/>
            </w:tcBorders>
          </w:tcPr>
          <w:p>
            <w:pPr>
              <w:pStyle w:val="TableParagraph"/>
              <w:spacing w:before="88"/>
              <w:ind w:left="846" w:right="866"/>
              <w:jc w:val="center"/>
              <w:rPr>
                <w:b/>
                <w:sz w:val="20"/>
              </w:rPr>
            </w:pPr>
            <w:r>
              <w:rPr>
                <w:b/>
                <w:sz w:val="20"/>
              </w:rPr>
              <w:t>Taburcu</w:t>
            </w:r>
          </w:p>
        </w:tc>
        <w:tc>
          <w:tcPr>
            <w:tcW w:w="871" w:type="dxa"/>
            <w:tcBorders>
              <w:top w:val="single" w:sz="12" w:space="0" w:color="008000"/>
              <w:bottom w:val="single" w:sz="4" w:space="0" w:color="000000"/>
            </w:tcBorders>
          </w:tcPr>
          <w:p>
            <w:pPr>
              <w:pStyle w:val="TableParagraph"/>
              <w:spacing w:before="88"/>
              <w:ind w:right="1"/>
              <w:jc w:val="center"/>
              <w:rPr>
                <w:b/>
                <w:sz w:val="20"/>
              </w:rPr>
            </w:pPr>
            <w:r>
              <w:rPr>
                <w:b/>
                <w:w w:val="99"/>
                <w:sz w:val="20"/>
              </w:rPr>
              <w:t>P</w:t>
            </w:r>
          </w:p>
        </w:tc>
      </w:tr>
      <w:tr>
        <w:trPr>
          <w:trHeight w:val="449" w:hRule="atLeast"/>
        </w:trPr>
        <w:tc>
          <w:tcPr>
            <w:tcW w:w="1715" w:type="dxa"/>
            <w:tcBorders>
              <w:top w:val="single" w:sz="4" w:space="0" w:color="000000"/>
            </w:tcBorders>
          </w:tcPr>
          <w:p>
            <w:pPr>
              <w:pStyle w:val="TableParagraph"/>
              <w:rPr>
                <w:rFonts w:ascii="Times New Roman"/>
                <w:sz w:val="20"/>
              </w:rPr>
            </w:pPr>
          </w:p>
        </w:tc>
        <w:tc>
          <w:tcPr>
            <w:tcW w:w="1309" w:type="dxa"/>
            <w:tcBorders>
              <w:top w:val="single" w:sz="4" w:space="0" w:color="000000"/>
            </w:tcBorders>
          </w:tcPr>
          <w:p>
            <w:pPr>
              <w:pStyle w:val="TableParagraph"/>
              <w:spacing w:before="90"/>
              <w:ind w:left="129" w:right="135"/>
              <w:jc w:val="center"/>
              <w:rPr>
                <w:b/>
                <w:sz w:val="20"/>
              </w:rPr>
            </w:pPr>
            <w:r>
              <w:rPr>
                <w:b/>
                <w:sz w:val="20"/>
              </w:rPr>
              <w:t>ÇG</w:t>
            </w:r>
          </w:p>
        </w:tc>
        <w:tc>
          <w:tcPr>
            <w:tcW w:w="1280" w:type="dxa"/>
            <w:tcBorders>
              <w:top w:val="single" w:sz="4" w:space="0" w:color="000000"/>
            </w:tcBorders>
          </w:tcPr>
          <w:p>
            <w:pPr>
              <w:pStyle w:val="TableParagraph"/>
              <w:spacing w:before="90"/>
              <w:ind w:left="139" w:right="96"/>
              <w:jc w:val="center"/>
              <w:rPr>
                <w:b/>
                <w:sz w:val="20"/>
              </w:rPr>
            </w:pPr>
            <w:r>
              <w:rPr>
                <w:b/>
                <w:sz w:val="20"/>
              </w:rPr>
              <w:t>KG</w:t>
            </w:r>
          </w:p>
        </w:tc>
        <w:tc>
          <w:tcPr>
            <w:tcW w:w="825" w:type="dxa"/>
            <w:tcBorders>
              <w:top w:val="single" w:sz="4" w:space="0" w:color="000000"/>
            </w:tcBorders>
          </w:tcPr>
          <w:p>
            <w:pPr>
              <w:pStyle w:val="TableParagraph"/>
              <w:rPr>
                <w:rFonts w:ascii="Times New Roman"/>
                <w:sz w:val="20"/>
              </w:rPr>
            </w:pPr>
          </w:p>
        </w:tc>
        <w:tc>
          <w:tcPr>
            <w:tcW w:w="1274" w:type="dxa"/>
            <w:tcBorders>
              <w:top w:val="single" w:sz="4" w:space="0" w:color="000000"/>
            </w:tcBorders>
          </w:tcPr>
          <w:p>
            <w:pPr>
              <w:pStyle w:val="TableParagraph"/>
              <w:spacing w:before="90"/>
              <w:ind w:left="102" w:right="113"/>
              <w:jc w:val="center"/>
              <w:rPr>
                <w:b/>
                <w:sz w:val="20"/>
              </w:rPr>
            </w:pPr>
            <w:r>
              <w:rPr>
                <w:b/>
                <w:sz w:val="20"/>
              </w:rPr>
              <w:t>ÇG</w:t>
            </w:r>
          </w:p>
        </w:tc>
        <w:tc>
          <w:tcPr>
            <w:tcW w:w="1268" w:type="dxa"/>
            <w:tcBorders>
              <w:top w:val="single" w:sz="4" w:space="0" w:color="000000"/>
            </w:tcBorders>
          </w:tcPr>
          <w:p>
            <w:pPr>
              <w:pStyle w:val="TableParagraph"/>
              <w:spacing w:before="90"/>
              <w:ind w:left="121" w:right="103"/>
              <w:jc w:val="center"/>
              <w:rPr>
                <w:b/>
                <w:sz w:val="20"/>
              </w:rPr>
            </w:pPr>
            <w:r>
              <w:rPr>
                <w:b/>
                <w:sz w:val="20"/>
              </w:rPr>
              <w:t>KG</w:t>
            </w:r>
          </w:p>
        </w:tc>
        <w:tc>
          <w:tcPr>
            <w:tcW w:w="871" w:type="dxa"/>
            <w:tcBorders>
              <w:top w:val="single" w:sz="4" w:space="0" w:color="000000"/>
            </w:tcBorders>
          </w:tcPr>
          <w:p>
            <w:pPr>
              <w:pStyle w:val="TableParagraph"/>
              <w:rPr>
                <w:rFonts w:ascii="Times New Roman"/>
                <w:sz w:val="20"/>
              </w:rPr>
            </w:pPr>
          </w:p>
        </w:tc>
      </w:tr>
      <w:tr>
        <w:trPr>
          <w:trHeight w:val="512" w:hRule="atLeast"/>
        </w:trPr>
        <w:tc>
          <w:tcPr>
            <w:tcW w:w="1715" w:type="dxa"/>
            <w:tcBorders>
              <w:bottom w:val="single" w:sz="4" w:space="0" w:color="000000"/>
            </w:tcBorders>
          </w:tcPr>
          <w:p>
            <w:pPr>
              <w:pStyle w:val="TableParagraph"/>
              <w:rPr>
                <w:rFonts w:ascii="Times New Roman"/>
                <w:sz w:val="20"/>
              </w:rPr>
            </w:pPr>
          </w:p>
        </w:tc>
        <w:tc>
          <w:tcPr>
            <w:tcW w:w="1309" w:type="dxa"/>
            <w:tcBorders>
              <w:bottom w:val="single" w:sz="4" w:space="0" w:color="000000"/>
            </w:tcBorders>
          </w:tcPr>
          <w:p>
            <w:pPr>
              <w:pStyle w:val="TableParagraph"/>
              <w:spacing w:before="121"/>
              <w:ind w:left="129" w:right="136"/>
              <w:jc w:val="center"/>
              <w:rPr>
                <w:b/>
                <w:sz w:val="20"/>
              </w:rPr>
            </w:pPr>
            <w:r>
              <w:rPr>
                <w:b/>
                <w:sz w:val="20"/>
              </w:rPr>
              <w:t>X±SS</w:t>
            </w:r>
          </w:p>
        </w:tc>
        <w:tc>
          <w:tcPr>
            <w:tcW w:w="1280" w:type="dxa"/>
            <w:tcBorders>
              <w:bottom w:val="single" w:sz="4" w:space="0" w:color="000000"/>
            </w:tcBorders>
          </w:tcPr>
          <w:p>
            <w:pPr>
              <w:pStyle w:val="TableParagraph"/>
              <w:spacing w:before="121"/>
              <w:ind w:left="139" w:right="98"/>
              <w:jc w:val="center"/>
              <w:rPr>
                <w:b/>
                <w:sz w:val="20"/>
              </w:rPr>
            </w:pPr>
            <w:r>
              <w:rPr>
                <w:b/>
                <w:sz w:val="20"/>
              </w:rPr>
              <w:t>X±SS</w:t>
            </w:r>
          </w:p>
        </w:tc>
        <w:tc>
          <w:tcPr>
            <w:tcW w:w="825" w:type="dxa"/>
            <w:tcBorders>
              <w:bottom w:val="single" w:sz="4" w:space="0" w:color="000000"/>
            </w:tcBorders>
          </w:tcPr>
          <w:p>
            <w:pPr>
              <w:pStyle w:val="TableParagraph"/>
              <w:rPr>
                <w:rFonts w:ascii="Times New Roman"/>
                <w:sz w:val="20"/>
              </w:rPr>
            </w:pPr>
          </w:p>
        </w:tc>
        <w:tc>
          <w:tcPr>
            <w:tcW w:w="1274" w:type="dxa"/>
            <w:tcBorders>
              <w:bottom w:val="single" w:sz="4" w:space="0" w:color="000000"/>
            </w:tcBorders>
          </w:tcPr>
          <w:p>
            <w:pPr>
              <w:pStyle w:val="TableParagraph"/>
              <w:spacing w:before="121"/>
              <w:ind w:left="102" w:right="114"/>
              <w:jc w:val="center"/>
              <w:rPr>
                <w:b/>
                <w:sz w:val="20"/>
              </w:rPr>
            </w:pPr>
            <w:r>
              <w:rPr>
                <w:b/>
                <w:sz w:val="20"/>
              </w:rPr>
              <w:t>X±SS</w:t>
            </w:r>
          </w:p>
        </w:tc>
        <w:tc>
          <w:tcPr>
            <w:tcW w:w="1268" w:type="dxa"/>
            <w:tcBorders>
              <w:bottom w:val="single" w:sz="4" w:space="0" w:color="000000"/>
            </w:tcBorders>
          </w:tcPr>
          <w:p>
            <w:pPr>
              <w:pStyle w:val="TableParagraph"/>
              <w:spacing w:before="121"/>
              <w:ind w:left="121" w:right="104"/>
              <w:jc w:val="center"/>
              <w:rPr>
                <w:b/>
                <w:sz w:val="20"/>
              </w:rPr>
            </w:pPr>
            <w:r>
              <w:rPr>
                <w:b/>
                <w:sz w:val="20"/>
              </w:rPr>
              <w:t>X±SS</w:t>
            </w:r>
          </w:p>
        </w:tc>
        <w:tc>
          <w:tcPr>
            <w:tcW w:w="871" w:type="dxa"/>
            <w:tcBorders>
              <w:bottom w:val="single" w:sz="4" w:space="0" w:color="000000"/>
            </w:tcBorders>
          </w:tcPr>
          <w:p>
            <w:pPr>
              <w:pStyle w:val="TableParagraph"/>
              <w:rPr>
                <w:rFonts w:ascii="Times New Roman"/>
                <w:sz w:val="20"/>
              </w:rPr>
            </w:pPr>
          </w:p>
        </w:tc>
      </w:tr>
      <w:tr>
        <w:trPr>
          <w:trHeight w:val="867" w:hRule="atLeast"/>
        </w:trPr>
        <w:tc>
          <w:tcPr>
            <w:tcW w:w="1715" w:type="dxa"/>
            <w:tcBorders>
              <w:top w:val="single" w:sz="4" w:space="0" w:color="000000"/>
            </w:tcBorders>
          </w:tcPr>
          <w:p>
            <w:pPr>
              <w:pStyle w:val="TableParagraph"/>
              <w:spacing w:before="86"/>
              <w:ind w:left="355" w:right="382" w:firstLine="2"/>
              <w:jc w:val="center"/>
              <w:rPr>
                <w:sz w:val="20"/>
              </w:rPr>
            </w:pPr>
            <w:r>
              <w:rPr>
                <w:sz w:val="20"/>
              </w:rPr>
              <w:t>Hasta </w:t>
            </w:r>
            <w:r>
              <w:rPr>
                <w:w w:val="95"/>
                <w:sz w:val="20"/>
              </w:rPr>
              <w:t>Hareketlilik </w:t>
            </w:r>
            <w:r>
              <w:rPr>
                <w:sz w:val="20"/>
              </w:rPr>
              <w:t>Skoru</w:t>
            </w:r>
          </w:p>
        </w:tc>
        <w:tc>
          <w:tcPr>
            <w:tcW w:w="1309" w:type="dxa"/>
            <w:tcBorders>
              <w:top w:val="single" w:sz="4" w:space="0" w:color="000000"/>
            </w:tcBorders>
          </w:tcPr>
          <w:p>
            <w:pPr>
              <w:pStyle w:val="TableParagraph"/>
              <w:spacing w:before="5"/>
              <w:rPr>
                <w:sz w:val="27"/>
              </w:rPr>
            </w:pPr>
          </w:p>
          <w:p>
            <w:pPr>
              <w:pStyle w:val="TableParagraph"/>
              <w:ind w:left="129" w:right="139"/>
              <w:jc w:val="center"/>
              <w:rPr>
                <w:sz w:val="20"/>
              </w:rPr>
            </w:pPr>
            <w:r>
              <w:rPr>
                <w:sz w:val="20"/>
              </w:rPr>
              <w:t>21,04±10,3</w:t>
            </w:r>
          </w:p>
        </w:tc>
        <w:tc>
          <w:tcPr>
            <w:tcW w:w="1280" w:type="dxa"/>
            <w:tcBorders>
              <w:top w:val="single" w:sz="4" w:space="0" w:color="000000"/>
            </w:tcBorders>
          </w:tcPr>
          <w:p>
            <w:pPr>
              <w:pStyle w:val="TableParagraph"/>
              <w:spacing w:before="5"/>
              <w:rPr>
                <w:sz w:val="27"/>
              </w:rPr>
            </w:pPr>
          </w:p>
          <w:p>
            <w:pPr>
              <w:pStyle w:val="TableParagraph"/>
              <w:ind w:left="139" w:right="101"/>
              <w:jc w:val="center"/>
              <w:rPr>
                <w:sz w:val="20"/>
              </w:rPr>
            </w:pPr>
            <w:r>
              <w:rPr>
                <w:sz w:val="20"/>
              </w:rPr>
              <w:t>32,13±16,6</w:t>
            </w:r>
          </w:p>
        </w:tc>
        <w:tc>
          <w:tcPr>
            <w:tcW w:w="825" w:type="dxa"/>
            <w:tcBorders>
              <w:top w:val="single" w:sz="4" w:space="0" w:color="000000"/>
            </w:tcBorders>
          </w:tcPr>
          <w:p>
            <w:pPr>
              <w:pStyle w:val="TableParagraph"/>
              <w:spacing w:before="5"/>
              <w:rPr>
                <w:sz w:val="27"/>
              </w:rPr>
            </w:pPr>
          </w:p>
          <w:p>
            <w:pPr>
              <w:pStyle w:val="TableParagraph"/>
              <w:ind w:left="98" w:right="111"/>
              <w:jc w:val="center"/>
              <w:rPr>
                <w:sz w:val="13"/>
              </w:rPr>
            </w:pPr>
            <w:r>
              <w:rPr>
                <w:sz w:val="20"/>
              </w:rPr>
              <w:t>0.66</w:t>
            </w:r>
            <w:r>
              <w:rPr>
                <w:position w:val="6"/>
                <w:sz w:val="13"/>
              </w:rPr>
              <w:t>a</w:t>
            </w:r>
          </w:p>
        </w:tc>
        <w:tc>
          <w:tcPr>
            <w:tcW w:w="1274" w:type="dxa"/>
            <w:tcBorders>
              <w:top w:val="single" w:sz="4" w:space="0" w:color="000000"/>
            </w:tcBorders>
          </w:tcPr>
          <w:p>
            <w:pPr>
              <w:pStyle w:val="TableParagraph"/>
              <w:spacing w:before="5"/>
              <w:rPr>
                <w:sz w:val="27"/>
              </w:rPr>
            </w:pPr>
          </w:p>
          <w:p>
            <w:pPr>
              <w:pStyle w:val="TableParagraph"/>
              <w:ind w:left="102" w:right="117"/>
              <w:jc w:val="center"/>
              <w:rPr>
                <w:sz w:val="20"/>
              </w:rPr>
            </w:pPr>
            <w:r>
              <w:rPr>
                <w:sz w:val="20"/>
              </w:rPr>
              <w:t>10,63±12,4</w:t>
            </w:r>
          </w:p>
        </w:tc>
        <w:tc>
          <w:tcPr>
            <w:tcW w:w="1268" w:type="dxa"/>
            <w:tcBorders>
              <w:top w:val="single" w:sz="4" w:space="0" w:color="000000"/>
            </w:tcBorders>
          </w:tcPr>
          <w:p>
            <w:pPr>
              <w:pStyle w:val="TableParagraph"/>
              <w:spacing w:before="5"/>
              <w:rPr>
                <w:sz w:val="27"/>
              </w:rPr>
            </w:pPr>
          </w:p>
          <w:p>
            <w:pPr>
              <w:pStyle w:val="TableParagraph"/>
              <w:ind w:left="121" w:right="107"/>
              <w:jc w:val="center"/>
              <w:rPr>
                <w:sz w:val="20"/>
              </w:rPr>
            </w:pPr>
            <w:r>
              <w:rPr>
                <w:sz w:val="20"/>
              </w:rPr>
              <w:t>11,45±11,6</w:t>
            </w:r>
          </w:p>
        </w:tc>
        <w:tc>
          <w:tcPr>
            <w:tcW w:w="871" w:type="dxa"/>
            <w:tcBorders>
              <w:top w:val="single" w:sz="4" w:space="0" w:color="000000"/>
            </w:tcBorders>
          </w:tcPr>
          <w:p>
            <w:pPr>
              <w:pStyle w:val="TableParagraph"/>
              <w:spacing w:before="5"/>
              <w:rPr>
                <w:sz w:val="26"/>
              </w:rPr>
            </w:pPr>
          </w:p>
          <w:p>
            <w:pPr>
              <w:pStyle w:val="TableParagraph"/>
              <w:ind w:left="104" w:right="104"/>
              <w:jc w:val="center"/>
              <w:rPr>
                <w:sz w:val="13"/>
              </w:rPr>
            </w:pPr>
            <w:r>
              <w:rPr>
                <w:sz w:val="22"/>
              </w:rPr>
              <w:t>0.419</w:t>
            </w:r>
            <w:r>
              <w:rPr>
                <w:position w:val="6"/>
                <w:sz w:val="13"/>
              </w:rPr>
              <w:t>b</w:t>
            </w:r>
          </w:p>
        </w:tc>
      </w:tr>
      <w:tr>
        <w:trPr>
          <w:trHeight w:val="924" w:hRule="atLeast"/>
        </w:trPr>
        <w:tc>
          <w:tcPr>
            <w:tcW w:w="1715" w:type="dxa"/>
          </w:tcPr>
          <w:p>
            <w:pPr>
              <w:pStyle w:val="TableParagraph"/>
              <w:spacing w:before="84"/>
              <w:ind w:left="355" w:right="382" w:firstLine="4"/>
              <w:jc w:val="center"/>
              <w:rPr>
                <w:sz w:val="20"/>
              </w:rPr>
            </w:pPr>
            <w:r>
              <w:rPr>
                <w:sz w:val="20"/>
              </w:rPr>
              <w:t>Gözlemci </w:t>
            </w:r>
            <w:r>
              <w:rPr>
                <w:w w:val="95"/>
                <w:sz w:val="20"/>
              </w:rPr>
              <w:t>Hareketlilik </w:t>
            </w:r>
            <w:r>
              <w:rPr>
                <w:sz w:val="20"/>
              </w:rPr>
              <w:t>Skoru</w:t>
            </w:r>
          </w:p>
        </w:tc>
        <w:tc>
          <w:tcPr>
            <w:tcW w:w="1309" w:type="dxa"/>
          </w:tcPr>
          <w:p>
            <w:pPr>
              <w:pStyle w:val="TableParagraph"/>
              <w:spacing w:before="4"/>
              <w:rPr>
                <w:sz w:val="27"/>
              </w:rPr>
            </w:pPr>
          </w:p>
          <w:p>
            <w:pPr>
              <w:pStyle w:val="TableParagraph"/>
              <w:ind w:left="129" w:right="139"/>
              <w:jc w:val="center"/>
              <w:rPr>
                <w:sz w:val="20"/>
              </w:rPr>
            </w:pPr>
            <w:r>
              <w:rPr>
                <w:sz w:val="20"/>
              </w:rPr>
              <w:t>6,58±2,5</w:t>
            </w:r>
          </w:p>
        </w:tc>
        <w:tc>
          <w:tcPr>
            <w:tcW w:w="1280" w:type="dxa"/>
          </w:tcPr>
          <w:p>
            <w:pPr>
              <w:pStyle w:val="TableParagraph"/>
              <w:spacing w:before="4"/>
              <w:rPr>
                <w:sz w:val="27"/>
              </w:rPr>
            </w:pPr>
          </w:p>
          <w:p>
            <w:pPr>
              <w:pStyle w:val="TableParagraph"/>
              <w:ind w:left="139" w:right="101"/>
              <w:jc w:val="center"/>
              <w:rPr>
                <w:sz w:val="20"/>
              </w:rPr>
            </w:pPr>
            <w:r>
              <w:rPr>
                <w:sz w:val="20"/>
              </w:rPr>
              <w:t>8,33±2,7</w:t>
            </w:r>
          </w:p>
        </w:tc>
        <w:tc>
          <w:tcPr>
            <w:tcW w:w="825" w:type="dxa"/>
          </w:tcPr>
          <w:p>
            <w:pPr>
              <w:pStyle w:val="TableParagraph"/>
              <w:spacing w:before="4"/>
              <w:rPr>
                <w:sz w:val="27"/>
              </w:rPr>
            </w:pPr>
          </w:p>
          <w:p>
            <w:pPr>
              <w:pStyle w:val="TableParagraph"/>
              <w:ind w:left="100" w:right="111"/>
              <w:jc w:val="center"/>
              <w:rPr>
                <w:sz w:val="13"/>
              </w:rPr>
            </w:pPr>
            <w:r>
              <w:rPr>
                <w:sz w:val="20"/>
              </w:rPr>
              <w:t>0.124</w:t>
            </w:r>
            <w:r>
              <w:rPr>
                <w:position w:val="6"/>
                <w:sz w:val="13"/>
              </w:rPr>
              <w:t>b</w:t>
            </w:r>
          </w:p>
        </w:tc>
        <w:tc>
          <w:tcPr>
            <w:tcW w:w="1274" w:type="dxa"/>
          </w:tcPr>
          <w:p>
            <w:pPr>
              <w:pStyle w:val="TableParagraph"/>
              <w:spacing w:before="4"/>
              <w:rPr>
                <w:sz w:val="27"/>
              </w:rPr>
            </w:pPr>
          </w:p>
          <w:p>
            <w:pPr>
              <w:pStyle w:val="TableParagraph"/>
              <w:ind w:left="102" w:right="117"/>
              <w:jc w:val="center"/>
              <w:rPr>
                <w:sz w:val="20"/>
              </w:rPr>
            </w:pPr>
            <w:r>
              <w:rPr>
                <w:sz w:val="20"/>
              </w:rPr>
              <w:t>4,83±1,8</w:t>
            </w:r>
          </w:p>
        </w:tc>
        <w:tc>
          <w:tcPr>
            <w:tcW w:w="1268" w:type="dxa"/>
          </w:tcPr>
          <w:p>
            <w:pPr>
              <w:pStyle w:val="TableParagraph"/>
              <w:spacing w:before="4"/>
              <w:rPr>
                <w:sz w:val="27"/>
              </w:rPr>
            </w:pPr>
          </w:p>
          <w:p>
            <w:pPr>
              <w:pStyle w:val="TableParagraph"/>
              <w:ind w:left="121" w:right="107"/>
              <w:jc w:val="center"/>
              <w:rPr>
                <w:sz w:val="20"/>
              </w:rPr>
            </w:pPr>
            <w:r>
              <w:rPr>
                <w:sz w:val="20"/>
              </w:rPr>
              <w:t>4,91±0,9</w:t>
            </w:r>
          </w:p>
        </w:tc>
        <w:tc>
          <w:tcPr>
            <w:tcW w:w="871" w:type="dxa"/>
          </w:tcPr>
          <w:p>
            <w:pPr>
              <w:pStyle w:val="TableParagraph"/>
              <w:spacing w:before="4"/>
              <w:rPr>
                <w:sz w:val="27"/>
              </w:rPr>
            </w:pPr>
          </w:p>
          <w:p>
            <w:pPr>
              <w:pStyle w:val="TableParagraph"/>
              <w:ind w:left="104" w:right="104"/>
              <w:jc w:val="center"/>
              <w:rPr>
                <w:sz w:val="13"/>
              </w:rPr>
            </w:pPr>
            <w:r>
              <w:rPr>
                <w:sz w:val="20"/>
              </w:rPr>
              <w:t>0.345</w:t>
            </w:r>
            <w:r>
              <w:rPr>
                <w:position w:val="6"/>
                <w:sz w:val="13"/>
              </w:rPr>
              <w:t>b</w:t>
            </w:r>
          </w:p>
        </w:tc>
      </w:tr>
      <w:tr>
        <w:trPr>
          <w:trHeight w:val="808" w:hRule="atLeast"/>
        </w:trPr>
        <w:tc>
          <w:tcPr>
            <w:tcW w:w="1715" w:type="dxa"/>
            <w:tcBorders>
              <w:bottom w:val="single" w:sz="12" w:space="0" w:color="008000"/>
            </w:tcBorders>
          </w:tcPr>
          <w:p>
            <w:pPr>
              <w:pStyle w:val="TableParagraph"/>
              <w:spacing w:before="142"/>
              <w:ind w:left="571" w:right="379" w:hanging="200"/>
              <w:rPr>
                <w:sz w:val="20"/>
              </w:rPr>
            </w:pPr>
            <w:r>
              <w:rPr>
                <w:sz w:val="20"/>
              </w:rPr>
              <w:t>Ağrı Skoru (NAS)</w:t>
            </w:r>
          </w:p>
        </w:tc>
        <w:tc>
          <w:tcPr>
            <w:tcW w:w="1309" w:type="dxa"/>
            <w:tcBorders>
              <w:bottom w:val="single" w:sz="12" w:space="0" w:color="008000"/>
            </w:tcBorders>
          </w:tcPr>
          <w:p>
            <w:pPr>
              <w:pStyle w:val="TableParagraph"/>
              <w:spacing w:before="4"/>
              <w:rPr>
                <w:sz w:val="22"/>
              </w:rPr>
            </w:pPr>
          </w:p>
          <w:p>
            <w:pPr>
              <w:pStyle w:val="TableParagraph"/>
              <w:ind w:left="129" w:right="139"/>
              <w:jc w:val="center"/>
              <w:rPr>
                <w:sz w:val="20"/>
              </w:rPr>
            </w:pPr>
            <w:r>
              <w:rPr>
                <w:sz w:val="20"/>
              </w:rPr>
              <w:t>3,83±1,6</w:t>
            </w:r>
          </w:p>
        </w:tc>
        <w:tc>
          <w:tcPr>
            <w:tcW w:w="1280" w:type="dxa"/>
            <w:tcBorders>
              <w:bottom w:val="single" w:sz="12" w:space="0" w:color="008000"/>
            </w:tcBorders>
          </w:tcPr>
          <w:p>
            <w:pPr>
              <w:pStyle w:val="TableParagraph"/>
              <w:spacing w:before="4"/>
              <w:rPr>
                <w:sz w:val="22"/>
              </w:rPr>
            </w:pPr>
          </w:p>
          <w:p>
            <w:pPr>
              <w:pStyle w:val="TableParagraph"/>
              <w:ind w:left="139" w:right="101"/>
              <w:jc w:val="center"/>
              <w:rPr>
                <w:sz w:val="20"/>
              </w:rPr>
            </w:pPr>
            <w:r>
              <w:rPr>
                <w:sz w:val="20"/>
              </w:rPr>
              <w:t>4,33±0,9</w:t>
            </w:r>
          </w:p>
        </w:tc>
        <w:tc>
          <w:tcPr>
            <w:tcW w:w="825" w:type="dxa"/>
            <w:tcBorders>
              <w:bottom w:val="single" w:sz="12" w:space="0" w:color="008000"/>
            </w:tcBorders>
          </w:tcPr>
          <w:p>
            <w:pPr>
              <w:pStyle w:val="TableParagraph"/>
              <w:spacing w:before="4"/>
              <w:rPr>
                <w:sz w:val="22"/>
              </w:rPr>
            </w:pPr>
          </w:p>
          <w:p>
            <w:pPr>
              <w:pStyle w:val="TableParagraph"/>
              <w:ind w:left="100" w:right="111"/>
              <w:jc w:val="center"/>
              <w:rPr>
                <w:sz w:val="13"/>
              </w:rPr>
            </w:pPr>
            <w:r>
              <w:rPr>
                <w:sz w:val="20"/>
              </w:rPr>
              <w:t>0.376</w:t>
            </w:r>
            <w:r>
              <w:rPr>
                <w:position w:val="6"/>
                <w:sz w:val="13"/>
              </w:rPr>
              <w:t>a</w:t>
            </w:r>
          </w:p>
        </w:tc>
        <w:tc>
          <w:tcPr>
            <w:tcW w:w="1274" w:type="dxa"/>
            <w:tcBorders>
              <w:bottom w:val="single" w:sz="12" w:space="0" w:color="008000"/>
            </w:tcBorders>
          </w:tcPr>
          <w:p>
            <w:pPr>
              <w:pStyle w:val="TableParagraph"/>
              <w:spacing w:before="4"/>
              <w:rPr>
                <w:sz w:val="22"/>
              </w:rPr>
            </w:pPr>
          </w:p>
          <w:p>
            <w:pPr>
              <w:pStyle w:val="TableParagraph"/>
              <w:ind w:left="102" w:right="114"/>
              <w:jc w:val="center"/>
              <w:rPr>
                <w:sz w:val="20"/>
              </w:rPr>
            </w:pPr>
            <w:r>
              <w:rPr>
                <w:sz w:val="20"/>
              </w:rPr>
              <w:t>1,7±1,8</w:t>
            </w:r>
          </w:p>
        </w:tc>
        <w:tc>
          <w:tcPr>
            <w:tcW w:w="1268" w:type="dxa"/>
            <w:tcBorders>
              <w:bottom w:val="single" w:sz="12" w:space="0" w:color="008000"/>
            </w:tcBorders>
          </w:tcPr>
          <w:p>
            <w:pPr>
              <w:pStyle w:val="TableParagraph"/>
              <w:spacing w:before="4"/>
              <w:rPr>
                <w:sz w:val="22"/>
              </w:rPr>
            </w:pPr>
          </w:p>
          <w:p>
            <w:pPr>
              <w:pStyle w:val="TableParagraph"/>
              <w:ind w:left="121" w:right="107"/>
              <w:jc w:val="center"/>
              <w:rPr>
                <w:sz w:val="20"/>
              </w:rPr>
            </w:pPr>
            <w:r>
              <w:rPr>
                <w:sz w:val="20"/>
              </w:rPr>
              <w:t>2,33±1,6</w:t>
            </w:r>
          </w:p>
        </w:tc>
        <w:tc>
          <w:tcPr>
            <w:tcW w:w="871" w:type="dxa"/>
            <w:tcBorders>
              <w:bottom w:val="single" w:sz="12" w:space="0" w:color="008000"/>
            </w:tcBorders>
          </w:tcPr>
          <w:p>
            <w:pPr>
              <w:pStyle w:val="TableParagraph"/>
              <w:spacing w:before="4"/>
              <w:rPr>
                <w:sz w:val="22"/>
              </w:rPr>
            </w:pPr>
          </w:p>
          <w:p>
            <w:pPr>
              <w:pStyle w:val="TableParagraph"/>
              <w:ind w:left="104" w:right="104"/>
              <w:jc w:val="center"/>
              <w:rPr>
                <w:sz w:val="13"/>
              </w:rPr>
            </w:pPr>
            <w:r>
              <w:rPr>
                <w:sz w:val="20"/>
              </w:rPr>
              <w:t>0.389</w:t>
            </w:r>
            <w:r>
              <w:rPr>
                <w:position w:val="6"/>
                <w:sz w:val="13"/>
              </w:rPr>
              <w:t>a</w:t>
            </w:r>
          </w:p>
        </w:tc>
      </w:tr>
    </w:tbl>
    <w:p>
      <w:pPr>
        <w:spacing w:before="0"/>
        <w:ind w:left="588" w:right="0" w:firstLine="0"/>
        <w:jc w:val="left"/>
        <w:rPr>
          <w:sz w:val="20"/>
        </w:rPr>
      </w:pPr>
      <w:r>
        <w:rPr>
          <w:sz w:val="20"/>
        </w:rPr>
        <w:t>a: t-test, b: Mann Whitney U Testi</w:t>
      </w:r>
    </w:p>
    <w:p>
      <w:pPr>
        <w:pStyle w:val="BodyText"/>
      </w:pPr>
    </w:p>
    <w:p>
      <w:pPr>
        <w:pStyle w:val="BodyText"/>
      </w:pPr>
    </w:p>
    <w:p>
      <w:pPr>
        <w:pStyle w:val="BodyText"/>
        <w:spacing w:before="10"/>
        <w:rPr>
          <w:sz w:val="28"/>
        </w:rPr>
      </w:pPr>
    </w:p>
    <w:p>
      <w:pPr>
        <w:pStyle w:val="BodyText"/>
        <w:spacing w:line="357" w:lineRule="auto"/>
        <w:ind w:left="588" w:right="196" w:firstLine="708"/>
        <w:jc w:val="both"/>
      </w:pPr>
      <w:r>
        <w:rPr/>
        <w:t>Grupların EMT ve insentif spirometre egzersizlerine devam etme yüzdeleri kaydedilmiş ve iki grup arasında karşılaştırılmıştır. İstatistiksel olarak iki grup arasında anlamlı bir fark bulunmadı. Elde edilen veriler tablo 4.22’ de verilmiştir.</w:t>
      </w:r>
    </w:p>
    <w:p>
      <w:pPr>
        <w:pStyle w:val="BodyText"/>
        <w:spacing w:line="357" w:lineRule="auto" w:before="168"/>
        <w:ind w:left="588" w:right="190" w:firstLine="708"/>
        <w:jc w:val="both"/>
      </w:pPr>
      <w:r>
        <w:rPr/>
        <w:t>Bireylerin</w:t>
      </w:r>
      <w:r>
        <w:rPr>
          <w:spacing w:val="-10"/>
        </w:rPr>
        <w:t> </w:t>
      </w:r>
      <w:r>
        <w:rPr/>
        <w:t>hastanede</w:t>
      </w:r>
      <w:r>
        <w:rPr>
          <w:spacing w:val="-12"/>
        </w:rPr>
        <w:t> </w:t>
      </w:r>
      <w:r>
        <w:rPr/>
        <w:t>kalış</w:t>
      </w:r>
      <w:r>
        <w:rPr>
          <w:spacing w:val="-9"/>
        </w:rPr>
        <w:t> </w:t>
      </w:r>
      <w:r>
        <w:rPr/>
        <w:t>süreleri</w:t>
      </w:r>
      <w:r>
        <w:rPr>
          <w:spacing w:val="-11"/>
        </w:rPr>
        <w:t> </w:t>
      </w:r>
      <w:r>
        <w:rPr/>
        <w:t>kaydedilmiş</w:t>
      </w:r>
      <w:r>
        <w:rPr>
          <w:spacing w:val="-9"/>
        </w:rPr>
        <w:t> </w:t>
      </w:r>
      <w:r>
        <w:rPr/>
        <w:t>ve</w:t>
      </w:r>
      <w:r>
        <w:rPr>
          <w:spacing w:val="-12"/>
        </w:rPr>
        <w:t> </w:t>
      </w:r>
      <w:r>
        <w:rPr/>
        <w:t>gruplar</w:t>
      </w:r>
      <w:r>
        <w:rPr>
          <w:spacing w:val="-9"/>
        </w:rPr>
        <w:t> </w:t>
      </w:r>
      <w:r>
        <w:rPr/>
        <w:t>arası</w:t>
      </w:r>
      <w:r>
        <w:rPr>
          <w:spacing w:val="-12"/>
        </w:rPr>
        <w:t> </w:t>
      </w:r>
      <w:r>
        <w:rPr/>
        <w:t>karşılaştırılmıştır. İki grup arasında istatistiksel olarak anlamlı bir fark bulunmadı. Elde edilen veriler tablo 4.22’ de</w:t>
      </w:r>
      <w:r>
        <w:rPr>
          <w:spacing w:val="-1"/>
        </w:rPr>
        <w:t> </w:t>
      </w:r>
      <w:r>
        <w:rPr/>
        <w:t>verilmiştir.</w:t>
      </w:r>
    </w:p>
    <w:p>
      <w:pPr>
        <w:spacing w:after="0" w:line="357" w:lineRule="auto"/>
        <w:jc w:val="both"/>
        <w:sectPr>
          <w:headerReference w:type="default" r:id="rId48"/>
          <w:pgSz w:w="11910" w:h="16840"/>
          <w:pgMar w:header="0" w:footer="0" w:top="1320" w:bottom="280" w:left="1680" w:right="940"/>
        </w:sectPr>
      </w:pPr>
    </w:p>
    <w:p>
      <w:pPr>
        <w:pStyle w:val="BodyText"/>
        <w:rPr>
          <w:sz w:val="20"/>
        </w:rPr>
      </w:pPr>
    </w:p>
    <w:p>
      <w:pPr>
        <w:pStyle w:val="BodyText"/>
        <w:spacing w:before="6"/>
        <w:rPr>
          <w:sz w:val="18"/>
        </w:rPr>
      </w:pPr>
    </w:p>
    <w:p>
      <w:pPr>
        <w:spacing w:before="0"/>
        <w:ind w:left="588" w:right="0" w:firstLine="0"/>
        <w:jc w:val="left"/>
        <w:rPr>
          <w:sz w:val="20"/>
        </w:rPr>
      </w:pPr>
      <w:r>
        <w:rPr>
          <w:b/>
          <w:sz w:val="20"/>
        </w:rPr>
        <w:t>Tablo 4.22 </w:t>
      </w:r>
      <w:r>
        <w:rPr>
          <w:sz w:val="20"/>
        </w:rPr>
        <w:t>İki Grubun Verilerinin Karşılaştırılması</w:t>
      </w:r>
    </w:p>
    <w:p>
      <w:pPr>
        <w:pStyle w:val="BodyText"/>
        <w:spacing w:before="4"/>
        <w:rPr>
          <w:sz w:val="24"/>
        </w:rPr>
      </w:pPr>
    </w:p>
    <w:tbl>
      <w:tblPr>
        <w:tblW w:w="0" w:type="auto"/>
        <w:jc w:val="left"/>
        <w:tblInd w:w="5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2"/>
        <w:gridCol w:w="2118"/>
        <w:gridCol w:w="2299"/>
        <w:gridCol w:w="1919"/>
      </w:tblGrid>
      <w:tr>
        <w:trPr>
          <w:trHeight w:val="735" w:hRule="atLeast"/>
        </w:trPr>
        <w:tc>
          <w:tcPr>
            <w:tcW w:w="2132" w:type="dxa"/>
            <w:tcBorders>
              <w:top w:val="single" w:sz="12" w:space="0" w:color="008000"/>
              <w:bottom w:val="single" w:sz="6" w:space="0" w:color="008000"/>
            </w:tcBorders>
          </w:tcPr>
          <w:p>
            <w:pPr>
              <w:pStyle w:val="TableParagraph"/>
              <w:spacing w:before="7"/>
              <w:rPr>
                <w:sz w:val="21"/>
              </w:rPr>
            </w:pPr>
          </w:p>
          <w:p>
            <w:pPr>
              <w:pStyle w:val="TableParagraph"/>
              <w:ind w:left="340"/>
              <w:rPr>
                <w:b/>
                <w:sz w:val="20"/>
              </w:rPr>
            </w:pPr>
            <w:r>
              <w:rPr>
                <w:b/>
                <w:sz w:val="20"/>
              </w:rPr>
              <w:t>DEĞİŞKENLER</w:t>
            </w:r>
          </w:p>
        </w:tc>
        <w:tc>
          <w:tcPr>
            <w:tcW w:w="2118" w:type="dxa"/>
            <w:tcBorders>
              <w:top w:val="single" w:sz="12" w:space="0" w:color="008000"/>
              <w:bottom w:val="single" w:sz="6" w:space="0" w:color="008000"/>
            </w:tcBorders>
          </w:tcPr>
          <w:p>
            <w:pPr>
              <w:pStyle w:val="TableParagraph"/>
              <w:spacing w:before="7"/>
              <w:rPr>
                <w:sz w:val="21"/>
              </w:rPr>
            </w:pPr>
          </w:p>
          <w:p>
            <w:pPr>
              <w:pStyle w:val="TableParagraph"/>
              <w:ind w:left="315" w:right="339"/>
              <w:jc w:val="center"/>
              <w:rPr>
                <w:b/>
                <w:sz w:val="20"/>
              </w:rPr>
            </w:pPr>
            <w:r>
              <w:rPr>
                <w:b/>
                <w:sz w:val="20"/>
              </w:rPr>
              <w:t>Çalışma Grubu</w:t>
            </w:r>
          </w:p>
        </w:tc>
        <w:tc>
          <w:tcPr>
            <w:tcW w:w="2299" w:type="dxa"/>
            <w:tcBorders>
              <w:top w:val="single" w:sz="12" w:space="0" w:color="008000"/>
              <w:bottom w:val="single" w:sz="6" w:space="0" w:color="008000"/>
            </w:tcBorders>
          </w:tcPr>
          <w:p>
            <w:pPr>
              <w:pStyle w:val="TableParagraph"/>
              <w:spacing w:before="7"/>
              <w:rPr>
                <w:sz w:val="21"/>
              </w:rPr>
            </w:pPr>
          </w:p>
          <w:p>
            <w:pPr>
              <w:pStyle w:val="TableParagraph"/>
              <w:ind w:left="340" w:right="551"/>
              <w:jc w:val="center"/>
              <w:rPr>
                <w:b/>
                <w:sz w:val="20"/>
              </w:rPr>
            </w:pPr>
            <w:r>
              <w:rPr>
                <w:b/>
                <w:sz w:val="20"/>
              </w:rPr>
              <w:t>Kontrol Grubu</w:t>
            </w:r>
          </w:p>
        </w:tc>
        <w:tc>
          <w:tcPr>
            <w:tcW w:w="1919" w:type="dxa"/>
            <w:tcBorders>
              <w:top w:val="single" w:sz="12" w:space="0" w:color="008000"/>
              <w:bottom w:val="single" w:sz="6" w:space="0" w:color="008000"/>
            </w:tcBorders>
          </w:tcPr>
          <w:p>
            <w:pPr>
              <w:pStyle w:val="TableParagraph"/>
              <w:spacing w:before="7"/>
              <w:rPr>
                <w:sz w:val="21"/>
              </w:rPr>
            </w:pPr>
          </w:p>
          <w:p>
            <w:pPr>
              <w:pStyle w:val="TableParagraph"/>
              <w:ind w:right="200"/>
              <w:jc w:val="center"/>
              <w:rPr>
                <w:b/>
                <w:sz w:val="20"/>
              </w:rPr>
            </w:pPr>
            <w:r>
              <w:rPr>
                <w:b/>
                <w:w w:val="99"/>
                <w:sz w:val="20"/>
              </w:rPr>
              <w:t>P</w:t>
            </w:r>
          </w:p>
        </w:tc>
      </w:tr>
      <w:tr>
        <w:trPr>
          <w:trHeight w:val="768" w:hRule="atLeast"/>
        </w:trPr>
        <w:tc>
          <w:tcPr>
            <w:tcW w:w="2132" w:type="dxa"/>
            <w:tcBorders>
              <w:top w:val="single" w:sz="6" w:space="0" w:color="008000"/>
            </w:tcBorders>
          </w:tcPr>
          <w:p>
            <w:pPr>
              <w:pStyle w:val="TableParagraph"/>
              <w:spacing w:before="117"/>
              <w:ind w:left="518" w:right="314" w:hanging="188"/>
              <w:rPr>
                <w:sz w:val="20"/>
              </w:rPr>
            </w:pPr>
            <w:r>
              <w:rPr>
                <w:sz w:val="20"/>
              </w:rPr>
              <w:t>Hastanede Kalış Süresi (gün)</w:t>
            </w:r>
          </w:p>
        </w:tc>
        <w:tc>
          <w:tcPr>
            <w:tcW w:w="2118" w:type="dxa"/>
            <w:tcBorders>
              <w:top w:val="single" w:sz="6" w:space="0" w:color="008000"/>
            </w:tcBorders>
          </w:tcPr>
          <w:p>
            <w:pPr>
              <w:pStyle w:val="TableParagraph"/>
              <w:spacing w:before="2"/>
              <w:rPr>
                <w:sz w:val="20"/>
              </w:rPr>
            </w:pPr>
          </w:p>
          <w:p>
            <w:pPr>
              <w:pStyle w:val="TableParagraph"/>
              <w:ind w:left="314" w:right="339"/>
              <w:jc w:val="center"/>
              <w:rPr>
                <w:sz w:val="20"/>
              </w:rPr>
            </w:pPr>
            <w:r>
              <w:rPr>
                <w:sz w:val="20"/>
              </w:rPr>
              <w:t>7,41±2,46</w:t>
            </w:r>
          </w:p>
        </w:tc>
        <w:tc>
          <w:tcPr>
            <w:tcW w:w="2299" w:type="dxa"/>
            <w:tcBorders>
              <w:top w:val="single" w:sz="6" w:space="0" w:color="008000"/>
            </w:tcBorders>
          </w:tcPr>
          <w:p>
            <w:pPr>
              <w:pStyle w:val="TableParagraph"/>
              <w:spacing w:before="2"/>
              <w:rPr>
                <w:sz w:val="20"/>
              </w:rPr>
            </w:pPr>
          </w:p>
          <w:p>
            <w:pPr>
              <w:pStyle w:val="TableParagraph"/>
              <w:ind w:left="338" w:right="551"/>
              <w:jc w:val="center"/>
              <w:rPr>
                <w:sz w:val="20"/>
              </w:rPr>
            </w:pPr>
            <w:r>
              <w:rPr>
                <w:sz w:val="20"/>
              </w:rPr>
              <w:t>8,33±2,3</w:t>
            </w:r>
          </w:p>
        </w:tc>
        <w:tc>
          <w:tcPr>
            <w:tcW w:w="1919" w:type="dxa"/>
            <w:tcBorders>
              <w:top w:val="single" w:sz="6" w:space="0" w:color="008000"/>
            </w:tcBorders>
          </w:tcPr>
          <w:p>
            <w:pPr>
              <w:pStyle w:val="TableParagraph"/>
              <w:spacing w:before="2"/>
              <w:rPr>
                <w:sz w:val="20"/>
              </w:rPr>
            </w:pPr>
          </w:p>
          <w:p>
            <w:pPr>
              <w:pStyle w:val="TableParagraph"/>
              <w:ind w:left="551" w:right="752"/>
              <w:jc w:val="center"/>
              <w:rPr>
                <w:sz w:val="13"/>
              </w:rPr>
            </w:pPr>
            <w:r>
              <w:rPr>
                <w:sz w:val="20"/>
              </w:rPr>
              <w:t>0.66</w:t>
            </w:r>
            <w:r>
              <w:rPr>
                <w:position w:val="6"/>
                <w:sz w:val="13"/>
              </w:rPr>
              <w:t>a</w:t>
            </w:r>
          </w:p>
        </w:tc>
      </w:tr>
      <w:tr>
        <w:trPr>
          <w:trHeight w:val="668" w:hRule="atLeast"/>
        </w:trPr>
        <w:tc>
          <w:tcPr>
            <w:tcW w:w="2132" w:type="dxa"/>
            <w:tcBorders>
              <w:bottom w:val="single" w:sz="12" w:space="0" w:color="008000"/>
            </w:tcBorders>
          </w:tcPr>
          <w:p>
            <w:pPr>
              <w:pStyle w:val="TableParagraph"/>
              <w:spacing w:before="184"/>
              <w:ind w:left="412"/>
              <w:rPr>
                <w:sz w:val="20"/>
              </w:rPr>
            </w:pPr>
            <w:r>
              <w:rPr>
                <w:sz w:val="20"/>
              </w:rPr>
              <w:t>Devamlılık (%)</w:t>
            </w:r>
          </w:p>
        </w:tc>
        <w:tc>
          <w:tcPr>
            <w:tcW w:w="2118" w:type="dxa"/>
            <w:tcBorders>
              <w:bottom w:val="single" w:sz="12" w:space="0" w:color="008000"/>
            </w:tcBorders>
          </w:tcPr>
          <w:p>
            <w:pPr>
              <w:pStyle w:val="TableParagraph"/>
              <w:spacing w:before="184"/>
              <w:ind w:left="313" w:right="339"/>
              <w:jc w:val="center"/>
              <w:rPr>
                <w:sz w:val="20"/>
              </w:rPr>
            </w:pPr>
            <w:r>
              <w:rPr>
                <w:sz w:val="20"/>
              </w:rPr>
              <w:t>84,41±18,9</w:t>
            </w:r>
          </w:p>
        </w:tc>
        <w:tc>
          <w:tcPr>
            <w:tcW w:w="2299" w:type="dxa"/>
            <w:tcBorders>
              <w:bottom w:val="single" w:sz="12" w:space="0" w:color="008000"/>
            </w:tcBorders>
          </w:tcPr>
          <w:p>
            <w:pPr>
              <w:pStyle w:val="TableParagraph"/>
              <w:spacing w:before="184"/>
              <w:ind w:left="338" w:right="551"/>
              <w:jc w:val="center"/>
              <w:rPr>
                <w:sz w:val="20"/>
              </w:rPr>
            </w:pPr>
            <w:r>
              <w:rPr>
                <w:sz w:val="20"/>
              </w:rPr>
              <w:t>87,33±12,3</w:t>
            </w:r>
          </w:p>
        </w:tc>
        <w:tc>
          <w:tcPr>
            <w:tcW w:w="1919" w:type="dxa"/>
            <w:tcBorders>
              <w:bottom w:val="single" w:sz="12" w:space="0" w:color="008000"/>
            </w:tcBorders>
          </w:tcPr>
          <w:p>
            <w:pPr>
              <w:pStyle w:val="TableParagraph"/>
              <w:spacing w:before="184"/>
              <w:ind w:left="554" w:right="752"/>
              <w:jc w:val="center"/>
              <w:rPr>
                <w:sz w:val="13"/>
              </w:rPr>
            </w:pPr>
            <w:r>
              <w:rPr>
                <w:sz w:val="20"/>
              </w:rPr>
              <w:t>0.811</w:t>
            </w:r>
            <w:r>
              <w:rPr>
                <w:position w:val="6"/>
                <w:sz w:val="13"/>
              </w:rPr>
              <w:t>a</w:t>
            </w:r>
          </w:p>
        </w:tc>
      </w:tr>
    </w:tbl>
    <w:p>
      <w:pPr>
        <w:spacing w:before="0"/>
        <w:ind w:left="588" w:right="0" w:firstLine="0"/>
        <w:jc w:val="left"/>
        <w:rPr>
          <w:sz w:val="20"/>
        </w:rPr>
      </w:pPr>
      <w:r>
        <w:rPr>
          <w:sz w:val="20"/>
        </w:rPr>
        <w:t>a: Mann Whitney U Testi</w:t>
      </w:r>
    </w:p>
    <w:p>
      <w:pPr>
        <w:pStyle w:val="BodyText"/>
      </w:pPr>
    </w:p>
    <w:p>
      <w:pPr>
        <w:pStyle w:val="BodyText"/>
      </w:pPr>
    </w:p>
    <w:p>
      <w:pPr>
        <w:pStyle w:val="BodyText"/>
        <w:spacing w:before="10"/>
        <w:rPr>
          <w:sz w:val="26"/>
        </w:rPr>
      </w:pPr>
    </w:p>
    <w:p>
      <w:pPr>
        <w:pStyle w:val="BodyText"/>
        <w:spacing w:line="357" w:lineRule="auto"/>
        <w:ind w:left="588" w:firstLine="708"/>
      </w:pPr>
      <w:r>
        <w:rPr/>
        <w:t>Bireylerin PPK gelişimi Melbourne Grup Skalası Versiyon 2 ile takip edildi. İki grupta da hiçbir bireyde PPK gelişimi gözlenmedi.</w:t>
      </w:r>
    </w:p>
    <w:p>
      <w:pPr>
        <w:spacing w:after="0" w:line="357" w:lineRule="auto"/>
        <w:sectPr>
          <w:headerReference w:type="default" r:id="rId49"/>
          <w:pgSz w:w="11910" w:h="16840"/>
          <w:pgMar w:header="749" w:footer="0" w:top="960" w:bottom="280" w:left="1680" w:right="940"/>
          <w:pgNumType w:start="42"/>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2"/>
        <w:numPr>
          <w:ilvl w:val="0"/>
          <w:numId w:val="6"/>
        </w:numPr>
        <w:tabs>
          <w:tab w:pos="836" w:val="left" w:leader="none"/>
        </w:tabs>
        <w:spacing w:line="240" w:lineRule="auto" w:before="94" w:after="0"/>
        <w:ind w:left="835" w:right="0" w:hanging="248"/>
        <w:jc w:val="left"/>
      </w:pPr>
      <w:bookmarkStart w:name="_bookmark51" w:id="95"/>
      <w:bookmarkEnd w:id="95"/>
      <w:r>
        <w:rPr>
          <w:b w:val="0"/>
        </w:rPr>
      </w:r>
      <w:bookmarkStart w:name="_bookmark51" w:id="96"/>
      <w:bookmarkEnd w:id="96"/>
      <w:r>
        <w:rPr/>
        <w:t>T</w:t>
      </w:r>
      <w:r>
        <w:rPr/>
        <w:t>ARTIŞMA</w:t>
      </w:r>
    </w:p>
    <w:p>
      <w:pPr>
        <w:pStyle w:val="BodyText"/>
        <w:rPr>
          <w:b/>
          <w:sz w:val="24"/>
        </w:rPr>
      </w:pPr>
    </w:p>
    <w:p>
      <w:pPr>
        <w:pStyle w:val="BodyText"/>
        <w:spacing w:before="1"/>
        <w:rPr>
          <w:b/>
          <w:sz w:val="34"/>
        </w:rPr>
      </w:pPr>
    </w:p>
    <w:p>
      <w:pPr>
        <w:pStyle w:val="BodyText"/>
        <w:spacing w:line="360" w:lineRule="auto"/>
        <w:ind w:left="588" w:right="187" w:firstLine="708"/>
        <w:jc w:val="both"/>
      </w:pPr>
      <w:r>
        <w:rPr/>
        <w:t>Çalışmamızda</w:t>
      </w:r>
      <w:r>
        <w:rPr>
          <w:spacing w:val="-16"/>
        </w:rPr>
        <w:t> </w:t>
      </w:r>
      <w:r>
        <w:rPr/>
        <w:t>kolorektal</w:t>
      </w:r>
      <w:r>
        <w:rPr>
          <w:spacing w:val="-18"/>
        </w:rPr>
        <w:t> </w:t>
      </w:r>
      <w:r>
        <w:rPr/>
        <w:t>cerrahi</w:t>
      </w:r>
      <w:r>
        <w:rPr>
          <w:spacing w:val="-17"/>
        </w:rPr>
        <w:t> </w:t>
      </w:r>
      <w:r>
        <w:rPr/>
        <w:t>geçiren</w:t>
      </w:r>
      <w:r>
        <w:rPr>
          <w:spacing w:val="-17"/>
        </w:rPr>
        <w:t> </w:t>
      </w:r>
      <w:r>
        <w:rPr/>
        <w:t>bireylere</w:t>
      </w:r>
      <w:r>
        <w:rPr>
          <w:spacing w:val="-15"/>
        </w:rPr>
        <w:t> </w:t>
      </w:r>
      <w:r>
        <w:rPr/>
        <w:t>konvansiyonel</w:t>
      </w:r>
      <w:r>
        <w:rPr>
          <w:spacing w:val="-16"/>
        </w:rPr>
        <w:t> </w:t>
      </w:r>
      <w:r>
        <w:rPr/>
        <w:t>fizyoterapiye</w:t>
      </w:r>
      <w:r>
        <w:rPr>
          <w:spacing w:val="-14"/>
        </w:rPr>
        <w:t> </w:t>
      </w:r>
      <w:r>
        <w:rPr/>
        <w:t>ek olarak EMT etkisini inceledik. Kontrol grubuna konvansiyonel göğüs fizyoterapisi ve klinikte sıkça kullanılan insentif spirometre, Çalışma grubuna ise konvansiyonel göğüs fizyoterapisine ek olarak ‘Ekspiratuar Kas Eğitimi’ uyguladık. Her iki grupta da solunum kas güçlerinde cerrahi sonrası döneme göre anlamlı artış sağlanırken gruplar arasında istatistiksel olarak anlamlı bir fark gözlenmedi. Uygulanan kolorektal cerrahi sonrası iki grupta da fonksiyonel kapasitede anlamlı derecede azalma olduğu, taburculuk döneminde ise preoperatif düzeye ulaşılamadığı gözlendi. Yine her iki grupta da hareketlilik ve bağımsızlık düzeylerinde tedavi sonrasında postoperatif döneme göre anlamlı derecede artış gözlenmesine rağmen gruplar arasında istatistiksel olarak fark gözlenmedi. Cerrahi sonrası karşılaşılan önemli sorunlardan bir tanesi olan PPK tedaviye alınan hiçbir bireyde ortaya</w:t>
      </w:r>
      <w:r>
        <w:rPr>
          <w:spacing w:val="-1"/>
        </w:rPr>
        <w:t> </w:t>
      </w:r>
      <w:r>
        <w:rPr/>
        <w:t>çıkmadı.</w:t>
      </w:r>
    </w:p>
    <w:p>
      <w:pPr>
        <w:pStyle w:val="BodyText"/>
        <w:spacing w:line="360" w:lineRule="auto" w:before="161"/>
        <w:ind w:left="588" w:right="187" w:firstLine="708"/>
        <w:jc w:val="both"/>
      </w:pPr>
      <w:r>
        <w:rPr/>
        <w:t>Literatürde solunum kas eğitimi yapılan çalışmalarda inspiratuar kas eğitimine odaklanılmıştır.</w:t>
      </w:r>
      <w:r>
        <w:rPr>
          <w:spacing w:val="-21"/>
        </w:rPr>
        <w:t> </w:t>
      </w:r>
      <w:r>
        <w:rPr/>
        <w:t>İnme,</w:t>
      </w:r>
      <w:r>
        <w:rPr>
          <w:spacing w:val="-21"/>
        </w:rPr>
        <w:t> </w:t>
      </w:r>
      <w:r>
        <w:rPr/>
        <w:t>kardiyak</w:t>
      </w:r>
      <w:r>
        <w:rPr>
          <w:spacing w:val="-18"/>
        </w:rPr>
        <w:t> </w:t>
      </w:r>
      <w:r>
        <w:rPr/>
        <w:t>cerrahiler,</w:t>
      </w:r>
      <w:r>
        <w:rPr>
          <w:spacing w:val="-20"/>
        </w:rPr>
        <w:t> </w:t>
      </w:r>
      <w:r>
        <w:rPr/>
        <w:t>Multiple</w:t>
      </w:r>
      <w:r>
        <w:rPr>
          <w:spacing w:val="-18"/>
        </w:rPr>
        <w:t> </w:t>
      </w:r>
      <w:r>
        <w:rPr/>
        <w:t>sklerozis</w:t>
      </w:r>
      <w:r>
        <w:rPr>
          <w:spacing w:val="-22"/>
        </w:rPr>
        <w:t> </w:t>
      </w:r>
      <w:r>
        <w:rPr/>
        <w:t>gibi</w:t>
      </w:r>
      <w:r>
        <w:rPr>
          <w:spacing w:val="-21"/>
        </w:rPr>
        <w:t> </w:t>
      </w:r>
      <w:r>
        <w:rPr/>
        <w:t>hastalıklarda</w:t>
      </w:r>
      <w:r>
        <w:rPr>
          <w:spacing w:val="-15"/>
        </w:rPr>
        <w:t> </w:t>
      </w:r>
      <w:r>
        <w:rPr/>
        <w:t>ekspiratuar kas eğitimi yapılan çalışmalar bulunmasına rağmen spesifik olarak kolorektal cerrahilerde ekspiratuar kas eğitimi uygulanan herhangi bir çalışma bulunmamaktadır (Carton vd. 2002, Crisafulli vd. 2013, Kulkarni Fletcher McConnell Poskitt ve Whyman 2010, Menezes vd.</w:t>
      </w:r>
      <w:r>
        <w:rPr>
          <w:spacing w:val="2"/>
        </w:rPr>
        <w:t> </w:t>
      </w:r>
      <w:r>
        <w:rPr/>
        <w:t>2016).</w:t>
      </w:r>
    </w:p>
    <w:p>
      <w:pPr>
        <w:pStyle w:val="BodyText"/>
        <w:spacing w:line="360" w:lineRule="auto" w:before="162"/>
        <w:ind w:left="588" w:right="186" w:firstLine="708"/>
        <w:jc w:val="both"/>
      </w:pPr>
      <w:r>
        <w:rPr/>
        <w:t>Onerup ve ark. (2017) yaptığı çalışmada kolorektal kanser cerrahisi geçiren bireylere poreoperatif dönemde inspiratuar kas eğtimi (İMT), postoperatif dönemde ise solunum</w:t>
      </w:r>
      <w:r>
        <w:rPr>
          <w:spacing w:val="-12"/>
        </w:rPr>
        <w:t> </w:t>
      </w:r>
      <w:r>
        <w:rPr/>
        <w:t>egzersizleriyle</w:t>
      </w:r>
      <w:r>
        <w:rPr>
          <w:spacing w:val="-12"/>
        </w:rPr>
        <w:t> </w:t>
      </w:r>
      <w:r>
        <w:rPr/>
        <w:t>beraber</w:t>
      </w:r>
      <w:r>
        <w:rPr>
          <w:spacing w:val="-14"/>
        </w:rPr>
        <w:t> </w:t>
      </w:r>
      <w:r>
        <w:rPr/>
        <w:t>PEP</w:t>
      </w:r>
      <w:r>
        <w:rPr>
          <w:spacing w:val="-14"/>
        </w:rPr>
        <w:t> </w:t>
      </w:r>
      <w:r>
        <w:rPr/>
        <w:t>cihazı</w:t>
      </w:r>
      <w:r>
        <w:rPr>
          <w:spacing w:val="-16"/>
        </w:rPr>
        <w:t> </w:t>
      </w:r>
      <w:r>
        <w:rPr/>
        <w:t>uygulaması</w:t>
      </w:r>
      <w:r>
        <w:rPr>
          <w:spacing w:val="-16"/>
        </w:rPr>
        <w:t> </w:t>
      </w:r>
      <w:r>
        <w:rPr/>
        <w:t>hakkında</w:t>
      </w:r>
      <w:r>
        <w:rPr>
          <w:spacing w:val="-12"/>
        </w:rPr>
        <w:t> </w:t>
      </w:r>
      <w:r>
        <w:rPr/>
        <w:t>sadece</w:t>
      </w:r>
      <w:r>
        <w:rPr>
          <w:spacing w:val="-15"/>
        </w:rPr>
        <w:t> </w:t>
      </w:r>
      <w:r>
        <w:rPr/>
        <w:t>bilgi</w:t>
      </w:r>
      <w:r>
        <w:rPr>
          <w:spacing w:val="-14"/>
        </w:rPr>
        <w:t> </w:t>
      </w:r>
      <w:r>
        <w:rPr/>
        <w:t>verilmiştir ama progresif şekilde ekspiratuar kas eğitimi yapılmamıştır. İMT uygulaması cerrahiden önce iki hafta önce başlanmış, günde iki kez uygulanmıştır. PEP cihazı ise postoperatif- taburculuk döneminde 2 saatte bir gerçekleştirilmesi için bilgilendirilmiştir. Bizim çalışmamızda ise bireylerin hastanede kaldığı süre boyunca MEP değeri ölçüldü ve hasta tolerasyonuna göre progresif olarak EMT uygulandı. Tedavi sıklığı günde 6 kez haftada 5 gün olacak şekilde</w:t>
      </w:r>
      <w:r>
        <w:rPr>
          <w:spacing w:val="-5"/>
        </w:rPr>
        <w:t> </w:t>
      </w:r>
      <w:r>
        <w:rPr/>
        <w:t>ayarlandı.</w:t>
      </w:r>
    </w:p>
    <w:p>
      <w:pPr>
        <w:spacing w:after="0" w:line="360" w:lineRule="auto"/>
        <w:jc w:val="both"/>
        <w:sectPr>
          <w:pgSz w:w="11910" w:h="16840"/>
          <w:pgMar w:header="749" w:footer="0" w:top="960" w:bottom="280" w:left="1680" w:right="940"/>
        </w:sectPr>
      </w:pPr>
    </w:p>
    <w:p>
      <w:pPr>
        <w:pStyle w:val="BodyText"/>
        <w:rPr>
          <w:sz w:val="20"/>
        </w:rPr>
      </w:pPr>
    </w:p>
    <w:p>
      <w:pPr>
        <w:pStyle w:val="BodyText"/>
        <w:spacing w:before="9"/>
        <w:rPr>
          <w:sz w:val="18"/>
        </w:rPr>
      </w:pPr>
    </w:p>
    <w:p>
      <w:pPr>
        <w:pStyle w:val="BodyText"/>
        <w:spacing w:line="360" w:lineRule="auto"/>
        <w:ind w:left="588" w:right="188" w:firstLine="708"/>
        <w:jc w:val="both"/>
      </w:pPr>
      <w:r>
        <w:rPr/>
        <w:t>Literatürdeki</w:t>
      </w:r>
      <w:r>
        <w:rPr>
          <w:spacing w:val="-9"/>
        </w:rPr>
        <w:t> </w:t>
      </w:r>
      <w:r>
        <w:rPr/>
        <w:t>solunum</w:t>
      </w:r>
      <w:r>
        <w:rPr>
          <w:spacing w:val="-7"/>
        </w:rPr>
        <w:t> </w:t>
      </w:r>
      <w:r>
        <w:rPr/>
        <w:t>eğitimi</w:t>
      </w:r>
      <w:r>
        <w:rPr>
          <w:spacing w:val="-8"/>
        </w:rPr>
        <w:t> </w:t>
      </w:r>
      <w:r>
        <w:rPr/>
        <w:t>yapılan</w:t>
      </w:r>
      <w:r>
        <w:rPr>
          <w:spacing w:val="-8"/>
        </w:rPr>
        <w:t> </w:t>
      </w:r>
      <w:r>
        <w:rPr/>
        <w:t>çalışmalarda</w:t>
      </w:r>
      <w:r>
        <w:rPr>
          <w:spacing w:val="-5"/>
        </w:rPr>
        <w:t> </w:t>
      </w:r>
      <w:r>
        <w:rPr/>
        <w:t>egzersiz</w:t>
      </w:r>
      <w:r>
        <w:rPr>
          <w:spacing w:val="-9"/>
        </w:rPr>
        <w:t> </w:t>
      </w:r>
      <w:r>
        <w:rPr/>
        <w:t>yoğunluğu</w:t>
      </w:r>
      <w:r>
        <w:rPr>
          <w:spacing w:val="-9"/>
        </w:rPr>
        <w:t> </w:t>
      </w:r>
      <w:r>
        <w:rPr/>
        <w:t>genellikle MİP ve MEP değerlerinin %30-60’ı ile başlanıp günlük veya haftalık olarak artırılarak gerçekleştirilmiştir. Menezes ve ark. (2016) yaptığı ‘systematic derlemeye’ dahil edilen beş çalışmada %30-40-50 dirençlerle solunum kas eğitimine başlanmış ve progresif olarak devam edilmiştir. Yine akciğer kanser cerrahisi geçiren bireylerde İMT yapılan başka bir çalışmada da MİP’in %30’u ile kas eğitimine başlanmıştır (Langer vd. 2015). Bizim çalışmamızda ise ölçülen MEP değerinin %10-30’unda başlanıp günlük olarak 2 </w:t>
      </w:r>
      <w:r>
        <w:rPr>
          <w:position w:val="2"/>
        </w:rPr>
        <w:t>cmH</w:t>
      </w:r>
      <w:r>
        <w:rPr>
          <w:sz w:val="14"/>
        </w:rPr>
        <w:t>2</w:t>
      </w:r>
      <w:r>
        <w:rPr>
          <w:position w:val="2"/>
        </w:rPr>
        <w:t>O</w:t>
      </w:r>
      <w:r>
        <w:rPr>
          <w:spacing w:val="1"/>
          <w:position w:val="2"/>
        </w:rPr>
        <w:t> </w:t>
      </w:r>
      <w:r>
        <w:rPr>
          <w:position w:val="2"/>
        </w:rPr>
        <w:t>artırılmıştır.</w:t>
      </w:r>
    </w:p>
    <w:p>
      <w:pPr>
        <w:pStyle w:val="BodyText"/>
        <w:spacing w:line="360" w:lineRule="auto" w:before="156"/>
        <w:ind w:left="588" w:right="188" w:firstLine="708"/>
        <w:jc w:val="both"/>
      </w:pPr>
      <w:r>
        <w:rPr/>
        <w:t>Yapılan çalışmalara bakıldığında solunum kas eğitimi (inspiratuar veya ekspiratuar) verilen çalışmaların sonucunda solunum kas güçlerinin anlamlı derece arttığı bildirilmiştir. Kardiyak cerrahide, nörolojik hastalıklarda ve abdominal cerrahilerde uygulanan solunum kas eğitimlerinin MİP ve MEP değerlerinde artış sağladığı gösterilmiştir (Britto vd. 2011, Carton vd. 2002, Ernesto vd. 2013, Fernandes Martins ve Bonvent 2007, Kulnik Birring Moxham Rafferty ve Kalra 2015).</w:t>
      </w:r>
    </w:p>
    <w:p>
      <w:pPr>
        <w:pStyle w:val="BodyText"/>
        <w:spacing w:line="360" w:lineRule="auto" w:before="162"/>
        <w:ind w:left="588" w:right="186" w:firstLine="708"/>
        <w:jc w:val="both"/>
      </w:pPr>
      <w:r>
        <w:rPr/>
        <w:t>Majör abdominal cerrahilerde, kolorektal cerrahiler de dahil olmak üzere, solunum</w:t>
      </w:r>
      <w:r>
        <w:rPr>
          <w:spacing w:val="-14"/>
        </w:rPr>
        <w:t> </w:t>
      </w:r>
      <w:r>
        <w:rPr/>
        <w:t>kas</w:t>
      </w:r>
      <w:r>
        <w:rPr>
          <w:spacing w:val="-15"/>
        </w:rPr>
        <w:t> </w:t>
      </w:r>
      <w:r>
        <w:rPr/>
        <w:t>eğitimi</w:t>
      </w:r>
      <w:r>
        <w:rPr>
          <w:spacing w:val="-14"/>
        </w:rPr>
        <w:t> </w:t>
      </w:r>
      <w:r>
        <w:rPr/>
        <w:t>genellikle</w:t>
      </w:r>
      <w:r>
        <w:rPr>
          <w:spacing w:val="-12"/>
        </w:rPr>
        <w:t> </w:t>
      </w:r>
      <w:r>
        <w:rPr/>
        <w:t>sadece</w:t>
      </w:r>
      <w:r>
        <w:rPr>
          <w:spacing w:val="-14"/>
        </w:rPr>
        <w:t> </w:t>
      </w:r>
      <w:r>
        <w:rPr/>
        <w:t>İMT</w:t>
      </w:r>
      <w:r>
        <w:rPr>
          <w:spacing w:val="-10"/>
        </w:rPr>
        <w:t> </w:t>
      </w:r>
      <w:r>
        <w:rPr/>
        <w:t>ile</w:t>
      </w:r>
      <w:r>
        <w:rPr>
          <w:spacing w:val="-12"/>
        </w:rPr>
        <w:t> </w:t>
      </w:r>
      <w:r>
        <w:rPr/>
        <w:t>sınırlandırılmış</w:t>
      </w:r>
      <w:r>
        <w:rPr>
          <w:spacing w:val="-11"/>
        </w:rPr>
        <w:t> </w:t>
      </w:r>
      <w:r>
        <w:rPr/>
        <w:t>ve</w:t>
      </w:r>
      <w:r>
        <w:rPr>
          <w:spacing w:val="-12"/>
        </w:rPr>
        <w:t> </w:t>
      </w:r>
      <w:r>
        <w:rPr/>
        <w:t>cerrahi</w:t>
      </w:r>
      <w:r>
        <w:rPr>
          <w:spacing w:val="-13"/>
        </w:rPr>
        <w:t> </w:t>
      </w:r>
      <w:r>
        <w:rPr/>
        <w:t>öncesi</w:t>
      </w:r>
      <w:r>
        <w:rPr>
          <w:spacing w:val="-12"/>
        </w:rPr>
        <w:t> </w:t>
      </w:r>
      <w:r>
        <w:rPr/>
        <w:t>dönemde yapılmıştır. Buna neden olarak inpirasyonun solunum kasları tarafından aktif olarak yapılıyorken ekspirasyonun pasif olarak gerçekleştirilebilmesi gösterilmiştir. Bu çalışmaların sonucunda uygulanan solunum kas eğitiminde solunum kas güçlerinin arttığı bildirilmiştir. Bizim çalışmamızda ise zorlu ekspiratuar kasların kesilmesinden ötürü etkilenen aktif ekspirasyonun ve etkin öksürmenin iyiletirilmesi ile daha iyi bir sekresyon klirensi ve dolayısıyla daha az PPK ile karşılaşılması amacıyla ekspiratuar kas eğitimi uygulandı. Çalışmamızın sonucunda her iki solunum kas gücünde de artış olduğu bulundu (Kulkarni vd. 2010, Onerup vd.</w:t>
      </w:r>
      <w:r>
        <w:rPr>
          <w:spacing w:val="-10"/>
        </w:rPr>
        <w:t> </w:t>
      </w:r>
      <w:r>
        <w:rPr/>
        <w:t>2017).</w:t>
      </w:r>
    </w:p>
    <w:p>
      <w:pPr>
        <w:pStyle w:val="BodyText"/>
        <w:spacing w:line="360" w:lineRule="auto" w:before="161"/>
        <w:ind w:left="588" w:right="187" w:firstLine="708"/>
        <w:jc w:val="both"/>
      </w:pPr>
      <w:r>
        <w:rPr/>
        <w:t>İS kliniklerde cerrahi sonrasında sıkça kullanılmaktadır. Literatürde geriatrik bireyler ve sağlıklı kadın bireyler üzerine yapılan çalışmalarda İS’nin solunum kas gücünü artırdığı bildirilmiştir (Paiva vd. 2015, Reychler Delacroix Dresse Pieters ve Liistro 2016). KOAH’lı bireylerle yapılan çalışmalarda da İS’nin solunum kas gücünü artırdığı bildirilmiştir. Heydari ve Farzad’ın (2015) KOAH’lılar üzerine yaptığı çalışmada İMT</w:t>
      </w:r>
      <w:r>
        <w:rPr>
          <w:spacing w:val="-9"/>
        </w:rPr>
        <w:t> </w:t>
      </w:r>
      <w:r>
        <w:rPr/>
        <w:t>ile</w:t>
      </w:r>
      <w:r>
        <w:rPr>
          <w:spacing w:val="-11"/>
        </w:rPr>
        <w:t> </w:t>
      </w:r>
      <w:r>
        <w:rPr/>
        <w:t>İS’nin</w:t>
      </w:r>
      <w:r>
        <w:rPr>
          <w:spacing w:val="-11"/>
        </w:rPr>
        <w:t> </w:t>
      </w:r>
      <w:r>
        <w:rPr/>
        <w:t>solunum</w:t>
      </w:r>
      <w:r>
        <w:rPr>
          <w:spacing w:val="-11"/>
        </w:rPr>
        <w:t> </w:t>
      </w:r>
      <w:r>
        <w:rPr/>
        <w:t>kas</w:t>
      </w:r>
      <w:r>
        <w:rPr>
          <w:spacing w:val="-13"/>
        </w:rPr>
        <w:t> </w:t>
      </w:r>
      <w:r>
        <w:rPr/>
        <w:t>gücü</w:t>
      </w:r>
      <w:r>
        <w:rPr>
          <w:spacing w:val="-14"/>
        </w:rPr>
        <w:t> </w:t>
      </w:r>
      <w:r>
        <w:rPr/>
        <w:t>ve</w:t>
      </w:r>
      <w:r>
        <w:rPr>
          <w:spacing w:val="-10"/>
        </w:rPr>
        <w:t> </w:t>
      </w:r>
      <w:r>
        <w:rPr/>
        <w:t>akciğer</w:t>
      </w:r>
      <w:r>
        <w:rPr>
          <w:spacing w:val="-15"/>
        </w:rPr>
        <w:t> </w:t>
      </w:r>
      <w:r>
        <w:rPr/>
        <w:t>fonksiyonları</w:t>
      </w:r>
      <w:r>
        <w:rPr>
          <w:spacing w:val="-13"/>
        </w:rPr>
        <w:t> </w:t>
      </w:r>
      <w:r>
        <w:rPr/>
        <w:t>üzerine</w:t>
      </w:r>
      <w:r>
        <w:rPr>
          <w:spacing w:val="-11"/>
        </w:rPr>
        <w:t> </w:t>
      </w:r>
      <w:r>
        <w:rPr/>
        <w:t>atkisi</w:t>
      </w:r>
      <w:r>
        <w:rPr>
          <w:spacing w:val="-12"/>
        </w:rPr>
        <w:t> </w:t>
      </w:r>
      <w:r>
        <w:rPr/>
        <w:t>incelenmiştir.</w:t>
      </w:r>
      <w:r>
        <w:rPr>
          <w:spacing w:val="-11"/>
        </w:rPr>
        <w:t> </w:t>
      </w:r>
      <w:r>
        <w:rPr/>
        <w:t>İMT grubunda</w:t>
      </w:r>
      <w:r>
        <w:rPr>
          <w:spacing w:val="-9"/>
        </w:rPr>
        <w:t> </w:t>
      </w:r>
      <w:r>
        <w:rPr/>
        <w:t>diğer</w:t>
      </w:r>
      <w:r>
        <w:rPr>
          <w:spacing w:val="-13"/>
        </w:rPr>
        <w:t> </w:t>
      </w:r>
      <w:r>
        <w:rPr/>
        <w:t>gruba</w:t>
      </w:r>
      <w:r>
        <w:rPr>
          <w:spacing w:val="-14"/>
        </w:rPr>
        <w:t> </w:t>
      </w:r>
      <w:r>
        <w:rPr/>
        <w:t>göre</w:t>
      </w:r>
      <w:r>
        <w:rPr>
          <w:spacing w:val="-9"/>
        </w:rPr>
        <w:t> </w:t>
      </w:r>
      <w:r>
        <w:rPr/>
        <w:t>solunum</w:t>
      </w:r>
      <w:r>
        <w:rPr>
          <w:spacing w:val="-10"/>
        </w:rPr>
        <w:t> </w:t>
      </w:r>
      <w:r>
        <w:rPr/>
        <w:t>kas</w:t>
      </w:r>
      <w:r>
        <w:rPr>
          <w:spacing w:val="-14"/>
        </w:rPr>
        <w:t> </w:t>
      </w:r>
      <w:r>
        <w:rPr/>
        <w:t>gücü</w:t>
      </w:r>
      <w:r>
        <w:rPr>
          <w:spacing w:val="-11"/>
        </w:rPr>
        <w:t> </w:t>
      </w:r>
      <w:r>
        <w:rPr/>
        <w:t>artışı</w:t>
      </w:r>
      <w:r>
        <w:rPr>
          <w:spacing w:val="-12"/>
        </w:rPr>
        <w:t> </w:t>
      </w:r>
      <w:r>
        <w:rPr/>
        <w:t>daha</w:t>
      </w:r>
      <w:r>
        <w:rPr>
          <w:spacing w:val="-9"/>
        </w:rPr>
        <w:t> </w:t>
      </w:r>
      <w:r>
        <w:rPr/>
        <w:t>fazla</w:t>
      </w:r>
      <w:r>
        <w:rPr>
          <w:spacing w:val="-9"/>
        </w:rPr>
        <w:t> </w:t>
      </w:r>
      <w:r>
        <w:rPr/>
        <w:t>olmasına</w:t>
      </w:r>
      <w:r>
        <w:rPr>
          <w:spacing w:val="-9"/>
        </w:rPr>
        <w:t> </w:t>
      </w:r>
      <w:r>
        <w:rPr/>
        <w:t>rağmen</w:t>
      </w:r>
      <w:r>
        <w:rPr>
          <w:spacing w:val="-11"/>
        </w:rPr>
        <w:t> </w:t>
      </w:r>
      <w:r>
        <w:rPr/>
        <w:t>grup</w:t>
      </w:r>
      <w:r>
        <w:rPr>
          <w:spacing w:val="-9"/>
        </w:rPr>
        <w:t> </w:t>
      </w:r>
      <w:r>
        <w:rPr/>
        <w:t>içi veriler incelendiğinde her iki grupta da anlamlı artış olduğunu bildirmişlerdir. Ayrıca her iki grupta akciğer fonksiyonlarının da arttığını</w:t>
      </w:r>
      <w:r>
        <w:rPr>
          <w:spacing w:val="-16"/>
        </w:rPr>
        <w:t> </w:t>
      </w:r>
      <w:r>
        <w:rPr/>
        <w:t>göstermişlerdir.</w:t>
      </w:r>
    </w:p>
    <w:p>
      <w:pPr>
        <w:pStyle w:val="BodyText"/>
        <w:spacing w:line="360" w:lineRule="auto" w:before="159"/>
        <w:ind w:left="588" w:right="189" w:firstLine="708"/>
        <w:jc w:val="both"/>
      </w:pPr>
      <w:r>
        <w:rPr/>
        <w:t>Bizim çalışmamızda da kontrol grubunda konvansiyonel fizyoterapiye ek olarak İS kullanıldı ve solunum kas gücünde artış sağladığı tespit edildi. Çalışma grubunda ise</w:t>
      </w:r>
    </w:p>
    <w:p>
      <w:pPr>
        <w:spacing w:after="0" w:line="360" w:lineRule="auto"/>
        <w:jc w:val="both"/>
        <w:sectPr>
          <w:pgSz w:w="11910" w:h="16840"/>
          <w:pgMar w:header="749" w:footer="0" w:top="960" w:bottom="280" w:left="1680" w:right="940"/>
        </w:sectPr>
      </w:pPr>
    </w:p>
    <w:p>
      <w:pPr>
        <w:pStyle w:val="BodyText"/>
        <w:rPr>
          <w:sz w:val="20"/>
        </w:rPr>
      </w:pPr>
    </w:p>
    <w:p>
      <w:pPr>
        <w:pStyle w:val="BodyText"/>
        <w:spacing w:before="9"/>
        <w:rPr>
          <w:sz w:val="18"/>
        </w:rPr>
      </w:pPr>
    </w:p>
    <w:p>
      <w:pPr>
        <w:pStyle w:val="BodyText"/>
        <w:spacing w:line="360" w:lineRule="auto"/>
        <w:ind w:left="588" w:right="185"/>
        <w:jc w:val="both"/>
      </w:pPr>
      <w:r>
        <w:rPr/>
        <w:t>konvansiyonel göğüs fizyoterapisine ek olarak EMT uygulandı ve solunum kas gücünde anlamlı bir artış sağlandı. Elde ettiğimiz sonuçlar daha önceki çalışmalarla benzerlik gösterdi. Ancak iki grup arasında anlamlı bir fark bulunmadı. Bu sonuca bakılarak İS ve EMT’nin benzer etkilerinin olduğu düşünülebilir.</w:t>
      </w:r>
    </w:p>
    <w:p>
      <w:pPr>
        <w:pStyle w:val="BodyText"/>
        <w:spacing w:line="357" w:lineRule="auto" w:before="160"/>
        <w:ind w:left="588" w:right="196" w:firstLine="708"/>
        <w:jc w:val="both"/>
      </w:pPr>
      <w:r>
        <w:rPr/>
        <w:t>6DYT ile ölçtüğümüz fonksiyonel kapasite hem İS uygulanan hem de EMT yapılan grupta azalmıştır ve preoperatif düzeye ulaşamamıştır.</w:t>
      </w:r>
    </w:p>
    <w:p>
      <w:pPr>
        <w:pStyle w:val="BodyText"/>
        <w:spacing w:line="357" w:lineRule="auto" w:before="166"/>
        <w:ind w:left="588" w:right="189" w:firstLine="708"/>
        <w:jc w:val="both"/>
      </w:pPr>
      <w:r>
        <w:rPr/>
        <w:t>Literatüre baktığımızda Savcı vd. (2006) yaptığı çalışmada İS uygulanan grupta 6DYTM postoperatif dönemde preoperatif döneme göre azalmıştır. Bizim çalışmamızdaki kontrol grubu verileri ile benzerlik göstermektedir.</w:t>
      </w:r>
    </w:p>
    <w:p>
      <w:pPr>
        <w:pStyle w:val="BodyText"/>
        <w:spacing w:line="360" w:lineRule="auto" w:before="168"/>
        <w:ind w:left="588" w:right="187" w:firstLine="708"/>
        <w:jc w:val="both"/>
      </w:pPr>
      <w:r>
        <w:rPr/>
        <w:t>Solunum kas eğitimi verilen çalışmalar incelendiğinde İMT’nin fonksiyonel kapasite üzerine etkisine odaklanılmıştır. Cerrahi geçiren bireylerde </w:t>
      </w:r>
      <w:r>
        <w:rPr>
          <w:spacing w:val="-3"/>
        </w:rPr>
        <w:t>EMT </w:t>
      </w:r>
      <w:r>
        <w:rPr/>
        <w:t>yapılan çalışmalar</w:t>
      </w:r>
      <w:r>
        <w:rPr>
          <w:spacing w:val="-14"/>
        </w:rPr>
        <w:t> </w:t>
      </w:r>
      <w:r>
        <w:rPr/>
        <w:t>kısıtlı</w:t>
      </w:r>
      <w:r>
        <w:rPr>
          <w:spacing w:val="-16"/>
        </w:rPr>
        <w:t> </w:t>
      </w:r>
      <w:r>
        <w:rPr/>
        <w:t>sayıdadır.</w:t>
      </w:r>
      <w:r>
        <w:rPr>
          <w:spacing w:val="-11"/>
        </w:rPr>
        <w:t> </w:t>
      </w:r>
      <w:r>
        <w:rPr/>
        <w:t>Cerrahi</w:t>
      </w:r>
      <w:r>
        <w:rPr>
          <w:spacing w:val="-13"/>
        </w:rPr>
        <w:t> </w:t>
      </w:r>
      <w:r>
        <w:rPr/>
        <w:t>sonrası</w:t>
      </w:r>
      <w:r>
        <w:rPr>
          <w:spacing w:val="-16"/>
        </w:rPr>
        <w:t> </w:t>
      </w:r>
      <w:r>
        <w:rPr/>
        <w:t>EMT</w:t>
      </w:r>
      <w:r>
        <w:rPr>
          <w:spacing w:val="-10"/>
        </w:rPr>
        <w:t> </w:t>
      </w:r>
      <w:r>
        <w:rPr/>
        <w:t>uygulanan</w:t>
      </w:r>
      <w:r>
        <w:rPr>
          <w:spacing w:val="-13"/>
        </w:rPr>
        <w:t> </w:t>
      </w:r>
      <w:r>
        <w:rPr/>
        <w:t>çalışmalarda</w:t>
      </w:r>
      <w:r>
        <w:rPr>
          <w:spacing w:val="-12"/>
        </w:rPr>
        <w:t> </w:t>
      </w:r>
      <w:r>
        <w:rPr/>
        <w:t>ise</w:t>
      </w:r>
      <w:r>
        <w:rPr>
          <w:spacing w:val="-9"/>
        </w:rPr>
        <w:t> </w:t>
      </w:r>
      <w:r>
        <w:rPr/>
        <w:t>fonksiyonel kapasite üzerine etkisini inceleyen çalışma literatürde bulunmamaktadır. KOAH’lı bireyler üzerinde yapılan EMT sonrası egzersiz kapasitesinde artış olduğunu bildiren çalışmalar</w:t>
      </w:r>
      <w:r>
        <w:rPr>
          <w:spacing w:val="-9"/>
        </w:rPr>
        <w:t> </w:t>
      </w:r>
      <w:r>
        <w:rPr/>
        <w:t>mevcuttur.</w:t>
      </w:r>
      <w:r>
        <w:rPr>
          <w:spacing w:val="-7"/>
        </w:rPr>
        <w:t> </w:t>
      </w:r>
      <w:r>
        <w:rPr/>
        <w:t>Bu</w:t>
      </w:r>
      <w:r>
        <w:rPr>
          <w:spacing w:val="-12"/>
        </w:rPr>
        <w:t> </w:t>
      </w:r>
      <w:r>
        <w:rPr/>
        <w:t>çalışmalarda</w:t>
      </w:r>
      <w:r>
        <w:rPr>
          <w:spacing w:val="-10"/>
        </w:rPr>
        <w:t> </w:t>
      </w:r>
      <w:r>
        <w:rPr/>
        <w:t>EMT</w:t>
      </w:r>
      <w:r>
        <w:rPr>
          <w:spacing w:val="-7"/>
        </w:rPr>
        <w:t> </w:t>
      </w:r>
      <w:r>
        <w:rPr/>
        <w:t>haftada</w:t>
      </w:r>
      <w:r>
        <w:rPr>
          <w:spacing w:val="-9"/>
        </w:rPr>
        <w:t> </w:t>
      </w:r>
      <w:r>
        <w:rPr/>
        <w:t>altı</w:t>
      </w:r>
      <w:r>
        <w:rPr>
          <w:spacing w:val="-13"/>
        </w:rPr>
        <w:t> </w:t>
      </w:r>
      <w:r>
        <w:rPr/>
        <w:t>kez</w:t>
      </w:r>
      <w:r>
        <w:rPr>
          <w:spacing w:val="-12"/>
        </w:rPr>
        <w:t> </w:t>
      </w:r>
      <w:r>
        <w:rPr/>
        <w:t>olmak</w:t>
      </w:r>
      <w:r>
        <w:rPr>
          <w:spacing w:val="-7"/>
        </w:rPr>
        <w:t> </w:t>
      </w:r>
      <w:r>
        <w:rPr/>
        <w:t>üzere</w:t>
      </w:r>
      <w:r>
        <w:rPr>
          <w:spacing w:val="-11"/>
        </w:rPr>
        <w:t> </w:t>
      </w:r>
      <w:r>
        <w:rPr/>
        <w:t>üç</w:t>
      </w:r>
      <w:r>
        <w:rPr>
          <w:spacing w:val="-9"/>
        </w:rPr>
        <w:t> </w:t>
      </w:r>
      <w:r>
        <w:rPr/>
        <w:t>ay</w:t>
      </w:r>
      <w:r>
        <w:rPr>
          <w:spacing w:val="-12"/>
        </w:rPr>
        <w:t> </w:t>
      </w:r>
      <w:r>
        <w:rPr/>
        <w:t>gibi</w:t>
      </w:r>
      <w:r>
        <w:rPr>
          <w:spacing w:val="-11"/>
        </w:rPr>
        <w:t> </w:t>
      </w:r>
      <w:r>
        <w:rPr/>
        <w:t>uzun bir süre uygulanmıştır. Bizim çalışmamızda ise fonksiyonel kapasitede artış sağlanamamasının nedeni hastanede kalış süresi boyunca uygulanan EMT’nin kısa vadede</w:t>
      </w:r>
      <w:r>
        <w:rPr>
          <w:spacing w:val="-18"/>
        </w:rPr>
        <w:t> </w:t>
      </w:r>
      <w:r>
        <w:rPr/>
        <w:t>etkisinin</w:t>
      </w:r>
      <w:r>
        <w:rPr>
          <w:spacing w:val="-16"/>
        </w:rPr>
        <w:t> </w:t>
      </w:r>
      <w:r>
        <w:rPr/>
        <w:t>yetersiz</w:t>
      </w:r>
      <w:r>
        <w:rPr>
          <w:spacing w:val="-19"/>
        </w:rPr>
        <w:t> </w:t>
      </w:r>
      <w:r>
        <w:rPr/>
        <w:t>kalması</w:t>
      </w:r>
      <w:r>
        <w:rPr>
          <w:spacing w:val="-20"/>
        </w:rPr>
        <w:t> </w:t>
      </w:r>
      <w:r>
        <w:rPr/>
        <w:t>olabilir.</w:t>
      </w:r>
      <w:r>
        <w:rPr>
          <w:spacing w:val="-16"/>
        </w:rPr>
        <w:t> </w:t>
      </w:r>
      <w:r>
        <w:rPr/>
        <w:t>Ayrıca</w:t>
      </w:r>
      <w:r>
        <w:rPr>
          <w:spacing w:val="-17"/>
        </w:rPr>
        <w:t> </w:t>
      </w:r>
      <w:r>
        <w:rPr/>
        <w:t>Abdominal</w:t>
      </w:r>
      <w:r>
        <w:rPr>
          <w:spacing w:val="-18"/>
        </w:rPr>
        <w:t> </w:t>
      </w:r>
      <w:r>
        <w:rPr/>
        <w:t>cerrahi</w:t>
      </w:r>
      <w:r>
        <w:rPr>
          <w:spacing w:val="-20"/>
        </w:rPr>
        <w:t> </w:t>
      </w:r>
      <w:r>
        <w:rPr/>
        <w:t>geçiren</w:t>
      </w:r>
      <w:r>
        <w:rPr>
          <w:spacing w:val="-20"/>
        </w:rPr>
        <w:t> </w:t>
      </w:r>
      <w:r>
        <w:rPr/>
        <w:t>bireylerin</w:t>
      </w:r>
      <w:r>
        <w:rPr>
          <w:spacing w:val="-18"/>
        </w:rPr>
        <w:t> </w:t>
      </w:r>
      <w:r>
        <w:rPr/>
        <w:t>3’te 2’si cerrahiden 9 hafta sonra bile Preoperatif dönem fonksiyonel kapasite düzeylerine ulaşılmadığı literatürde bildirilmiştir (Carli vd. 2010). Çalışmamıza dahil edilen bireylerin cerrrahi operasyon geçirmelerinin fonksiyonel kapasiteleri üzerine olumsuz etkisi olduğunu düşünmekteyiz. (Weiner Magadle Beckerman Weiner ve Berar-Yanay 2003b, 2003a).</w:t>
      </w:r>
    </w:p>
    <w:p>
      <w:pPr>
        <w:pStyle w:val="BodyText"/>
        <w:spacing w:line="360" w:lineRule="auto" w:before="160"/>
        <w:ind w:left="588" w:right="190" w:firstLine="708"/>
        <w:jc w:val="both"/>
      </w:pPr>
      <w:r>
        <w:rPr/>
        <w:t>PPK abdominal cerrahi sonrası morbidite ve daha kötü sonuçları artırması ile ilişkilendirilmiştir.</w:t>
      </w:r>
      <w:r>
        <w:rPr>
          <w:spacing w:val="-18"/>
        </w:rPr>
        <w:t> </w:t>
      </w:r>
      <w:r>
        <w:rPr/>
        <w:t>PPK</w:t>
      </w:r>
      <w:r>
        <w:rPr>
          <w:spacing w:val="-22"/>
        </w:rPr>
        <w:t> </w:t>
      </w:r>
      <w:r>
        <w:rPr/>
        <w:t>gelişen</w:t>
      </w:r>
      <w:r>
        <w:rPr>
          <w:spacing w:val="-18"/>
        </w:rPr>
        <w:t> </w:t>
      </w:r>
      <w:r>
        <w:rPr/>
        <w:t>bireylerin</w:t>
      </w:r>
      <w:r>
        <w:rPr>
          <w:spacing w:val="-20"/>
        </w:rPr>
        <w:t> </w:t>
      </w:r>
      <w:r>
        <w:rPr/>
        <w:t>hastanede</w:t>
      </w:r>
      <w:r>
        <w:rPr>
          <w:spacing w:val="-20"/>
        </w:rPr>
        <w:t> </w:t>
      </w:r>
      <w:r>
        <w:rPr/>
        <w:t>kalış</w:t>
      </w:r>
      <w:r>
        <w:rPr>
          <w:spacing w:val="-19"/>
        </w:rPr>
        <w:t> </w:t>
      </w:r>
      <w:r>
        <w:rPr/>
        <w:t>sürelerinde</w:t>
      </w:r>
      <w:r>
        <w:rPr>
          <w:spacing w:val="-18"/>
        </w:rPr>
        <w:t> </w:t>
      </w:r>
      <w:r>
        <w:rPr/>
        <w:t>de</w:t>
      </w:r>
      <w:r>
        <w:rPr>
          <w:spacing w:val="-19"/>
        </w:rPr>
        <w:t> </w:t>
      </w:r>
      <w:r>
        <w:rPr/>
        <w:t>artış</w:t>
      </w:r>
      <w:r>
        <w:rPr>
          <w:spacing w:val="-20"/>
        </w:rPr>
        <w:t> </w:t>
      </w:r>
      <w:r>
        <w:rPr/>
        <w:t>gözlenmiştir (Kumar</w:t>
      </w:r>
      <w:r>
        <w:rPr>
          <w:spacing w:val="-5"/>
        </w:rPr>
        <w:t> </w:t>
      </w:r>
      <w:r>
        <w:rPr/>
        <w:t>L</w:t>
      </w:r>
      <w:r>
        <w:rPr>
          <w:spacing w:val="-6"/>
        </w:rPr>
        <w:t> </w:t>
      </w:r>
      <w:r>
        <w:rPr/>
        <w:t>2018).</w:t>
      </w:r>
      <w:r>
        <w:rPr>
          <w:spacing w:val="-5"/>
        </w:rPr>
        <w:t> </w:t>
      </w:r>
      <w:r>
        <w:rPr/>
        <w:t>Çalışmamızda</w:t>
      </w:r>
      <w:r>
        <w:rPr>
          <w:spacing w:val="-4"/>
        </w:rPr>
        <w:t> </w:t>
      </w:r>
      <w:r>
        <w:rPr/>
        <w:t>PPK</w:t>
      </w:r>
      <w:r>
        <w:rPr>
          <w:spacing w:val="-6"/>
        </w:rPr>
        <w:t> </w:t>
      </w:r>
      <w:r>
        <w:rPr/>
        <w:t>gelişimi</w:t>
      </w:r>
      <w:r>
        <w:rPr>
          <w:spacing w:val="-3"/>
        </w:rPr>
        <w:t> </w:t>
      </w:r>
      <w:r>
        <w:rPr/>
        <w:t>ile</w:t>
      </w:r>
      <w:r>
        <w:rPr>
          <w:spacing w:val="-5"/>
        </w:rPr>
        <w:t> </w:t>
      </w:r>
      <w:r>
        <w:rPr/>
        <w:t>hastanede</w:t>
      </w:r>
      <w:r>
        <w:rPr>
          <w:spacing w:val="-7"/>
        </w:rPr>
        <w:t> </w:t>
      </w:r>
      <w:r>
        <w:rPr/>
        <w:t>kalış</w:t>
      </w:r>
      <w:r>
        <w:rPr>
          <w:spacing w:val="-3"/>
        </w:rPr>
        <w:t> </w:t>
      </w:r>
      <w:r>
        <w:rPr/>
        <w:t>süreleri</w:t>
      </w:r>
      <w:r>
        <w:rPr>
          <w:spacing w:val="-4"/>
        </w:rPr>
        <w:t> </w:t>
      </w:r>
      <w:r>
        <w:rPr/>
        <w:t>değerlendirildi. Her iki grupta da herhangi bir komplikasyon gelişmedi, hastanede kalış sürelerinde ise iki grup arasında benzerlik</w:t>
      </w:r>
      <w:r>
        <w:rPr>
          <w:spacing w:val="-4"/>
        </w:rPr>
        <w:t> </w:t>
      </w:r>
      <w:r>
        <w:rPr/>
        <w:t>saptandı.</w:t>
      </w:r>
    </w:p>
    <w:p>
      <w:pPr>
        <w:pStyle w:val="BodyText"/>
        <w:spacing w:line="360" w:lineRule="auto" w:before="160"/>
        <w:ind w:left="588" w:right="185" w:firstLine="708"/>
        <w:jc w:val="both"/>
      </w:pPr>
      <w:r>
        <w:rPr/>
        <w:t>Celli ve ark. (1984) abdominal cerrahide PPK önleme üzerine yaptığı çalışmada İS ve kontrol grubu arasında PPK oluşması ve hastanede kalış süreleri açısından karşılaştırılmış ve İS grubunda kontrol grubuna göre hem PPK gelişimi hem de hastanede kalış süresi anlamlı derecede düşük olduğu bildirilmiş. Hall ve ark (1991) çalışmasında abdominal cerrahi geçiren 876 bireyde geleneksel göğüs fizyoterapisi ile saat başı 5 kez derin inspirasyon manevrası yapılan İS’nin PPK üzerine etkisi incelemiş ve göğüs fizyoterapisi ile İS’nin eşdeğer nitelikte olduğu sonucuna varmışlardır.</w:t>
      </w:r>
    </w:p>
    <w:p>
      <w:pPr>
        <w:spacing w:after="0" w:line="360" w:lineRule="auto"/>
        <w:jc w:val="both"/>
        <w:sectPr>
          <w:pgSz w:w="11910" w:h="16840"/>
          <w:pgMar w:header="749" w:footer="0" w:top="960" w:bottom="280" w:left="1680" w:right="940"/>
        </w:sectPr>
      </w:pPr>
    </w:p>
    <w:p>
      <w:pPr>
        <w:pStyle w:val="BodyText"/>
        <w:rPr>
          <w:sz w:val="20"/>
        </w:rPr>
      </w:pPr>
    </w:p>
    <w:p>
      <w:pPr>
        <w:pStyle w:val="BodyText"/>
        <w:spacing w:before="9"/>
        <w:rPr>
          <w:sz w:val="18"/>
        </w:rPr>
      </w:pPr>
    </w:p>
    <w:p>
      <w:pPr>
        <w:pStyle w:val="BodyText"/>
        <w:spacing w:line="360" w:lineRule="auto"/>
        <w:ind w:left="588" w:right="188" w:firstLine="708"/>
        <w:jc w:val="both"/>
      </w:pPr>
      <w:r>
        <w:rPr/>
        <w:t>Nomori ve ark. (1994) toraks cerrahisi geçiren bireylere preoperatif solunum kas eğitimi uygulamış ve solunum kas gücü ile PPK gelişimini izlemişlerdir. EMT uygulanan grupta kontrol grubuna göre daha az PPK gelişim göstermiştir. Bunun nedenini de MEP’in yüksek oluşunun etkin öksürmeyle sekresyon klirensi sağlaması, böylelikle enfeksiyon ve atelektazi oluşumunun azalmasıyla bağdaştırmışlardır. Bizim çalışmamızda ise EMT postoperatif dönemde uygulanmasına rağmen hem MİP hem de MEP değerlerinde artış gözlendi. Özellikle MEP’teki bu artışın PPK gelişimini önlemede etkili olduğu düşünülebilir. Çalışmamızın sonuçları önceki çalışmalarla paralellik göstermiştir.</w:t>
      </w:r>
    </w:p>
    <w:p>
      <w:pPr>
        <w:pStyle w:val="BodyText"/>
        <w:spacing w:line="360" w:lineRule="auto" w:before="161"/>
        <w:ind w:left="588" w:right="190" w:firstLine="708"/>
        <w:jc w:val="both"/>
      </w:pPr>
      <w:r>
        <w:rPr/>
        <w:t>Cerrahi sonrası uygulanan göğüs fizyoterapisi ve erken mobilizasyon ile ağrı düzeyinde azalma, ağrıyla ilişkili gelişebilecek komplikasyonları önleyebilir. Ayrıca cerrahiyi takiben yapılan erken mobilizasyonun iyileşmeyi hızlandırdığı, morbiditeyi ve hastanede</w:t>
      </w:r>
      <w:r>
        <w:rPr>
          <w:spacing w:val="-14"/>
        </w:rPr>
        <w:t> </w:t>
      </w:r>
      <w:r>
        <w:rPr/>
        <w:t>kalış</w:t>
      </w:r>
      <w:r>
        <w:rPr>
          <w:spacing w:val="-10"/>
        </w:rPr>
        <w:t> </w:t>
      </w:r>
      <w:r>
        <w:rPr/>
        <w:t>süresini</w:t>
      </w:r>
      <w:r>
        <w:rPr>
          <w:spacing w:val="-13"/>
        </w:rPr>
        <w:t> </w:t>
      </w:r>
      <w:r>
        <w:rPr/>
        <w:t>azalttığı,</w:t>
      </w:r>
      <w:r>
        <w:rPr>
          <w:spacing w:val="-10"/>
        </w:rPr>
        <w:t> </w:t>
      </w:r>
      <w:r>
        <w:rPr/>
        <w:t>PPK</w:t>
      </w:r>
      <w:r>
        <w:rPr>
          <w:spacing w:val="-11"/>
        </w:rPr>
        <w:t> </w:t>
      </w:r>
      <w:r>
        <w:rPr/>
        <w:t>ile</w:t>
      </w:r>
      <w:r>
        <w:rPr>
          <w:spacing w:val="-12"/>
        </w:rPr>
        <w:t> </w:t>
      </w:r>
      <w:r>
        <w:rPr/>
        <w:t>gastrointestinal</w:t>
      </w:r>
      <w:r>
        <w:rPr>
          <w:spacing w:val="-12"/>
        </w:rPr>
        <w:t> </w:t>
      </w:r>
      <w:r>
        <w:rPr/>
        <w:t>sistem</w:t>
      </w:r>
      <w:r>
        <w:rPr>
          <w:spacing w:val="-13"/>
        </w:rPr>
        <w:t> </w:t>
      </w:r>
      <w:r>
        <w:rPr/>
        <w:t>problemlerinin</w:t>
      </w:r>
      <w:r>
        <w:rPr>
          <w:spacing w:val="-11"/>
        </w:rPr>
        <w:t> </w:t>
      </w:r>
      <w:r>
        <w:rPr/>
        <w:t>görülme oranını düşürdüğü bildirilmiştir (Eti Aslan 2010). Bu tedavilerin uygulanmasında ise fizyoterapist önemli bir role</w:t>
      </w:r>
      <w:r>
        <w:rPr>
          <w:spacing w:val="-1"/>
        </w:rPr>
        <w:t> </w:t>
      </w:r>
      <w:r>
        <w:rPr/>
        <w:t>sahiptir.</w:t>
      </w:r>
    </w:p>
    <w:p>
      <w:pPr>
        <w:pStyle w:val="BodyText"/>
        <w:spacing w:line="360" w:lineRule="auto" w:before="160"/>
        <w:ind w:left="588" w:right="188" w:firstLine="708"/>
        <w:jc w:val="both"/>
      </w:pPr>
      <w:r>
        <w:rPr/>
        <w:t>Çalışmamıza katılan bireylerin cerrahi sonrası bağımsızlık ve hareketlilik düzeylerini belirlemek amacıyla uyguladığımız ‘Hasta Hareketlilik ve Gözlemci Hareketlilik’ ölçeği, hastaların yatak içi dönme, yatak kenarı oturma, ayağa kalkma ve hasta</w:t>
      </w:r>
      <w:r>
        <w:rPr>
          <w:spacing w:val="-16"/>
        </w:rPr>
        <w:t> </w:t>
      </w:r>
      <w:r>
        <w:rPr/>
        <w:t>odasında</w:t>
      </w:r>
      <w:r>
        <w:rPr>
          <w:spacing w:val="-14"/>
        </w:rPr>
        <w:t> </w:t>
      </w:r>
      <w:r>
        <w:rPr/>
        <w:t>yürüme</w:t>
      </w:r>
      <w:r>
        <w:rPr>
          <w:spacing w:val="-15"/>
        </w:rPr>
        <w:t> </w:t>
      </w:r>
      <w:r>
        <w:rPr/>
        <w:t>aktiviteleri</w:t>
      </w:r>
      <w:r>
        <w:rPr>
          <w:spacing w:val="-14"/>
        </w:rPr>
        <w:t> </w:t>
      </w:r>
      <w:r>
        <w:rPr/>
        <w:t>esnasında</w:t>
      </w:r>
      <w:r>
        <w:rPr>
          <w:spacing w:val="-13"/>
        </w:rPr>
        <w:t> </w:t>
      </w:r>
      <w:r>
        <w:rPr/>
        <w:t>hissedilen</w:t>
      </w:r>
      <w:r>
        <w:rPr>
          <w:spacing w:val="-14"/>
        </w:rPr>
        <w:t> </w:t>
      </w:r>
      <w:r>
        <w:rPr/>
        <w:t>ağrı,</w:t>
      </w:r>
      <w:r>
        <w:rPr>
          <w:spacing w:val="-9"/>
        </w:rPr>
        <w:t> </w:t>
      </w:r>
      <w:r>
        <w:rPr/>
        <w:t>zorlanma</w:t>
      </w:r>
      <w:r>
        <w:rPr>
          <w:spacing w:val="-15"/>
        </w:rPr>
        <w:t> </w:t>
      </w:r>
      <w:r>
        <w:rPr/>
        <w:t>ve</w:t>
      </w:r>
      <w:r>
        <w:rPr>
          <w:spacing w:val="-15"/>
        </w:rPr>
        <w:t> </w:t>
      </w:r>
      <w:r>
        <w:rPr/>
        <w:t>bu</w:t>
      </w:r>
      <w:r>
        <w:rPr>
          <w:spacing w:val="-14"/>
        </w:rPr>
        <w:t> </w:t>
      </w:r>
      <w:r>
        <w:rPr/>
        <w:t>hareketleri yaparken ki bağımsızlık düzeylerini ölçmekteydi. Grup içinde bakıldığında her iki grupta da gözlemci hareketlilik ve hasta hareketlilik skorları postoperatif döneme göre taburculuk öncesi azaldı. Ama iki grup arasında anlamlı bir fark</w:t>
      </w:r>
      <w:r>
        <w:rPr>
          <w:spacing w:val="-21"/>
        </w:rPr>
        <w:t> </w:t>
      </w:r>
      <w:r>
        <w:rPr/>
        <w:t>gözlenmedi.</w:t>
      </w:r>
    </w:p>
    <w:p>
      <w:pPr>
        <w:pStyle w:val="BodyText"/>
        <w:spacing w:line="360" w:lineRule="auto" w:before="159"/>
        <w:ind w:left="588" w:right="189" w:firstLine="708"/>
        <w:jc w:val="both"/>
      </w:pPr>
      <w:r>
        <w:rPr/>
        <w:t>Gürler ve Yılmaz’ın (2011) çalışmasında 390 bireyin cerrahi sonrası algıladıkları ağrı ve bu ağrıyla ilgili yaklaşımlarla ilgili memnuniyet düzeylerini ölçmek amacıyla yaptığı çalışmada, bireylerin bu ağrı nedeniyle öksürme, nefes alıp-verme, yataktan kalkma ve hareket etme gibi davranışlarda zorlandıklarını bu nedenle hareket sırasında bağımsızlıklarının azaldığını bildirmiştir.</w:t>
      </w:r>
    </w:p>
    <w:p>
      <w:pPr>
        <w:pStyle w:val="BodyText"/>
        <w:spacing w:line="360" w:lineRule="auto" w:before="163"/>
        <w:ind w:left="588" w:right="188" w:firstLine="708"/>
        <w:jc w:val="both"/>
      </w:pPr>
      <w:r>
        <w:rPr/>
        <w:t>Savcı vd. (2006) Koroner arter Bypass Greft cerrahisinde yaptığı çalışmada İS uygulanan</w:t>
      </w:r>
      <w:r>
        <w:rPr>
          <w:spacing w:val="-17"/>
        </w:rPr>
        <w:t> </w:t>
      </w:r>
      <w:r>
        <w:rPr/>
        <w:t>grupta</w:t>
      </w:r>
      <w:r>
        <w:rPr>
          <w:spacing w:val="-17"/>
        </w:rPr>
        <w:t> </w:t>
      </w:r>
      <w:r>
        <w:rPr/>
        <w:t>ağrının</w:t>
      </w:r>
      <w:r>
        <w:rPr>
          <w:spacing w:val="-10"/>
        </w:rPr>
        <w:t> </w:t>
      </w:r>
      <w:r>
        <w:rPr/>
        <w:t>azaldığını,</w:t>
      </w:r>
      <w:r>
        <w:rPr>
          <w:spacing w:val="-14"/>
        </w:rPr>
        <w:t> </w:t>
      </w:r>
      <w:r>
        <w:rPr/>
        <w:t>Crisafulli</w:t>
      </w:r>
      <w:r>
        <w:rPr>
          <w:spacing w:val="-15"/>
        </w:rPr>
        <w:t> </w:t>
      </w:r>
      <w:r>
        <w:rPr/>
        <w:t>vd.</w:t>
      </w:r>
      <w:r>
        <w:rPr>
          <w:spacing w:val="-13"/>
        </w:rPr>
        <w:t> </w:t>
      </w:r>
      <w:r>
        <w:rPr/>
        <w:t>(2013)</w:t>
      </w:r>
      <w:r>
        <w:rPr>
          <w:spacing w:val="-15"/>
        </w:rPr>
        <w:t> </w:t>
      </w:r>
      <w:r>
        <w:rPr/>
        <w:t>kardiyotorasik</w:t>
      </w:r>
      <w:r>
        <w:rPr>
          <w:spacing w:val="-15"/>
        </w:rPr>
        <w:t> </w:t>
      </w:r>
      <w:r>
        <w:rPr/>
        <w:t>cerrahide</w:t>
      </w:r>
      <w:r>
        <w:rPr>
          <w:spacing w:val="-15"/>
        </w:rPr>
        <w:t> </w:t>
      </w:r>
      <w:r>
        <w:rPr/>
        <w:t>yaptığı çalışmasında ise EMT grubunda sham grubuna göre aynı şekilde ağrının azaldığını bildirmişlerdir.</w:t>
      </w:r>
      <w:r>
        <w:rPr>
          <w:spacing w:val="-7"/>
        </w:rPr>
        <w:t> </w:t>
      </w:r>
      <w:r>
        <w:rPr/>
        <w:t>Bizim</w:t>
      </w:r>
      <w:r>
        <w:rPr>
          <w:spacing w:val="-7"/>
        </w:rPr>
        <w:t> </w:t>
      </w:r>
      <w:r>
        <w:rPr/>
        <w:t>çalışmamızda</w:t>
      </w:r>
      <w:r>
        <w:rPr>
          <w:spacing w:val="-7"/>
        </w:rPr>
        <w:t> </w:t>
      </w:r>
      <w:r>
        <w:rPr/>
        <w:t>cerrahi</w:t>
      </w:r>
      <w:r>
        <w:rPr>
          <w:spacing w:val="-9"/>
        </w:rPr>
        <w:t> </w:t>
      </w:r>
      <w:r>
        <w:rPr/>
        <w:t>sonrası</w:t>
      </w:r>
      <w:r>
        <w:rPr>
          <w:spacing w:val="-10"/>
        </w:rPr>
        <w:t> </w:t>
      </w:r>
      <w:r>
        <w:rPr/>
        <w:t>dönemde</w:t>
      </w:r>
      <w:r>
        <w:rPr>
          <w:spacing w:val="-8"/>
        </w:rPr>
        <w:t> </w:t>
      </w:r>
      <w:r>
        <w:rPr/>
        <w:t>tedaviye</w:t>
      </w:r>
      <w:r>
        <w:rPr>
          <w:spacing w:val="-7"/>
        </w:rPr>
        <w:t> </w:t>
      </w:r>
      <w:r>
        <w:rPr/>
        <w:t>dahil</w:t>
      </w:r>
      <w:r>
        <w:rPr>
          <w:spacing w:val="-8"/>
        </w:rPr>
        <w:t> </w:t>
      </w:r>
      <w:r>
        <w:rPr/>
        <w:t>edilen</w:t>
      </w:r>
      <w:r>
        <w:rPr>
          <w:spacing w:val="-7"/>
        </w:rPr>
        <w:t> </w:t>
      </w:r>
      <w:r>
        <w:rPr/>
        <w:t>bütün bireyler</w:t>
      </w:r>
      <w:r>
        <w:rPr>
          <w:spacing w:val="-16"/>
        </w:rPr>
        <w:t> </w:t>
      </w:r>
      <w:r>
        <w:rPr/>
        <w:t>hem</w:t>
      </w:r>
      <w:r>
        <w:rPr>
          <w:spacing w:val="-17"/>
        </w:rPr>
        <w:t> </w:t>
      </w:r>
      <w:r>
        <w:rPr/>
        <w:t>istirahatteki</w:t>
      </w:r>
      <w:r>
        <w:rPr>
          <w:spacing w:val="-17"/>
        </w:rPr>
        <w:t> </w:t>
      </w:r>
      <w:r>
        <w:rPr/>
        <w:t>ağrının</w:t>
      </w:r>
      <w:r>
        <w:rPr>
          <w:spacing w:val="-17"/>
        </w:rPr>
        <w:t> </w:t>
      </w:r>
      <w:r>
        <w:rPr/>
        <w:t>hem</w:t>
      </w:r>
      <w:r>
        <w:rPr>
          <w:spacing w:val="-16"/>
        </w:rPr>
        <w:t> </w:t>
      </w:r>
      <w:r>
        <w:rPr/>
        <w:t>de</w:t>
      </w:r>
      <w:r>
        <w:rPr>
          <w:spacing w:val="-17"/>
        </w:rPr>
        <w:t> </w:t>
      </w:r>
      <w:r>
        <w:rPr/>
        <w:t>yatak</w:t>
      </w:r>
      <w:r>
        <w:rPr>
          <w:spacing w:val="-14"/>
        </w:rPr>
        <w:t> </w:t>
      </w:r>
      <w:r>
        <w:rPr/>
        <w:t>içi</w:t>
      </w:r>
      <w:r>
        <w:rPr>
          <w:spacing w:val="-18"/>
        </w:rPr>
        <w:t> </w:t>
      </w:r>
      <w:r>
        <w:rPr/>
        <w:t>dönme,</w:t>
      </w:r>
      <w:r>
        <w:rPr>
          <w:spacing w:val="-18"/>
        </w:rPr>
        <w:t> </w:t>
      </w:r>
      <w:r>
        <w:rPr/>
        <w:t>yatak</w:t>
      </w:r>
      <w:r>
        <w:rPr>
          <w:spacing w:val="-19"/>
        </w:rPr>
        <w:t> </w:t>
      </w:r>
      <w:r>
        <w:rPr/>
        <w:t>kenarında</w:t>
      </w:r>
      <w:r>
        <w:rPr>
          <w:spacing w:val="-17"/>
        </w:rPr>
        <w:t> </w:t>
      </w:r>
      <w:r>
        <w:rPr/>
        <w:t>oturma,</w:t>
      </w:r>
      <w:r>
        <w:rPr>
          <w:spacing w:val="-16"/>
        </w:rPr>
        <w:t> </w:t>
      </w:r>
      <w:r>
        <w:rPr/>
        <w:t>ayağa kalkma ve hastane odasında yürüme hareketleri boyunca hissedilen ağrının anlamlı derece azaldığı ve herhangi bir PPK gelişmediği saptandı. Taburculuk döneminde hareket</w:t>
      </w:r>
      <w:r>
        <w:rPr>
          <w:spacing w:val="34"/>
        </w:rPr>
        <w:t> </w:t>
      </w:r>
      <w:r>
        <w:rPr/>
        <w:t>ve</w:t>
      </w:r>
      <w:r>
        <w:rPr>
          <w:spacing w:val="37"/>
        </w:rPr>
        <w:t> </w:t>
      </w:r>
      <w:r>
        <w:rPr/>
        <w:t>bağımsızlık</w:t>
      </w:r>
      <w:r>
        <w:rPr>
          <w:spacing w:val="39"/>
        </w:rPr>
        <w:t> </w:t>
      </w:r>
      <w:r>
        <w:rPr/>
        <w:t>skorlarındaki</w:t>
      </w:r>
      <w:r>
        <w:rPr>
          <w:spacing w:val="36"/>
        </w:rPr>
        <w:t> </w:t>
      </w:r>
      <w:r>
        <w:rPr/>
        <w:t>iyileşmenin</w:t>
      </w:r>
      <w:r>
        <w:rPr>
          <w:spacing w:val="43"/>
        </w:rPr>
        <w:t> </w:t>
      </w:r>
      <w:r>
        <w:rPr/>
        <w:t>ağrı</w:t>
      </w:r>
      <w:r>
        <w:rPr>
          <w:spacing w:val="33"/>
        </w:rPr>
        <w:t> </w:t>
      </w:r>
      <w:r>
        <w:rPr/>
        <w:t>düzeylerindeki</w:t>
      </w:r>
      <w:r>
        <w:rPr>
          <w:spacing w:val="36"/>
        </w:rPr>
        <w:t> </w:t>
      </w:r>
      <w:r>
        <w:rPr/>
        <w:t>azalma</w:t>
      </w:r>
      <w:r>
        <w:rPr>
          <w:spacing w:val="36"/>
        </w:rPr>
        <w:t> </w:t>
      </w:r>
      <w:r>
        <w:rPr/>
        <w:t>ve</w:t>
      </w:r>
      <w:r>
        <w:rPr>
          <w:spacing w:val="37"/>
        </w:rPr>
        <w:t> </w:t>
      </w:r>
      <w:r>
        <w:rPr/>
        <w:t>PPK</w:t>
      </w:r>
    </w:p>
    <w:p>
      <w:pPr>
        <w:spacing w:after="0" w:line="360" w:lineRule="auto"/>
        <w:jc w:val="both"/>
        <w:sectPr>
          <w:pgSz w:w="11910" w:h="16840"/>
          <w:pgMar w:header="749" w:footer="0" w:top="960" w:bottom="280" w:left="1680" w:right="940"/>
        </w:sectPr>
      </w:pPr>
    </w:p>
    <w:p>
      <w:pPr>
        <w:pStyle w:val="BodyText"/>
        <w:rPr>
          <w:sz w:val="20"/>
        </w:rPr>
      </w:pPr>
    </w:p>
    <w:p>
      <w:pPr>
        <w:pStyle w:val="BodyText"/>
        <w:spacing w:before="9"/>
        <w:rPr>
          <w:sz w:val="18"/>
        </w:rPr>
      </w:pPr>
    </w:p>
    <w:p>
      <w:pPr>
        <w:pStyle w:val="BodyText"/>
        <w:spacing w:line="357" w:lineRule="auto"/>
        <w:ind w:left="588" w:right="191"/>
        <w:jc w:val="both"/>
      </w:pPr>
      <w:r>
        <w:rPr/>
        <w:t>gelişmemesiyle ilişkilendirilebilir. Bu sonuçlar daha önceki çalışma verileriyle benzerlik göstermektedir.</w:t>
      </w:r>
    </w:p>
    <w:p>
      <w:pPr>
        <w:pStyle w:val="BodyText"/>
        <w:spacing w:line="360" w:lineRule="auto" w:before="166"/>
        <w:ind w:left="588" w:right="191" w:firstLine="708"/>
        <w:jc w:val="both"/>
      </w:pPr>
      <w:r>
        <w:rPr/>
        <w:t>Çalışmamıza katılan bireylerin preoperatif, postoperatif ve taburculuk öncesi dönemde kaygı seviyeleri STAI ile değerlendirildi. Herhangi bir kesme değer bulunmayan ölçekte yüksek skor yüksek kaygı durumunu göstermekteydi. Yapılan karşılaştırmalar sonucunda gruplar arasında kaygı durum seviyesi bakımından anlamlı bir farklılık bulunmadı.</w:t>
      </w:r>
    </w:p>
    <w:p>
      <w:pPr>
        <w:pStyle w:val="BodyText"/>
        <w:spacing w:line="360" w:lineRule="auto" w:before="159"/>
        <w:ind w:left="588" w:right="191" w:firstLine="708"/>
        <w:jc w:val="both"/>
      </w:pPr>
      <w:r>
        <w:rPr/>
        <w:t>Kolorektal cerrahi sonrası EMT’nin etkinliğini incelediğimiz çalışmamızın güçlü yanları; Kolorektal cerrahide solunum kas eğitimiyle ilgili az sayıda çalışma bulunması nedeniyle literatüre katkı sağlaması, yapılan çalışmaların inspiratuar kas eğtimine odaklanması ve çoğu çalışmada preoperatif dönemde eğitim verilmesi ve çalışmamızın randomize kontrollü çalışma olmasıdır. Bizim bilgimize göre kolorektal cerrahi sonrası EMT uygulanan herhangi bir çalışma bulunmamaktadır. Bu alanda çalışmamız öncü bir çalışmadır.</w:t>
      </w:r>
    </w:p>
    <w:p>
      <w:pPr>
        <w:pStyle w:val="BodyText"/>
        <w:spacing w:line="360" w:lineRule="auto" w:before="160"/>
        <w:ind w:left="588" w:right="191" w:firstLine="708"/>
        <w:jc w:val="both"/>
      </w:pPr>
      <w:r>
        <w:rPr/>
        <w:t>Çalışmamızın limitasyonları ise; hiçbir uygulamanın yapılmadığı veya sadece konvansiyonel fizyoterapi uygulanan üçüncü bir kontrol grubunun bulunmamasıdır.</w:t>
      </w:r>
    </w:p>
    <w:p>
      <w:pPr>
        <w:spacing w:after="0" w:line="360" w:lineRule="auto"/>
        <w:jc w:val="both"/>
        <w:sectPr>
          <w:pgSz w:w="11910" w:h="16840"/>
          <w:pgMar w:header="749" w:footer="0" w:top="960" w:bottom="280" w:left="1680" w:right="9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p>
    <w:p>
      <w:pPr>
        <w:pStyle w:val="Heading2"/>
        <w:numPr>
          <w:ilvl w:val="0"/>
          <w:numId w:val="6"/>
        </w:numPr>
        <w:tabs>
          <w:tab w:pos="836" w:val="left" w:leader="none"/>
        </w:tabs>
        <w:spacing w:line="240" w:lineRule="auto" w:before="0" w:after="0"/>
        <w:ind w:left="835" w:right="0" w:hanging="248"/>
        <w:jc w:val="left"/>
      </w:pPr>
      <w:bookmarkStart w:name="_bookmark52" w:id="97"/>
      <w:bookmarkEnd w:id="97"/>
      <w:r>
        <w:rPr>
          <w:b w:val="0"/>
        </w:rPr>
      </w:r>
      <w:bookmarkStart w:name="_bookmark52" w:id="98"/>
      <w:bookmarkEnd w:id="98"/>
      <w:r>
        <w:rPr/>
        <w:t>S</w:t>
      </w:r>
      <w:r>
        <w:rPr/>
        <w:t>ONUÇ</w:t>
      </w:r>
    </w:p>
    <w:p>
      <w:pPr>
        <w:pStyle w:val="BodyText"/>
        <w:rPr>
          <w:b/>
          <w:sz w:val="24"/>
        </w:rPr>
      </w:pPr>
    </w:p>
    <w:p>
      <w:pPr>
        <w:pStyle w:val="BodyText"/>
        <w:spacing w:before="2"/>
        <w:rPr>
          <w:b/>
          <w:sz w:val="34"/>
        </w:rPr>
      </w:pPr>
    </w:p>
    <w:p>
      <w:pPr>
        <w:pStyle w:val="BodyText"/>
        <w:spacing w:line="357" w:lineRule="auto"/>
        <w:ind w:left="588" w:right="151" w:firstLine="708"/>
      </w:pPr>
      <w:r>
        <w:rPr/>
        <w:t>Çalışmamızın sonuçları, kolorektal cerrahi sonrası konvansiyonel fizyoterapiye ek olarak günde 6, haftada 5 gün uygulanan ekspiratuar kas eğitiminin;</w:t>
      </w:r>
    </w:p>
    <w:p>
      <w:pPr>
        <w:pStyle w:val="ListParagraph"/>
        <w:numPr>
          <w:ilvl w:val="0"/>
          <w:numId w:val="7"/>
        </w:numPr>
        <w:tabs>
          <w:tab w:pos="1309" w:val="left" w:leader="none"/>
        </w:tabs>
        <w:spacing w:line="240" w:lineRule="auto" w:before="166" w:after="0"/>
        <w:ind w:left="1308" w:right="0" w:hanging="361"/>
        <w:jc w:val="left"/>
        <w:rPr>
          <w:rFonts w:ascii="Wingdings" w:hAnsi="Wingdings"/>
          <w:sz w:val="22"/>
        </w:rPr>
      </w:pPr>
      <w:r>
        <w:rPr>
          <w:sz w:val="22"/>
        </w:rPr>
        <w:t>Solunum kas gücünü</w:t>
      </w:r>
      <w:r>
        <w:rPr>
          <w:spacing w:val="-6"/>
          <w:sz w:val="22"/>
        </w:rPr>
        <w:t> </w:t>
      </w:r>
      <w:r>
        <w:rPr>
          <w:sz w:val="22"/>
        </w:rPr>
        <w:t>artırdığını</w:t>
      </w:r>
    </w:p>
    <w:p>
      <w:pPr>
        <w:pStyle w:val="ListParagraph"/>
        <w:numPr>
          <w:ilvl w:val="0"/>
          <w:numId w:val="7"/>
        </w:numPr>
        <w:tabs>
          <w:tab w:pos="1309" w:val="left" w:leader="none"/>
        </w:tabs>
        <w:spacing w:line="240" w:lineRule="auto" w:before="126" w:after="0"/>
        <w:ind w:left="1308" w:right="0" w:hanging="361"/>
        <w:jc w:val="left"/>
        <w:rPr>
          <w:rFonts w:ascii="Wingdings" w:hAnsi="Wingdings"/>
          <w:sz w:val="22"/>
        </w:rPr>
      </w:pPr>
      <w:r>
        <w:rPr>
          <w:sz w:val="22"/>
        </w:rPr>
        <w:t>Fonksiyonel kapasiteyi</w:t>
      </w:r>
      <w:r>
        <w:rPr>
          <w:spacing w:val="-4"/>
          <w:sz w:val="22"/>
        </w:rPr>
        <w:t> </w:t>
      </w:r>
      <w:r>
        <w:rPr>
          <w:sz w:val="22"/>
        </w:rPr>
        <w:t>etkilemediğini</w:t>
      </w:r>
    </w:p>
    <w:p>
      <w:pPr>
        <w:pStyle w:val="ListParagraph"/>
        <w:numPr>
          <w:ilvl w:val="0"/>
          <w:numId w:val="7"/>
        </w:numPr>
        <w:tabs>
          <w:tab w:pos="1309" w:val="left" w:leader="none"/>
        </w:tabs>
        <w:spacing w:line="240" w:lineRule="auto" w:before="126" w:after="0"/>
        <w:ind w:left="1308" w:right="0" w:hanging="361"/>
        <w:jc w:val="left"/>
        <w:rPr>
          <w:rFonts w:ascii="Wingdings" w:hAnsi="Wingdings"/>
          <w:sz w:val="22"/>
        </w:rPr>
      </w:pPr>
      <w:r>
        <w:rPr>
          <w:sz w:val="22"/>
        </w:rPr>
        <w:t>Hareketlilik ve bağımsızlık seviyesini artırmada etkili</w:t>
      </w:r>
      <w:r>
        <w:rPr>
          <w:spacing w:val="-2"/>
          <w:sz w:val="22"/>
        </w:rPr>
        <w:t> </w:t>
      </w:r>
      <w:r>
        <w:rPr>
          <w:sz w:val="22"/>
        </w:rPr>
        <w:t>olduğunu</w:t>
      </w:r>
    </w:p>
    <w:p>
      <w:pPr>
        <w:pStyle w:val="ListParagraph"/>
        <w:numPr>
          <w:ilvl w:val="0"/>
          <w:numId w:val="7"/>
        </w:numPr>
        <w:tabs>
          <w:tab w:pos="1309" w:val="left" w:leader="none"/>
        </w:tabs>
        <w:spacing w:line="240" w:lineRule="auto" w:before="127" w:after="0"/>
        <w:ind w:left="1308" w:right="0" w:hanging="361"/>
        <w:jc w:val="left"/>
        <w:rPr>
          <w:rFonts w:ascii="Wingdings" w:hAnsi="Wingdings"/>
          <w:sz w:val="22"/>
        </w:rPr>
      </w:pPr>
      <w:r>
        <w:rPr>
          <w:sz w:val="22"/>
        </w:rPr>
        <w:t>Kaygı düzeylerini</w:t>
      </w:r>
      <w:r>
        <w:rPr>
          <w:spacing w:val="-4"/>
          <w:sz w:val="22"/>
        </w:rPr>
        <w:t> </w:t>
      </w:r>
      <w:r>
        <w:rPr>
          <w:sz w:val="22"/>
        </w:rPr>
        <w:t>etkilemediğini</w:t>
      </w:r>
    </w:p>
    <w:p>
      <w:pPr>
        <w:pStyle w:val="ListParagraph"/>
        <w:numPr>
          <w:ilvl w:val="0"/>
          <w:numId w:val="7"/>
        </w:numPr>
        <w:tabs>
          <w:tab w:pos="1309" w:val="left" w:leader="none"/>
        </w:tabs>
        <w:spacing w:line="240" w:lineRule="auto" w:before="126" w:after="0"/>
        <w:ind w:left="1308" w:right="0" w:hanging="361"/>
        <w:jc w:val="left"/>
        <w:rPr>
          <w:rFonts w:ascii="Wingdings" w:hAnsi="Wingdings"/>
          <w:sz w:val="22"/>
        </w:rPr>
      </w:pPr>
      <w:r>
        <w:rPr>
          <w:sz w:val="22"/>
        </w:rPr>
        <w:t>Postoperatif pulmoner komplikasyonları</w:t>
      </w:r>
      <w:r>
        <w:rPr>
          <w:spacing w:val="-2"/>
          <w:sz w:val="22"/>
        </w:rPr>
        <w:t> </w:t>
      </w:r>
      <w:r>
        <w:rPr>
          <w:sz w:val="22"/>
        </w:rPr>
        <w:t>önlediğini</w:t>
      </w:r>
    </w:p>
    <w:p>
      <w:pPr>
        <w:pStyle w:val="ListParagraph"/>
        <w:numPr>
          <w:ilvl w:val="0"/>
          <w:numId w:val="7"/>
        </w:numPr>
        <w:tabs>
          <w:tab w:pos="1308" w:val="left" w:leader="none"/>
          <w:tab w:pos="1309" w:val="left" w:leader="none"/>
        </w:tabs>
        <w:spacing w:line="360" w:lineRule="auto" w:before="128" w:after="0"/>
        <w:ind w:left="1308" w:right="194" w:hanging="360"/>
        <w:jc w:val="left"/>
        <w:rPr>
          <w:rFonts w:ascii="Wingdings" w:hAnsi="Wingdings"/>
          <w:sz w:val="20"/>
        </w:rPr>
      </w:pPr>
      <w:r>
        <w:rPr>
          <w:sz w:val="22"/>
        </w:rPr>
        <w:t>Bu parametlerde insentif spirometre uygulanan gruba göre herhangi bir üstünlüğü olmadığını</w:t>
      </w:r>
      <w:r>
        <w:rPr>
          <w:spacing w:val="-6"/>
          <w:sz w:val="22"/>
        </w:rPr>
        <w:t> </w:t>
      </w:r>
      <w:r>
        <w:rPr>
          <w:sz w:val="22"/>
        </w:rPr>
        <w:t>göstermiştir.</w:t>
      </w:r>
    </w:p>
    <w:p>
      <w:pPr>
        <w:pStyle w:val="BodyText"/>
        <w:spacing w:line="360" w:lineRule="auto"/>
        <w:ind w:left="588" w:right="187" w:firstLine="360"/>
        <w:jc w:val="both"/>
      </w:pPr>
      <w:r>
        <w:rPr/>
        <w:t>Sonuçlarımız, başta kurduğumuz ‘Ekspiratuar kas eğitimi konvansiyonel göğüs fizyoterapisine ek olarak uygulandığında etkilidir.’ hipotezini doğrular niteliktedir. Kolorektal cerrahi uygulanan bireylere fizyoterapi programı planlanırken klinikte en çok kulanılan yardımcı cihaz insentif spirometrenin yanı sıra ekspiratuar kas eğitiminin de etkili</w:t>
      </w:r>
      <w:r>
        <w:rPr>
          <w:spacing w:val="-13"/>
        </w:rPr>
        <w:t> </w:t>
      </w:r>
      <w:r>
        <w:rPr/>
        <w:t>olduğu</w:t>
      </w:r>
      <w:r>
        <w:rPr>
          <w:spacing w:val="-13"/>
        </w:rPr>
        <w:t> </w:t>
      </w:r>
      <w:r>
        <w:rPr/>
        <w:t>iki</w:t>
      </w:r>
      <w:r>
        <w:rPr>
          <w:spacing w:val="-10"/>
        </w:rPr>
        <w:t> </w:t>
      </w:r>
      <w:r>
        <w:rPr/>
        <w:t>uygulamanın</w:t>
      </w:r>
      <w:r>
        <w:rPr>
          <w:spacing w:val="-12"/>
        </w:rPr>
        <w:t> </w:t>
      </w:r>
      <w:r>
        <w:rPr/>
        <w:t>da</w:t>
      </w:r>
      <w:r>
        <w:rPr>
          <w:spacing w:val="-11"/>
        </w:rPr>
        <w:t> </w:t>
      </w:r>
      <w:r>
        <w:rPr/>
        <w:t>herhangi</w:t>
      </w:r>
      <w:r>
        <w:rPr>
          <w:spacing w:val="-12"/>
        </w:rPr>
        <w:t> </w:t>
      </w:r>
      <w:r>
        <w:rPr/>
        <w:t>bir</w:t>
      </w:r>
      <w:r>
        <w:rPr>
          <w:spacing w:val="-12"/>
        </w:rPr>
        <w:t> </w:t>
      </w:r>
      <w:r>
        <w:rPr/>
        <w:t>yan</w:t>
      </w:r>
      <w:r>
        <w:rPr>
          <w:spacing w:val="-12"/>
        </w:rPr>
        <w:t> </w:t>
      </w:r>
      <w:r>
        <w:rPr/>
        <w:t>etkisinin</w:t>
      </w:r>
      <w:r>
        <w:rPr>
          <w:spacing w:val="-11"/>
        </w:rPr>
        <w:t> </w:t>
      </w:r>
      <w:r>
        <w:rPr/>
        <w:t>olmadığı</w:t>
      </w:r>
      <w:r>
        <w:rPr>
          <w:spacing w:val="-14"/>
        </w:rPr>
        <w:t> </w:t>
      </w:r>
      <w:r>
        <w:rPr/>
        <w:t>ve</w:t>
      </w:r>
      <w:r>
        <w:rPr>
          <w:spacing w:val="-11"/>
        </w:rPr>
        <w:t> </w:t>
      </w:r>
      <w:r>
        <w:rPr/>
        <w:t>birbirinin</w:t>
      </w:r>
      <w:r>
        <w:rPr>
          <w:spacing w:val="-12"/>
        </w:rPr>
        <w:t> </w:t>
      </w:r>
      <w:r>
        <w:rPr/>
        <w:t>alternatifi olarak kullanılabileceğini düşünüyoruz. Klinikte çalışan fizyoterapistlere ekspiratuar kas eğitimini</w:t>
      </w:r>
      <w:r>
        <w:rPr>
          <w:spacing w:val="-20"/>
        </w:rPr>
        <w:t> </w:t>
      </w:r>
      <w:r>
        <w:rPr/>
        <w:t>Kolorektal</w:t>
      </w:r>
      <w:r>
        <w:rPr>
          <w:spacing w:val="-20"/>
        </w:rPr>
        <w:t> </w:t>
      </w:r>
      <w:r>
        <w:rPr/>
        <w:t>cerrahi</w:t>
      </w:r>
      <w:r>
        <w:rPr>
          <w:spacing w:val="-20"/>
        </w:rPr>
        <w:t> </w:t>
      </w:r>
      <w:r>
        <w:rPr/>
        <w:t>sonrası</w:t>
      </w:r>
      <w:r>
        <w:rPr>
          <w:spacing w:val="-23"/>
        </w:rPr>
        <w:t> </w:t>
      </w:r>
      <w:r>
        <w:rPr/>
        <w:t>tedavi</w:t>
      </w:r>
      <w:r>
        <w:rPr>
          <w:spacing w:val="-20"/>
        </w:rPr>
        <w:t> </w:t>
      </w:r>
      <w:r>
        <w:rPr/>
        <w:t>programına</w:t>
      </w:r>
      <w:r>
        <w:rPr>
          <w:spacing w:val="-19"/>
        </w:rPr>
        <w:t> </w:t>
      </w:r>
      <w:r>
        <w:rPr/>
        <w:t>eklemelerini</w:t>
      </w:r>
      <w:r>
        <w:rPr>
          <w:spacing w:val="-20"/>
        </w:rPr>
        <w:t> </w:t>
      </w:r>
      <w:r>
        <w:rPr/>
        <w:t>öneriyoruz.</w:t>
      </w:r>
      <w:r>
        <w:rPr>
          <w:spacing w:val="-18"/>
        </w:rPr>
        <w:t> </w:t>
      </w:r>
      <w:r>
        <w:rPr/>
        <w:t>Kolorektal cerrahi sonrası ekspiratuar kas eğitimi uygulaması ile ilgili literatürde yeterince çalışma olmaması ve yapılan çalışmaların inspiratuar kas eğitimine odaklanmaları nedeniyle bu alanda daha çok çalışma yapılması gerektiğini</w:t>
      </w:r>
      <w:r>
        <w:rPr>
          <w:spacing w:val="-7"/>
        </w:rPr>
        <w:t> </w:t>
      </w:r>
      <w:r>
        <w:rPr/>
        <w:t>düşünüyoruz.</w:t>
      </w:r>
    </w:p>
    <w:p>
      <w:pPr>
        <w:spacing w:after="0" w:line="360" w:lineRule="auto"/>
        <w:jc w:val="both"/>
        <w:sectPr>
          <w:pgSz w:w="11910" w:h="16840"/>
          <w:pgMar w:header="749" w:footer="0" w:top="960" w:bottom="280" w:left="1680" w:right="9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2"/>
        <w:numPr>
          <w:ilvl w:val="0"/>
          <w:numId w:val="6"/>
        </w:numPr>
        <w:tabs>
          <w:tab w:pos="774" w:val="left" w:leader="none"/>
        </w:tabs>
        <w:spacing w:line="240" w:lineRule="auto" w:before="94" w:after="0"/>
        <w:ind w:left="773" w:right="0" w:hanging="186"/>
        <w:jc w:val="left"/>
      </w:pPr>
      <w:bookmarkStart w:name="_bookmark53" w:id="99"/>
      <w:bookmarkEnd w:id="99"/>
      <w:r>
        <w:rPr>
          <w:b w:val="0"/>
        </w:rPr>
      </w:r>
      <w:bookmarkStart w:name="_bookmark53" w:id="100"/>
      <w:bookmarkEnd w:id="100"/>
      <w:r>
        <w:rPr/>
        <w:t>K</w:t>
      </w:r>
      <w:r>
        <w:rPr/>
        <w:t>AYNAKLAR</w:t>
      </w:r>
    </w:p>
    <w:p>
      <w:pPr>
        <w:pStyle w:val="BodyText"/>
        <w:rPr>
          <w:b/>
          <w:sz w:val="24"/>
        </w:rPr>
      </w:pPr>
    </w:p>
    <w:p>
      <w:pPr>
        <w:pStyle w:val="BodyText"/>
        <w:rPr>
          <w:b/>
          <w:sz w:val="24"/>
        </w:rPr>
      </w:pPr>
    </w:p>
    <w:p>
      <w:pPr>
        <w:pStyle w:val="BodyText"/>
        <w:spacing w:line="357" w:lineRule="auto" w:before="141"/>
        <w:ind w:left="588" w:right="190"/>
        <w:jc w:val="both"/>
      </w:pPr>
      <w:r>
        <w:rPr/>
        <w:t>Akın T. Rektum ve rektosigmoid kanserlerin tedavisinde laparoskopik cerrahinin perioperatif ve erken dönem onkolojik sonuçları ile yaşam kalitesine etkisi.</w:t>
      </w:r>
    </w:p>
    <w:p>
      <w:pPr>
        <w:spacing w:before="163"/>
        <w:ind w:left="588" w:right="0" w:firstLine="0"/>
        <w:jc w:val="both"/>
        <w:rPr>
          <w:b/>
          <w:i/>
          <w:sz w:val="22"/>
        </w:rPr>
      </w:pPr>
      <w:r>
        <w:rPr>
          <w:sz w:val="22"/>
        </w:rPr>
        <w:t>Uzmanlık tezi. </w:t>
      </w:r>
      <w:r>
        <w:rPr>
          <w:b/>
          <w:i/>
          <w:sz w:val="22"/>
        </w:rPr>
        <w:t>Dr.Lütfi Kırdar Kartal Eğitim ve Araştırma Hastanesi I.Genel</w:t>
      </w:r>
    </w:p>
    <w:p>
      <w:pPr>
        <w:pStyle w:val="BodyText"/>
        <w:spacing w:before="9"/>
        <w:rPr>
          <w:b/>
          <w:i/>
          <w:sz w:val="24"/>
        </w:rPr>
      </w:pPr>
    </w:p>
    <w:p>
      <w:pPr>
        <w:spacing w:before="0"/>
        <w:ind w:left="1080" w:right="0" w:firstLine="0"/>
        <w:jc w:val="left"/>
        <w:rPr>
          <w:sz w:val="22"/>
        </w:rPr>
      </w:pPr>
      <w:r>
        <w:rPr>
          <w:b/>
          <w:i/>
          <w:sz w:val="22"/>
        </w:rPr>
        <w:t>Cerrahi Kliniği, </w:t>
      </w:r>
      <w:r>
        <w:rPr>
          <w:sz w:val="22"/>
        </w:rPr>
        <w:t>İstanbul, 2009, s.83.</w:t>
      </w:r>
    </w:p>
    <w:p>
      <w:pPr>
        <w:spacing w:line="357" w:lineRule="auto" w:before="200"/>
        <w:ind w:left="1068" w:right="188" w:hanging="480"/>
        <w:jc w:val="both"/>
        <w:rPr>
          <w:sz w:val="22"/>
        </w:rPr>
      </w:pPr>
      <w:r>
        <w:rPr>
          <w:sz w:val="22"/>
        </w:rPr>
        <w:t>Ali J. Consequences of postoperative alterations in respiratory mechanics. </w:t>
      </w:r>
      <w:r>
        <w:rPr>
          <w:b/>
          <w:i/>
          <w:sz w:val="22"/>
        </w:rPr>
        <w:t>American </w:t>
      </w:r>
      <w:r>
        <w:rPr>
          <w:b/>
          <w:i/>
          <w:sz w:val="22"/>
        </w:rPr>
        <w:t>journal of surgery </w:t>
      </w:r>
      <w:r>
        <w:rPr>
          <w:sz w:val="22"/>
        </w:rPr>
        <w:t>1974; </w:t>
      </w:r>
      <w:r>
        <w:rPr>
          <w:i/>
          <w:sz w:val="22"/>
        </w:rPr>
        <w:t>128 </w:t>
      </w:r>
      <w:r>
        <w:rPr>
          <w:sz w:val="22"/>
        </w:rPr>
        <w:t>(3): 376–382.</w:t>
      </w:r>
    </w:p>
    <w:p>
      <w:pPr>
        <w:spacing w:line="357" w:lineRule="auto" w:before="166"/>
        <w:ind w:left="1068" w:right="191" w:hanging="480"/>
        <w:jc w:val="both"/>
        <w:rPr>
          <w:sz w:val="22"/>
        </w:rPr>
      </w:pPr>
      <w:r>
        <w:rPr>
          <w:sz w:val="22"/>
        </w:rPr>
        <w:t>Allen SM, Hunt B. Fall in vital capacity with posture. </w:t>
      </w:r>
      <w:r>
        <w:rPr>
          <w:b/>
          <w:i/>
          <w:sz w:val="22"/>
        </w:rPr>
        <w:t>British journal of diseases of the </w:t>
      </w:r>
      <w:r>
        <w:rPr>
          <w:b/>
          <w:i/>
          <w:sz w:val="22"/>
        </w:rPr>
        <w:t>chest </w:t>
      </w:r>
      <w:r>
        <w:rPr>
          <w:sz w:val="22"/>
        </w:rPr>
        <w:t>1985; </w:t>
      </w:r>
      <w:r>
        <w:rPr>
          <w:i/>
          <w:sz w:val="22"/>
        </w:rPr>
        <w:t>79 </w:t>
      </w:r>
      <w:r>
        <w:rPr>
          <w:sz w:val="22"/>
        </w:rPr>
        <w:t>(3): 267–271.</w:t>
      </w:r>
    </w:p>
    <w:p>
      <w:pPr>
        <w:pStyle w:val="BodyText"/>
        <w:spacing w:line="357" w:lineRule="auto" w:before="165"/>
        <w:ind w:left="1068" w:right="190" w:hanging="480"/>
        <w:jc w:val="both"/>
      </w:pPr>
      <w:r>
        <w:rPr/>
        <w:t>Atsushi I. Long-term outcomes and prognostic factors of patients with obstructive colorectal cancer: A multicenter retrospective cohort study. </w:t>
      </w:r>
      <w:r>
        <w:rPr>
          <w:b/>
          <w:i/>
        </w:rPr>
        <w:t>World journal of </w:t>
      </w:r>
      <w:r>
        <w:rPr>
          <w:b/>
          <w:i/>
        </w:rPr>
        <w:t>gastroenterology </w:t>
      </w:r>
      <w:r>
        <w:rPr/>
        <w:t>2016; </w:t>
      </w:r>
      <w:r>
        <w:rPr>
          <w:i/>
        </w:rPr>
        <w:t>22 </w:t>
      </w:r>
      <w:r>
        <w:rPr/>
        <w:t>(22): 5237–5245.</w:t>
      </w:r>
    </w:p>
    <w:p>
      <w:pPr>
        <w:pStyle w:val="BodyText"/>
        <w:spacing w:line="360" w:lineRule="auto" w:before="168"/>
        <w:ind w:left="1068" w:right="188" w:hanging="480"/>
        <w:jc w:val="both"/>
      </w:pPr>
      <w:r>
        <w:rPr/>
        <w:t>Bokey EL, Chapuis PH, Fung C, Hughes WJ, Koorey SG, Brewer D, Newland RC. Postoperative morbidity and mortality following resection of the colon and rectum for cancer. </w:t>
      </w:r>
      <w:r>
        <w:rPr>
          <w:b/>
          <w:i/>
        </w:rPr>
        <w:t>Diseases of the colon and rectum </w:t>
      </w:r>
      <w:r>
        <w:rPr/>
        <w:t>1995; </w:t>
      </w:r>
      <w:r>
        <w:rPr>
          <w:i/>
        </w:rPr>
        <w:t>38 </w:t>
      </w:r>
      <w:r>
        <w:rPr/>
        <w:t>(5): 480–486; discussion</w:t>
      </w:r>
    </w:p>
    <w:p>
      <w:pPr>
        <w:pStyle w:val="BodyText"/>
        <w:spacing w:line="250" w:lineRule="exact"/>
        <w:ind w:left="1068"/>
      </w:pPr>
      <w:r>
        <w:rPr/>
        <w:t>486-7.</w:t>
      </w:r>
    </w:p>
    <w:p>
      <w:pPr>
        <w:pStyle w:val="BodyText"/>
        <w:spacing w:before="2"/>
        <w:rPr>
          <w:sz w:val="25"/>
        </w:rPr>
      </w:pPr>
    </w:p>
    <w:p>
      <w:pPr>
        <w:spacing w:line="357" w:lineRule="auto" w:before="0"/>
        <w:ind w:left="1068" w:right="188" w:hanging="480"/>
        <w:jc w:val="both"/>
        <w:rPr>
          <w:sz w:val="22"/>
        </w:rPr>
      </w:pPr>
      <w:r>
        <w:rPr>
          <w:sz w:val="22"/>
        </w:rPr>
        <w:t>Borg</w:t>
      </w:r>
      <w:r>
        <w:rPr>
          <w:spacing w:val="-13"/>
          <w:sz w:val="22"/>
        </w:rPr>
        <w:t> </w:t>
      </w:r>
      <w:r>
        <w:rPr>
          <w:sz w:val="22"/>
        </w:rPr>
        <w:t>GA.</w:t>
      </w:r>
      <w:r>
        <w:rPr>
          <w:spacing w:val="-9"/>
          <w:sz w:val="22"/>
        </w:rPr>
        <w:t> </w:t>
      </w:r>
      <w:r>
        <w:rPr>
          <w:sz w:val="22"/>
        </w:rPr>
        <w:t>Psychophysical</w:t>
      </w:r>
      <w:r>
        <w:rPr>
          <w:spacing w:val="-11"/>
          <w:sz w:val="22"/>
        </w:rPr>
        <w:t> </w:t>
      </w:r>
      <w:r>
        <w:rPr>
          <w:sz w:val="22"/>
        </w:rPr>
        <w:t>bases</w:t>
      </w:r>
      <w:r>
        <w:rPr>
          <w:spacing w:val="-10"/>
          <w:sz w:val="22"/>
        </w:rPr>
        <w:t> </w:t>
      </w:r>
      <w:r>
        <w:rPr>
          <w:sz w:val="22"/>
        </w:rPr>
        <w:t>of</w:t>
      </w:r>
      <w:r>
        <w:rPr>
          <w:spacing w:val="-9"/>
          <w:sz w:val="22"/>
        </w:rPr>
        <w:t> </w:t>
      </w:r>
      <w:r>
        <w:rPr>
          <w:sz w:val="22"/>
        </w:rPr>
        <w:t>perceived</w:t>
      </w:r>
      <w:r>
        <w:rPr>
          <w:spacing w:val="-11"/>
          <w:sz w:val="22"/>
        </w:rPr>
        <w:t> </w:t>
      </w:r>
      <w:r>
        <w:rPr>
          <w:sz w:val="22"/>
        </w:rPr>
        <w:t>exertion.</w:t>
      </w:r>
      <w:r>
        <w:rPr>
          <w:spacing w:val="-10"/>
          <w:sz w:val="22"/>
        </w:rPr>
        <w:t> </w:t>
      </w:r>
      <w:r>
        <w:rPr>
          <w:b/>
          <w:i/>
          <w:sz w:val="22"/>
        </w:rPr>
        <w:t>Medicine</w:t>
      </w:r>
      <w:r>
        <w:rPr>
          <w:b/>
          <w:i/>
          <w:spacing w:val="-11"/>
          <w:sz w:val="22"/>
        </w:rPr>
        <w:t> </w:t>
      </w:r>
      <w:r>
        <w:rPr>
          <w:b/>
          <w:i/>
          <w:sz w:val="22"/>
        </w:rPr>
        <w:t>and</w:t>
      </w:r>
      <w:r>
        <w:rPr>
          <w:b/>
          <w:i/>
          <w:spacing w:val="-13"/>
          <w:sz w:val="22"/>
        </w:rPr>
        <w:t> </w:t>
      </w:r>
      <w:r>
        <w:rPr>
          <w:b/>
          <w:i/>
          <w:sz w:val="22"/>
        </w:rPr>
        <w:t>science</w:t>
      </w:r>
      <w:r>
        <w:rPr>
          <w:b/>
          <w:i/>
          <w:spacing w:val="-10"/>
          <w:sz w:val="22"/>
        </w:rPr>
        <w:t> </w:t>
      </w:r>
      <w:r>
        <w:rPr>
          <w:b/>
          <w:i/>
          <w:sz w:val="22"/>
        </w:rPr>
        <w:t>in</w:t>
      </w:r>
      <w:r>
        <w:rPr>
          <w:b/>
          <w:i/>
          <w:spacing w:val="-13"/>
          <w:sz w:val="22"/>
        </w:rPr>
        <w:t> </w:t>
      </w:r>
      <w:r>
        <w:rPr>
          <w:b/>
          <w:i/>
          <w:sz w:val="22"/>
        </w:rPr>
        <w:t>sports </w:t>
      </w:r>
      <w:r>
        <w:rPr>
          <w:b/>
          <w:i/>
          <w:sz w:val="22"/>
        </w:rPr>
        <w:t>and exercise </w:t>
      </w:r>
      <w:r>
        <w:rPr>
          <w:sz w:val="22"/>
        </w:rPr>
        <w:t>1982; </w:t>
      </w:r>
      <w:r>
        <w:rPr>
          <w:i/>
          <w:sz w:val="22"/>
        </w:rPr>
        <w:t>14 </w:t>
      </w:r>
      <w:r>
        <w:rPr>
          <w:sz w:val="22"/>
        </w:rPr>
        <w:t>(5):</w:t>
      </w:r>
      <w:r>
        <w:rPr>
          <w:spacing w:val="-2"/>
          <w:sz w:val="22"/>
        </w:rPr>
        <w:t> </w:t>
      </w:r>
      <w:r>
        <w:rPr>
          <w:sz w:val="22"/>
        </w:rPr>
        <w:t>377–381.</w:t>
      </w:r>
    </w:p>
    <w:p>
      <w:pPr>
        <w:spacing w:line="360" w:lineRule="auto" w:before="165"/>
        <w:ind w:left="1068" w:right="190" w:hanging="480"/>
        <w:jc w:val="both"/>
        <w:rPr>
          <w:sz w:val="22"/>
        </w:rPr>
      </w:pPr>
      <w:r>
        <w:rPr>
          <w:sz w:val="22"/>
        </w:rPr>
        <w:t>Britto RR, Rezende NR, Marinho KC, Torres JL, Parreira VF, Teixeira-Salmela LF. Inspiratory Muscular Training in Chronic Stroke Survivors: A Randomized Controlled</w:t>
      </w:r>
      <w:r>
        <w:rPr>
          <w:spacing w:val="-7"/>
          <w:sz w:val="22"/>
        </w:rPr>
        <w:t> </w:t>
      </w:r>
      <w:r>
        <w:rPr>
          <w:sz w:val="22"/>
        </w:rPr>
        <w:t>Trial.</w:t>
      </w:r>
      <w:r>
        <w:rPr>
          <w:spacing w:val="-2"/>
          <w:sz w:val="22"/>
        </w:rPr>
        <w:t> </w:t>
      </w:r>
      <w:r>
        <w:rPr>
          <w:b/>
          <w:i/>
          <w:sz w:val="22"/>
        </w:rPr>
        <w:t>Archives</w:t>
      </w:r>
      <w:r>
        <w:rPr>
          <w:b/>
          <w:i/>
          <w:spacing w:val="-4"/>
          <w:sz w:val="22"/>
        </w:rPr>
        <w:t> </w:t>
      </w:r>
      <w:r>
        <w:rPr>
          <w:b/>
          <w:i/>
          <w:sz w:val="22"/>
        </w:rPr>
        <w:t>of</w:t>
      </w:r>
      <w:r>
        <w:rPr>
          <w:b/>
          <w:i/>
          <w:spacing w:val="-3"/>
          <w:sz w:val="22"/>
        </w:rPr>
        <w:t> </w:t>
      </w:r>
      <w:r>
        <w:rPr>
          <w:b/>
          <w:i/>
          <w:sz w:val="22"/>
        </w:rPr>
        <w:t>Physical</w:t>
      </w:r>
      <w:r>
        <w:rPr>
          <w:b/>
          <w:i/>
          <w:spacing w:val="-5"/>
          <w:sz w:val="22"/>
        </w:rPr>
        <w:t> </w:t>
      </w:r>
      <w:r>
        <w:rPr>
          <w:b/>
          <w:i/>
          <w:sz w:val="22"/>
        </w:rPr>
        <w:t>Medicine</w:t>
      </w:r>
      <w:r>
        <w:rPr>
          <w:b/>
          <w:i/>
          <w:spacing w:val="-8"/>
          <w:sz w:val="22"/>
        </w:rPr>
        <w:t> </w:t>
      </w:r>
      <w:r>
        <w:rPr>
          <w:b/>
          <w:i/>
          <w:sz w:val="22"/>
        </w:rPr>
        <w:t>and</w:t>
      </w:r>
      <w:r>
        <w:rPr>
          <w:b/>
          <w:i/>
          <w:spacing w:val="-4"/>
          <w:sz w:val="22"/>
        </w:rPr>
        <w:t> </w:t>
      </w:r>
      <w:r>
        <w:rPr>
          <w:b/>
          <w:i/>
          <w:sz w:val="22"/>
        </w:rPr>
        <w:t>Rehabilitation</w:t>
      </w:r>
      <w:r>
        <w:rPr>
          <w:b/>
          <w:i/>
          <w:spacing w:val="-4"/>
          <w:sz w:val="22"/>
        </w:rPr>
        <w:t> </w:t>
      </w:r>
      <w:r>
        <w:rPr>
          <w:sz w:val="22"/>
        </w:rPr>
        <w:t>2011;</w:t>
      </w:r>
      <w:r>
        <w:rPr>
          <w:spacing w:val="-3"/>
          <w:sz w:val="22"/>
        </w:rPr>
        <w:t> </w:t>
      </w:r>
      <w:r>
        <w:rPr>
          <w:i/>
          <w:sz w:val="22"/>
        </w:rPr>
        <w:t>92</w:t>
      </w:r>
      <w:r>
        <w:rPr>
          <w:i/>
          <w:spacing w:val="-6"/>
          <w:sz w:val="22"/>
        </w:rPr>
        <w:t> </w:t>
      </w:r>
      <w:r>
        <w:rPr>
          <w:sz w:val="22"/>
        </w:rPr>
        <w:t>(2): 184–190.</w:t>
      </w:r>
    </w:p>
    <w:p>
      <w:pPr>
        <w:pStyle w:val="BodyText"/>
        <w:spacing w:line="357" w:lineRule="auto" w:before="161"/>
        <w:ind w:left="1068" w:right="190" w:hanging="480"/>
        <w:jc w:val="both"/>
      </w:pPr>
      <w:r>
        <w:rPr/>
        <w:t>Carli F, Charlebois P, Stein B, Feldman L, Zavorsky G, Kim DJ, … Mayo NE. Randomized clinical trial of prehabilitation in colorectal surgery. </w:t>
      </w:r>
      <w:r>
        <w:rPr>
          <w:b/>
          <w:i/>
        </w:rPr>
        <w:t>British Journal of </w:t>
      </w:r>
      <w:r>
        <w:rPr>
          <w:b/>
          <w:i/>
        </w:rPr>
        <w:t>Surgery </w:t>
      </w:r>
      <w:r>
        <w:rPr/>
        <w:t>2010; </w:t>
      </w:r>
      <w:r>
        <w:rPr>
          <w:i/>
        </w:rPr>
        <w:t>97 </w:t>
      </w:r>
      <w:r>
        <w:rPr/>
        <w:t>(8): 1187–1197.</w:t>
      </w:r>
    </w:p>
    <w:p>
      <w:pPr>
        <w:pStyle w:val="BodyText"/>
        <w:spacing w:before="167"/>
        <w:ind w:left="588"/>
        <w:jc w:val="both"/>
      </w:pPr>
      <w:r>
        <w:rPr/>
        <w:t>Carton H, Ketelaer P, Decramer M, Gosselink R, Kovacs L. Respiratory muscle</w:t>
      </w:r>
    </w:p>
    <w:p>
      <w:pPr>
        <w:spacing w:after="0"/>
        <w:jc w:val="both"/>
        <w:sectPr>
          <w:pgSz w:w="11910" w:h="16840"/>
          <w:pgMar w:header="749" w:footer="0" w:top="960" w:bottom="280" w:left="1680" w:right="940"/>
        </w:sectPr>
      </w:pPr>
    </w:p>
    <w:p>
      <w:pPr>
        <w:pStyle w:val="BodyText"/>
        <w:rPr>
          <w:sz w:val="20"/>
        </w:rPr>
      </w:pPr>
    </w:p>
    <w:p>
      <w:pPr>
        <w:pStyle w:val="BodyText"/>
        <w:spacing w:before="9"/>
        <w:rPr>
          <w:sz w:val="18"/>
        </w:rPr>
      </w:pPr>
    </w:p>
    <w:p>
      <w:pPr>
        <w:spacing w:line="360" w:lineRule="auto" w:before="0"/>
        <w:ind w:left="1068" w:right="0" w:firstLine="0"/>
        <w:jc w:val="left"/>
        <w:rPr>
          <w:sz w:val="22"/>
        </w:rPr>
      </w:pPr>
      <w:r>
        <w:rPr>
          <w:sz w:val="22"/>
        </w:rPr>
        <w:t>weakness and respiratory muscle training in severely disabled multiple sclerosis patients. </w:t>
      </w:r>
      <w:r>
        <w:rPr>
          <w:b/>
          <w:i/>
          <w:sz w:val="22"/>
        </w:rPr>
        <w:t>Archives of Physical Medicine and Rehabilitation </w:t>
      </w:r>
      <w:r>
        <w:rPr>
          <w:sz w:val="22"/>
        </w:rPr>
        <w:t>2002; </w:t>
      </w:r>
      <w:r>
        <w:rPr>
          <w:i/>
          <w:sz w:val="22"/>
        </w:rPr>
        <w:t>81 </w:t>
      </w:r>
      <w:r>
        <w:rPr>
          <w:sz w:val="22"/>
        </w:rPr>
        <w:t>(6): 747–</w:t>
      </w:r>
    </w:p>
    <w:p>
      <w:pPr>
        <w:pStyle w:val="BodyText"/>
        <w:spacing w:line="250" w:lineRule="exact"/>
        <w:ind w:left="1068"/>
      </w:pPr>
      <w:r>
        <w:rPr/>
        <w:t>751.</w:t>
      </w:r>
    </w:p>
    <w:p>
      <w:pPr>
        <w:pStyle w:val="BodyText"/>
        <w:spacing w:before="2"/>
        <w:rPr>
          <w:sz w:val="25"/>
        </w:rPr>
      </w:pPr>
    </w:p>
    <w:p>
      <w:pPr>
        <w:spacing w:line="357" w:lineRule="auto" w:before="0"/>
        <w:ind w:left="1068" w:right="192" w:hanging="480"/>
        <w:jc w:val="both"/>
        <w:rPr>
          <w:sz w:val="22"/>
        </w:rPr>
      </w:pPr>
      <w:r>
        <w:rPr>
          <w:sz w:val="22"/>
        </w:rPr>
        <w:t>Celik S, Yılmaz EM. Effects of Laparoscopic and Conventional Methods on Lung Functions</w:t>
      </w:r>
      <w:r>
        <w:rPr>
          <w:spacing w:val="-16"/>
          <w:sz w:val="22"/>
        </w:rPr>
        <w:t> </w:t>
      </w:r>
      <w:r>
        <w:rPr>
          <w:sz w:val="22"/>
        </w:rPr>
        <w:t>in</w:t>
      </w:r>
      <w:r>
        <w:rPr>
          <w:spacing w:val="-18"/>
          <w:sz w:val="22"/>
        </w:rPr>
        <w:t> </w:t>
      </w:r>
      <w:r>
        <w:rPr>
          <w:sz w:val="22"/>
        </w:rPr>
        <w:t>Colorectal</w:t>
      </w:r>
      <w:r>
        <w:rPr>
          <w:spacing w:val="-17"/>
          <w:sz w:val="22"/>
        </w:rPr>
        <w:t> </w:t>
      </w:r>
      <w:r>
        <w:rPr>
          <w:sz w:val="22"/>
        </w:rPr>
        <w:t>Surgery.</w:t>
      </w:r>
      <w:r>
        <w:rPr>
          <w:spacing w:val="-15"/>
          <w:sz w:val="22"/>
        </w:rPr>
        <w:t> </w:t>
      </w:r>
      <w:r>
        <w:rPr>
          <w:b/>
          <w:i/>
          <w:sz w:val="22"/>
        </w:rPr>
        <w:t>Medical</w:t>
      </w:r>
      <w:r>
        <w:rPr>
          <w:b/>
          <w:i/>
          <w:spacing w:val="-17"/>
          <w:sz w:val="22"/>
        </w:rPr>
        <w:t> </w:t>
      </w:r>
      <w:r>
        <w:rPr>
          <w:b/>
          <w:i/>
          <w:sz w:val="22"/>
        </w:rPr>
        <w:t>science</w:t>
      </w:r>
      <w:r>
        <w:rPr>
          <w:b/>
          <w:i/>
          <w:spacing w:val="-20"/>
          <w:sz w:val="22"/>
        </w:rPr>
        <w:t> </w:t>
      </w:r>
      <w:r>
        <w:rPr>
          <w:b/>
          <w:i/>
          <w:sz w:val="22"/>
        </w:rPr>
        <w:t>monitor :</w:t>
      </w:r>
      <w:r>
        <w:rPr>
          <w:b/>
          <w:i/>
          <w:spacing w:val="-17"/>
          <w:sz w:val="22"/>
        </w:rPr>
        <w:t> </w:t>
      </w:r>
      <w:r>
        <w:rPr>
          <w:b/>
          <w:i/>
          <w:sz w:val="22"/>
        </w:rPr>
        <w:t>international</w:t>
      </w:r>
      <w:r>
        <w:rPr>
          <w:b/>
          <w:i/>
          <w:spacing w:val="-17"/>
          <w:sz w:val="22"/>
        </w:rPr>
        <w:t> </w:t>
      </w:r>
      <w:r>
        <w:rPr>
          <w:b/>
          <w:i/>
          <w:sz w:val="22"/>
        </w:rPr>
        <w:t>medical </w:t>
      </w:r>
      <w:r>
        <w:rPr>
          <w:b/>
          <w:i/>
          <w:sz w:val="22"/>
        </w:rPr>
        <w:t>journal of experimental and clinical research </w:t>
      </w:r>
      <w:r>
        <w:rPr>
          <w:sz w:val="22"/>
        </w:rPr>
        <w:t>2018; </w:t>
      </w:r>
      <w:r>
        <w:rPr>
          <w:i/>
          <w:sz w:val="22"/>
        </w:rPr>
        <w:t>24</w:t>
      </w:r>
      <w:r>
        <w:rPr>
          <w:sz w:val="22"/>
        </w:rPr>
        <w:t>:</w:t>
      </w:r>
      <w:r>
        <w:rPr>
          <w:spacing w:val="-3"/>
          <w:sz w:val="22"/>
        </w:rPr>
        <w:t> </w:t>
      </w:r>
      <w:r>
        <w:rPr>
          <w:sz w:val="22"/>
        </w:rPr>
        <w:t>3244–3248.</w:t>
      </w:r>
    </w:p>
    <w:p>
      <w:pPr>
        <w:pStyle w:val="BodyText"/>
        <w:spacing w:line="360" w:lineRule="auto" w:before="168"/>
        <w:ind w:left="1068" w:right="190" w:hanging="480"/>
        <w:jc w:val="both"/>
      </w:pPr>
      <w:r>
        <w:rPr/>
        <w:t>Celli BR, Rodriguez KS, Snider GL. A controlled trial of intermittent positive pressure breathing, incentive spirometry, and deep breathing exercises in preventing pulmonary complications after abdominal surgery. </w:t>
      </w:r>
      <w:r>
        <w:rPr>
          <w:b/>
          <w:i/>
        </w:rPr>
        <w:t>The American review of </w:t>
      </w:r>
      <w:r>
        <w:rPr>
          <w:b/>
          <w:i/>
        </w:rPr>
        <w:t>respiratory disease </w:t>
      </w:r>
      <w:r>
        <w:rPr/>
        <w:t>1984; </w:t>
      </w:r>
      <w:r>
        <w:rPr>
          <w:i/>
        </w:rPr>
        <w:t>130 </w:t>
      </w:r>
      <w:r>
        <w:rPr/>
        <w:t>(1): 12–15.</w:t>
      </w:r>
    </w:p>
    <w:p>
      <w:pPr>
        <w:spacing w:line="357" w:lineRule="auto" w:before="160"/>
        <w:ind w:left="1068" w:right="188" w:hanging="480"/>
        <w:jc w:val="both"/>
        <w:rPr>
          <w:sz w:val="22"/>
        </w:rPr>
      </w:pPr>
      <w:r>
        <w:rPr>
          <w:sz w:val="22"/>
        </w:rPr>
        <w:t>Daabiss</w:t>
      </w:r>
      <w:r>
        <w:rPr>
          <w:spacing w:val="-12"/>
          <w:sz w:val="22"/>
        </w:rPr>
        <w:t> </w:t>
      </w:r>
      <w:r>
        <w:rPr>
          <w:sz w:val="22"/>
        </w:rPr>
        <w:t>M.</w:t>
      </w:r>
      <w:r>
        <w:rPr>
          <w:spacing w:val="-10"/>
          <w:sz w:val="22"/>
        </w:rPr>
        <w:t> </w:t>
      </w:r>
      <w:r>
        <w:rPr>
          <w:sz w:val="22"/>
        </w:rPr>
        <w:t>American</w:t>
      </w:r>
      <w:r>
        <w:rPr>
          <w:spacing w:val="-15"/>
          <w:sz w:val="22"/>
        </w:rPr>
        <w:t> </w:t>
      </w:r>
      <w:r>
        <w:rPr>
          <w:sz w:val="22"/>
        </w:rPr>
        <w:t>Society</w:t>
      </w:r>
      <w:r>
        <w:rPr>
          <w:spacing w:val="-13"/>
          <w:sz w:val="22"/>
        </w:rPr>
        <w:t> </w:t>
      </w:r>
      <w:r>
        <w:rPr>
          <w:sz w:val="22"/>
        </w:rPr>
        <w:t>of</w:t>
      </w:r>
      <w:r>
        <w:rPr>
          <w:spacing w:val="-10"/>
          <w:sz w:val="22"/>
        </w:rPr>
        <w:t> </w:t>
      </w:r>
      <w:r>
        <w:rPr>
          <w:sz w:val="22"/>
        </w:rPr>
        <w:t>Anaesthesiologists</w:t>
      </w:r>
      <w:r>
        <w:rPr>
          <w:spacing w:val="-12"/>
          <w:sz w:val="22"/>
        </w:rPr>
        <w:t> </w:t>
      </w:r>
      <w:r>
        <w:rPr>
          <w:sz w:val="22"/>
        </w:rPr>
        <w:t>physical</w:t>
      </w:r>
      <w:r>
        <w:rPr>
          <w:spacing w:val="-12"/>
          <w:sz w:val="22"/>
        </w:rPr>
        <w:t> </w:t>
      </w:r>
      <w:r>
        <w:rPr>
          <w:sz w:val="22"/>
        </w:rPr>
        <w:t>status</w:t>
      </w:r>
      <w:r>
        <w:rPr>
          <w:spacing w:val="-14"/>
          <w:sz w:val="22"/>
        </w:rPr>
        <w:t> </w:t>
      </w:r>
      <w:r>
        <w:rPr>
          <w:sz w:val="22"/>
        </w:rPr>
        <w:t>classification.</w:t>
      </w:r>
      <w:r>
        <w:rPr>
          <w:spacing w:val="-10"/>
          <w:sz w:val="22"/>
        </w:rPr>
        <w:t> </w:t>
      </w:r>
      <w:r>
        <w:rPr>
          <w:b/>
          <w:i/>
          <w:sz w:val="22"/>
        </w:rPr>
        <w:t>Indian </w:t>
      </w:r>
      <w:r>
        <w:rPr>
          <w:b/>
          <w:i/>
          <w:sz w:val="22"/>
        </w:rPr>
        <w:t>journal of anaesthesia </w:t>
      </w:r>
      <w:r>
        <w:rPr>
          <w:sz w:val="22"/>
        </w:rPr>
        <w:t>2011; </w:t>
      </w:r>
      <w:r>
        <w:rPr>
          <w:i/>
          <w:sz w:val="22"/>
        </w:rPr>
        <w:t>55 </w:t>
      </w:r>
      <w:r>
        <w:rPr>
          <w:sz w:val="22"/>
        </w:rPr>
        <w:t>(2):</w:t>
      </w:r>
      <w:r>
        <w:rPr>
          <w:spacing w:val="-6"/>
          <w:sz w:val="22"/>
        </w:rPr>
        <w:t> </w:t>
      </w:r>
      <w:r>
        <w:rPr>
          <w:sz w:val="22"/>
        </w:rPr>
        <w:t>111–115.</w:t>
      </w:r>
    </w:p>
    <w:p>
      <w:pPr>
        <w:pStyle w:val="BodyText"/>
        <w:spacing w:before="165"/>
        <w:ind w:left="588"/>
        <w:jc w:val="both"/>
      </w:pPr>
      <w:r>
        <w:rPr/>
        <w:t>de Almeida EPM, de Almeida JP, Landoni G, Galas FRBG, Fukushima JT, Fominskiy E,</w:t>
      </w:r>
    </w:p>
    <w:p>
      <w:pPr>
        <w:pStyle w:val="BodyText"/>
        <w:spacing w:line="357" w:lineRule="auto" w:before="127"/>
        <w:ind w:left="1068" w:right="187"/>
        <w:jc w:val="both"/>
      </w:pPr>
      <w:r>
        <w:rPr/>
        <w:t>…</w:t>
      </w:r>
      <w:r>
        <w:rPr>
          <w:spacing w:val="-15"/>
        </w:rPr>
        <w:t> </w:t>
      </w:r>
      <w:r>
        <w:rPr/>
        <w:t>Hajjar</w:t>
      </w:r>
      <w:r>
        <w:rPr>
          <w:spacing w:val="-16"/>
        </w:rPr>
        <w:t> </w:t>
      </w:r>
      <w:r>
        <w:rPr/>
        <w:t>LA.</w:t>
      </w:r>
      <w:r>
        <w:rPr>
          <w:spacing w:val="-17"/>
        </w:rPr>
        <w:t> </w:t>
      </w:r>
      <w:r>
        <w:rPr/>
        <w:t>Early</w:t>
      </w:r>
      <w:r>
        <w:rPr>
          <w:spacing w:val="-17"/>
        </w:rPr>
        <w:t> </w:t>
      </w:r>
      <w:r>
        <w:rPr/>
        <w:t>mobilization</w:t>
      </w:r>
      <w:r>
        <w:rPr>
          <w:spacing w:val="-16"/>
        </w:rPr>
        <w:t> </w:t>
      </w:r>
      <w:r>
        <w:rPr/>
        <w:t>programme</w:t>
      </w:r>
      <w:r>
        <w:rPr>
          <w:spacing w:val="-17"/>
        </w:rPr>
        <w:t> </w:t>
      </w:r>
      <w:r>
        <w:rPr/>
        <w:t>improves</w:t>
      </w:r>
      <w:r>
        <w:rPr>
          <w:spacing w:val="-17"/>
        </w:rPr>
        <w:t> </w:t>
      </w:r>
      <w:r>
        <w:rPr/>
        <w:t>functional</w:t>
      </w:r>
      <w:r>
        <w:rPr>
          <w:spacing w:val="-17"/>
        </w:rPr>
        <w:t> </w:t>
      </w:r>
      <w:r>
        <w:rPr/>
        <w:t>capacity</w:t>
      </w:r>
      <w:r>
        <w:rPr>
          <w:spacing w:val="-19"/>
        </w:rPr>
        <w:t> </w:t>
      </w:r>
      <w:r>
        <w:rPr/>
        <w:t>after</w:t>
      </w:r>
      <w:r>
        <w:rPr>
          <w:spacing w:val="-19"/>
        </w:rPr>
        <w:t> </w:t>
      </w:r>
      <w:r>
        <w:rPr/>
        <w:t>major abdominal cancer surgery: a randomized controlled trial. </w:t>
      </w:r>
      <w:r>
        <w:rPr>
          <w:b/>
          <w:i/>
        </w:rPr>
        <w:t>British Journal of </w:t>
      </w:r>
      <w:r>
        <w:rPr>
          <w:b/>
          <w:i/>
        </w:rPr>
        <w:t>Anaesthesia </w:t>
      </w:r>
      <w:r>
        <w:rPr/>
        <w:t>2017; </w:t>
      </w:r>
      <w:r>
        <w:rPr>
          <w:i/>
        </w:rPr>
        <w:t>119 </w:t>
      </w:r>
      <w:r>
        <w:rPr/>
        <w:t>(5):</w:t>
      </w:r>
      <w:r>
        <w:rPr>
          <w:spacing w:val="-2"/>
        </w:rPr>
        <w:t> </w:t>
      </w:r>
      <w:r>
        <w:rPr/>
        <w:t>900–907.</w:t>
      </w:r>
    </w:p>
    <w:p>
      <w:pPr>
        <w:pStyle w:val="BodyText"/>
        <w:spacing w:line="357" w:lineRule="auto" w:before="167"/>
        <w:ind w:left="1068" w:right="187" w:hanging="480"/>
        <w:jc w:val="both"/>
      </w:pPr>
      <w:r>
        <w:rPr/>
        <w:t>Dureuil B, Viires N, Cantineau JP, Aubier M, Desmonts JM. Diaphragmatic contractility after upper abdominal surgery. </w:t>
      </w:r>
      <w:r>
        <w:rPr>
          <w:b/>
          <w:i/>
        </w:rPr>
        <w:t>Journal of Applied Physiology </w:t>
      </w:r>
      <w:r>
        <w:rPr/>
        <w:t>1986; </w:t>
      </w:r>
      <w:r>
        <w:rPr>
          <w:i/>
        </w:rPr>
        <w:t>61 </w:t>
      </w:r>
      <w:r>
        <w:rPr/>
        <w:t>(5): 1775–1780.</w:t>
      </w:r>
    </w:p>
    <w:p>
      <w:pPr>
        <w:pStyle w:val="BodyText"/>
        <w:spacing w:line="357" w:lineRule="auto" w:before="168"/>
        <w:ind w:left="1068" w:right="190" w:hanging="480"/>
        <w:jc w:val="both"/>
      </w:pPr>
      <w:r>
        <w:rPr/>
        <w:t>E. C, E. V, G. S, F. F, A. P, D. L, … E. C. Respiratory muscle training in patients recovering recent open cardiothoracic surgery: A randomized-controlled trial. </w:t>
      </w:r>
      <w:r>
        <w:rPr>
          <w:b/>
          <w:i/>
        </w:rPr>
        <w:t>BioMed Research International </w:t>
      </w:r>
      <w:r>
        <w:rPr/>
        <w:t>2013; </w:t>
      </w:r>
      <w:r>
        <w:rPr>
          <w:i/>
        </w:rPr>
        <w:t>2013</w:t>
      </w:r>
      <w:r>
        <w:rPr/>
        <w:t>:.</w:t>
      </w:r>
    </w:p>
    <w:p>
      <w:pPr>
        <w:spacing w:line="360" w:lineRule="auto" w:before="168"/>
        <w:ind w:left="1068" w:right="189" w:hanging="480"/>
        <w:jc w:val="both"/>
        <w:rPr>
          <w:sz w:val="22"/>
        </w:rPr>
      </w:pPr>
      <w:r>
        <w:rPr>
          <w:sz w:val="22"/>
        </w:rPr>
        <w:t>Elay G, Kaya S, Yıldırım A, Coşkun R, Gündoğan K, Akbudak İH, … Sungur M. Yüksek Frekanslı Göğüs Duvarı Osilasyon Tekniği, Abdominal Cerrahi Hastalarında Pulmoner Komplikasyonları Önlemeye Katkı Sağlar Mı? </w:t>
      </w:r>
      <w:r>
        <w:rPr>
          <w:b/>
          <w:i/>
          <w:sz w:val="22"/>
        </w:rPr>
        <w:t>Journal of Medical and </w:t>
      </w:r>
      <w:r>
        <w:rPr>
          <w:b/>
          <w:i/>
          <w:sz w:val="22"/>
        </w:rPr>
        <w:t>Surgical Intensive Care Medicine </w:t>
      </w:r>
      <w:r>
        <w:rPr>
          <w:sz w:val="22"/>
        </w:rPr>
        <w:t>2015; </w:t>
      </w:r>
      <w:r>
        <w:rPr>
          <w:i/>
          <w:sz w:val="22"/>
        </w:rPr>
        <w:t>6 </w:t>
      </w:r>
      <w:r>
        <w:rPr>
          <w:sz w:val="22"/>
        </w:rPr>
        <w:t>(3): 65–69.</w:t>
      </w:r>
    </w:p>
    <w:p>
      <w:pPr>
        <w:spacing w:line="357" w:lineRule="auto" w:before="160"/>
        <w:ind w:left="1068" w:right="191" w:hanging="480"/>
        <w:jc w:val="both"/>
        <w:rPr>
          <w:sz w:val="22"/>
        </w:rPr>
      </w:pPr>
      <w:r>
        <w:rPr>
          <w:sz w:val="22"/>
        </w:rPr>
        <w:t>Eti Aslan F. </w:t>
      </w:r>
      <w:r>
        <w:rPr>
          <w:i/>
          <w:sz w:val="22"/>
        </w:rPr>
        <w:t>Dahili ve Cerrahi Hastalıklarda Bakım - BKM Kitap</w:t>
      </w:r>
      <w:r>
        <w:rPr>
          <w:sz w:val="22"/>
        </w:rPr>
        <w:t>. (A. Karadakovan &amp; F. Eti Aslan, Ed.). Adana: bkmkitap.</w:t>
      </w:r>
    </w:p>
    <w:p>
      <w:pPr>
        <w:pStyle w:val="BodyText"/>
        <w:spacing w:line="357" w:lineRule="auto" w:before="165"/>
        <w:ind w:left="1068" w:right="189" w:hanging="480"/>
        <w:jc w:val="both"/>
      </w:pPr>
      <w:r>
        <w:rPr/>
        <w:t>Fernandes FE, Martins SRG, Bonvent JJ. Efeito do Treinamento Muscular Respiratório por Meio do Manovacuômetro e do Threshold Pep em Pacientes Hemiparéticos Hospitalizados (ss. 1199–1202). Springer, Berlin, Heidelberg.</w:t>
      </w:r>
    </w:p>
    <w:p>
      <w:pPr>
        <w:pStyle w:val="BodyText"/>
        <w:spacing w:line="360" w:lineRule="auto" w:before="168"/>
        <w:ind w:left="1068" w:right="190" w:hanging="480"/>
        <w:jc w:val="both"/>
        <w:rPr>
          <w:i/>
        </w:rPr>
      </w:pPr>
      <w:r>
        <w:rPr/>
        <w:t>Forti E, Ike D, Barbalho-Moulim M, Rasera Jr I, Costa D. Effects of chest physiotherapy on the respiratory function of postoperative gastroplasty patients. </w:t>
      </w:r>
      <w:r>
        <w:rPr>
          <w:b/>
          <w:i/>
        </w:rPr>
        <w:t>Clinics </w:t>
      </w:r>
      <w:r>
        <w:rPr/>
        <w:t>2009; </w:t>
      </w:r>
      <w:r>
        <w:rPr>
          <w:i/>
        </w:rPr>
        <w:t>64</w:t>
      </w:r>
    </w:p>
    <w:p>
      <w:pPr>
        <w:spacing w:after="0" w:line="360" w:lineRule="auto"/>
        <w:jc w:val="both"/>
        <w:sectPr>
          <w:pgSz w:w="11910" w:h="16840"/>
          <w:pgMar w:header="749" w:footer="0" w:top="960" w:bottom="280" w:left="1680" w:right="940"/>
        </w:sectPr>
      </w:pPr>
    </w:p>
    <w:p>
      <w:pPr>
        <w:pStyle w:val="BodyText"/>
        <w:rPr>
          <w:i/>
          <w:sz w:val="20"/>
        </w:rPr>
      </w:pPr>
    </w:p>
    <w:p>
      <w:pPr>
        <w:pStyle w:val="BodyText"/>
        <w:spacing w:before="214"/>
        <w:ind w:left="1068"/>
      </w:pPr>
      <w:r>
        <w:rPr/>
        <w:t>(7): 683–689.</w:t>
      </w:r>
    </w:p>
    <w:p>
      <w:pPr>
        <w:pStyle w:val="BodyText"/>
        <w:spacing w:before="2"/>
        <w:rPr>
          <w:sz w:val="25"/>
        </w:rPr>
      </w:pPr>
    </w:p>
    <w:p>
      <w:pPr>
        <w:pStyle w:val="BodyText"/>
        <w:ind w:left="588"/>
      </w:pPr>
      <w:r>
        <w:rPr/>
        <w:t>Frager DH, Baer JW. Role of CT in evaluating patients with small-bowel obstruction.</w:t>
      </w:r>
    </w:p>
    <w:p>
      <w:pPr>
        <w:spacing w:before="124"/>
        <w:ind w:left="1068" w:right="0" w:firstLine="0"/>
        <w:jc w:val="left"/>
        <w:rPr>
          <w:sz w:val="22"/>
        </w:rPr>
      </w:pPr>
      <w:r>
        <w:rPr>
          <w:b/>
          <w:i/>
          <w:sz w:val="22"/>
        </w:rPr>
        <w:t>Seminars in ultrasound, CT, and MR </w:t>
      </w:r>
      <w:r>
        <w:rPr>
          <w:sz w:val="22"/>
        </w:rPr>
        <w:t>1995; </w:t>
      </w:r>
      <w:r>
        <w:rPr>
          <w:i/>
          <w:sz w:val="22"/>
        </w:rPr>
        <w:t>16 </w:t>
      </w:r>
      <w:r>
        <w:rPr>
          <w:sz w:val="22"/>
        </w:rPr>
        <w:t>(2): 127–140.</w:t>
      </w:r>
    </w:p>
    <w:p>
      <w:pPr>
        <w:pStyle w:val="BodyText"/>
        <w:spacing w:before="2"/>
        <w:rPr>
          <w:sz w:val="25"/>
        </w:rPr>
      </w:pPr>
    </w:p>
    <w:p>
      <w:pPr>
        <w:pStyle w:val="BodyText"/>
        <w:spacing w:line="360" w:lineRule="auto"/>
        <w:ind w:left="1068" w:hanging="480"/>
      </w:pPr>
      <w:r>
        <w:rPr/>
        <w:t>Genç A, Yildirim Y, Günerli A. Postoperatif erken dönemde derin solunum ve insentif spirometrenin etkinliǧinin araştirilmasi. </w:t>
      </w:r>
      <w:r>
        <w:rPr>
          <w:b/>
          <w:i/>
        </w:rPr>
        <w:t>Fizyoterapi Rehabilitasyon </w:t>
      </w:r>
      <w:r>
        <w:rPr/>
        <w:t>2004; </w:t>
      </w:r>
      <w:r>
        <w:rPr>
          <w:i/>
        </w:rPr>
        <w:t>15</w:t>
      </w:r>
      <w:r>
        <w:rPr>
          <w:i/>
          <w:spacing w:val="57"/>
        </w:rPr>
        <w:t> </w:t>
      </w:r>
      <w:r>
        <w:rPr/>
        <w:t>(1):</w:t>
      </w:r>
    </w:p>
    <w:p>
      <w:pPr>
        <w:pStyle w:val="BodyText"/>
        <w:spacing w:line="250" w:lineRule="exact"/>
        <w:ind w:left="1068"/>
      </w:pPr>
      <w:r>
        <w:rPr/>
        <w:t>28–33.</w:t>
      </w:r>
    </w:p>
    <w:p>
      <w:pPr>
        <w:pStyle w:val="BodyText"/>
        <w:spacing w:before="2"/>
        <w:rPr>
          <w:sz w:val="25"/>
        </w:rPr>
      </w:pPr>
    </w:p>
    <w:p>
      <w:pPr>
        <w:spacing w:line="357" w:lineRule="auto" w:before="0"/>
        <w:ind w:left="1068" w:right="185" w:hanging="480"/>
        <w:jc w:val="both"/>
        <w:rPr>
          <w:sz w:val="22"/>
        </w:rPr>
      </w:pPr>
      <w:r>
        <w:rPr>
          <w:sz w:val="22"/>
        </w:rPr>
        <w:t>Givón T, Young P. Cooperation and interpersonal manipulation in the society of intimates.</w:t>
      </w:r>
      <w:r>
        <w:rPr>
          <w:spacing w:val="-3"/>
          <w:sz w:val="22"/>
        </w:rPr>
        <w:t> </w:t>
      </w:r>
      <w:r>
        <w:rPr>
          <w:b/>
          <w:i/>
          <w:sz w:val="22"/>
        </w:rPr>
        <w:t>The</w:t>
      </w:r>
      <w:r>
        <w:rPr>
          <w:b/>
          <w:i/>
          <w:spacing w:val="-10"/>
          <w:sz w:val="22"/>
        </w:rPr>
        <w:t> </w:t>
      </w:r>
      <w:r>
        <w:rPr>
          <w:b/>
          <w:i/>
          <w:sz w:val="22"/>
        </w:rPr>
        <w:t>Grammar</w:t>
      </w:r>
      <w:r>
        <w:rPr>
          <w:b/>
          <w:i/>
          <w:spacing w:val="-7"/>
          <w:sz w:val="22"/>
        </w:rPr>
        <w:t> </w:t>
      </w:r>
      <w:r>
        <w:rPr>
          <w:b/>
          <w:i/>
          <w:sz w:val="22"/>
        </w:rPr>
        <w:t>of</w:t>
      </w:r>
      <w:r>
        <w:rPr>
          <w:b/>
          <w:i/>
          <w:spacing w:val="-7"/>
          <w:sz w:val="22"/>
        </w:rPr>
        <w:t> </w:t>
      </w:r>
      <w:r>
        <w:rPr>
          <w:b/>
          <w:i/>
          <w:sz w:val="22"/>
        </w:rPr>
        <w:t>Causation</w:t>
      </w:r>
      <w:r>
        <w:rPr>
          <w:b/>
          <w:i/>
          <w:spacing w:val="-6"/>
          <w:sz w:val="22"/>
        </w:rPr>
        <w:t> </w:t>
      </w:r>
      <w:r>
        <w:rPr>
          <w:b/>
          <w:i/>
          <w:sz w:val="22"/>
        </w:rPr>
        <w:t>and</w:t>
      </w:r>
      <w:r>
        <w:rPr>
          <w:b/>
          <w:i/>
          <w:spacing w:val="-8"/>
          <w:sz w:val="22"/>
        </w:rPr>
        <w:t> </w:t>
      </w:r>
      <w:r>
        <w:rPr>
          <w:b/>
          <w:i/>
          <w:sz w:val="22"/>
        </w:rPr>
        <w:t>Interpersonal</w:t>
      </w:r>
      <w:r>
        <w:rPr>
          <w:b/>
          <w:i/>
          <w:spacing w:val="-7"/>
          <w:sz w:val="22"/>
        </w:rPr>
        <w:t> </w:t>
      </w:r>
      <w:r>
        <w:rPr>
          <w:b/>
          <w:i/>
          <w:sz w:val="22"/>
        </w:rPr>
        <w:t>Manipulation</w:t>
      </w:r>
      <w:r>
        <w:rPr>
          <w:b/>
          <w:i/>
          <w:spacing w:val="-8"/>
          <w:sz w:val="22"/>
        </w:rPr>
        <w:t> </w:t>
      </w:r>
      <w:r>
        <w:rPr>
          <w:sz w:val="22"/>
        </w:rPr>
        <w:t>2002;</w:t>
      </w:r>
      <w:r>
        <w:rPr>
          <w:spacing w:val="-4"/>
          <w:sz w:val="22"/>
        </w:rPr>
        <w:t> </w:t>
      </w:r>
      <w:r>
        <w:rPr>
          <w:sz w:val="22"/>
        </w:rPr>
        <w:t>4– 7.</w:t>
      </w:r>
    </w:p>
    <w:p>
      <w:pPr>
        <w:spacing w:line="357" w:lineRule="auto" w:before="168"/>
        <w:ind w:left="1068" w:right="187" w:hanging="480"/>
        <w:jc w:val="both"/>
        <w:rPr>
          <w:sz w:val="22"/>
        </w:rPr>
      </w:pPr>
      <w:r>
        <w:rPr>
          <w:sz w:val="22"/>
        </w:rPr>
        <w:t>Golub</w:t>
      </w:r>
      <w:r>
        <w:rPr>
          <w:spacing w:val="-5"/>
          <w:sz w:val="22"/>
        </w:rPr>
        <w:t> </w:t>
      </w:r>
      <w:r>
        <w:rPr>
          <w:sz w:val="22"/>
        </w:rPr>
        <w:t>R,</w:t>
      </w:r>
      <w:r>
        <w:rPr>
          <w:spacing w:val="-5"/>
          <w:sz w:val="22"/>
        </w:rPr>
        <w:t> </w:t>
      </w:r>
      <w:r>
        <w:rPr>
          <w:sz w:val="22"/>
        </w:rPr>
        <w:t>Cantu</w:t>
      </w:r>
      <w:r>
        <w:rPr>
          <w:spacing w:val="-4"/>
          <w:sz w:val="22"/>
        </w:rPr>
        <w:t> </w:t>
      </w:r>
      <w:r>
        <w:rPr>
          <w:sz w:val="22"/>
        </w:rPr>
        <w:t>R,</w:t>
      </w:r>
      <w:r>
        <w:rPr>
          <w:spacing w:val="-4"/>
          <w:sz w:val="22"/>
        </w:rPr>
        <w:t> </w:t>
      </w:r>
      <w:r>
        <w:rPr>
          <w:sz w:val="22"/>
        </w:rPr>
        <w:t>Stein</w:t>
      </w:r>
      <w:r>
        <w:rPr>
          <w:spacing w:val="-6"/>
          <w:sz w:val="22"/>
        </w:rPr>
        <w:t> </w:t>
      </w:r>
      <w:r>
        <w:rPr>
          <w:sz w:val="22"/>
        </w:rPr>
        <w:t>HD.</w:t>
      </w:r>
      <w:r>
        <w:rPr>
          <w:spacing w:val="-3"/>
          <w:sz w:val="22"/>
        </w:rPr>
        <w:t> </w:t>
      </w:r>
      <w:r>
        <w:rPr>
          <w:sz w:val="22"/>
        </w:rPr>
        <w:t>A</w:t>
      </w:r>
      <w:r>
        <w:rPr>
          <w:spacing w:val="-7"/>
          <w:sz w:val="22"/>
        </w:rPr>
        <w:t> </w:t>
      </w:r>
      <w:r>
        <w:rPr>
          <w:sz w:val="22"/>
        </w:rPr>
        <w:t>multivariate</w:t>
      </w:r>
      <w:r>
        <w:rPr>
          <w:spacing w:val="-4"/>
          <w:sz w:val="22"/>
        </w:rPr>
        <w:t> </w:t>
      </w:r>
      <w:r>
        <w:rPr>
          <w:sz w:val="22"/>
        </w:rPr>
        <w:t>analysis</w:t>
      </w:r>
      <w:r>
        <w:rPr>
          <w:spacing w:val="-5"/>
          <w:sz w:val="22"/>
        </w:rPr>
        <w:t> </w:t>
      </w:r>
      <w:r>
        <w:rPr>
          <w:sz w:val="22"/>
        </w:rPr>
        <w:t>of</w:t>
      </w:r>
      <w:r>
        <w:rPr>
          <w:spacing w:val="-3"/>
          <w:sz w:val="22"/>
        </w:rPr>
        <w:t> </w:t>
      </w:r>
      <w:r>
        <w:rPr>
          <w:sz w:val="22"/>
        </w:rPr>
        <w:t>factors</w:t>
      </w:r>
      <w:r>
        <w:rPr>
          <w:spacing w:val="-6"/>
          <w:sz w:val="22"/>
        </w:rPr>
        <w:t> </w:t>
      </w:r>
      <w:r>
        <w:rPr>
          <w:sz w:val="22"/>
        </w:rPr>
        <w:t>contributing</w:t>
      </w:r>
      <w:r>
        <w:rPr>
          <w:spacing w:val="-4"/>
          <w:sz w:val="22"/>
        </w:rPr>
        <w:t> </w:t>
      </w:r>
      <w:r>
        <w:rPr>
          <w:sz w:val="22"/>
        </w:rPr>
        <w:t>to</w:t>
      </w:r>
      <w:r>
        <w:rPr>
          <w:spacing w:val="-5"/>
          <w:sz w:val="22"/>
        </w:rPr>
        <w:t> </w:t>
      </w:r>
      <w:r>
        <w:rPr>
          <w:sz w:val="22"/>
        </w:rPr>
        <w:t>leakage</w:t>
      </w:r>
      <w:r>
        <w:rPr>
          <w:spacing w:val="-6"/>
          <w:sz w:val="22"/>
        </w:rPr>
        <w:t> </w:t>
      </w:r>
      <w:r>
        <w:rPr>
          <w:sz w:val="22"/>
        </w:rPr>
        <w:t>of intestinal</w:t>
      </w:r>
      <w:r>
        <w:rPr>
          <w:spacing w:val="-11"/>
          <w:sz w:val="22"/>
        </w:rPr>
        <w:t> </w:t>
      </w:r>
      <w:r>
        <w:rPr>
          <w:sz w:val="22"/>
        </w:rPr>
        <w:t>anastomoses.</w:t>
      </w:r>
      <w:r>
        <w:rPr>
          <w:spacing w:val="-11"/>
          <w:sz w:val="22"/>
        </w:rPr>
        <w:t> </w:t>
      </w:r>
      <w:r>
        <w:rPr>
          <w:b/>
          <w:i/>
          <w:sz w:val="22"/>
        </w:rPr>
        <w:t>Journal</w:t>
      </w:r>
      <w:r>
        <w:rPr>
          <w:b/>
          <w:i/>
          <w:spacing w:val="-9"/>
          <w:sz w:val="22"/>
        </w:rPr>
        <w:t> </w:t>
      </w:r>
      <w:r>
        <w:rPr>
          <w:b/>
          <w:i/>
          <w:sz w:val="22"/>
        </w:rPr>
        <w:t>of</w:t>
      </w:r>
      <w:r>
        <w:rPr>
          <w:b/>
          <w:i/>
          <w:spacing w:val="-12"/>
          <w:sz w:val="22"/>
        </w:rPr>
        <w:t> </w:t>
      </w:r>
      <w:r>
        <w:rPr>
          <w:b/>
          <w:i/>
          <w:sz w:val="22"/>
        </w:rPr>
        <w:t>the</w:t>
      </w:r>
      <w:r>
        <w:rPr>
          <w:b/>
          <w:i/>
          <w:spacing w:val="-11"/>
          <w:sz w:val="22"/>
        </w:rPr>
        <w:t> </w:t>
      </w:r>
      <w:r>
        <w:rPr>
          <w:b/>
          <w:i/>
          <w:sz w:val="22"/>
        </w:rPr>
        <w:t>American</w:t>
      </w:r>
      <w:r>
        <w:rPr>
          <w:b/>
          <w:i/>
          <w:spacing w:val="-10"/>
          <w:sz w:val="22"/>
        </w:rPr>
        <w:t> </w:t>
      </w:r>
      <w:r>
        <w:rPr>
          <w:b/>
          <w:i/>
          <w:sz w:val="22"/>
        </w:rPr>
        <w:t>College</w:t>
      </w:r>
      <w:r>
        <w:rPr>
          <w:b/>
          <w:i/>
          <w:spacing w:val="-12"/>
          <w:sz w:val="22"/>
        </w:rPr>
        <w:t> </w:t>
      </w:r>
      <w:r>
        <w:rPr>
          <w:b/>
          <w:i/>
          <w:sz w:val="22"/>
        </w:rPr>
        <w:t>of</w:t>
      </w:r>
      <w:r>
        <w:rPr>
          <w:b/>
          <w:i/>
          <w:spacing w:val="-12"/>
          <w:sz w:val="22"/>
        </w:rPr>
        <w:t> </w:t>
      </w:r>
      <w:r>
        <w:rPr>
          <w:b/>
          <w:i/>
          <w:sz w:val="22"/>
        </w:rPr>
        <w:t>Surgeons</w:t>
      </w:r>
      <w:r>
        <w:rPr>
          <w:b/>
          <w:i/>
          <w:spacing w:val="-10"/>
          <w:sz w:val="22"/>
        </w:rPr>
        <w:t> </w:t>
      </w:r>
      <w:r>
        <w:rPr>
          <w:sz w:val="22"/>
        </w:rPr>
        <w:t>1997;</w:t>
      </w:r>
      <w:r>
        <w:rPr>
          <w:spacing w:val="-9"/>
          <w:sz w:val="22"/>
        </w:rPr>
        <w:t> </w:t>
      </w:r>
      <w:r>
        <w:rPr>
          <w:i/>
          <w:sz w:val="22"/>
        </w:rPr>
        <w:t>184 </w:t>
      </w:r>
      <w:r>
        <w:rPr>
          <w:sz w:val="22"/>
        </w:rPr>
        <w:t>(4):</w:t>
      </w:r>
      <w:r>
        <w:rPr>
          <w:spacing w:val="-1"/>
          <w:sz w:val="22"/>
        </w:rPr>
        <w:t> </w:t>
      </w:r>
      <w:r>
        <w:rPr>
          <w:sz w:val="22"/>
        </w:rPr>
        <w:t>364–372.</w:t>
      </w:r>
    </w:p>
    <w:p>
      <w:pPr>
        <w:spacing w:line="357" w:lineRule="auto" w:before="168"/>
        <w:ind w:left="1068" w:right="190" w:hanging="480"/>
        <w:jc w:val="both"/>
        <w:rPr>
          <w:sz w:val="22"/>
        </w:rPr>
      </w:pPr>
      <w:r>
        <w:rPr>
          <w:sz w:val="22"/>
        </w:rPr>
        <w:t>HALASZ NA. Vertical vs Horizontal Laparotomies. </w:t>
      </w:r>
      <w:r>
        <w:rPr>
          <w:b/>
          <w:i/>
          <w:sz w:val="22"/>
        </w:rPr>
        <w:t>Archives of Surgery </w:t>
      </w:r>
      <w:r>
        <w:rPr>
          <w:sz w:val="22"/>
        </w:rPr>
        <w:t>1964; </w:t>
      </w:r>
      <w:r>
        <w:rPr>
          <w:i/>
          <w:sz w:val="22"/>
        </w:rPr>
        <w:t>88 </w:t>
      </w:r>
      <w:r>
        <w:rPr>
          <w:sz w:val="22"/>
        </w:rPr>
        <w:t>(6): 911.</w:t>
      </w:r>
    </w:p>
    <w:p>
      <w:pPr>
        <w:pStyle w:val="BodyText"/>
        <w:spacing w:line="360" w:lineRule="auto" w:before="163"/>
        <w:ind w:left="1068" w:right="185" w:hanging="480"/>
        <w:jc w:val="both"/>
      </w:pPr>
      <w:r>
        <w:rPr/>
        <w:t>Hall</w:t>
      </w:r>
      <w:r>
        <w:rPr>
          <w:spacing w:val="-11"/>
        </w:rPr>
        <w:t> </w:t>
      </w:r>
      <w:r>
        <w:rPr/>
        <w:t>JC,</w:t>
      </w:r>
      <w:r>
        <w:rPr>
          <w:spacing w:val="-11"/>
        </w:rPr>
        <w:t> </w:t>
      </w:r>
      <w:r>
        <w:rPr/>
        <w:t>Tarala</w:t>
      </w:r>
      <w:r>
        <w:rPr>
          <w:spacing w:val="-12"/>
        </w:rPr>
        <w:t> </w:t>
      </w:r>
      <w:r>
        <w:rPr/>
        <w:t>R,</w:t>
      </w:r>
      <w:r>
        <w:rPr>
          <w:spacing w:val="-11"/>
        </w:rPr>
        <w:t> </w:t>
      </w:r>
      <w:r>
        <w:rPr/>
        <w:t>Harris</w:t>
      </w:r>
      <w:r>
        <w:rPr>
          <w:spacing w:val="-14"/>
        </w:rPr>
        <w:t> </w:t>
      </w:r>
      <w:r>
        <w:rPr/>
        <w:t>J,</w:t>
      </w:r>
      <w:r>
        <w:rPr>
          <w:spacing w:val="-11"/>
        </w:rPr>
        <w:t> </w:t>
      </w:r>
      <w:r>
        <w:rPr/>
        <w:t>Tapper</w:t>
      </w:r>
      <w:r>
        <w:rPr>
          <w:spacing w:val="-11"/>
        </w:rPr>
        <w:t> </w:t>
      </w:r>
      <w:r>
        <w:rPr/>
        <w:t>J,</w:t>
      </w:r>
      <w:r>
        <w:rPr>
          <w:spacing w:val="-11"/>
        </w:rPr>
        <w:t> </w:t>
      </w:r>
      <w:r>
        <w:rPr/>
        <w:t>Christiansen</w:t>
      </w:r>
      <w:r>
        <w:rPr>
          <w:spacing w:val="-12"/>
        </w:rPr>
        <w:t> </w:t>
      </w:r>
      <w:r>
        <w:rPr/>
        <w:t>K.</w:t>
      </w:r>
      <w:r>
        <w:rPr>
          <w:spacing w:val="-11"/>
        </w:rPr>
        <w:t> </w:t>
      </w:r>
      <w:r>
        <w:rPr/>
        <w:t>Incentive</w:t>
      </w:r>
      <w:r>
        <w:rPr>
          <w:spacing w:val="-10"/>
        </w:rPr>
        <w:t> </w:t>
      </w:r>
      <w:r>
        <w:rPr/>
        <w:t>spirometry</w:t>
      </w:r>
      <w:r>
        <w:rPr>
          <w:spacing w:val="-11"/>
        </w:rPr>
        <w:t> </w:t>
      </w:r>
      <w:r>
        <w:rPr/>
        <w:t>versus</w:t>
      </w:r>
      <w:r>
        <w:rPr>
          <w:spacing w:val="-12"/>
        </w:rPr>
        <w:t> </w:t>
      </w:r>
      <w:r>
        <w:rPr/>
        <w:t>routine chest physiotherapy for prevention of pulmonary complications after abdominal surgery. </w:t>
      </w:r>
      <w:r>
        <w:rPr>
          <w:b/>
          <w:i/>
        </w:rPr>
        <w:t>Lancet (London, England) </w:t>
      </w:r>
      <w:r>
        <w:rPr/>
        <w:t>1991; </w:t>
      </w:r>
      <w:r>
        <w:rPr>
          <w:i/>
        </w:rPr>
        <w:t>337 </w:t>
      </w:r>
      <w:r>
        <w:rPr/>
        <w:t>(8747):</w:t>
      </w:r>
      <w:r>
        <w:rPr>
          <w:spacing w:val="-4"/>
        </w:rPr>
        <w:t> </w:t>
      </w:r>
      <w:r>
        <w:rPr/>
        <w:t>953–956.</w:t>
      </w:r>
    </w:p>
    <w:p>
      <w:pPr>
        <w:pStyle w:val="BodyText"/>
        <w:spacing w:line="360" w:lineRule="auto" w:before="160"/>
        <w:ind w:left="1068" w:right="197" w:hanging="480"/>
        <w:jc w:val="both"/>
      </w:pPr>
      <w:r>
        <w:rPr/>
        <w:t>Hall JC, Tarala RA, Hall JL, Mander J. A multivariate analysis of the risk of pulmonary complications after laparotomy. </w:t>
      </w:r>
      <w:r>
        <w:rPr>
          <w:b/>
          <w:i/>
        </w:rPr>
        <w:t>Chest </w:t>
      </w:r>
      <w:r>
        <w:rPr/>
        <w:t>1991; </w:t>
      </w:r>
      <w:r>
        <w:rPr>
          <w:i/>
        </w:rPr>
        <w:t>99 </w:t>
      </w:r>
      <w:r>
        <w:rPr/>
        <w:t>(4): 923–927.</w:t>
      </w:r>
    </w:p>
    <w:p>
      <w:pPr>
        <w:pStyle w:val="BodyText"/>
        <w:spacing w:line="360" w:lineRule="auto" w:before="160"/>
        <w:ind w:left="1068" w:right="188" w:hanging="480"/>
        <w:jc w:val="both"/>
      </w:pPr>
      <w:r>
        <w:rPr/>
        <w:t>Harver A, Mahler DA, Daubenspeck JA. Targeted inspiratory muscle training improves respiratory muscle function and reduces dyspnea in patients with chronic obstructive pulmonary disease. </w:t>
      </w:r>
      <w:r>
        <w:rPr>
          <w:b/>
          <w:i/>
        </w:rPr>
        <w:t>Annals of Internal Medicine </w:t>
      </w:r>
      <w:r>
        <w:rPr/>
        <w:t>1989; </w:t>
      </w:r>
      <w:r>
        <w:rPr>
          <w:i/>
        </w:rPr>
        <w:t>111 </w:t>
      </w:r>
      <w:r>
        <w:rPr/>
        <w:t>(2): 117–</w:t>
      </w:r>
    </w:p>
    <w:p>
      <w:pPr>
        <w:pStyle w:val="BodyText"/>
        <w:spacing w:line="252" w:lineRule="exact"/>
        <w:ind w:left="1068"/>
      </w:pPr>
      <w:r>
        <w:rPr/>
        <w:t>124.</w:t>
      </w:r>
    </w:p>
    <w:p>
      <w:pPr>
        <w:pStyle w:val="BodyText"/>
        <w:rPr>
          <w:sz w:val="25"/>
        </w:rPr>
      </w:pPr>
    </w:p>
    <w:p>
      <w:pPr>
        <w:pStyle w:val="BodyText"/>
        <w:spacing w:line="360" w:lineRule="auto"/>
        <w:ind w:left="1068" w:right="193" w:hanging="480"/>
        <w:jc w:val="both"/>
      </w:pPr>
      <w:r>
        <w:rPr/>
        <w:t>Heydari A, Farzad M, Ahmadi hosseini S. Comparing Inspiratory Resistive Muscle Training with Incentive Spirometry on Rehabilitation of COPD Patients. </w:t>
      </w:r>
      <w:r>
        <w:rPr>
          <w:b/>
          <w:i/>
        </w:rPr>
        <w:t>Rehabilitation Nursing </w:t>
      </w:r>
      <w:r>
        <w:rPr/>
        <w:t>2015; </w:t>
      </w:r>
      <w:r>
        <w:rPr>
          <w:i/>
        </w:rPr>
        <w:t>40 </w:t>
      </w:r>
      <w:r>
        <w:rPr/>
        <w:t>(4): 243–248.</w:t>
      </w:r>
    </w:p>
    <w:p>
      <w:pPr>
        <w:pStyle w:val="BodyText"/>
        <w:spacing w:line="360" w:lineRule="auto" w:before="160"/>
        <w:ind w:left="1068" w:right="191" w:hanging="480"/>
        <w:jc w:val="both"/>
      </w:pPr>
      <w:r>
        <w:rPr/>
        <w:t>Heye ML, Foster L, Bartlett MK, Adkins S. A Preoperative Intervention for Pain Reduction, Improved Mobility, and Self-Efficacy. 2002; </w:t>
      </w:r>
      <w:r>
        <w:rPr>
          <w:i/>
        </w:rPr>
        <w:t>16 </w:t>
      </w:r>
      <w:r>
        <w:rPr/>
        <w:t>(2): 174–183.</w:t>
      </w:r>
    </w:p>
    <w:p>
      <w:pPr>
        <w:spacing w:line="357" w:lineRule="auto" w:before="161"/>
        <w:ind w:left="1068" w:right="189" w:hanging="480"/>
        <w:jc w:val="both"/>
        <w:rPr>
          <w:sz w:val="22"/>
        </w:rPr>
      </w:pPr>
      <w:r>
        <w:rPr>
          <w:sz w:val="22"/>
        </w:rPr>
        <w:t>Hinman F. Editorial: Postoperative overdistention of the bladder. </w:t>
      </w:r>
      <w:r>
        <w:rPr>
          <w:b/>
          <w:i/>
          <w:sz w:val="22"/>
        </w:rPr>
        <w:t>Surgery, gynecology </w:t>
      </w:r>
      <w:r>
        <w:rPr>
          <w:b/>
          <w:i/>
          <w:sz w:val="22"/>
        </w:rPr>
        <w:t>&amp; obstetrics </w:t>
      </w:r>
      <w:r>
        <w:rPr>
          <w:sz w:val="22"/>
        </w:rPr>
        <w:t>1976; </w:t>
      </w:r>
      <w:r>
        <w:rPr>
          <w:i/>
          <w:sz w:val="22"/>
        </w:rPr>
        <w:t>142 </w:t>
      </w:r>
      <w:r>
        <w:rPr>
          <w:sz w:val="22"/>
        </w:rPr>
        <w:t>(6): 901–902.</w:t>
      </w:r>
    </w:p>
    <w:p>
      <w:pPr>
        <w:pStyle w:val="BodyText"/>
        <w:spacing w:line="360" w:lineRule="auto" w:before="165"/>
        <w:ind w:left="1068" w:right="188" w:hanging="480"/>
        <w:jc w:val="both"/>
        <w:rPr>
          <w:b/>
          <w:i/>
        </w:rPr>
      </w:pPr>
      <w:r>
        <w:rPr/>
        <w:t>Karanjia ND, Corder AP, Bearn P, Heald RJ. Leakage from stapled low anastomosis after total mesorectal excision for carcinoma of the rectum. </w:t>
      </w:r>
      <w:r>
        <w:rPr>
          <w:b/>
          <w:i/>
        </w:rPr>
        <w:t>The British journal of</w:t>
      </w:r>
    </w:p>
    <w:p>
      <w:pPr>
        <w:spacing w:after="0" w:line="360" w:lineRule="auto"/>
        <w:jc w:val="both"/>
        <w:sectPr>
          <w:pgSz w:w="11910" w:h="16840"/>
          <w:pgMar w:header="749" w:footer="0" w:top="960" w:bottom="280" w:left="1680" w:right="940"/>
        </w:sectPr>
      </w:pPr>
    </w:p>
    <w:p>
      <w:pPr>
        <w:pStyle w:val="BodyText"/>
        <w:rPr>
          <w:b/>
          <w:i/>
          <w:sz w:val="20"/>
        </w:rPr>
      </w:pPr>
    </w:p>
    <w:p>
      <w:pPr>
        <w:spacing w:before="214"/>
        <w:ind w:left="1068" w:right="0" w:firstLine="0"/>
        <w:jc w:val="left"/>
        <w:rPr>
          <w:sz w:val="22"/>
        </w:rPr>
      </w:pPr>
      <w:r>
        <w:rPr>
          <w:b/>
          <w:i/>
          <w:sz w:val="22"/>
        </w:rPr>
        <w:t>surgery </w:t>
      </w:r>
      <w:r>
        <w:rPr>
          <w:sz w:val="22"/>
        </w:rPr>
        <w:t>1994; </w:t>
      </w:r>
      <w:r>
        <w:rPr>
          <w:i/>
          <w:sz w:val="22"/>
        </w:rPr>
        <w:t>81 </w:t>
      </w:r>
      <w:r>
        <w:rPr>
          <w:sz w:val="22"/>
        </w:rPr>
        <w:t>(8): 1224–1226.</w:t>
      </w:r>
    </w:p>
    <w:p>
      <w:pPr>
        <w:pStyle w:val="BodyText"/>
        <w:spacing w:before="2"/>
        <w:rPr>
          <w:sz w:val="25"/>
        </w:rPr>
      </w:pPr>
    </w:p>
    <w:p>
      <w:pPr>
        <w:pStyle w:val="BodyText"/>
        <w:spacing w:line="360" w:lineRule="auto"/>
        <w:ind w:left="1068" w:right="188" w:hanging="480"/>
        <w:jc w:val="both"/>
      </w:pPr>
      <w:r>
        <w:rPr/>
        <w:t>Karlson KE, Seltzer B, Lee S, Gliedman ML. Influence of thoracotomy on pulmonary mechanics: association of increased work of breathing during anesthesia and postoperative pulmonary complications. </w:t>
      </w:r>
      <w:r>
        <w:rPr>
          <w:b/>
          <w:i/>
        </w:rPr>
        <w:t>Annals of surgery </w:t>
      </w:r>
      <w:r>
        <w:rPr/>
        <w:t>1965; </w:t>
      </w:r>
      <w:r>
        <w:rPr>
          <w:i/>
        </w:rPr>
        <w:t>162 </w:t>
      </w:r>
      <w:r>
        <w:rPr/>
        <w:t>(6): 973–</w:t>
      </w:r>
    </w:p>
    <w:p>
      <w:pPr>
        <w:pStyle w:val="BodyText"/>
        <w:spacing w:line="250" w:lineRule="exact"/>
        <w:ind w:left="1068"/>
      </w:pPr>
      <w:r>
        <w:rPr/>
        <w:t>980.</w:t>
      </w:r>
    </w:p>
    <w:p>
      <w:pPr>
        <w:pStyle w:val="BodyText"/>
        <w:spacing w:before="2"/>
        <w:rPr>
          <w:sz w:val="25"/>
        </w:rPr>
      </w:pPr>
    </w:p>
    <w:p>
      <w:pPr>
        <w:pStyle w:val="BodyText"/>
        <w:spacing w:line="357" w:lineRule="auto"/>
        <w:ind w:left="1068" w:right="193" w:hanging="480"/>
        <w:jc w:val="both"/>
      </w:pPr>
      <w:r>
        <w:rPr/>
        <w:t>Kirchhoff P, Clavien P-A, Hahnloser D. Complications in colorectal surgery: risk factors and preventive strategies. </w:t>
      </w:r>
      <w:r>
        <w:rPr>
          <w:b/>
          <w:i/>
        </w:rPr>
        <w:t>Patient safety in surgery </w:t>
      </w:r>
      <w:r>
        <w:rPr/>
        <w:t>2010; </w:t>
      </w:r>
      <w:r>
        <w:rPr>
          <w:i/>
        </w:rPr>
        <w:t>4 </w:t>
      </w:r>
      <w:r>
        <w:rPr/>
        <w:t>(1): 5.</w:t>
      </w:r>
    </w:p>
    <w:p>
      <w:pPr>
        <w:pStyle w:val="BodyText"/>
        <w:spacing w:line="360" w:lineRule="auto" w:before="165"/>
        <w:ind w:left="1068" w:right="189" w:hanging="480"/>
        <w:jc w:val="both"/>
      </w:pPr>
      <w:r>
        <w:rPr/>
        <w:t>Kulkarni SR, Fletcher E, McConnell AK, Poskitt KR, Whyman </w:t>
      </w:r>
      <w:r>
        <w:rPr>
          <w:spacing w:val="-2"/>
        </w:rPr>
        <w:t>MR. </w:t>
      </w:r>
      <w:r>
        <w:rPr/>
        <w:t>Pre-operative inspiratory muscle training preserves postoperative inspiratory muscle strength following</w:t>
      </w:r>
      <w:r>
        <w:rPr>
          <w:spacing w:val="-9"/>
        </w:rPr>
        <w:t> </w:t>
      </w:r>
      <w:r>
        <w:rPr/>
        <w:t>major</w:t>
      </w:r>
      <w:r>
        <w:rPr>
          <w:spacing w:val="-10"/>
        </w:rPr>
        <w:t> </w:t>
      </w:r>
      <w:r>
        <w:rPr/>
        <w:t>abdominal</w:t>
      </w:r>
      <w:r>
        <w:rPr>
          <w:spacing w:val="-10"/>
        </w:rPr>
        <w:t> </w:t>
      </w:r>
      <w:r>
        <w:rPr/>
        <w:t>surgery</w:t>
      </w:r>
      <w:r>
        <w:rPr>
          <w:spacing w:val="-8"/>
        </w:rPr>
        <w:t> </w:t>
      </w:r>
      <w:r>
        <w:rPr/>
        <w:t>-</w:t>
      </w:r>
      <w:r>
        <w:rPr>
          <w:spacing w:val="-10"/>
        </w:rPr>
        <w:t> </w:t>
      </w:r>
      <w:r>
        <w:rPr/>
        <w:t>A</w:t>
      </w:r>
      <w:r>
        <w:rPr>
          <w:spacing w:val="-12"/>
        </w:rPr>
        <w:t> </w:t>
      </w:r>
      <w:r>
        <w:rPr/>
        <w:t>randomised</w:t>
      </w:r>
      <w:r>
        <w:rPr>
          <w:spacing w:val="-9"/>
        </w:rPr>
        <w:t> </w:t>
      </w:r>
      <w:r>
        <w:rPr/>
        <w:t>pilot</w:t>
      </w:r>
      <w:r>
        <w:rPr>
          <w:spacing w:val="-9"/>
        </w:rPr>
        <w:t> </w:t>
      </w:r>
      <w:r>
        <w:rPr/>
        <w:t>study.</w:t>
      </w:r>
      <w:r>
        <w:rPr>
          <w:spacing w:val="-8"/>
        </w:rPr>
        <w:t> </w:t>
      </w:r>
      <w:r>
        <w:rPr>
          <w:b/>
          <w:i/>
        </w:rPr>
        <w:t>Annals</w:t>
      </w:r>
      <w:r>
        <w:rPr>
          <w:b/>
          <w:i/>
          <w:spacing w:val="-11"/>
        </w:rPr>
        <w:t> </w:t>
      </w:r>
      <w:r>
        <w:rPr>
          <w:b/>
          <w:i/>
        </w:rPr>
        <w:t>of</w:t>
      </w:r>
      <w:r>
        <w:rPr>
          <w:b/>
          <w:i/>
          <w:spacing w:val="-13"/>
        </w:rPr>
        <w:t> </w:t>
      </w:r>
      <w:r>
        <w:rPr>
          <w:b/>
          <w:i/>
        </w:rPr>
        <w:t>the</w:t>
      </w:r>
      <w:r>
        <w:rPr>
          <w:b/>
          <w:i/>
          <w:spacing w:val="-9"/>
        </w:rPr>
        <w:t> </w:t>
      </w:r>
      <w:r>
        <w:rPr>
          <w:b/>
          <w:i/>
        </w:rPr>
        <w:t>Royal </w:t>
      </w:r>
      <w:r>
        <w:rPr>
          <w:b/>
          <w:i/>
        </w:rPr>
        <w:t>College of Surgeons of England </w:t>
      </w:r>
      <w:r>
        <w:rPr/>
        <w:t>2010; </w:t>
      </w:r>
      <w:r>
        <w:rPr>
          <w:i/>
        </w:rPr>
        <w:t>92 </w:t>
      </w:r>
      <w:r>
        <w:rPr/>
        <w:t>(8):</w:t>
      </w:r>
      <w:r>
        <w:rPr>
          <w:spacing w:val="-3"/>
        </w:rPr>
        <w:t> </w:t>
      </w:r>
      <w:r>
        <w:rPr/>
        <w:t>700–705.</w:t>
      </w:r>
    </w:p>
    <w:p>
      <w:pPr>
        <w:pStyle w:val="BodyText"/>
        <w:spacing w:line="357" w:lineRule="auto" w:before="161"/>
        <w:ind w:left="1068" w:right="194" w:hanging="480"/>
        <w:jc w:val="both"/>
      </w:pPr>
      <w:r>
        <w:rPr/>
        <w:t>Kulnik ST, Birring SS, Moxham J, Rafferty GF, Kalra L. Does Respiratory Muscle Training Improve Cough Flow in Acute Stroke? Pilot Randomized Controlled Trial. </w:t>
      </w:r>
      <w:r>
        <w:rPr>
          <w:b/>
          <w:i/>
        </w:rPr>
        <w:t>Stroke </w:t>
      </w:r>
      <w:r>
        <w:rPr/>
        <w:t>2015; </w:t>
      </w:r>
      <w:r>
        <w:rPr>
          <w:i/>
        </w:rPr>
        <w:t>46 </w:t>
      </w:r>
      <w:r>
        <w:rPr/>
        <w:t>(2): 447–453.</w:t>
      </w:r>
    </w:p>
    <w:p>
      <w:pPr>
        <w:pStyle w:val="BodyText"/>
        <w:spacing w:line="357" w:lineRule="auto" w:before="167"/>
        <w:ind w:left="1068" w:right="192" w:hanging="480"/>
        <w:jc w:val="both"/>
      </w:pPr>
      <w:r>
        <w:rPr/>
        <w:t>Kumar L, Satheesan KN, Rajan S, Vasu BK, Paul J. Predictors and Outcomes of Postoperative Pulmonary Complications following Abdominal Surgery in a South Indian Population. </w:t>
      </w:r>
      <w:r>
        <w:rPr>
          <w:b/>
          <w:i/>
        </w:rPr>
        <w:t>Anesthesia, Essays and Researches </w:t>
      </w:r>
      <w:r>
        <w:rPr/>
        <w:t>2018; </w:t>
      </w:r>
      <w:r>
        <w:rPr>
          <w:i/>
        </w:rPr>
        <w:t>12 </w:t>
      </w:r>
      <w:r>
        <w:rPr/>
        <w:t>(1): 199.</w:t>
      </w:r>
    </w:p>
    <w:p>
      <w:pPr>
        <w:pStyle w:val="BodyText"/>
        <w:spacing w:line="360" w:lineRule="auto" w:before="168"/>
        <w:ind w:left="1068" w:right="187" w:hanging="480"/>
        <w:jc w:val="both"/>
      </w:pPr>
      <w:r>
        <w:rPr/>
        <w:t>Langer D, Westerdahl E, Andreasen JJ, Brocki BC, Souza DSR. Postoperative inspiratory muscle training in addition to breathing exercises and early mobilization improves</w:t>
      </w:r>
      <w:r>
        <w:rPr>
          <w:spacing w:val="-5"/>
        </w:rPr>
        <w:t> </w:t>
      </w:r>
      <w:r>
        <w:rPr/>
        <w:t>oxygenation</w:t>
      </w:r>
      <w:r>
        <w:rPr>
          <w:spacing w:val="-5"/>
        </w:rPr>
        <w:t> </w:t>
      </w:r>
      <w:r>
        <w:rPr/>
        <w:t>in</w:t>
      </w:r>
      <w:r>
        <w:rPr>
          <w:spacing w:val="-7"/>
        </w:rPr>
        <w:t> </w:t>
      </w:r>
      <w:r>
        <w:rPr/>
        <w:t>high-risk</w:t>
      </w:r>
      <w:r>
        <w:rPr>
          <w:spacing w:val="-2"/>
        </w:rPr>
        <w:t> </w:t>
      </w:r>
      <w:r>
        <w:rPr/>
        <w:t>patients</w:t>
      </w:r>
      <w:r>
        <w:rPr>
          <w:spacing w:val="-5"/>
        </w:rPr>
        <w:t> </w:t>
      </w:r>
      <w:r>
        <w:rPr/>
        <w:t>after</w:t>
      </w:r>
      <w:r>
        <w:rPr>
          <w:spacing w:val="-4"/>
        </w:rPr>
        <w:t> </w:t>
      </w:r>
      <w:r>
        <w:rPr/>
        <w:t>lung</w:t>
      </w:r>
      <w:r>
        <w:rPr>
          <w:spacing w:val="-4"/>
        </w:rPr>
        <w:t> </w:t>
      </w:r>
      <w:r>
        <w:rPr/>
        <w:t>cancer</w:t>
      </w:r>
      <w:r>
        <w:rPr>
          <w:spacing w:val="-7"/>
        </w:rPr>
        <w:t> </w:t>
      </w:r>
      <w:r>
        <w:rPr/>
        <w:t>surgery:</w:t>
      </w:r>
      <w:r>
        <w:rPr>
          <w:spacing w:val="-4"/>
        </w:rPr>
        <w:t> </w:t>
      </w:r>
      <w:r>
        <w:rPr/>
        <w:t>a</w:t>
      </w:r>
      <w:r>
        <w:rPr>
          <w:spacing w:val="-7"/>
        </w:rPr>
        <w:t> </w:t>
      </w:r>
      <w:r>
        <w:rPr/>
        <w:t>randomized controlled trial. </w:t>
      </w:r>
      <w:r>
        <w:rPr>
          <w:b/>
          <w:i/>
        </w:rPr>
        <w:t>European Journal of Cardio-Thoracic Surgery </w:t>
      </w:r>
      <w:r>
        <w:rPr/>
        <w:t>2015; </w:t>
      </w:r>
      <w:r>
        <w:rPr>
          <w:i/>
        </w:rPr>
        <w:t>49 </w:t>
      </w:r>
      <w:r>
        <w:rPr/>
        <w:t>(5): 1483–1491.</w:t>
      </w:r>
    </w:p>
    <w:p>
      <w:pPr>
        <w:pStyle w:val="BodyText"/>
        <w:spacing w:line="360" w:lineRule="auto" w:before="160"/>
        <w:ind w:left="1068" w:right="190" w:hanging="480"/>
        <w:jc w:val="both"/>
      </w:pPr>
      <w:r>
        <w:rPr/>
        <w:t>Menezes KKP, Nascimento LR, Ada L, Polese JC, Avelino PR, Teixeira-Salmela LF. Respiratory muscle training increases respiratory muscle strength and reduces respiratory complications after stroke: A systematic review. </w:t>
      </w:r>
      <w:r>
        <w:rPr>
          <w:b/>
          <w:i/>
        </w:rPr>
        <w:t>Journal of </w:t>
      </w:r>
      <w:r>
        <w:rPr>
          <w:b/>
          <w:i/>
        </w:rPr>
        <w:t>Physiotherapy </w:t>
      </w:r>
      <w:r>
        <w:rPr/>
        <w:t>2016; </w:t>
      </w:r>
      <w:r>
        <w:rPr>
          <w:i/>
        </w:rPr>
        <w:t>62 </w:t>
      </w:r>
      <w:r>
        <w:rPr/>
        <w:t>(3): 138–144.</w:t>
      </w:r>
    </w:p>
    <w:p>
      <w:pPr>
        <w:pStyle w:val="BodyText"/>
        <w:spacing w:line="357" w:lineRule="auto" w:before="160"/>
        <w:ind w:left="1068" w:right="192" w:hanging="480"/>
        <w:jc w:val="both"/>
      </w:pPr>
      <w:r>
        <w:rPr/>
        <w:t>Nimmo AF, Drummond GB. Respiratory mechanics after abdominal surgery measured with continuous analysis of pressure, flow and volume signals. </w:t>
      </w:r>
      <w:r>
        <w:rPr>
          <w:b/>
          <w:i/>
        </w:rPr>
        <w:t>British Journal of </w:t>
      </w:r>
      <w:r>
        <w:rPr>
          <w:b/>
          <w:i/>
        </w:rPr>
        <w:t>Anaesthesia </w:t>
      </w:r>
      <w:r>
        <w:rPr/>
        <w:t>1996; </w:t>
      </w:r>
      <w:r>
        <w:rPr>
          <w:i/>
        </w:rPr>
        <w:t>77 </w:t>
      </w:r>
      <w:r>
        <w:rPr/>
        <w:t>(3): 317–326.</w:t>
      </w:r>
    </w:p>
    <w:p>
      <w:pPr>
        <w:pStyle w:val="BodyText"/>
        <w:spacing w:line="357" w:lineRule="auto" w:before="168"/>
        <w:ind w:left="1068" w:right="192" w:hanging="480"/>
        <w:jc w:val="both"/>
      </w:pPr>
      <w:r>
        <w:rPr/>
        <w:t>Nomori H, Kobayashi R, Fuyuno G, Morinaga S, Yashima H. Preoperative respiratory muscle training: Assessment in thoracic surgery patients with special reference to postoperative pulmonary complications. </w:t>
      </w:r>
      <w:r>
        <w:rPr>
          <w:b/>
          <w:i/>
        </w:rPr>
        <w:t>Chest </w:t>
      </w:r>
      <w:r>
        <w:rPr/>
        <w:t>1994; </w:t>
      </w:r>
      <w:r>
        <w:rPr>
          <w:i/>
        </w:rPr>
        <w:t>105 </w:t>
      </w:r>
      <w:r>
        <w:rPr/>
        <w:t>(6): 1782–1788.</w:t>
      </w:r>
    </w:p>
    <w:p>
      <w:pPr>
        <w:pStyle w:val="BodyText"/>
        <w:spacing w:before="167"/>
        <w:ind w:left="588"/>
        <w:jc w:val="both"/>
      </w:pPr>
      <w:r>
        <w:rPr/>
        <w:t>Onerup A, Angenete E, Bock D, Börjesson M, Fagevik Olsén M, Grybäck Gillheimer</w:t>
      </w:r>
      <w:r>
        <w:rPr>
          <w:spacing w:val="52"/>
        </w:rPr>
        <w:t> </w:t>
      </w:r>
      <w:r>
        <w:rPr/>
        <w:t>E,</w:t>
      </w:r>
    </w:p>
    <w:p>
      <w:pPr>
        <w:spacing w:after="0"/>
        <w:jc w:val="both"/>
        <w:sectPr>
          <w:pgSz w:w="11910" w:h="16840"/>
          <w:pgMar w:header="749" w:footer="0" w:top="960" w:bottom="280" w:left="1680" w:right="940"/>
        </w:sectPr>
      </w:pPr>
    </w:p>
    <w:p>
      <w:pPr>
        <w:pStyle w:val="BodyText"/>
        <w:rPr>
          <w:sz w:val="20"/>
        </w:rPr>
      </w:pPr>
    </w:p>
    <w:p>
      <w:pPr>
        <w:pStyle w:val="BodyText"/>
        <w:spacing w:before="9"/>
        <w:rPr>
          <w:sz w:val="18"/>
        </w:rPr>
      </w:pPr>
    </w:p>
    <w:p>
      <w:pPr>
        <w:pStyle w:val="BodyText"/>
        <w:spacing w:line="357" w:lineRule="auto"/>
        <w:ind w:left="1068" w:right="190"/>
        <w:jc w:val="both"/>
      </w:pPr>
      <w:r>
        <w:rPr/>
        <w:t>… Nilsson H. The effect of pre- and post-operative physical activity on recovery after colorectal cancer surgery (PHYSSURG-C): Study protocol for a randomised controlled trial. </w:t>
      </w:r>
      <w:r>
        <w:rPr>
          <w:b/>
          <w:i/>
        </w:rPr>
        <w:t>Trials </w:t>
      </w:r>
      <w:r>
        <w:rPr/>
        <w:t>2017; </w:t>
      </w:r>
      <w:r>
        <w:rPr>
          <w:i/>
        </w:rPr>
        <w:t>18 </w:t>
      </w:r>
      <w:r>
        <w:rPr/>
        <w:t>(1): 1–10.</w:t>
      </w:r>
    </w:p>
    <w:p>
      <w:pPr>
        <w:pStyle w:val="BodyText"/>
        <w:spacing w:line="357" w:lineRule="auto" w:before="168"/>
        <w:ind w:left="1068" w:right="189" w:hanging="480"/>
        <w:jc w:val="both"/>
      </w:pPr>
      <w:r>
        <w:rPr/>
        <w:t>Overend TJ, Anderson CM, Lucy SD, Bhatia C, Jonsson BI, Timmermans C. The Effect of Incentive Spirometry on Postoperative Pulmonary Complications. </w:t>
      </w:r>
      <w:r>
        <w:rPr>
          <w:b/>
          <w:i/>
        </w:rPr>
        <w:t>Chest </w:t>
      </w:r>
      <w:r>
        <w:rPr/>
        <w:t>2001; </w:t>
      </w:r>
      <w:r>
        <w:rPr>
          <w:i/>
        </w:rPr>
        <w:t>120 </w:t>
      </w:r>
      <w:r>
        <w:rPr/>
        <w:t>(3): 971–978.</w:t>
      </w:r>
    </w:p>
    <w:p>
      <w:pPr>
        <w:spacing w:line="360" w:lineRule="auto" w:before="168"/>
        <w:ind w:left="1068" w:right="187" w:hanging="480"/>
        <w:jc w:val="both"/>
        <w:rPr>
          <w:sz w:val="22"/>
        </w:rPr>
      </w:pPr>
      <w:r>
        <w:rPr>
          <w:sz w:val="22"/>
        </w:rPr>
        <w:t>Paiva DN, Assmann LB, Bordin DF, Gass R, Jost RT, Bernardo-Filho M, … Cardoso DM. Inspiratory muscle training with threshold or incentive spirometry:</w:t>
      </w:r>
      <w:r>
        <w:rPr>
          <w:spacing w:val="-45"/>
          <w:sz w:val="22"/>
        </w:rPr>
        <w:t> </w:t>
      </w:r>
      <w:r>
        <w:rPr>
          <w:sz w:val="22"/>
        </w:rPr>
        <w:t>Which is the most</w:t>
      </w:r>
      <w:r>
        <w:rPr>
          <w:spacing w:val="-9"/>
          <w:sz w:val="22"/>
        </w:rPr>
        <w:t> </w:t>
      </w:r>
      <w:r>
        <w:rPr>
          <w:sz w:val="22"/>
        </w:rPr>
        <w:t>effective?</w:t>
      </w:r>
      <w:r>
        <w:rPr>
          <w:spacing w:val="-7"/>
          <w:sz w:val="22"/>
        </w:rPr>
        <w:t> </w:t>
      </w:r>
      <w:r>
        <w:rPr>
          <w:b/>
          <w:i/>
          <w:sz w:val="22"/>
        </w:rPr>
        <w:t>Revista</w:t>
      </w:r>
      <w:r>
        <w:rPr>
          <w:b/>
          <w:i/>
          <w:spacing w:val="-9"/>
          <w:sz w:val="22"/>
        </w:rPr>
        <w:t> </w:t>
      </w:r>
      <w:r>
        <w:rPr>
          <w:b/>
          <w:i/>
          <w:sz w:val="22"/>
        </w:rPr>
        <w:t>Portuguesa</w:t>
      </w:r>
      <w:r>
        <w:rPr>
          <w:b/>
          <w:i/>
          <w:spacing w:val="-8"/>
          <w:sz w:val="22"/>
        </w:rPr>
        <w:t> </w:t>
      </w:r>
      <w:r>
        <w:rPr>
          <w:b/>
          <w:i/>
          <w:sz w:val="22"/>
        </w:rPr>
        <w:t>de</w:t>
      </w:r>
      <w:r>
        <w:rPr>
          <w:b/>
          <w:i/>
          <w:spacing w:val="-7"/>
          <w:sz w:val="22"/>
        </w:rPr>
        <w:t> </w:t>
      </w:r>
      <w:r>
        <w:rPr>
          <w:b/>
          <w:i/>
          <w:sz w:val="22"/>
        </w:rPr>
        <w:t>Pneumologia</w:t>
      </w:r>
      <w:r>
        <w:rPr>
          <w:b/>
          <w:i/>
          <w:spacing w:val="-10"/>
          <w:sz w:val="22"/>
        </w:rPr>
        <w:t> </w:t>
      </w:r>
      <w:r>
        <w:rPr>
          <w:b/>
          <w:i/>
          <w:sz w:val="22"/>
        </w:rPr>
        <w:t>(English</w:t>
      </w:r>
      <w:r>
        <w:rPr>
          <w:b/>
          <w:i/>
          <w:spacing w:val="-7"/>
          <w:sz w:val="22"/>
        </w:rPr>
        <w:t> </w:t>
      </w:r>
      <w:r>
        <w:rPr>
          <w:b/>
          <w:i/>
          <w:sz w:val="22"/>
        </w:rPr>
        <w:t>Edition)</w:t>
      </w:r>
      <w:r>
        <w:rPr>
          <w:b/>
          <w:i/>
          <w:spacing w:val="-8"/>
          <w:sz w:val="22"/>
        </w:rPr>
        <w:t> </w:t>
      </w:r>
      <w:r>
        <w:rPr>
          <w:sz w:val="22"/>
        </w:rPr>
        <w:t>2015;</w:t>
      </w:r>
      <w:r>
        <w:rPr>
          <w:spacing w:val="-6"/>
          <w:sz w:val="22"/>
        </w:rPr>
        <w:t> </w:t>
      </w:r>
      <w:r>
        <w:rPr>
          <w:i/>
          <w:spacing w:val="-3"/>
          <w:sz w:val="22"/>
        </w:rPr>
        <w:t>21 </w:t>
      </w:r>
      <w:r>
        <w:rPr>
          <w:sz w:val="22"/>
        </w:rPr>
        <w:t>(2):</w:t>
      </w:r>
      <w:r>
        <w:rPr>
          <w:spacing w:val="-1"/>
          <w:sz w:val="22"/>
        </w:rPr>
        <w:t> </w:t>
      </w:r>
      <w:r>
        <w:rPr>
          <w:sz w:val="22"/>
        </w:rPr>
        <w:t>76–81.</w:t>
      </w:r>
    </w:p>
    <w:p>
      <w:pPr>
        <w:spacing w:before="160"/>
        <w:ind w:left="588" w:right="0" w:firstLine="0"/>
        <w:jc w:val="both"/>
        <w:rPr>
          <w:i/>
          <w:sz w:val="22"/>
        </w:rPr>
      </w:pPr>
      <w:r>
        <w:rPr>
          <w:sz w:val="22"/>
        </w:rPr>
        <w:t>Pryor JA, Webber BA (Barbara A. </w:t>
      </w:r>
      <w:r>
        <w:rPr>
          <w:i/>
          <w:sz w:val="22"/>
        </w:rPr>
        <w:t>Physiotherapy for respiratory and cardiac problems.</w:t>
      </w:r>
    </w:p>
    <w:p>
      <w:pPr>
        <w:pStyle w:val="BodyText"/>
        <w:spacing w:before="124"/>
        <w:ind w:left="1068"/>
        <w:jc w:val="both"/>
      </w:pPr>
      <w:r>
        <w:rPr/>
        <w:t>Churchill Livingstone.</w:t>
      </w:r>
    </w:p>
    <w:p>
      <w:pPr>
        <w:pStyle w:val="BodyText"/>
        <w:spacing w:before="2"/>
        <w:rPr>
          <w:sz w:val="25"/>
        </w:rPr>
      </w:pPr>
    </w:p>
    <w:p>
      <w:pPr>
        <w:pStyle w:val="BodyText"/>
        <w:spacing w:line="360" w:lineRule="auto"/>
        <w:ind w:left="1068" w:right="185" w:hanging="480"/>
        <w:jc w:val="both"/>
      </w:pPr>
      <w:r>
        <w:rPr/>
        <w:t>Ramos dos Santos PM, Aquaroni Ricci N, Aparecida Bordignon Suster, de Moraes Paisani D, Dias Chiavegato L. Effects of early mobilisation in patients after cardiac surgery:</w:t>
      </w:r>
      <w:r>
        <w:rPr>
          <w:spacing w:val="-5"/>
        </w:rPr>
        <w:t> </w:t>
      </w:r>
      <w:r>
        <w:rPr/>
        <w:t>a</w:t>
      </w:r>
      <w:r>
        <w:rPr>
          <w:spacing w:val="-6"/>
        </w:rPr>
        <w:t> </w:t>
      </w:r>
      <w:r>
        <w:rPr/>
        <w:t>systematic</w:t>
      </w:r>
      <w:r>
        <w:rPr>
          <w:spacing w:val="-6"/>
        </w:rPr>
        <w:t> </w:t>
      </w:r>
      <w:r>
        <w:rPr/>
        <w:t>review.</w:t>
      </w:r>
      <w:r>
        <w:rPr>
          <w:spacing w:val="-1"/>
        </w:rPr>
        <w:t> </w:t>
      </w:r>
      <w:r>
        <w:rPr>
          <w:b/>
          <w:i/>
        </w:rPr>
        <w:t>Physiotherapy</w:t>
      </w:r>
      <w:r>
        <w:rPr>
          <w:b/>
          <w:i/>
          <w:spacing w:val="-7"/>
        </w:rPr>
        <w:t> </w:t>
      </w:r>
      <w:r>
        <w:rPr>
          <w:b/>
          <w:i/>
        </w:rPr>
        <w:t>(United</w:t>
      </w:r>
      <w:r>
        <w:rPr>
          <w:b/>
          <w:i/>
          <w:spacing w:val="-4"/>
        </w:rPr>
        <w:t> </w:t>
      </w:r>
      <w:r>
        <w:rPr>
          <w:b/>
          <w:i/>
        </w:rPr>
        <w:t>Kingdom)</w:t>
      </w:r>
      <w:r>
        <w:rPr>
          <w:b/>
          <w:i/>
          <w:spacing w:val="-5"/>
        </w:rPr>
        <w:t> </w:t>
      </w:r>
      <w:r>
        <w:rPr/>
        <w:t>2017;</w:t>
      </w:r>
      <w:r>
        <w:rPr>
          <w:spacing w:val="-5"/>
        </w:rPr>
        <w:t> </w:t>
      </w:r>
      <w:r>
        <w:rPr>
          <w:i/>
        </w:rPr>
        <w:t>103</w:t>
      </w:r>
      <w:r>
        <w:rPr>
          <w:i/>
          <w:spacing w:val="-6"/>
        </w:rPr>
        <w:t> </w:t>
      </w:r>
      <w:r>
        <w:rPr/>
        <w:t>(1):</w:t>
      </w:r>
      <w:r>
        <w:rPr>
          <w:spacing w:val="-5"/>
        </w:rPr>
        <w:t> </w:t>
      </w:r>
      <w:r>
        <w:rPr/>
        <w:t>1–</w:t>
      </w:r>
    </w:p>
    <w:p>
      <w:pPr>
        <w:pStyle w:val="BodyText"/>
        <w:spacing w:line="250" w:lineRule="exact"/>
        <w:ind w:left="1068"/>
      </w:pPr>
      <w:r>
        <w:rPr/>
        <w:t>12.</w:t>
      </w:r>
    </w:p>
    <w:p>
      <w:pPr>
        <w:pStyle w:val="BodyText"/>
        <w:spacing w:before="2"/>
        <w:rPr>
          <w:sz w:val="25"/>
        </w:rPr>
      </w:pPr>
    </w:p>
    <w:p>
      <w:pPr>
        <w:pStyle w:val="BodyText"/>
        <w:spacing w:line="360" w:lineRule="auto"/>
        <w:ind w:left="1068" w:right="192" w:hanging="480"/>
        <w:jc w:val="both"/>
      </w:pPr>
      <w:r>
        <w:rPr/>
        <w:t>Reychler G, Delacroix S, Dresse D, Pieters T, Liistro G. Randomized Controlled Trial of the Effect of Inspiratory Muscle Training and Incentive Spirometry on Respiratory Muscle Strength, Chest Wall Expansion, and Lung Function in Elderly Adults. </w:t>
      </w:r>
      <w:r>
        <w:rPr>
          <w:b/>
          <w:i/>
        </w:rPr>
        <w:t>Journal of the American Geriatrics Society </w:t>
      </w:r>
      <w:r>
        <w:rPr/>
        <w:t>2016; </w:t>
      </w:r>
      <w:r>
        <w:rPr>
          <w:i/>
        </w:rPr>
        <w:t>64 </w:t>
      </w:r>
      <w:r>
        <w:rPr/>
        <w:t>(5): 1128–1130.</w:t>
      </w:r>
    </w:p>
    <w:p>
      <w:pPr>
        <w:pStyle w:val="BodyText"/>
        <w:spacing w:line="357" w:lineRule="auto" w:before="160"/>
        <w:ind w:left="1068" w:right="189" w:hanging="480"/>
        <w:jc w:val="both"/>
      </w:pPr>
      <w:r>
        <w:rPr/>
        <w:t>Richards PC, Balch CM, Aldrete J. A Randomized Prospective Study of 571 Patients Comparing Continuous vs. Interrupted Suture Techniques. </w:t>
      </w:r>
      <w:r>
        <w:rPr>
          <w:b/>
          <w:i/>
        </w:rPr>
        <w:t>Annals of Surgery </w:t>
      </w:r>
      <w:r>
        <w:rPr/>
        <w:t>1983; </w:t>
      </w:r>
      <w:r>
        <w:rPr>
          <w:i/>
        </w:rPr>
        <w:t>197 </w:t>
      </w:r>
      <w:r>
        <w:rPr/>
        <w:t>(2): 238–243.</w:t>
      </w:r>
    </w:p>
    <w:p>
      <w:pPr>
        <w:pStyle w:val="BodyText"/>
        <w:spacing w:line="357" w:lineRule="auto" w:before="168"/>
        <w:ind w:left="1068" w:right="190" w:hanging="480"/>
        <w:jc w:val="both"/>
      </w:pPr>
      <w:r>
        <w:rPr/>
        <w:t>S</w:t>
      </w:r>
      <w:r>
        <w:rPr>
          <w:spacing w:val="-4"/>
        </w:rPr>
        <w:t> </w:t>
      </w:r>
      <w:r>
        <w:rPr/>
        <w:t>S,</w:t>
      </w:r>
      <w:r>
        <w:rPr>
          <w:spacing w:val="-5"/>
        </w:rPr>
        <w:t> </w:t>
      </w:r>
      <w:r>
        <w:rPr/>
        <w:t>S</w:t>
      </w:r>
      <w:r>
        <w:rPr>
          <w:spacing w:val="-7"/>
        </w:rPr>
        <w:t> </w:t>
      </w:r>
      <w:r>
        <w:rPr/>
        <w:t>S,</w:t>
      </w:r>
      <w:r>
        <w:rPr>
          <w:spacing w:val="-5"/>
        </w:rPr>
        <w:t> </w:t>
      </w:r>
      <w:r>
        <w:rPr/>
        <w:t>D.I.</w:t>
      </w:r>
      <w:r>
        <w:rPr>
          <w:spacing w:val="-5"/>
        </w:rPr>
        <w:t> </w:t>
      </w:r>
      <w:r>
        <w:rPr/>
        <w:t>I,</w:t>
      </w:r>
      <w:r>
        <w:rPr>
          <w:spacing w:val="-4"/>
        </w:rPr>
        <w:t> </w:t>
      </w:r>
      <w:r>
        <w:rPr/>
        <w:t>H.</w:t>
      </w:r>
      <w:r>
        <w:rPr>
          <w:spacing w:val="-5"/>
        </w:rPr>
        <w:t> </w:t>
      </w:r>
      <w:r>
        <w:rPr/>
        <w:t>A,</w:t>
      </w:r>
      <w:r>
        <w:rPr>
          <w:spacing w:val="-5"/>
        </w:rPr>
        <w:t> </w:t>
      </w:r>
      <w:r>
        <w:rPr/>
        <w:t>Z.</w:t>
      </w:r>
      <w:r>
        <w:rPr>
          <w:spacing w:val="-7"/>
        </w:rPr>
        <w:t> </w:t>
      </w:r>
      <w:r>
        <w:rPr/>
        <w:t>C,</w:t>
      </w:r>
      <w:r>
        <w:rPr>
          <w:spacing w:val="-3"/>
        </w:rPr>
        <w:t> </w:t>
      </w:r>
      <w:r>
        <w:rPr/>
        <w:t>Y.</w:t>
      </w:r>
      <w:r>
        <w:rPr>
          <w:spacing w:val="-4"/>
        </w:rPr>
        <w:t> </w:t>
      </w:r>
      <w:r>
        <w:rPr/>
        <w:t>B,</w:t>
      </w:r>
      <w:r>
        <w:rPr>
          <w:spacing w:val="-5"/>
        </w:rPr>
        <w:t> </w:t>
      </w:r>
      <w:r>
        <w:rPr/>
        <w:t>E.</w:t>
      </w:r>
      <w:r>
        <w:rPr>
          <w:spacing w:val="-5"/>
        </w:rPr>
        <w:t> </w:t>
      </w:r>
      <w:r>
        <w:rPr/>
        <w:t>K.</w:t>
      </w:r>
      <w:r>
        <w:rPr>
          <w:spacing w:val="-5"/>
        </w:rPr>
        <w:t> </w:t>
      </w:r>
      <w:r>
        <w:rPr/>
        <w:t>Active</w:t>
      </w:r>
      <w:r>
        <w:rPr>
          <w:spacing w:val="-4"/>
        </w:rPr>
        <w:t> </w:t>
      </w:r>
      <w:r>
        <w:rPr/>
        <w:t>cycle</w:t>
      </w:r>
      <w:r>
        <w:rPr>
          <w:spacing w:val="-4"/>
        </w:rPr>
        <w:t> </w:t>
      </w:r>
      <w:r>
        <w:rPr/>
        <w:t>of</w:t>
      </w:r>
      <w:r>
        <w:rPr>
          <w:spacing w:val="-3"/>
        </w:rPr>
        <w:t> </w:t>
      </w:r>
      <w:r>
        <w:rPr/>
        <w:t>breathing</w:t>
      </w:r>
      <w:r>
        <w:rPr>
          <w:spacing w:val="-6"/>
        </w:rPr>
        <w:t> </w:t>
      </w:r>
      <w:r>
        <w:rPr/>
        <w:t>techniques</w:t>
      </w:r>
      <w:r>
        <w:rPr>
          <w:spacing w:val="-4"/>
        </w:rPr>
        <w:t> </w:t>
      </w:r>
      <w:r>
        <w:rPr/>
        <w:t>and</w:t>
      </w:r>
      <w:r>
        <w:rPr>
          <w:spacing w:val="-6"/>
        </w:rPr>
        <w:t> </w:t>
      </w:r>
      <w:r>
        <w:rPr/>
        <w:t>incentive spirometer in coronary artery bypass graft surgery. </w:t>
      </w:r>
      <w:r>
        <w:rPr>
          <w:b/>
          <w:i/>
        </w:rPr>
        <w:t>Fizyoterapi Rehabilitasyon </w:t>
      </w:r>
      <w:r>
        <w:rPr/>
        <w:t>2006; </w:t>
      </w:r>
      <w:r>
        <w:rPr>
          <w:i/>
        </w:rPr>
        <w:t>17 </w:t>
      </w:r>
      <w:r>
        <w:rPr/>
        <w:t>(2):</w:t>
      </w:r>
      <w:r>
        <w:rPr>
          <w:spacing w:val="-1"/>
        </w:rPr>
        <w:t> </w:t>
      </w:r>
      <w:r>
        <w:rPr/>
        <w:t>61–69.</w:t>
      </w:r>
    </w:p>
    <w:p>
      <w:pPr>
        <w:spacing w:line="357" w:lineRule="auto" w:before="168"/>
        <w:ind w:left="1068" w:right="188" w:hanging="480"/>
        <w:jc w:val="both"/>
        <w:rPr>
          <w:sz w:val="22"/>
        </w:rPr>
      </w:pPr>
      <w:r>
        <w:rPr>
          <w:sz w:val="22"/>
        </w:rPr>
        <w:t>Sarikaya S. Preoperatif ve postoperatif pulmoner fizyoterapi uygulamalari. </w:t>
      </w:r>
      <w:r>
        <w:rPr>
          <w:b/>
          <w:i/>
          <w:sz w:val="22"/>
        </w:rPr>
        <w:t>Turkiye </w:t>
      </w:r>
      <w:r>
        <w:rPr>
          <w:b/>
          <w:i/>
          <w:sz w:val="22"/>
        </w:rPr>
        <w:t>Fiziksel Tip ve Rehabilitasyon Dergisi </w:t>
      </w:r>
      <w:r>
        <w:rPr>
          <w:sz w:val="22"/>
        </w:rPr>
        <w:t>2006; </w:t>
      </w:r>
      <w:r>
        <w:rPr>
          <w:i/>
          <w:sz w:val="22"/>
        </w:rPr>
        <w:t>52 </w:t>
      </w:r>
      <w:r>
        <w:rPr>
          <w:sz w:val="22"/>
        </w:rPr>
        <w:t>(3): 123–128.</w:t>
      </w:r>
    </w:p>
    <w:p>
      <w:pPr>
        <w:pStyle w:val="BodyText"/>
        <w:spacing w:line="360" w:lineRule="auto" w:before="165"/>
        <w:ind w:left="1068" w:right="187" w:hanging="480"/>
        <w:jc w:val="both"/>
      </w:pPr>
      <w:r>
        <w:rPr/>
        <w:t>Scholes RL, Browning L, Sztendur EM, Denehy L. Duration of anaesthesia, type of surgery, respiratory co-morbidity, predicted VO2max and smoking predict postoperative pulmonary complications after upper abdominal surgery: An observational</w:t>
      </w:r>
      <w:r>
        <w:rPr>
          <w:spacing w:val="-10"/>
        </w:rPr>
        <w:t> </w:t>
      </w:r>
      <w:r>
        <w:rPr/>
        <w:t>study.</w:t>
      </w:r>
      <w:r>
        <w:rPr>
          <w:spacing w:val="-7"/>
        </w:rPr>
        <w:t> </w:t>
      </w:r>
      <w:r>
        <w:rPr>
          <w:b/>
          <w:i/>
        </w:rPr>
        <w:t>Australian</w:t>
      </w:r>
      <w:r>
        <w:rPr>
          <w:b/>
          <w:i/>
          <w:spacing w:val="-9"/>
        </w:rPr>
        <w:t> </w:t>
      </w:r>
      <w:r>
        <w:rPr>
          <w:b/>
          <w:i/>
        </w:rPr>
        <w:t>Journal</w:t>
      </w:r>
      <w:r>
        <w:rPr>
          <w:b/>
          <w:i/>
          <w:spacing w:val="-8"/>
        </w:rPr>
        <w:t> </w:t>
      </w:r>
      <w:r>
        <w:rPr>
          <w:b/>
          <w:i/>
        </w:rPr>
        <w:t>of</w:t>
      </w:r>
      <w:r>
        <w:rPr>
          <w:b/>
          <w:i/>
          <w:spacing w:val="-8"/>
        </w:rPr>
        <w:t> </w:t>
      </w:r>
      <w:r>
        <w:rPr>
          <w:b/>
          <w:i/>
        </w:rPr>
        <w:t>Physiotherapy</w:t>
      </w:r>
      <w:r>
        <w:rPr>
          <w:b/>
          <w:i/>
          <w:spacing w:val="-7"/>
        </w:rPr>
        <w:t> </w:t>
      </w:r>
      <w:r>
        <w:rPr/>
        <w:t>2009;</w:t>
      </w:r>
      <w:r>
        <w:rPr>
          <w:spacing w:val="-8"/>
        </w:rPr>
        <w:t> </w:t>
      </w:r>
      <w:r>
        <w:rPr>
          <w:i/>
        </w:rPr>
        <w:t>55</w:t>
      </w:r>
      <w:r>
        <w:rPr>
          <w:i/>
          <w:spacing w:val="-10"/>
        </w:rPr>
        <w:t> </w:t>
      </w:r>
      <w:r>
        <w:rPr/>
        <w:t>(3):</w:t>
      </w:r>
      <w:r>
        <w:rPr>
          <w:spacing w:val="-8"/>
        </w:rPr>
        <w:t> </w:t>
      </w:r>
      <w:r>
        <w:rPr/>
        <w:t>191–198.</w:t>
      </w:r>
    </w:p>
    <w:p>
      <w:pPr>
        <w:pStyle w:val="BodyText"/>
        <w:spacing w:before="157"/>
        <w:ind w:left="588"/>
        <w:jc w:val="both"/>
      </w:pPr>
      <w:r>
        <w:rPr/>
        <w:t>Sema S. Yoğun Bakım Ünitesinde Göğüs Fizyoterapisi. 2001; </w:t>
      </w:r>
      <w:r>
        <w:rPr>
          <w:i/>
        </w:rPr>
        <w:t>1 </w:t>
      </w:r>
      <w:r>
        <w:rPr/>
        <w:t>(1): 33–40.</w:t>
      </w:r>
    </w:p>
    <w:p>
      <w:pPr>
        <w:spacing w:after="0"/>
        <w:jc w:val="both"/>
        <w:sectPr>
          <w:pgSz w:w="11910" w:h="16840"/>
          <w:pgMar w:header="749" w:footer="0" w:top="960" w:bottom="280" w:left="1680" w:right="940"/>
        </w:sectPr>
      </w:pPr>
    </w:p>
    <w:p>
      <w:pPr>
        <w:pStyle w:val="BodyText"/>
        <w:rPr>
          <w:sz w:val="20"/>
        </w:rPr>
      </w:pPr>
    </w:p>
    <w:p>
      <w:pPr>
        <w:pStyle w:val="BodyText"/>
        <w:spacing w:before="9"/>
        <w:rPr>
          <w:sz w:val="18"/>
        </w:rPr>
      </w:pPr>
    </w:p>
    <w:p>
      <w:pPr>
        <w:spacing w:line="357" w:lineRule="auto" w:before="0"/>
        <w:ind w:left="1068" w:right="191" w:hanging="480"/>
        <w:jc w:val="both"/>
        <w:rPr>
          <w:sz w:val="22"/>
        </w:rPr>
      </w:pPr>
      <w:r>
        <w:rPr>
          <w:sz w:val="22"/>
        </w:rPr>
        <w:t>Simonneau G, Vivien A, Sartene R, Kunstlinger F, Samii K, Noviant Y, Duroux P. Diaphragm</w:t>
      </w:r>
      <w:r>
        <w:rPr>
          <w:spacing w:val="-7"/>
          <w:sz w:val="22"/>
        </w:rPr>
        <w:t> </w:t>
      </w:r>
      <w:r>
        <w:rPr>
          <w:sz w:val="22"/>
        </w:rPr>
        <w:t>dysfunction</w:t>
      </w:r>
      <w:r>
        <w:rPr>
          <w:spacing w:val="-8"/>
          <w:sz w:val="22"/>
        </w:rPr>
        <w:t> </w:t>
      </w:r>
      <w:r>
        <w:rPr>
          <w:sz w:val="22"/>
        </w:rPr>
        <w:t>induced</w:t>
      </w:r>
      <w:r>
        <w:rPr>
          <w:spacing w:val="-7"/>
          <w:sz w:val="22"/>
        </w:rPr>
        <w:t> </w:t>
      </w:r>
      <w:r>
        <w:rPr>
          <w:sz w:val="22"/>
        </w:rPr>
        <w:t>by</w:t>
      </w:r>
      <w:r>
        <w:rPr>
          <w:spacing w:val="-10"/>
          <w:sz w:val="22"/>
        </w:rPr>
        <w:t> </w:t>
      </w:r>
      <w:r>
        <w:rPr>
          <w:sz w:val="22"/>
        </w:rPr>
        <w:t>upper</w:t>
      </w:r>
      <w:r>
        <w:rPr>
          <w:spacing w:val="-9"/>
          <w:sz w:val="22"/>
        </w:rPr>
        <w:t> </w:t>
      </w:r>
      <w:r>
        <w:rPr>
          <w:sz w:val="22"/>
        </w:rPr>
        <w:t>abdominal</w:t>
      </w:r>
      <w:r>
        <w:rPr>
          <w:spacing w:val="-8"/>
          <w:sz w:val="22"/>
        </w:rPr>
        <w:t> </w:t>
      </w:r>
      <w:r>
        <w:rPr>
          <w:sz w:val="22"/>
        </w:rPr>
        <w:t>surgery.</w:t>
      </w:r>
      <w:r>
        <w:rPr>
          <w:spacing w:val="-7"/>
          <w:sz w:val="22"/>
        </w:rPr>
        <w:t> </w:t>
      </w:r>
      <w:r>
        <w:rPr>
          <w:sz w:val="22"/>
        </w:rPr>
        <w:t>Role</w:t>
      </w:r>
      <w:r>
        <w:rPr>
          <w:spacing w:val="-7"/>
          <w:sz w:val="22"/>
        </w:rPr>
        <w:t> </w:t>
      </w:r>
      <w:r>
        <w:rPr>
          <w:sz w:val="22"/>
        </w:rPr>
        <w:t>of</w:t>
      </w:r>
      <w:r>
        <w:rPr>
          <w:spacing w:val="-6"/>
          <w:sz w:val="22"/>
        </w:rPr>
        <w:t> </w:t>
      </w:r>
      <w:r>
        <w:rPr>
          <w:sz w:val="22"/>
        </w:rPr>
        <w:t>postoperative pain. </w:t>
      </w:r>
      <w:r>
        <w:rPr>
          <w:b/>
          <w:i/>
          <w:sz w:val="22"/>
        </w:rPr>
        <w:t>The American review of respiratory disease </w:t>
      </w:r>
      <w:r>
        <w:rPr>
          <w:sz w:val="22"/>
        </w:rPr>
        <w:t>1983; </w:t>
      </w:r>
      <w:r>
        <w:rPr>
          <w:i/>
          <w:sz w:val="22"/>
        </w:rPr>
        <w:t>128 </w:t>
      </w:r>
      <w:r>
        <w:rPr>
          <w:sz w:val="22"/>
        </w:rPr>
        <w:t>(5):</w:t>
      </w:r>
      <w:r>
        <w:rPr>
          <w:spacing w:val="-8"/>
          <w:sz w:val="22"/>
        </w:rPr>
        <w:t> </w:t>
      </w:r>
      <w:r>
        <w:rPr>
          <w:sz w:val="22"/>
        </w:rPr>
        <w:t>899–903.</w:t>
      </w:r>
    </w:p>
    <w:p>
      <w:pPr>
        <w:pStyle w:val="BodyText"/>
        <w:spacing w:line="357" w:lineRule="auto" w:before="168"/>
        <w:ind w:left="1068" w:right="187" w:hanging="480"/>
        <w:jc w:val="both"/>
      </w:pPr>
      <w:r>
        <w:rPr/>
        <w:t>Spapen HD, De Regt J, Honoré PM. Chest physiotherapy in mechanically ventilated patients</w:t>
      </w:r>
      <w:r>
        <w:rPr>
          <w:spacing w:val="-9"/>
        </w:rPr>
        <w:t> </w:t>
      </w:r>
      <w:r>
        <w:rPr/>
        <w:t>without</w:t>
      </w:r>
      <w:r>
        <w:rPr>
          <w:spacing w:val="-5"/>
        </w:rPr>
        <w:t> </w:t>
      </w:r>
      <w:r>
        <w:rPr/>
        <w:t>pneumonia-a</w:t>
      </w:r>
      <w:r>
        <w:rPr>
          <w:spacing w:val="-6"/>
        </w:rPr>
        <w:t> </w:t>
      </w:r>
      <w:r>
        <w:rPr/>
        <w:t>narrative</w:t>
      </w:r>
      <w:r>
        <w:rPr>
          <w:spacing w:val="-7"/>
        </w:rPr>
        <w:t> </w:t>
      </w:r>
      <w:r>
        <w:rPr/>
        <w:t>review.</w:t>
      </w:r>
      <w:r>
        <w:rPr>
          <w:spacing w:val="-4"/>
        </w:rPr>
        <w:t> </w:t>
      </w:r>
      <w:r>
        <w:rPr>
          <w:b/>
          <w:i/>
        </w:rPr>
        <w:t>Journal</w:t>
      </w:r>
      <w:r>
        <w:rPr>
          <w:b/>
          <w:i/>
          <w:spacing w:val="-7"/>
        </w:rPr>
        <w:t> </w:t>
      </w:r>
      <w:r>
        <w:rPr>
          <w:b/>
          <w:i/>
        </w:rPr>
        <w:t>of</w:t>
      </w:r>
      <w:r>
        <w:rPr>
          <w:b/>
          <w:i/>
          <w:spacing w:val="-9"/>
        </w:rPr>
        <w:t> </w:t>
      </w:r>
      <w:r>
        <w:rPr>
          <w:b/>
          <w:i/>
        </w:rPr>
        <w:t>thoracic</w:t>
      </w:r>
      <w:r>
        <w:rPr>
          <w:b/>
          <w:i/>
          <w:spacing w:val="-9"/>
        </w:rPr>
        <w:t> </w:t>
      </w:r>
      <w:r>
        <w:rPr>
          <w:b/>
          <w:i/>
        </w:rPr>
        <w:t>disease</w:t>
      </w:r>
      <w:r>
        <w:rPr>
          <w:b/>
          <w:i/>
          <w:spacing w:val="-6"/>
        </w:rPr>
        <w:t> </w:t>
      </w:r>
      <w:r>
        <w:rPr/>
        <w:t>2017; </w:t>
      </w:r>
      <w:r>
        <w:rPr>
          <w:i/>
        </w:rPr>
        <w:t>9 </w:t>
      </w:r>
      <w:r>
        <w:rPr/>
        <w:t>(1):</w:t>
      </w:r>
      <w:r>
        <w:rPr>
          <w:spacing w:val="-2"/>
        </w:rPr>
        <w:t> </w:t>
      </w:r>
      <w:r>
        <w:rPr/>
        <w:t>E44–E49.</w:t>
      </w:r>
    </w:p>
    <w:p>
      <w:pPr>
        <w:pStyle w:val="BodyText"/>
        <w:spacing w:before="165"/>
        <w:ind w:left="588"/>
        <w:jc w:val="both"/>
      </w:pPr>
      <w:r>
        <w:rPr/>
        <w:t>Stiller K. Physiotherapy in Intensive Care. </w:t>
      </w:r>
      <w:r>
        <w:rPr>
          <w:b/>
          <w:i/>
        </w:rPr>
        <w:t>Chest </w:t>
      </w:r>
      <w:r>
        <w:rPr/>
        <w:t>2000; </w:t>
      </w:r>
      <w:r>
        <w:rPr>
          <w:i/>
        </w:rPr>
        <w:t>118 </w:t>
      </w:r>
      <w:r>
        <w:rPr/>
        <w:t>(6): 1801–1813.</w:t>
      </w:r>
    </w:p>
    <w:p>
      <w:pPr>
        <w:pStyle w:val="BodyText"/>
        <w:spacing w:before="2"/>
        <w:rPr>
          <w:sz w:val="25"/>
        </w:rPr>
      </w:pPr>
    </w:p>
    <w:p>
      <w:pPr>
        <w:spacing w:line="357" w:lineRule="auto" w:before="0"/>
        <w:ind w:left="1068" w:right="189" w:hanging="480"/>
        <w:jc w:val="both"/>
        <w:rPr>
          <w:sz w:val="22"/>
        </w:rPr>
      </w:pPr>
      <w:r>
        <w:rPr>
          <w:sz w:val="22"/>
        </w:rPr>
        <w:t>Teodor P. Grantcharov JR. Vertical Compared with Transverse Incisions in Abdominal Surgery. </w:t>
      </w:r>
      <w:r>
        <w:rPr>
          <w:b/>
          <w:i/>
          <w:sz w:val="22"/>
        </w:rPr>
        <w:t>The European Journal of Surgery </w:t>
      </w:r>
      <w:r>
        <w:rPr>
          <w:sz w:val="22"/>
        </w:rPr>
        <w:t>2011;</w:t>
      </w:r>
    </w:p>
    <w:p>
      <w:pPr>
        <w:pStyle w:val="BodyText"/>
        <w:spacing w:line="357" w:lineRule="auto" w:before="166"/>
        <w:ind w:left="1068" w:right="185" w:hanging="480"/>
        <w:jc w:val="both"/>
      </w:pPr>
      <w:r>
        <w:rPr/>
        <w:t>Tyson AF, Kendig CE, Mabedi C, Cairns BA, Charles AG. The Effect of Incentive Spirometry on Postoperative Pulmonary Function Following Laparotomy. </w:t>
      </w:r>
      <w:r>
        <w:rPr>
          <w:b/>
          <w:i/>
        </w:rPr>
        <w:t>JAMA </w:t>
      </w:r>
      <w:r>
        <w:rPr>
          <w:b/>
          <w:i/>
        </w:rPr>
        <w:t>Surgery </w:t>
      </w:r>
      <w:r>
        <w:rPr/>
        <w:t>2015; </w:t>
      </w:r>
      <w:r>
        <w:rPr>
          <w:i/>
        </w:rPr>
        <w:t>150 </w:t>
      </w:r>
      <w:r>
        <w:rPr/>
        <w:t>(3): 229.</w:t>
      </w:r>
    </w:p>
    <w:p>
      <w:pPr>
        <w:pStyle w:val="BodyText"/>
        <w:spacing w:line="357" w:lineRule="auto" w:before="168"/>
        <w:ind w:left="1068" w:right="192" w:hanging="480"/>
        <w:jc w:val="both"/>
      </w:pPr>
      <w:r>
        <w:rPr/>
        <w:t>Weiner P, Magadle R, Beckerman M, Weiner M, Berar-Yanay N. (a). Comparison </w:t>
      </w:r>
      <w:r>
        <w:rPr>
          <w:spacing w:val="-3"/>
        </w:rPr>
        <w:t>of </w:t>
      </w:r>
      <w:r>
        <w:rPr/>
        <w:t>Specific</w:t>
      </w:r>
      <w:r>
        <w:rPr>
          <w:spacing w:val="-17"/>
        </w:rPr>
        <w:t> </w:t>
      </w:r>
      <w:r>
        <w:rPr/>
        <w:t>Expiratory,</w:t>
      </w:r>
      <w:r>
        <w:rPr>
          <w:spacing w:val="-16"/>
        </w:rPr>
        <w:t> </w:t>
      </w:r>
      <w:r>
        <w:rPr/>
        <w:t>Inspiratory,</w:t>
      </w:r>
      <w:r>
        <w:rPr>
          <w:spacing w:val="-15"/>
        </w:rPr>
        <w:t> </w:t>
      </w:r>
      <w:r>
        <w:rPr/>
        <w:t>and</w:t>
      </w:r>
      <w:r>
        <w:rPr>
          <w:spacing w:val="-17"/>
        </w:rPr>
        <w:t> </w:t>
      </w:r>
      <w:r>
        <w:rPr/>
        <w:t>Combined</w:t>
      </w:r>
      <w:r>
        <w:rPr>
          <w:spacing w:val="-16"/>
        </w:rPr>
        <w:t> </w:t>
      </w:r>
      <w:r>
        <w:rPr/>
        <w:t>Muscle</w:t>
      </w:r>
      <w:r>
        <w:rPr>
          <w:spacing w:val="-17"/>
        </w:rPr>
        <w:t> </w:t>
      </w:r>
      <w:r>
        <w:rPr/>
        <w:t>Training</w:t>
      </w:r>
      <w:r>
        <w:rPr>
          <w:spacing w:val="-14"/>
        </w:rPr>
        <w:t> </w:t>
      </w:r>
      <w:r>
        <w:rPr/>
        <w:t>Programs</w:t>
      </w:r>
      <w:r>
        <w:rPr>
          <w:spacing w:val="-17"/>
        </w:rPr>
        <w:t> </w:t>
      </w:r>
      <w:r>
        <w:rPr/>
        <w:t>in</w:t>
      </w:r>
      <w:r>
        <w:rPr>
          <w:spacing w:val="-16"/>
        </w:rPr>
        <w:t> </w:t>
      </w:r>
      <w:r>
        <w:rPr/>
        <w:t>COPD. </w:t>
      </w:r>
      <w:r>
        <w:rPr>
          <w:b/>
          <w:i/>
        </w:rPr>
        <w:t>Chest </w:t>
      </w:r>
      <w:r>
        <w:rPr/>
        <w:t>2003; </w:t>
      </w:r>
      <w:r>
        <w:rPr>
          <w:i/>
        </w:rPr>
        <w:t>124 </w:t>
      </w:r>
      <w:r>
        <w:rPr/>
        <w:t>(4):</w:t>
      </w:r>
      <w:r>
        <w:rPr>
          <w:spacing w:val="-3"/>
        </w:rPr>
        <w:t> </w:t>
      </w:r>
      <w:r>
        <w:rPr/>
        <w:t>1357–1364.</w:t>
      </w:r>
    </w:p>
    <w:p>
      <w:pPr>
        <w:pStyle w:val="BodyText"/>
        <w:spacing w:line="357" w:lineRule="auto" w:before="167"/>
        <w:ind w:left="1068" w:right="187" w:hanging="480"/>
        <w:jc w:val="both"/>
      </w:pPr>
      <w:r>
        <w:rPr/>
        <w:t>Weiner</w:t>
      </w:r>
      <w:r>
        <w:rPr>
          <w:spacing w:val="-5"/>
        </w:rPr>
        <w:t> </w:t>
      </w:r>
      <w:r>
        <w:rPr/>
        <w:t>P,</w:t>
      </w:r>
      <w:r>
        <w:rPr>
          <w:spacing w:val="-5"/>
        </w:rPr>
        <w:t> </w:t>
      </w:r>
      <w:r>
        <w:rPr/>
        <w:t>Magadle</w:t>
      </w:r>
      <w:r>
        <w:rPr>
          <w:spacing w:val="-3"/>
        </w:rPr>
        <w:t> </w:t>
      </w:r>
      <w:r>
        <w:rPr/>
        <w:t>R,</w:t>
      </w:r>
      <w:r>
        <w:rPr>
          <w:spacing w:val="-5"/>
        </w:rPr>
        <w:t> </w:t>
      </w:r>
      <w:r>
        <w:rPr/>
        <w:t>Beckerman</w:t>
      </w:r>
      <w:r>
        <w:rPr>
          <w:spacing w:val="-6"/>
        </w:rPr>
        <w:t> </w:t>
      </w:r>
      <w:r>
        <w:rPr/>
        <w:t>M,</w:t>
      </w:r>
      <w:r>
        <w:rPr>
          <w:spacing w:val="-10"/>
        </w:rPr>
        <w:t> </w:t>
      </w:r>
      <w:r>
        <w:rPr/>
        <w:t>Weiner</w:t>
      </w:r>
      <w:r>
        <w:rPr>
          <w:spacing w:val="-4"/>
        </w:rPr>
        <w:t> </w:t>
      </w:r>
      <w:r>
        <w:rPr/>
        <w:t>M,</w:t>
      </w:r>
      <w:r>
        <w:rPr>
          <w:spacing w:val="-5"/>
        </w:rPr>
        <w:t> </w:t>
      </w:r>
      <w:r>
        <w:rPr/>
        <w:t>Berar-Yanay</w:t>
      </w:r>
      <w:r>
        <w:rPr>
          <w:spacing w:val="-5"/>
        </w:rPr>
        <w:t> </w:t>
      </w:r>
      <w:r>
        <w:rPr/>
        <w:t>N.</w:t>
      </w:r>
      <w:r>
        <w:rPr>
          <w:spacing w:val="-5"/>
        </w:rPr>
        <w:t> </w:t>
      </w:r>
      <w:r>
        <w:rPr/>
        <w:t>(b).</w:t>
      </w:r>
      <w:r>
        <w:rPr>
          <w:spacing w:val="-4"/>
        </w:rPr>
        <w:t> </w:t>
      </w:r>
      <w:r>
        <w:rPr/>
        <w:t>Specific</w:t>
      </w:r>
      <w:r>
        <w:rPr>
          <w:spacing w:val="-6"/>
        </w:rPr>
        <w:t> </w:t>
      </w:r>
      <w:r>
        <w:rPr/>
        <w:t>Expiratory Muscle Training in COPD. </w:t>
      </w:r>
      <w:r>
        <w:rPr>
          <w:b/>
          <w:i/>
        </w:rPr>
        <w:t>Chest </w:t>
      </w:r>
      <w:r>
        <w:rPr/>
        <w:t>2003; </w:t>
      </w:r>
      <w:r>
        <w:rPr>
          <w:i/>
        </w:rPr>
        <w:t>124 </w:t>
      </w:r>
      <w:r>
        <w:rPr/>
        <w:t>(2):</w:t>
      </w:r>
      <w:r>
        <w:rPr>
          <w:spacing w:val="-5"/>
        </w:rPr>
        <w:t> </w:t>
      </w:r>
      <w:r>
        <w:rPr/>
        <w:t>468–473.</w:t>
      </w:r>
    </w:p>
    <w:p>
      <w:pPr>
        <w:pStyle w:val="BodyText"/>
        <w:spacing w:before="164"/>
        <w:ind w:left="588"/>
        <w:jc w:val="both"/>
      </w:pPr>
      <w:r>
        <w:rPr/>
        <w:t>Williams NS, Johnston D. The quality of life after rectal excision for low rectal cancer.</w:t>
      </w:r>
    </w:p>
    <w:p>
      <w:pPr>
        <w:spacing w:before="126"/>
        <w:ind w:left="1068" w:right="0" w:firstLine="0"/>
        <w:jc w:val="both"/>
        <w:rPr>
          <w:sz w:val="22"/>
        </w:rPr>
      </w:pPr>
      <w:r>
        <w:rPr>
          <w:b/>
          <w:i/>
          <w:sz w:val="22"/>
        </w:rPr>
        <w:t>The British journal of surgery </w:t>
      </w:r>
      <w:r>
        <w:rPr>
          <w:sz w:val="22"/>
        </w:rPr>
        <w:t>1983; </w:t>
      </w:r>
      <w:r>
        <w:rPr>
          <w:i/>
          <w:sz w:val="22"/>
        </w:rPr>
        <w:t>70 </w:t>
      </w:r>
      <w:r>
        <w:rPr>
          <w:sz w:val="22"/>
        </w:rPr>
        <w:t>(8): 460–462.</w:t>
      </w:r>
    </w:p>
    <w:p>
      <w:pPr>
        <w:pStyle w:val="BodyText"/>
        <w:spacing w:before="11"/>
        <w:rPr>
          <w:sz w:val="24"/>
        </w:rPr>
      </w:pPr>
    </w:p>
    <w:p>
      <w:pPr>
        <w:pStyle w:val="BodyText"/>
        <w:ind w:left="588"/>
        <w:jc w:val="both"/>
        <w:rPr>
          <w:b/>
          <w:i/>
        </w:rPr>
      </w:pPr>
      <w:r>
        <w:rPr/>
        <w:t>Wong WP. Physical therapy for a patient in acute respiratory failure. </w:t>
      </w:r>
      <w:r>
        <w:rPr>
          <w:b/>
          <w:i/>
        </w:rPr>
        <w:t>Physical therapy</w:t>
      </w:r>
    </w:p>
    <w:p>
      <w:pPr>
        <w:pStyle w:val="BodyText"/>
        <w:spacing w:before="124"/>
        <w:ind w:left="1068"/>
        <w:jc w:val="both"/>
      </w:pPr>
      <w:r>
        <w:rPr/>
        <w:t>2000; </w:t>
      </w:r>
      <w:r>
        <w:rPr>
          <w:i/>
        </w:rPr>
        <w:t>80 </w:t>
      </w:r>
      <w:r>
        <w:rPr/>
        <w:t>(7): 662–670.</w:t>
      </w:r>
    </w:p>
    <w:p>
      <w:pPr>
        <w:pStyle w:val="BodyText"/>
        <w:spacing w:before="2"/>
        <w:rPr>
          <w:sz w:val="25"/>
        </w:rPr>
      </w:pPr>
    </w:p>
    <w:p>
      <w:pPr>
        <w:pStyle w:val="BodyText"/>
        <w:spacing w:line="357" w:lineRule="auto"/>
        <w:ind w:left="1068" w:right="197" w:hanging="480"/>
        <w:jc w:val="both"/>
      </w:pPr>
      <w:r>
        <w:rPr/>
        <w:t>Yilmaz M, Gürler H. Hastalarin ameliyat sonrasi yaşadiklari aǧriya yönelik hemşirelik yaklaşimlari: Hasta görüşleri. </w:t>
      </w:r>
      <w:r>
        <w:rPr>
          <w:b/>
          <w:i/>
        </w:rPr>
        <w:t>Agri </w:t>
      </w:r>
      <w:r>
        <w:rPr/>
        <w:t>2011; </w:t>
      </w:r>
      <w:r>
        <w:rPr>
          <w:i/>
        </w:rPr>
        <w:t>23 </w:t>
      </w:r>
      <w:r>
        <w:rPr/>
        <w:t>(2): 71–79.</w:t>
      </w:r>
    </w:p>
    <w:p>
      <w:pPr>
        <w:pStyle w:val="BodyText"/>
        <w:spacing w:line="360" w:lineRule="auto" w:before="165"/>
        <w:ind w:left="1068" w:right="194" w:hanging="480"/>
        <w:jc w:val="both"/>
      </w:pPr>
      <w:r>
        <w:rPr/>
        <w:t>Zugor V, Miskovic I, Lausen B, Matzel K, Hohenberger W, Schreiber M, … Schott GE. Sexual Dysfunction after Rectal Surgery: A Retrospective Study of Men without Disease Recurrence. </w:t>
      </w:r>
      <w:r>
        <w:rPr>
          <w:b/>
          <w:i/>
        </w:rPr>
        <w:t>The Journal of Sexual Medicine </w:t>
      </w:r>
      <w:r>
        <w:rPr/>
        <w:t>2010; </w:t>
      </w:r>
      <w:r>
        <w:rPr>
          <w:i/>
        </w:rPr>
        <w:t>7 </w:t>
      </w:r>
      <w:r>
        <w:rPr/>
        <w:t>(9): 3199–3205.</w:t>
      </w:r>
    </w:p>
    <w:p>
      <w:pPr>
        <w:spacing w:after="0" w:line="360" w:lineRule="auto"/>
        <w:jc w:val="both"/>
        <w:sectPr>
          <w:pgSz w:w="11910" w:h="16840"/>
          <w:pgMar w:header="749" w:footer="0" w:top="960" w:bottom="280" w:left="1680" w:right="9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3"/>
        </w:rPr>
      </w:pPr>
    </w:p>
    <w:p>
      <w:pPr>
        <w:pStyle w:val="Heading2"/>
        <w:numPr>
          <w:ilvl w:val="0"/>
          <w:numId w:val="6"/>
        </w:numPr>
        <w:tabs>
          <w:tab w:pos="834" w:val="left" w:leader="none"/>
        </w:tabs>
        <w:spacing w:line="240" w:lineRule="auto" w:before="94" w:after="0"/>
        <w:ind w:left="833" w:right="0" w:hanging="246"/>
        <w:jc w:val="left"/>
      </w:pPr>
      <w:bookmarkStart w:name="_bookmark54" w:id="101"/>
      <w:bookmarkEnd w:id="101"/>
      <w:r>
        <w:rPr>
          <w:b w:val="0"/>
        </w:rPr>
      </w:r>
      <w:bookmarkStart w:name="_bookmark54" w:id="102"/>
      <w:bookmarkEnd w:id="102"/>
      <w:r>
        <w:rPr/>
        <w:t>ÖZGE</w:t>
      </w:r>
      <w:r>
        <w:rPr/>
        <w:t>ÇMİŞ</w:t>
      </w:r>
    </w:p>
    <w:p>
      <w:pPr>
        <w:pStyle w:val="BodyText"/>
        <w:rPr>
          <w:b/>
          <w:sz w:val="24"/>
        </w:rPr>
      </w:pPr>
    </w:p>
    <w:p>
      <w:pPr>
        <w:pStyle w:val="BodyText"/>
        <w:spacing w:before="1"/>
        <w:rPr>
          <w:b/>
          <w:sz w:val="34"/>
        </w:rPr>
      </w:pPr>
    </w:p>
    <w:p>
      <w:pPr>
        <w:pStyle w:val="BodyText"/>
        <w:spacing w:line="360" w:lineRule="auto"/>
        <w:ind w:left="1068" w:right="190"/>
        <w:jc w:val="both"/>
      </w:pPr>
      <w:r>
        <w:rPr/>
        <w:t>Nisan,1993 yılında Darende/Malatya’da doğdu. Lise öğrenimini Ebistan/KAHRAMANMARAŞ’ta Elbistan Anadolu Lisesi’nde tamamladı. 2016 yılında Dokuz Eylül Üniversitesi Fizik Tedavi ve Rehabilitasyon Yüksekokulu’ndan mezun</w:t>
      </w:r>
      <w:r>
        <w:rPr>
          <w:spacing w:val="-16"/>
        </w:rPr>
        <w:t> </w:t>
      </w:r>
      <w:r>
        <w:rPr/>
        <w:t>oldu.</w:t>
      </w:r>
      <w:r>
        <w:rPr>
          <w:spacing w:val="-13"/>
        </w:rPr>
        <w:t> </w:t>
      </w:r>
      <w:r>
        <w:rPr/>
        <w:t>Nazilli/AYDIN’da</w:t>
      </w:r>
      <w:r>
        <w:rPr>
          <w:spacing w:val="-15"/>
        </w:rPr>
        <w:t> </w:t>
      </w:r>
      <w:r>
        <w:rPr/>
        <w:t>fizik</w:t>
      </w:r>
      <w:r>
        <w:rPr>
          <w:spacing w:val="-14"/>
        </w:rPr>
        <w:t> </w:t>
      </w:r>
      <w:r>
        <w:rPr/>
        <w:t>tedavi</w:t>
      </w:r>
      <w:r>
        <w:rPr>
          <w:spacing w:val="-15"/>
        </w:rPr>
        <w:t> </w:t>
      </w:r>
      <w:r>
        <w:rPr/>
        <w:t>dal</w:t>
      </w:r>
      <w:r>
        <w:rPr>
          <w:spacing w:val="-15"/>
        </w:rPr>
        <w:t> </w:t>
      </w:r>
      <w:r>
        <w:rPr/>
        <w:t>merkezinde</w:t>
      </w:r>
      <w:r>
        <w:rPr>
          <w:spacing w:val="-14"/>
        </w:rPr>
        <w:t> </w:t>
      </w:r>
      <w:r>
        <w:rPr/>
        <w:t>fizyoterapist</w:t>
      </w:r>
      <w:r>
        <w:rPr>
          <w:spacing w:val="-14"/>
        </w:rPr>
        <w:t> </w:t>
      </w:r>
      <w:r>
        <w:rPr/>
        <w:t>olarak</w:t>
      </w:r>
      <w:r>
        <w:rPr>
          <w:spacing w:val="-14"/>
        </w:rPr>
        <w:t> </w:t>
      </w:r>
      <w:r>
        <w:rPr/>
        <w:t>çalıştı. 2017 yılında Pamukkale Üniversitesi Fizik Tedavi ve Rehabilitasyon Yükseokulu’nda yüksek lisans eğitimine başladı. Mart 2018’de Tunceli Munzur Üniversitesine</w:t>
      </w:r>
      <w:r>
        <w:rPr>
          <w:spacing w:val="-16"/>
        </w:rPr>
        <w:t> </w:t>
      </w:r>
      <w:r>
        <w:rPr/>
        <w:t>Araştırma</w:t>
      </w:r>
      <w:r>
        <w:rPr>
          <w:spacing w:val="-16"/>
        </w:rPr>
        <w:t> </w:t>
      </w:r>
      <w:r>
        <w:rPr/>
        <w:t>Görevlisi</w:t>
      </w:r>
      <w:r>
        <w:rPr>
          <w:spacing w:val="-16"/>
        </w:rPr>
        <w:t> </w:t>
      </w:r>
      <w:r>
        <w:rPr/>
        <w:t>olarak</w:t>
      </w:r>
      <w:r>
        <w:rPr>
          <w:spacing w:val="-11"/>
        </w:rPr>
        <w:t> </w:t>
      </w:r>
      <w:r>
        <w:rPr/>
        <w:t>atandı.</w:t>
      </w:r>
      <w:r>
        <w:rPr>
          <w:spacing w:val="-13"/>
        </w:rPr>
        <w:t> </w:t>
      </w:r>
      <w:r>
        <w:rPr/>
        <w:t>Nisan</w:t>
      </w:r>
      <w:r>
        <w:rPr>
          <w:spacing w:val="-15"/>
        </w:rPr>
        <w:t> </w:t>
      </w:r>
      <w:r>
        <w:rPr/>
        <w:t>2018’den</w:t>
      </w:r>
      <w:r>
        <w:rPr>
          <w:spacing w:val="-15"/>
        </w:rPr>
        <w:t> </w:t>
      </w:r>
      <w:r>
        <w:rPr/>
        <w:t>itibaren</w:t>
      </w:r>
      <w:r>
        <w:rPr>
          <w:spacing w:val="-15"/>
        </w:rPr>
        <w:t> </w:t>
      </w:r>
      <w:r>
        <w:rPr/>
        <w:t>PAÜ</w:t>
      </w:r>
      <w:r>
        <w:rPr>
          <w:spacing w:val="-15"/>
        </w:rPr>
        <w:t> </w:t>
      </w:r>
      <w:r>
        <w:rPr/>
        <w:t>Fizik Tedavi ve Rehabilitasyon Yüksekokulu’nda görevine devam etmektedir. Kardiyopulmoner rehabilitasyon alanında çalışmalarını</w:t>
      </w:r>
      <w:r>
        <w:rPr>
          <w:spacing w:val="-7"/>
        </w:rPr>
        <w:t> </w:t>
      </w:r>
      <w:r>
        <w:rPr/>
        <w:t>sürdürmektedir.</w:t>
      </w:r>
    </w:p>
    <w:p>
      <w:pPr>
        <w:spacing w:after="0" w:line="360" w:lineRule="auto"/>
        <w:jc w:val="both"/>
        <w:sectPr>
          <w:pgSz w:w="11910" w:h="16840"/>
          <w:pgMar w:header="749" w:footer="0" w:top="960" w:bottom="280" w:left="1680" w:right="940"/>
        </w:sectPr>
      </w:pPr>
    </w:p>
    <w:p>
      <w:pPr>
        <w:pStyle w:val="BodyText"/>
        <w:rPr>
          <w:sz w:val="20"/>
        </w:rPr>
      </w:pPr>
    </w:p>
    <w:p>
      <w:pPr>
        <w:pStyle w:val="BodyText"/>
        <w:rPr>
          <w:sz w:val="20"/>
        </w:rPr>
      </w:pPr>
    </w:p>
    <w:p>
      <w:pPr>
        <w:pStyle w:val="BodyText"/>
        <w:rPr>
          <w:sz w:val="20"/>
        </w:rPr>
      </w:pPr>
    </w:p>
    <w:p>
      <w:pPr>
        <w:pStyle w:val="BodyText"/>
        <w:spacing w:before="4"/>
        <w:rPr>
          <w:sz w:val="16"/>
        </w:rPr>
      </w:pPr>
    </w:p>
    <w:p>
      <w:pPr>
        <w:pStyle w:val="Heading2"/>
        <w:numPr>
          <w:ilvl w:val="0"/>
          <w:numId w:val="6"/>
        </w:numPr>
        <w:tabs>
          <w:tab w:pos="836" w:val="left" w:leader="none"/>
        </w:tabs>
        <w:spacing w:line="240" w:lineRule="auto" w:before="94" w:after="0"/>
        <w:ind w:left="835" w:right="0" w:hanging="248"/>
        <w:jc w:val="left"/>
      </w:pPr>
      <w:bookmarkStart w:name="_bookmark55" w:id="103"/>
      <w:bookmarkEnd w:id="103"/>
      <w:r>
        <w:rPr>
          <w:b w:val="0"/>
        </w:rPr>
      </w:r>
      <w:bookmarkStart w:name="_bookmark55" w:id="104"/>
      <w:bookmarkEnd w:id="104"/>
      <w:r>
        <w:rPr/>
        <w:t>E</w:t>
      </w:r>
      <w:r>
        <w:rPr/>
        <w:t>KLER</w:t>
      </w:r>
    </w:p>
    <w:p>
      <w:pPr>
        <w:spacing w:after="0" w:line="240" w:lineRule="auto"/>
        <w:jc w:val="left"/>
        <w:sectPr>
          <w:headerReference w:type="default" r:id="rId50"/>
          <w:pgSz w:w="11910" w:h="16840"/>
          <w:pgMar w:header="0" w:footer="0" w:top="1580" w:bottom="280" w:left="1680" w:right="940"/>
        </w:sectPr>
      </w:pPr>
    </w:p>
    <w:p>
      <w:pPr>
        <w:pStyle w:val="BodyText"/>
        <w:spacing w:before="6"/>
        <w:rPr>
          <w:b/>
        </w:rPr>
      </w:pPr>
    </w:p>
    <w:p>
      <w:pPr>
        <w:spacing w:before="94"/>
        <w:ind w:left="588" w:right="0" w:firstLine="0"/>
        <w:jc w:val="left"/>
        <w:rPr>
          <w:b/>
          <w:sz w:val="22"/>
        </w:rPr>
      </w:pPr>
      <w:r>
        <w:rPr>
          <w:b/>
          <w:sz w:val="22"/>
        </w:rPr>
        <w:t>EK-1 Etik Kurul Onay Formu</w:t>
      </w:r>
    </w:p>
    <w:p>
      <w:pPr>
        <w:pStyle w:val="BodyText"/>
        <w:rPr>
          <w:b/>
          <w:sz w:val="20"/>
        </w:rPr>
      </w:pPr>
    </w:p>
    <w:p>
      <w:pPr>
        <w:pStyle w:val="BodyText"/>
        <w:rPr>
          <w:b/>
          <w:sz w:val="20"/>
        </w:rPr>
      </w:pPr>
    </w:p>
    <w:p>
      <w:pPr>
        <w:pStyle w:val="BodyText"/>
        <w:rPr>
          <w:b/>
          <w:sz w:val="20"/>
        </w:rPr>
      </w:pPr>
    </w:p>
    <w:p>
      <w:pPr>
        <w:pStyle w:val="BodyText"/>
        <w:spacing w:before="9"/>
        <w:rPr>
          <w:b/>
          <w:sz w:val="18"/>
        </w:rPr>
      </w:pPr>
      <w:r>
        <w:rPr/>
        <w:drawing>
          <wp:anchor distT="0" distB="0" distL="0" distR="0" allowOverlap="1" layoutInCell="1" locked="0" behindDoc="0" simplePos="0" relativeHeight="59">
            <wp:simplePos x="0" y="0"/>
            <wp:positionH relativeFrom="page">
              <wp:posOffset>1440180</wp:posOffset>
            </wp:positionH>
            <wp:positionV relativeFrom="paragraph">
              <wp:posOffset>162178</wp:posOffset>
            </wp:positionV>
            <wp:extent cx="5437096" cy="6904863"/>
            <wp:effectExtent l="0" t="0" r="0" b="0"/>
            <wp:wrapTopAndBottom/>
            <wp:docPr id="21" name="image39.jpeg"/>
            <wp:cNvGraphicFramePr>
              <a:graphicFrameLocks noChangeAspect="1"/>
            </wp:cNvGraphicFramePr>
            <a:graphic>
              <a:graphicData uri="http://schemas.openxmlformats.org/drawingml/2006/picture">
                <pic:pic>
                  <pic:nvPicPr>
                    <pic:cNvPr id="22" name="image39.jpeg"/>
                    <pic:cNvPicPr/>
                  </pic:nvPicPr>
                  <pic:blipFill>
                    <a:blip r:embed="rId52" cstate="print"/>
                    <a:stretch>
                      <a:fillRect/>
                    </a:stretch>
                  </pic:blipFill>
                  <pic:spPr>
                    <a:xfrm>
                      <a:off x="0" y="0"/>
                      <a:ext cx="5437096" cy="6904863"/>
                    </a:xfrm>
                    <a:prstGeom prst="rect">
                      <a:avLst/>
                    </a:prstGeom>
                  </pic:spPr>
                </pic:pic>
              </a:graphicData>
            </a:graphic>
          </wp:anchor>
        </w:drawing>
      </w:r>
    </w:p>
    <w:p>
      <w:pPr>
        <w:spacing w:after="0"/>
        <w:rPr>
          <w:sz w:val="18"/>
        </w:rPr>
        <w:sectPr>
          <w:headerReference w:type="default" r:id="rId51"/>
          <w:pgSz w:w="11910" w:h="16840"/>
          <w:pgMar w:header="0" w:footer="0" w:top="1580" w:bottom="280" w:left="1680" w:right="940"/>
        </w:sectPr>
      </w:pPr>
    </w:p>
    <w:p>
      <w:pPr>
        <w:pStyle w:val="BodyText"/>
        <w:spacing w:before="6"/>
        <w:rPr>
          <w:b/>
        </w:rPr>
      </w:pPr>
    </w:p>
    <w:p>
      <w:pPr>
        <w:spacing w:before="94"/>
        <w:ind w:left="588" w:right="0" w:firstLine="0"/>
        <w:jc w:val="left"/>
        <w:rPr>
          <w:b/>
          <w:sz w:val="22"/>
        </w:rPr>
      </w:pPr>
      <w:r>
        <w:rPr>
          <w:b/>
          <w:sz w:val="22"/>
        </w:rPr>
        <w:t>Ek.2 Demografik Bilgiler</w:t>
      </w:r>
    </w:p>
    <w:p>
      <w:pPr>
        <w:pStyle w:val="BodyText"/>
        <w:spacing w:before="8"/>
        <w:rPr>
          <w:b/>
          <w:sz w:val="24"/>
        </w:rPr>
      </w:pPr>
    </w:p>
    <w:p>
      <w:pPr>
        <w:spacing w:before="1"/>
        <w:ind w:left="1443" w:right="1047" w:firstLine="0"/>
        <w:jc w:val="center"/>
        <w:rPr>
          <w:b/>
          <w:sz w:val="22"/>
        </w:rPr>
      </w:pPr>
      <w:r>
        <w:rPr>
          <w:b/>
          <w:sz w:val="22"/>
        </w:rPr>
        <w:t>HASTA DEĞERLENDİRME FORMU</w:t>
      </w:r>
    </w:p>
    <w:p>
      <w:pPr>
        <w:pStyle w:val="BodyText"/>
        <w:rPr>
          <w:b/>
          <w:sz w:val="20"/>
        </w:rPr>
      </w:pPr>
    </w:p>
    <w:p>
      <w:pPr>
        <w:pStyle w:val="BodyText"/>
        <w:rPr>
          <w:b/>
          <w:sz w:val="20"/>
        </w:rPr>
      </w:pPr>
    </w:p>
    <w:p>
      <w:pPr>
        <w:pStyle w:val="BodyText"/>
        <w:spacing w:before="11"/>
        <w:rPr>
          <w:b/>
          <w:sz w:val="23"/>
        </w:rPr>
      </w:pPr>
    </w:p>
    <w:p>
      <w:pPr>
        <w:pStyle w:val="BodyText"/>
        <w:spacing w:before="94"/>
        <w:ind w:right="190"/>
        <w:jc w:val="right"/>
      </w:pPr>
      <w:r>
        <w:rPr/>
        <w:t>Tarih…../…./…….</w:t>
      </w:r>
    </w:p>
    <w:p>
      <w:pPr>
        <w:pStyle w:val="BodyText"/>
        <w:spacing w:before="10"/>
        <w:rPr>
          <w:sz w:val="24"/>
        </w:rPr>
      </w:pPr>
    </w:p>
    <w:p>
      <w:pPr>
        <w:pStyle w:val="BodyText"/>
        <w:tabs>
          <w:tab w:pos="6921" w:val="left" w:leader="none"/>
        </w:tabs>
        <w:spacing w:before="1"/>
        <w:ind w:left="588"/>
      </w:pPr>
      <w:r>
        <w:rPr/>
        <w:t>Ad, Soyad:</w:t>
        <w:tab/>
        <w:t>Boy:</w:t>
      </w:r>
    </w:p>
    <w:p>
      <w:pPr>
        <w:pStyle w:val="BodyText"/>
        <w:spacing w:before="10"/>
        <w:rPr>
          <w:sz w:val="24"/>
        </w:rPr>
      </w:pPr>
    </w:p>
    <w:p>
      <w:pPr>
        <w:pStyle w:val="BodyText"/>
        <w:tabs>
          <w:tab w:pos="7016" w:val="left" w:leader="none"/>
        </w:tabs>
        <w:spacing w:before="1"/>
        <w:ind w:left="588"/>
      </w:pPr>
      <w:r>
        <w:rPr/>
        <w:t>Yaş:</w:t>
        <w:tab/>
        <w:t>Kilo:</w:t>
      </w:r>
    </w:p>
    <w:p>
      <w:pPr>
        <w:pStyle w:val="BodyText"/>
        <w:spacing w:before="9"/>
        <w:rPr>
          <w:sz w:val="24"/>
        </w:rPr>
      </w:pPr>
    </w:p>
    <w:p>
      <w:pPr>
        <w:pStyle w:val="BodyText"/>
        <w:tabs>
          <w:tab w:pos="6913" w:val="left" w:leader="none"/>
        </w:tabs>
        <w:ind w:left="588"/>
      </w:pPr>
      <w:r>
        <w:rPr/>
        <w:t>Meslek:</w:t>
        <w:tab/>
        <w:t>Eğitim</w:t>
      </w:r>
      <w:r>
        <w:rPr>
          <w:spacing w:val="-2"/>
        </w:rPr>
        <w:t> </w:t>
      </w:r>
      <w:r>
        <w:rPr/>
        <w:t>durumu:</w:t>
      </w:r>
    </w:p>
    <w:p>
      <w:pPr>
        <w:pStyle w:val="BodyText"/>
        <w:spacing w:before="11"/>
        <w:rPr>
          <w:sz w:val="24"/>
        </w:rPr>
      </w:pPr>
    </w:p>
    <w:p>
      <w:pPr>
        <w:pStyle w:val="BodyText"/>
        <w:spacing w:line="511" w:lineRule="auto"/>
        <w:ind w:left="588" w:right="7642"/>
      </w:pPr>
      <w:r>
        <w:rPr/>
        <w:t>Tanı: Özgeçmiş:</w:t>
      </w:r>
    </w:p>
    <w:p>
      <w:pPr>
        <w:pStyle w:val="BodyText"/>
        <w:spacing w:line="511" w:lineRule="auto" w:before="2"/>
        <w:ind w:left="588" w:right="7006"/>
      </w:pPr>
      <w:r>
        <w:rPr/>
        <w:t>Soy geçmiş: Kullandığı ilaçlar:</w:t>
      </w:r>
    </w:p>
    <w:p>
      <w:pPr>
        <w:pStyle w:val="BodyText"/>
        <w:spacing w:line="513" w:lineRule="auto"/>
        <w:ind w:left="588" w:right="6419"/>
      </w:pPr>
      <w:r>
        <w:rPr/>
        <w:t>Geçirdiği operasyonlar: Gördüğü tedaviler Alışkanlıklar:</w:t>
      </w:r>
    </w:p>
    <w:tbl>
      <w:tblPr>
        <w:tblW w:w="0" w:type="auto"/>
        <w:jc w:val="left"/>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84"/>
        <w:gridCol w:w="2576"/>
        <w:gridCol w:w="1592"/>
        <w:gridCol w:w="2314"/>
      </w:tblGrid>
      <w:tr>
        <w:trPr>
          <w:trHeight w:val="385" w:hRule="atLeast"/>
        </w:trPr>
        <w:tc>
          <w:tcPr>
            <w:tcW w:w="2084" w:type="dxa"/>
          </w:tcPr>
          <w:p>
            <w:pPr>
              <w:pStyle w:val="TableParagraph"/>
              <w:rPr>
                <w:rFonts w:ascii="Times New Roman"/>
                <w:sz w:val="22"/>
              </w:rPr>
            </w:pPr>
          </w:p>
        </w:tc>
        <w:tc>
          <w:tcPr>
            <w:tcW w:w="2576" w:type="dxa"/>
          </w:tcPr>
          <w:p>
            <w:pPr>
              <w:pStyle w:val="TableParagraph"/>
              <w:spacing w:line="248" w:lineRule="exact"/>
              <w:ind w:left="1088" w:right="1083"/>
              <w:jc w:val="center"/>
              <w:rPr>
                <w:b/>
                <w:sz w:val="22"/>
              </w:rPr>
            </w:pPr>
            <w:r>
              <w:rPr>
                <w:b/>
                <w:sz w:val="22"/>
              </w:rPr>
              <w:t>Var</w:t>
            </w:r>
          </w:p>
        </w:tc>
        <w:tc>
          <w:tcPr>
            <w:tcW w:w="1592" w:type="dxa"/>
          </w:tcPr>
          <w:p>
            <w:pPr>
              <w:pStyle w:val="TableParagraph"/>
              <w:spacing w:line="248" w:lineRule="exact"/>
              <w:ind w:left="569" w:right="568"/>
              <w:jc w:val="center"/>
              <w:rPr>
                <w:b/>
                <w:sz w:val="22"/>
              </w:rPr>
            </w:pPr>
            <w:r>
              <w:rPr>
                <w:b/>
                <w:sz w:val="22"/>
              </w:rPr>
              <w:t>Yok</w:t>
            </w:r>
          </w:p>
        </w:tc>
        <w:tc>
          <w:tcPr>
            <w:tcW w:w="2314" w:type="dxa"/>
          </w:tcPr>
          <w:p>
            <w:pPr>
              <w:pStyle w:val="TableParagraph"/>
              <w:spacing w:before="62"/>
              <w:ind w:left="618" w:right="606"/>
              <w:jc w:val="center"/>
              <w:rPr>
                <w:b/>
                <w:sz w:val="22"/>
              </w:rPr>
            </w:pPr>
            <w:r>
              <w:rPr>
                <w:b/>
                <w:sz w:val="22"/>
              </w:rPr>
              <w:t>Bırakmış</w:t>
            </w:r>
          </w:p>
        </w:tc>
      </w:tr>
      <w:tr>
        <w:trPr>
          <w:trHeight w:val="402" w:hRule="atLeast"/>
        </w:trPr>
        <w:tc>
          <w:tcPr>
            <w:tcW w:w="2084" w:type="dxa"/>
          </w:tcPr>
          <w:p>
            <w:pPr>
              <w:pStyle w:val="TableParagraph"/>
              <w:spacing w:line="248" w:lineRule="exact"/>
              <w:ind w:left="107"/>
              <w:rPr>
                <w:b/>
                <w:sz w:val="22"/>
              </w:rPr>
            </w:pPr>
            <w:r>
              <w:rPr>
                <w:b/>
                <w:sz w:val="22"/>
              </w:rPr>
              <w:t>Sigara</w:t>
            </w:r>
          </w:p>
        </w:tc>
        <w:tc>
          <w:tcPr>
            <w:tcW w:w="2576" w:type="dxa"/>
          </w:tcPr>
          <w:p>
            <w:pPr>
              <w:pStyle w:val="TableParagraph"/>
              <w:spacing w:line="248" w:lineRule="exact"/>
              <w:ind w:right="100"/>
              <w:jc w:val="right"/>
              <w:rPr>
                <w:b/>
                <w:sz w:val="22"/>
              </w:rPr>
            </w:pPr>
            <w:r>
              <w:rPr>
                <w:b/>
                <w:sz w:val="22"/>
              </w:rPr>
              <w:t>(paket/yıl)</w:t>
            </w:r>
          </w:p>
        </w:tc>
        <w:tc>
          <w:tcPr>
            <w:tcW w:w="1592" w:type="dxa"/>
          </w:tcPr>
          <w:p>
            <w:pPr>
              <w:pStyle w:val="TableParagraph"/>
              <w:rPr>
                <w:rFonts w:ascii="Times New Roman"/>
                <w:sz w:val="22"/>
              </w:rPr>
            </w:pPr>
          </w:p>
        </w:tc>
        <w:tc>
          <w:tcPr>
            <w:tcW w:w="2314" w:type="dxa"/>
          </w:tcPr>
          <w:p>
            <w:pPr>
              <w:pStyle w:val="TableParagraph"/>
              <w:spacing w:before="69"/>
              <w:ind w:left="613" w:right="607"/>
              <w:jc w:val="center"/>
              <w:rPr>
                <w:b/>
                <w:sz w:val="22"/>
              </w:rPr>
            </w:pPr>
            <w:r>
              <w:rPr>
                <w:b/>
                <w:sz w:val="22"/>
              </w:rPr>
              <w:t>(paket/yıl)</w:t>
            </w:r>
          </w:p>
        </w:tc>
      </w:tr>
      <w:tr>
        <w:trPr>
          <w:trHeight w:val="386" w:hRule="atLeast"/>
        </w:trPr>
        <w:tc>
          <w:tcPr>
            <w:tcW w:w="2084" w:type="dxa"/>
          </w:tcPr>
          <w:p>
            <w:pPr>
              <w:pStyle w:val="TableParagraph"/>
              <w:spacing w:line="248" w:lineRule="exact"/>
              <w:ind w:left="107"/>
              <w:rPr>
                <w:b/>
                <w:sz w:val="22"/>
              </w:rPr>
            </w:pPr>
            <w:r>
              <w:rPr>
                <w:b/>
                <w:sz w:val="22"/>
              </w:rPr>
              <w:t>Alkol</w:t>
            </w:r>
          </w:p>
        </w:tc>
        <w:tc>
          <w:tcPr>
            <w:tcW w:w="2576" w:type="dxa"/>
          </w:tcPr>
          <w:p>
            <w:pPr>
              <w:pStyle w:val="TableParagraph"/>
              <w:spacing w:line="248" w:lineRule="exact"/>
              <w:ind w:right="97"/>
              <w:jc w:val="right"/>
              <w:rPr>
                <w:b/>
                <w:sz w:val="22"/>
              </w:rPr>
            </w:pPr>
            <w:r>
              <w:rPr>
                <w:b/>
                <w:sz w:val="22"/>
              </w:rPr>
              <w:t>(şişe/gün)</w:t>
            </w:r>
          </w:p>
        </w:tc>
        <w:tc>
          <w:tcPr>
            <w:tcW w:w="1592" w:type="dxa"/>
          </w:tcPr>
          <w:p>
            <w:pPr>
              <w:pStyle w:val="TableParagraph"/>
              <w:rPr>
                <w:rFonts w:ascii="Times New Roman"/>
                <w:sz w:val="22"/>
              </w:rPr>
            </w:pPr>
          </w:p>
        </w:tc>
        <w:tc>
          <w:tcPr>
            <w:tcW w:w="2314" w:type="dxa"/>
          </w:tcPr>
          <w:p>
            <w:pPr>
              <w:pStyle w:val="TableParagraph"/>
              <w:spacing w:before="62"/>
              <w:ind w:left="618" w:right="607"/>
              <w:jc w:val="center"/>
              <w:rPr>
                <w:b/>
                <w:sz w:val="22"/>
              </w:rPr>
            </w:pPr>
            <w:r>
              <w:rPr>
                <w:b/>
                <w:sz w:val="22"/>
              </w:rPr>
              <w:t>(şişe/gün)</w:t>
            </w:r>
          </w:p>
        </w:tc>
      </w:tr>
      <w:tr>
        <w:trPr>
          <w:trHeight w:val="388" w:hRule="atLeast"/>
        </w:trPr>
        <w:tc>
          <w:tcPr>
            <w:tcW w:w="2084" w:type="dxa"/>
          </w:tcPr>
          <w:p>
            <w:pPr>
              <w:pStyle w:val="TableParagraph"/>
              <w:spacing w:line="250" w:lineRule="exact"/>
              <w:ind w:left="107"/>
              <w:rPr>
                <w:b/>
                <w:sz w:val="22"/>
              </w:rPr>
            </w:pPr>
            <w:r>
              <w:rPr>
                <w:b/>
                <w:sz w:val="22"/>
              </w:rPr>
              <w:t>Egzersiz</w:t>
            </w:r>
          </w:p>
        </w:tc>
        <w:tc>
          <w:tcPr>
            <w:tcW w:w="2576" w:type="dxa"/>
          </w:tcPr>
          <w:p>
            <w:pPr>
              <w:pStyle w:val="TableParagraph"/>
              <w:spacing w:line="250" w:lineRule="exact"/>
              <w:ind w:right="98"/>
              <w:jc w:val="right"/>
              <w:rPr>
                <w:b/>
                <w:sz w:val="22"/>
              </w:rPr>
            </w:pPr>
            <w:r>
              <w:rPr>
                <w:b/>
                <w:sz w:val="22"/>
              </w:rPr>
              <w:t>(gün/hafta)</w:t>
            </w:r>
          </w:p>
        </w:tc>
        <w:tc>
          <w:tcPr>
            <w:tcW w:w="1592" w:type="dxa"/>
          </w:tcPr>
          <w:p>
            <w:pPr>
              <w:pStyle w:val="TableParagraph"/>
              <w:rPr>
                <w:rFonts w:ascii="Times New Roman"/>
                <w:sz w:val="22"/>
              </w:rPr>
            </w:pPr>
          </w:p>
        </w:tc>
        <w:tc>
          <w:tcPr>
            <w:tcW w:w="2314" w:type="dxa"/>
          </w:tcPr>
          <w:p>
            <w:pPr>
              <w:pStyle w:val="TableParagraph"/>
              <w:rPr>
                <w:rFonts w:ascii="Times New Roman"/>
                <w:sz w:val="22"/>
              </w:rPr>
            </w:pPr>
          </w:p>
        </w:tc>
      </w:tr>
    </w:tbl>
    <w:p>
      <w:pPr>
        <w:pStyle w:val="BodyText"/>
        <w:rPr>
          <w:sz w:val="24"/>
        </w:rPr>
      </w:pPr>
    </w:p>
    <w:p>
      <w:pPr>
        <w:pStyle w:val="BodyText"/>
        <w:spacing w:before="3"/>
      </w:pPr>
    </w:p>
    <w:p>
      <w:pPr>
        <w:spacing w:line="511" w:lineRule="auto" w:before="1"/>
        <w:ind w:left="588" w:right="6848" w:firstLine="0"/>
        <w:jc w:val="left"/>
        <w:rPr>
          <w:b/>
          <w:sz w:val="22"/>
        </w:rPr>
      </w:pPr>
      <w:r>
        <w:rPr>
          <w:b/>
          <w:sz w:val="22"/>
        </w:rPr>
        <w:t>Ameliyat bilgileri: </w:t>
      </w:r>
      <w:r>
        <w:rPr>
          <w:sz w:val="22"/>
        </w:rPr>
        <w:t>Anestezi süresi: Anestezi türü: Ameliyat şekli: </w:t>
      </w:r>
      <w:r>
        <w:rPr>
          <w:b/>
          <w:sz w:val="22"/>
        </w:rPr>
        <w:t>Ağrı:</w:t>
      </w:r>
    </w:p>
    <w:p>
      <w:pPr>
        <w:pStyle w:val="BodyText"/>
        <w:spacing w:before="6"/>
        <w:ind w:left="588" w:right="7242"/>
      </w:pPr>
      <w:r>
        <w:rPr/>
        <w:t>Ağrı şiddeti:</w:t>
      </w:r>
    </w:p>
    <w:p>
      <w:pPr>
        <w:pStyle w:val="BodyText"/>
        <w:spacing w:before="8"/>
        <w:rPr>
          <w:sz w:val="24"/>
        </w:rPr>
      </w:pPr>
    </w:p>
    <w:p>
      <w:pPr>
        <w:pStyle w:val="BodyText"/>
        <w:spacing w:before="1"/>
        <w:ind w:left="588" w:right="7242"/>
      </w:pPr>
      <w:r>
        <w:rPr/>
        <w:t>Lokalizasyonu:</w:t>
      </w:r>
    </w:p>
    <w:p>
      <w:pPr>
        <w:spacing w:after="0"/>
        <w:sectPr>
          <w:headerReference w:type="default" r:id="rId53"/>
          <w:pgSz w:w="11910" w:h="16840"/>
          <w:pgMar w:header="0" w:footer="0" w:top="1580" w:bottom="280" w:left="1680" w:right="940"/>
        </w:sectPr>
      </w:pPr>
    </w:p>
    <w:p>
      <w:pPr>
        <w:pStyle w:val="Heading2"/>
        <w:spacing w:before="73"/>
        <w:ind w:left="588"/>
      </w:pPr>
      <w:r>
        <w:rPr/>
        <w:t>ASA Skoru:</w:t>
      </w:r>
    </w:p>
    <w:p>
      <w:pPr>
        <w:pStyle w:val="BodyText"/>
        <w:spacing w:before="11"/>
        <w:rPr>
          <w:b/>
          <w:sz w:val="24"/>
        </w:rPr>
      </w:pPr>
    </w:p>
    <w:p>
      <w:pPr>
        <w:spacing w:before="0"/>
        <w:ind w:left="588" w:right="0" w:firstLine="0"/>
        <w:jc w:val="left"/>
        <w:rPr>
          <w:b/>
          <w:sz w:val="22"/>
        </w:rPr>
      </w:pPr>
      <w:r>
        <w:rPr>
          <w:b/>
          <w:sz w:val="22"/>
        </w:rPr>
        <w:t>Solunum Kas Gücü Değerlendirmesi:</w:t>
      </w:r>
    </w:p>
    <w:p>
      <w:pPr>
        <w:pStyle w:val="BodyText"/>
        <w:spacing w:before="4"/>
        <w:rPr>
          <w:b/>
          <w:sz w:val="25"/>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1"/>
        <w:gridCol w:w="588"/>
        <w:gridCol w:w="850"/>
        <w:gridCol w:w="679"/>
        <w:gridCol w:w="765"/>
        <w:gridCol w:w="765"/>
        <w:gridCol w:w="624"/>
        <w:gridCol w:w="707"/>
        <w:gridCol w:w="709"/>
        <w:gridCol w:w="707"/>
      </w:tblGrid>
      <w:tr>
        <w:trPr>
          <w:trHeight w:val="505" w:hRule="atLeast"/>
        </w:trPr>
        <w:tc>
          <w:tcPr>
            <w:tcW w:w="2391" w:type="dxa"/>
          </w:tcPr>
          <w:p>
            <w:pPr>
              <w:pStyle w:val="TableParagraph"/>
              <w:spacing w:before="122"/>
              <w:ind w:left="179" w:right="168"/>
              <w:jc w:val="center"/>
              <w:rPr>
                <w:b/>
                <w:sz w:val="22"/>
              </w:rPr>
            </w:pPr>
            <w:r>
              <w:rPr>
                <w:b/>
                <w:sz w:val="22"/>
              </w:rPr>
              <w:t>Solunum Kas gücü</w:t>
            </w:r>
          </w:p>
        </w:tc>
        <w:tc>
          <w:tcPr>
            <w:tcW w:w="2117" w:type="dxa"/>
            <w:gridSpan w:val="3"/>
          </w:tcPr>
          <w:p>
            <w:pPr>
              <w:pStyle w:val="TableParagraph"/>
              <w:spacing w:before="122"/>
              <w:ind w:left="438"/>
              <w:rPr>
                <w:b/>
                <w:sz w:val="22"/>
              </w:rPr>
            </w:pPr>
            <w:r>
              <w:rPr>
                <w:b/>
                <w:sz w:val="22"/>
              </w:rPr>
              <w:t>Pre-operatif</w:t>
            </w:r>
          </w:p>
        </w:tc>
        <w:tc>
          <w:tcPr>
            <w:tcW w:w="2154" w:type="dxa"/>
            <w:gridSpan w:val="3"/>
          </w:tcPr>
          <w:p>
            <w:pPr>
              <w:pStyle w:val="TableParagraph"/>
              <w:spacing w:before="122"/>
              <w:ind w:left="398"/>
              <w:rPr>
                <w:b/>
                <w:sz w:val="22"/>
              </w:rPr>
            </w:pPr>
            <w:r>
              <w:rPr>
                <w:b/>
                <w:sz w:val="22"/>
              </w:rPr>
              <w:t>Post-operatif</w:t>
            </w:r>
          </w:p>
        </w:tc>
        <w:tc>
          <w:tcPr>
            <w:tcW w:w="2123" w:type="dxa"/>
            <w:gridSpan w:val="3"/>
          </w:tcPr>
          <w:p>
            <w:pPr>
              <w:pStyle w:val="TableParagraph"/>
              <w:spacing w:line="252" w:lineRule="exact" w:before="2"/>
              <w:ind w:left="716" w:right="436" w:hanging="245"/>
              <w:rPr>
                <w:b/>
                <w:sz w:val="22"/>
              </w:rPr>
            </w:pPr>
            <w:r>
              <w:rPr>
                <w:b/>
                <w:sz w:val="22"/>
              </w:rPr>
              <w:t>Taburculuk öncesi</w:t>
            </w:r>
          </w:p>
        </w:tc>
      </w:tr>
      <w:tr>
        <w:trPr>
          <w:trHeight w:val="628" w:hRule="atLeast"/>
        </w:trPr>
        <w:tc>
          <w:tcPr>
            <w:tcW w:w="2391" w:type="dxa"/>
          </w:tcPr>
          <w:p>
            <w:pPr>
              <w:pStyle w:val="TableParagraph"/>
              <w:spacing w:before="184"/>
              <w:ind w:left="177" w:right="168"/>
              <w:jc w:val="center"/>
              <w:rPr>
                <w:b/>
                <w:sz w:val="22"/>
              </w:rPr>
            </w:pPr>
            <w:r>
              <w:rPr>
                <w:b/>
                <w:position w:val="2"/>
                <w:sz w:val="22"/>
              </w:rPr>
              <w:t>MIP(cmH</w:t>
            </w:r>
            <w:r>
              <w:rPr>
                <w:b/>
                <w:sz w:val="14"/>
              </w:rPr>
              <w:t>2</w:t>
            </w:r>
            <w:r>
              <w:rPr>
                <w:b/>
                <w:position w:val="2"/>
                <w:sz w:val="22"/>
              </w:rPr>
              <w:t>O)</w:t>
            </w:r>
          </w:p>
        </w:tc>
        <w:tc>
          <w:tcPr>
            <w:tcW w:w="588" w:type="dxa"/>
          </w:tcPr>
          <w:p>
            <w:pPr>
              <w:pStyle w:val="TableParagraph"/>
              <w:rPr>
                <w:rFonts w:ascii="Times New Roman"/>
                <w:sz w:val="22"/>
              </w:rPr>
            </w:pPr>
          </w:p>
        </w:tc>
        <w:tc>
          <w:tcPr>
            <w:tcW w:w="850" w:type="dxa"/>
          </w:tcPr>
          <w:p>
            <w:pPr>
              <w:pStyle w:val="TableParagraph"/>
              <w:rPr>
                <w:rFonts w:ascii="Times New Roman"/>
                <w:sz w:val="22"/>
              </w:rPr>
            </w:pPr>
          </w:p>
        </w:tc>
        <w:tc>
          <w:tcPr>
            <w:tcW w:w="679" w:type="dxa"/>
          </w:tcPr>
          <w:p>
            <w:pPr>
              <w:pStyle w:val="TableParagraph"/>
              <w:rPr>
                <w:rFonts w:ascii="Times New Roman"/>
                <w:sz w:val="22"/>
              </w:rPr>
            </w:pPr>
          </w:p>
        </w:tc>
        <w:tc>
          <w:tcPr>
            <w:tcW w:w="765" w:type="dxa"/>
          </w:tcPr>
          <w:p>
            <w:pPr>
              <w:pStyle w:val="TableParagraph"/>
              <w:rPr>
                <w:rFonts w:ascii="Times New Roman"/>
                <w:sz w:val="22"/>
              </w:rPr>
            </w:pPr>
          </w:p>
        </w:tc>
        <w:tc>
          <w:tcPr>
            <w:tcW w:w="765" w:type="dxa"/>
          </w:tcPr>
          <w:p>
            <w:pPr>
              <w:pStyle w:val="TableParagraph"/>
              <w:rPr>
                <w:rFonts w:ascii="Times New Roman"/>
                <w:sz w:val="22"/>
              </w:rPr>
            </w:pPr>
          </w:p>
        </w:tc>
        <w:tc>
          <w:tcPr>
            <w:tcW w:w="624" w:type="dxa"/>
          </w:tcPr>
          <w:p>
            <w:pPr>
              <w:pStyle w:val="TableParagraph"/>
              <w:rPr>
                <w:rFonts w:ascii="Times New Roman"/>
                <w:sz w:val="22"/>
              </w:rPr>
            </w:pPr>
          </w:p>
        </w:tc>
        <w:tc>
          <w:tcPr>
            <w:tcW w:w="707" w:type="dxa"/>
          </w:tcPr>
          <w:p>
            <w:pPr>
              <w:pStyle w:val="TableParagraph"/>
              <w:rPr>
                <w:rFonts w:ascii="Times New Roman"/>
                <w:sz w:val="22"/>
              </w:rPr>
            </w:pPr>
          </w:p>
        </w:tc>
        <w:tc>
          <w:tcPr>
            <w:tcW w:w="709" w:type="dxa"/>
          </w:tcPr>
          <w:p>
            <w:pPr>
              <w:pStyle w:val="TableParagraph"/>
              <w:rPr>
                <w:rFonts w:ascii="Times New Roman"/>
                <w:sz w:val="22"/>
              </w:rPr>
            </w:pPr>
          </w:p>
        </w:tc>
        <w:tc>
          <w:tcPr>
            <w:tcW w:w="707" w:type="dxa"/>
          </w:tcPr>
          <w:p>
            <w:pPr>
              <w:pStyle w:val="TableParagraph"/>
              <w:rPr>
                <w:rFonts w:ascii="Times New Roman"/>
                <w:sz w:val="22"/>
              </w:rPr>
            </w:pPr>
          </w:p>
        </w:tc>
      </w:tr>
      <w:tr>
        <w:trPr>
          <w:trHeight w:val="784" w:hRule="atLeast"/>
        </w:trPr>
        <w:tc>
          <w:tcPr>
            <w:tcW w:w="2391" w:type="dxa"/>
          </w:tcPr>
          <w:p>
            <w:pPr>
              <w:pStyle w:val="TableParagraph"/>
              <w:spacing w:before="7"/>
              <w:rPr>
                <w:b/>
                <w:sz w:val="22"/>
              </w:rPr>
            </w:pPr>
          </w:p>
          <w:p>
            <w:pPr>
              <w:pStyle w:val="TableParagraph"/>
              <w:ind w:left="177" w:right="168"/>
              <w:jc w:val="center"/>
              <w:rPr>
                <w:b/>
                <w:sz w:val="22"/>
              </w:rPr>
            </w:pPr>
            <w:r>
              <w:rPr>
                <w:b/>
                <w:position w:val="2"/>
                <w:sz w:val="22"/>
              </w:rPr>
              <w:t>MEP(cmH</w:t>
            </w:r>
            <w:r>
              <w:rPr>
                <w:b/>
                <w:sz w:val="14"/>
              </w:rPr>
              <w:t>2</w:t>
            </w:r>
            <w:r>
              <w:rPr>
                <w:b/>
                <w:position w:val="2"/>
                <w:sz w:val="22"/>
              </w:rPr>
              <w:t>O)</w:t>
            </w:r>
          </w:p>
        </w:tc>
        <w:tc>
          <w:tcPr>
            <w:tcW w:w="588" w:type="dxa"/>
          </w:tcPr>
          <w:p>
            <w:pPr>
              <w:pStyle w:val="TableParagraph"/>
              <w:rPr>
                <w:rFonts w:ascii="Times New Roman"/>
                <w:sz w:val="22"/>
              </w:rPr>
            </w:pPr>
          </w:p>
        </w:tc>
        <w:tc>
          <w:tcPr>
            <w:tcW w:w="850" w:type="dxa"/>
          </w:tcPr>
          <w:p>
            <w:pPr>
              <w:pStyle w:val="TableParagraph"/>
              <w:rPr>
                <w:rFonts w:ascii="Times New Roman"/>
                <w:sz w:val="22"/>
              </w:rPr>
            </w:pPr>
          </w:p>
        </w:tc>
        <w:tc>
          <w:tcPr>
            <w:tcW w:w="679" w:type="dxa"/>
          </w:tcPr>
          <w:p>
            <w:pPr>
              <w:pStyle w:val="TableParagraph"/>
              <w:rPr>
                <w:rFonts w:ascii="Times New Roman"/>
                <w:sz w:val="22"/>
              </w:rPr>
            </w:pPr>
          </w:p>
        </w:tc>
        <w:tc>
          <w:tcPr>
            <w:tcW w:w="765" w:type="dxa"/>
          </w:tcPr>
          <w:p>
            <w:pPr>
              <w:pStyle w:val="TableParagraph"/>
              <w:rPr>
                <w:rFonts w:ascii="Times New Roman"/>
                <w:sz w:val="22"/>
              </w:rPr>
            </w:pPr>
          </w:p>
        </w:tc>
        <w:tc>
          <w:tcPr>
            <w:tcW w:w="765" w:type="dxa"/>
          </w:tcPr>
          <w:p>
            <w:pPr>
              <w:pStyle w:val="TableParagraph"/>
              <w:rPr>
                <w:rFonts w:ascii="Times New Roman"/>
                <w:sz w:val="22"/>
              </w:rPr>
            </w:pPr>
          </w:p>
        </w:tc>
        <w:tc>
          <w:tcPr>
            <w:tcW w:w="624" w:type="dxa"/>
          </w:tcPr>
          <w:p>
            <w:pPr>
              <w:pStyle w:val="TableParagraph"/>
              <w:rPr>
                <w:rFonts w:ascii="Times New Roman"/>
                <w:sz w:val="22"/>
              </w:rPr>
            </w:pPr>
          </w:p>
        </w:tc>
        <w:tc>
          <w:tcPr>
            <w:tcW w:w="707" w:type="dxa"/>
          </w:tcPr>
          <w:p>
            <w:pPr>
              <w:pStyle w:val="TableParagraph"/>
              <w:rPr>
                <w:rFonts w:ascii="Times New Roman"/>
                <w:sz w:val="22"/>
              </w:rPr>
            </w:pPr>
          </w:p>
        </w:tc>
        <w:tc>
          <w:tcPr>
            <w:tcW w:w="709" w:type="dxa"/>
          </w:tcPr>
          <w:p>
            <w:pPr>
              <w:pStyle w:val="TableParagraph"/>
              <w:rPr>
                <w:rFonts w:ascii="Times New Roman"/>
                <w:sz w:val="22"/>
              </w:rPr>
            </w:pPr>
          </w:p>
        </w:tc>
        <w:tc>
          <w:tcPr>
            <w:tcW w:w="707" w:type="dxa"/>
          </w:tcPr>
          <w:p>
            <w:pPr>
              <w:pStyle w:val="TableParagraph"/>
              <w:rPr>
                <w:rFonts w:ascii="Times New Roman"/>
                <w:sz w:val="22"/>
              </w:rPr>
            </w:pPr>
          </w:p>
        </w:tc>
      </w:tr>
    </w:tbl>
    <w:p>
      <w:pPr>
        <w:pStyle w:val="BodyText"/>
        <w:rPr>
          <w:b/>
          <w:sz w:val="24"/>
        </w:rPr>
      </w:pPr>
    </w:p>
    <w:p>
      <w:pPr>
        <w:pStyle w:val="BodyText"/>
        <w:spacing w:before="3"/>
        <w:rPr>
          <w:b/>
        </w:rPr>
      </w:pPr>
    </w:p>
    <w:p>
      <w:pPr>
        <w:spacing w:before="1"/>
        <w:ind w:left="588" w:right="0" w:firstLine="0"/>
        <w:jc w:val="left"/>
        <w:rPr>
          <w:b/>
          <w:sz w:val="22"/>
        </w:rPr>
      </w:pPr>
      <w:r>
        <w:rPr>
          <w:b/>
          <w:sz w:val="22"/>
        </w:rPr>
        <w:t>Fiziksel Performans Değerlendirmesi:</w:t>
      </w:r>
    </w:p>
    <w:p>
      <w:pPr>
        <w:pStyle w:val="BodyText"/>
        <w:spacing w:before="4"/>
        <w:rPr>
          <w:b/>
          <w:sz w:val="25"/>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76"/>
        <w:gridCol w:w="1011"/>
        <w:gridCol w:w="1021"/>
        <w:gridCol w:w="1391"/>
        <w:gridCol w:w="1134"/>
        <w:gridCol w:w="1143"/>
        <w:gridCol w:w="1393"/>
      </w:tblGrid>
      <w:tr>
        <w:trPr>
          <w:trHeight w:val="517" w:hRule="atLeast"/>
        </w:trPr>
        <w:tc>
          <w:tcPr>
            <w:tcW w:w="1676" w:type="dxa"/>
          </w:tcPr>
          <w:p>
            <w:pPr>
              <w:pStyle w:val="TableParagraph"/>
              <w:spacing w:before="129"/>
              <w:ind w:left="363" w:right="354"/>
              <w:jc w:val="center"/>
              <w:rPr>
                <w:b/>
                <w:sz w:val="22"/>
              </w:rPr>
            </w:pPr>
            <w:r>
              <w:rPr>
                <w:b/>
                <w:sz w:val="22"/>
              </w:rPr>
              <w:t>6DYT</w:t>
            </w:r>
          </w:p>
        </w:tc>
        <w:tc>
          <w:tcPr>
            <w:tcW w:w="3423" w:type="dxa"/>
            <w:gridSpan w:val="3"/>
          </w:tcPr>
          <w:p>
            <w:pPr>
              <w:pStyle w:val="TableParagraph"/>
              <w:spacing w:before="129"/>
              <w:ind w:left="498"/>
              <w:rPr>
                <w:b/>
                <w:sz w:val="22"/>
              </w:rPr>
            </w:pPr>
            <w:r>
              <w:rPr>
                <w:b/>
                <w:sz w:val="22"/>
              </w:rPr>
              <w:t>Ameliyat öncesi(metre)</w:t>
            </w:r>
          </w:p>
        </w:tc>
        <w:tc>
          <w:tcPr>
            <w:tcW w:w="3670" w:type="dxa"/>
            <w:gridSpan w:val="3"/>
          </w:tcPr>
          <w:p>
            <w:pPr>
              <w:pStyle w:val="TableParagraph"/>
              <w:spacing w:before="129"/>
              <w:ind w:left="455"/>
              <w:rPr>
                <w:b/>
                <w:sz w:val="22"/>
              </w:rPr>
            </w:pPr>
            <w:r>
              <w:rPr>
                <w:b/>
                <w:sz w:val="22"/>
              </w:rPr>
              <w:t>Taburculuk öncesi (metre)</w:t>
            </w:r>
          </w:p>
        </w:tc>
      </w:tr>
      <w:tr>
        <w:trPr>
          <w:trHeight w:val="517" w:hRule="atLeast"/>
        </w:trPr>
        <w:tc>
          <w:tcPr>
            <w:tcW w:w="1676" w:type="dxa"/>
          </w:tcPr>
          <w:p>
            <w:pPr>
              <w:pStyle w:val="TableParagraph"/>
              <w:spacing w:before="129"/>
              <w:ind w:left="363" w:right="355"/>
              <w:jc w:val="center"/>
              <w:rPr>
                <w:b/>
                <w:sz w:val="22"/>
              </w:rPr>
            </w:pPr>
            <w:r>
              <w:rPr>
                <w:b/>
                <w:sz w:val="22"/>
              </w:rPr>
              <w:t>Mesafe</w:t>
            </w:r>
          </w:p>
        </w:tc>
        <w:tc>
          <w:tcPr>
            <w:tcW w:w="3423" w:type="dxa"/>
            <w:gridSpan w:val="3"/>
          </w:tcPr>
          <w:p>
            <w:pPr>
              <w:pStyle w:val="TableParagraph"/>
              <w:rPr>
                <w:rFonts w:ascii="Times New Roman"/>
                <w:sz w:val="22"/>
              </w:rPr>
            </w:pPr>
          </w:p>
        </w:tc>
        <w:tc>
          <w:tcPr>
            <w:tcW w:w="3670" w:type="dxa"/>
            <w:gridSpan w:val="3"/>
          </w:tcPr>
          <w:p>
            <w:pPr>
              <w:pStyle w:val="TableParagraph"/>
              <w:rPr>
                <w:rFonts w:ascii="Times New Roman"/>
                <w:sz w:val="22"/>
              </w:rPr>
            </w:pPr>
          </w:p>
        </w:tc>
      </w:tr>
      <w:tr>
        <w:trPr>
          <w:trHeight w:val="518" w:hRule="atLeast"/>
        </w:trPr>
        <w:tc>
          <w:tcPr>
            <w:tcW w:w="1676" w:type="dxa"/>
          </w:tcPr>
          <w:p>
            <w:pPr>
              <w:pStyle w:val="TableParagraph"/>
              <w:rPr>
                <w:rFonts w:ascii="Times New Roman"/>
                <w:sz w:val="22"/>
              </w:rPr>
            </w:pPr>
          </w:p>
        </w:tc>
        <w:tc>
          <w:tcPr>
            <w:tcW w:w="1011" w:type="dxa"/>
          </w:tcPr>
          <w:p>
            <w:pPr>
              <w:pStyle w:val="TableParagraph"/>
              <w:spacing w:before="132"/>
              <w:ind w:left="241"/>
              <w:rPr>
                <w:sz w:val="22"/>
              </w:rPr>
            </w:pPr>
            <w:r>
              <w:rPr>
                <w:sz w:val="22"/>
              </w:rPr>
              <w:t>Önce</w:t>
            </w:r>
          </w:p>
        </w:tc>
        <w:tc>
          <w:tcPr>
            <w:tcW w:w="1021" w:type="dxa"/>
          </w:tcPr>
          <w:p>
            <w:pPr>
              <w:pStyle w:val="TableParagraph"/>
              <w:spacing w:before="132"/>
              <w:ind w:left="214"/>
              <w:rPr>
                <w:sz w:val="22"/>
              </w:rPr>
            </w:pPr>
            <w:r>
              <w:rPr>
                <w:sz w:val="22"/>
              </w:rPr>
              <w:t>Sonra</w:t>
            </w:r>
          </w:p>
        </w:tc>
        <w:tc>
          <w:tcPr>
            <w:tcW w:w="1391" w:type="dxa"/>
          </w:tcPr>
          <w:p>
            <w:pPr>
              <w:pStyle w:val="TableParagraph"/>
              <w:spacing w:before="132"/>
              <w:ind w:left="106"/>
              <w:rPr>
                <w:sz w:val="22"/>
              </w:rPr>
            </w:pPr>
            <w:r>
              <w:rPr>
                <w:sz w:val="22"/>
              </w:rPr>
              <w:t>Toparlanma</w:t>
            </w:r>
          </w:p>
        </w:tc>
        <w:tc>
          <w:tcPr>
            <w:tcW w:w="1134" w:type="dxa"/>
          </w:tcPr>
          <w:p>
            <w:pPr>
              <w:pStyle w:val="TableParagraph"/>
              <w:spacing w:before="132"/>
              <w:ind w:left="299"/>
              <w:rPr>
                <w:sz w:val="22"/>
              </w:rPr>
            </w:pPr>
            <w:r>
              <w:rPr>
                <w:sz w:val="22"/>
              </w:rPr>
              <w:t>Önce</w:t>
            </w:r>
          </w:p>
        </w:tc>
        <w:tc>
          <w:tcPr>
            <w:tcW w:w="1143" w:type="dxa"/>
          </w:tcPr>
          <w:p>
            <w:pPr>
              <w:pStyle w:val="TableParagraph"/>
              <w:spacing w:before="132"/>
              <w:ind w:left="272"/>
              <w:rPr>
                <w:sz w:val="22"/>
              </w:rPr>
            </w:pPr>
            <w:r>
              <w:rPr>
                <w:sz w:val="22"/>
              </w:rPr>
              <w:t>Sonra</w:t>
            </w:r>
          </w:p>
        </w:tc>
        <w:tc>
          <w:tcPr>
            <w:tcW w:w="1393" w:type="dxa"/>
          </w:tcPr>
          <w:p>
            <w:pPr>
              <w:pStyle w:val="TableParagraph"/>
              <w:spacing w:before="132"/>
              <w:ind w:left="103"/>
              <w:rPr>
                <w:sz w:val="22"/>
              </w:rPr>
            </w:pPr>
            <w:r>
              <w:rPr>
                <w:sz w:val="22"/>
              </w:rPr>
              <w:t>Toparlanma</w:t>
            </w:r>
          </w:p>
        </w:tc>
      </w:tr>
      <w:tr>
        <w:trPr>
          <w:trHeight w:val="518" w:hRule="atLeast"/>
        </w:trPr>
        <w:tc>
          <w:tcPr>
            <w:tcW w:w="1676" w:type="dxa"/>
          </w:tcPr>
          <w:p>
            <w:pPr>
              <w:pStyle w:val="TableParagraph"/>
              <w:spacing w:before="2"/>
              <w:ind w:left="363" w:right="355"/>
              <w:jc w:val="center"/>
              <w:rPr>
                <w:b/>
                <w:sz w:val="22"/>
              </w:rPr>
            </w:pPr>
            <w:r>
              <w:rPr>
                <w:b/>
                <w:sz w:val="22"/>
              </w:rPr>
              <w:t>SpO2</w:t>
            </w:r>
          </w:p>
        </w:tc>
        <w:tc>
          <w:tcPr>
            <w:tcW w:w="1011" w:type="dxa"/>
          </w:tcPr>
          <w:p>
            <w:pPr>
              <w:pStyle w:val="TableParagraph"/>
              <w:rPr>
                <w:rFonts w:ascii="Times New Roman"/>
                <w:sz w:val="22"/>
              </w:rPr>
            </w:pPr>
          </w:p>
        </w:tc>
        <w:tc>
          <w:tcPr>
            <w:tcW w:w="1021" w:type="dxa"/>
          </w:tcPr>
          <w:p>
            <w:pPr>
              <w:pStyle w:val="TableParagraph"/>
              <w:rPr>
                <w:rFonts w:ascii="Times New Roman"/>
                <w:sz w:val="22"/>
              </w:rPr>
            </w:pPr>
          </w:p>
        </w:tc>
        <w:tc>
          <w:tcPr>
            <w:tcW w:w="1391" w:type="dxa"/>
          </w:tcPr>
          <w:p>
            <w:pPr>
              <w:pStyle w:val="TableParagraph"/>
              <w:rPr>
                <w:rFonts w:ascii="Times New Roman"/>
                <w:sz w:val="22"/>
              </w:rPr>
            </w:pPr>
          </w:p>
        </w:tc>
        <w:tc>
          <w:tcPr>
            <w:tcW w:w="1134" w:type="dxa"/>
          </w:tcPr>
          <w:p>
            <w:pPr>
              <w:pStyle w:val="TableParagraph"/>
              <w:rPr>
                <w:rFonts w:ascii="Times New Roman"/>
                <w:sz w:val="22"/>
              </w:rPr>
            </w:pPr>
          </w:p>
        </w:tc>
        <w:tc>
          <w:tcPr>
            <w:tcW w:w="1143" w:type="dxa"/>
          </w:tcPr>
          <w:p>
            <w:pPr>
              <w:pStyle w:val="TableParagraph"/>
              <w:rPr>
                <w:rFonts w:ascii="Times New Roman"/>
                <w:sz w:val="22"/>
              </w:rPr>
            </w:pPr>
          </w:p>
        </w:tc>
        <w:tc>
          <w:tcPr>
            <w:tcW w:w="1393" w:type="dxa"/>
          </w:tcPr>
          <w:p>
            <w:pPr>
              <w:pStyle w:val="TableParagraph"/>
              <w:rPr>
                <w:rFonts w:ascii="Times New Roman"/>
                <w:sz w:val="22"/>
              </w:rPr>
            </w:pPr>
          </w:p>
        </w:tc>
      </w:tr>
      <w:tr>
        <w:trPr>
          <w:trHeight w:val="520" w:hRule="atLeast"/>
        </w:trPr>
        <w:tc>
          <w:tcPr>
            <w:tcW w:w="1676" w:type="dxa"/>
          </w:tcPr>
          <w:p>
            <w:pPr>
              <w:pStyle w:val="TableParagraph"/>
              <w:spacing w:before="129"/>
              <w:ind w:left="363" w:right="357"/>
              <w:jc w:val="center"/>
              <w:rPr>
                <w:b/>
                <w:sz w:val="22"/>
              </w:rPr>
            </w:pPr>
            <w:r>
              <w:rPr>
                <w:b/>
                <w:sz w:val="22"/>
              </w:rPr>
              <w:t>Kalp hızı</w:t>
            </w:r>
          </w:p>
        </w:tc>
        <w:tc>
          <w:tcPr>
            <w:tcW w:w="1011" w:type="dxa"/>
          </w:tcPr>
          <w:p>
            <w:pPr>
              <w:pStyle w:val="TableParagraph"/>
              <w:rPr>
                <w:rFonts w:ascii="Times New Roman"/>
                <w:sz w:val="22"/>
              </w:rPr>
            </w:pPr>
          </w:p>
        </w:tc>
        <w:tc>
          <w:tcPr>
            <w:tcW w:w="1021" w:type="dxa"/>
          </w:tcPr>
          <w:p>
            <w:pPr>
              <w:pStyle w:val="TableParagraph"/>
              <w:rPr>
                <w:rFonts w:ascii="Times New Roman"/>
                <w:sz w:val="22"/>
              </w:rPr>
            </w:pPr>
          </w:p>
        </w:tc>
        <w:tc>
          <w:tcPr>
            <w:tcW w:w="1391" w:type="dxa"/>
          </w:tcPr>
          <w:p>
            <w:pPr>
              <w:pStyle w:val="TableParagraph"/>
              <w:rPr>
                <w:rFonts w:ascii="Times New Roman"/>
                <w:sz w:val="22"/>
              </w:rPr>
            </w:pPr>
          </w:p>
        </w:tc>
        <w:tc>
          <w:tcPr>
            <w:tcW w:w="1134" w:type="dxa"/>
          </w:tcPr>
          <w:p>
            <w:pPr>
              <w:pStyle w:val="TableParagraph"/>
              <w:rPr>
                <w:rFonts w:ascii="Times New Roman"/>
                <w:sz w:val="22"/>
              </w:rPr>
            </w:pPr>
          </w:p>
        </w:tc>
        <w:tc>
          <w:tcPr>
            <w:tcW w:w="1143" w:type="dxa"/>
          </w:tcPr>
          <w:p>
            <w:pPr>
              <w:pStyle w:val="TableParagraph"/>
              <w:rPr>
                <w:rFonts w:ascii="Times New Roman"/>
                <w:sz w:val="22"/>
              </w:rPr>
            </w:pPr>
          </w:p>
        </w:tc>
        <w:tc>
          <w:tcPr>
            <w:tcW w:w="1393" w:type="dxa"/>
          </w:tcPr>
          <w:p>
            <w:pPr>
              <w:pStyle w:val="TableParagraph"/>
              <w:rPr>
                <w:rFonts w:ascii="Times New Roman"/>
                <w:sz w:val="22"/>
              </w:rPr>
            </w:pPr>
          </w:p>
        </w:tc>
      </w:tr>
    </w:tbl>
    <w:p>
      <w:pPr>
        <w:pStyle w:val="BodyText"/>
        <w:rPr>
          <w:b/>
          <w:sz w:val="24"/>
        </w:rPr>
      </w:pPr>
    </w:p>
    <w:p>
      <w:pPr>
        <w:pStyle w:val="BodyText"/>
        <w:spacing w:before="1"/>
        <w:rPr>
          <w:b/>
        </w:rPr>
      </w:pPr>
    </w:p>
    <w:p>
      <w:pPr>
        <w:spacing w:before="1"/>
        <w:ind w:left="588" w:right="0" w:firstLine="0"/>
        <w:jc w:val="left"/>
        <w:rPr>
          <w:b/>
          <w:sz w:val="22"/>
        </w:rPr>
      </w:pPr>
      <w:r>
        <w:rPr>
          <w:b/>
          <w:sz w:val="22"/>
          <w:u w:val="thick"/>
        </w:rPr>
        <w:t>Modifiye Borg Skalası</w:t>
      </w:r>
    </w:p>
    <w:p>
      <w:pPr>
        <w:pStyle w:val="BodyText"/>
        <w:spacing w:before="6"/>
        <w:rPr>
          <w:b/>
          <w:sz w:val="25"/>
        </w:rPr>
      </w:pPr>
    </w:p>
    <w:tbl>
      <w:tblPr>
        <w:tblW w:w="0" w:type="auto"/>
        <w:jc w:val="left"/>
        <w:tblInd w:w="3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74"/>
        <w:gridCol w:w="2112"/>
        <w:gridCol w:w="2119"/>
        <w:gridCol w:w="2176"/>
      </w:tblGrid>
      <w:tr>
        <w:trPr>
          <w:trHeight w:val="254" w:hRule="atLeast"/>
        </w:trPr>
        <w:tc>
          <w:tcPr>
            <w:tcW w:w="2374" w:type="dxa"/>
          </w:tcPr>
          <w:p>
            <w:pPr>
              <w:pStyle w:val="TableParagraph"/>
              <w:rPr>
                <w:rFonts w:ascii="Times New Roman"/>
                <w:sz w:val="18"/>
              </w:rPr>
            </w:pPr>
          </w:p>
        </w:tc>
        <w:tc>
          <w:tcPr>
            <w:tcW w:w="2112" w:type="dxa"/>
          </w:tcPr>
          <w:p>
            <w:pPr>
              <w:pStyle w:val="TableParagraph"/>
              <w:spacing w:line="234" w:lineRule="exact"/>
              <w:ind w:left="773" w:right="763"/>
              <w:jc w:val="center"/>
              <w:rPr>
                <w:sz w:val="22"/>
              </w:rPr>
            </w:pPr>
            <w:r>
              <w:rPr>
                <w:sz w:val="22"/>
              </w:rPr>
              <w:t>Önce</w:t>
            </w:r>
          </w:p>
        </w:tc>
        <w:tc>
          <w:tcPr>
            <w:tcW w:w="2119" w:type="dxa"/>
          </w:tcPr>
          <w:p>
            <w:pPr>
              <w:pStyle w:val="TableParagraph"/>
              <w:spacing w:line="234" w:lineRule="exact"/>
              <w:ind w:left="746" w:right="735"/>
              <w:jc w:val="center"/>
              <w:rPr>
                <w:sz w:val="22"/>
              </w:rPr>
            </w:pPr>
            <w:r>
              <w:rPr>
                <w:sz w:val="22"/>
              </w:rPr>
              <w:t>Sonra</w:t>
            </w:r>
          </w:p>
        </w:tc>
        <w:tc>
          <w:tcPr>
            <w:tcW w:w="2176" w:type="dxa"/>
          </w:tcPr>
          <w:p>
            <w:pPr>
              <w:pStyle w:val="TableParagraph"/>
              <w:spacing w:line="234" w:lineRule="exact"/>
              <w:ind w:left="502"/>
              <w:rPr>
                <w:sz w:val="22"/>
              </w:rPr>
            </w:pPr>
            <w:r>
              <w:rPr>
                <w:sz w:val="22"/>
              </w:rPr>
              <w:t>Toparlanma</w:t>
            </w:r>
          </w:p>
        </w:tc>
      </w:tr>
      <w:tr>
        <w:trPr>
          <w:trHeight w:val="465" w:hRule="atLeast"/>
        </w:trPr>
        <w:tc>
          <w:tcPr>
            <w:tcW w:w="2374" w:type="dxa"/>
          </w:tcPr>
          <w:p>
            <w:pPr>
              <w:pStyle w:val="TableParagraph"/>
              <w:spacing w:before="103"/>
              <w:ind w:left="670" w:right="661"/>
              <w:jc w:val="center"/>
              <w:rPr>
                <w:sz w:val="22"/>
              </w:rPr>
            </w:pPr>
            <w:r>
              <w:rPr>
                <w:sz w:val="22"/>
              </w:rPr>
              <w:t>Dispne</w:t>
            </w:r>
          </w:p>
        </w:tc>
        <w:tc>
          <w:tcPr>
            <w:tcW w:w="2112" w:type="dxa"/>
          </w:tcPr>
          <w:p>
            <w:pPr>
              <w:pStyle w:val="TableParagraph"/>
              <w:rPr>
                <w:rFonts w:ascii="Times New Roman"/>
                <w:sz w:val="22"/>
              </w:rPr>
            </w:pPr>
          </w:p>
        </w:tc>
        <w:tc>
          <w:tcPr>
            <w:tcW w:w="2119" w:type="dxa"/>
          </w:tcPr>
          <w:p>
            <w:pPr>
              <w:pStyle w:val="TableParagraph"/>
              <w:rPr>
                <w:rFonts w:ascii="Times New Roman"/>
                <w:sz w:val="22"/>
              </w:rPr>
            </w:pPr>
          </w:p>
        </w:tc>
        <w:tc>
          <w:tcPr>
            <w:tcW w:w="2176" w:type="dxa"/>
          </w:tcPr>
          <w:p>
            <w:pPr>
              <w:pStyle w:val="TableParagraph"/>
              <w:rPr>
                <w:rFonts w:ascii="Times New Roman"/>
                <w:sz w:val="22"/>
              </w:rPr>
            </w:pPr>
          </w:p>
        </w:tc>
      </w:tr>
      <w:tr>
        <w:trPr>
          <w:trHeight w:val="417" w:hRule="atLeast"/>
        </w:trPr>
        <w:tc>
          <w:tcPr>
            <w:tcW w:w="2374" w:type="dxa"/>
          </w:tcPr>
          <w:p>
            <w:pPr>
              <w:pStyle w:val="TableParagraph"/>
              <w:spacing w:before="81"/>
              <w:ind w:left="670" w:right="662"/>
              <w:jc w:val="center"/>
              <w:rPr>
                <w:sz w:val="22"/>
              </w:rPr>
            </w:pPr>
            <w:r>
              <w:rPr>
                <w:sz w:val="22"/>
              </w:rPr>
              <w:t>Yorgunluk</w:t>
            </w:r>
          </w:p>
        </w:tc>
        <w:tc>
          <w:tcPr>
            <w:tcW w:w="2112" w:type="dxa"/>
          </w:tcPr>
          <w:p>
            <w:pPr>
              <w:pStyle w:val="TableParagraph"/>
              <w:rPr>
                <w:rFonts w:ascii="Times New Roman"/>
                <w:sz w:val="22"/>
              </w:rPr>
            </w:pPr>
          </w:p>
        </w:tc>
        <w:tc>
          <w:tcPr>
            <w:tcW w:w="2119" w:type="dxa"/>
          </w:tcPr>
          <w:p>
            <w:pPr>
              <w:pStyle w:val="TableParagraph"/>
              <w:rPr>
                <w:rFonts w:ascii="Times New Roman"/>
                <w:sz w:val="22"/>
              </w:rPr>
            </w:pPr>
          </w:p>
        </w:tc>
        <w:tc>
          <w:tcPr>
            <w:tcW w:w="2176" w:type="dxa"/>
          </w:tcPr>
          <w:p>
            <w:pPr>
              <w:pStyle w:val="TableParagraph"/>
              <w:rPr>
                <w:rFonts w:ascii="Times New Roman"/>
                <w:sz w:val="22"/>
              </w:rPr>
            </w:pPr>
          </w:p>
        </w:tc>
      </w:tr>
    </w:tbl>
    <w:p>
      <w:pPr>
        <w:pStyle w:val="BodyText"/>
        <w:rPr>
          <w:b/>
          <w:sz w:val="24"/>
        </w:rPr>
      </w:pPr>
    </w:p>
    <w:p>
      <w:pPr>
        <w:pStyle w:val="BodyText"/>
        <w:rPr>
          <w:b/>
          <w:sz w:val="24"/>
        </w:rPr>
      </w:pPr>
    </w:p>
    <w:p>
      <w:pPr>
        <w:pStyle w:val="BodyText"/>
        <w:rPr>
          <w:b/>
          <w:sz w:val="24"/>
        </w:rPr>
      </w:pPr>
    </w:p>
    <w:p>
      <w:pPr>
        <w:pStyle w:val="BodyText"/>
        <w:spacing w:before="3"/>
        <w:rPr>
          <w:b/>
          <w:sz w:val="21"/>
        </w:rPr>
      </w:pPr>
    </w:p>
    <w:p>
      <w:pPr>
        <w:spacing w:before="0"/>
        <w:ind w:left="588" w:right="0" w:firstLine="0"/>
        <w:jc w:val="left"/>
        <w:rPr>
          <w:b/>
          <w:sz w:val="22"/>
        </w:rPr>
      </w:pPr>
      <w:r>
        <w:rPr>
          <w:b/>
          <w:sz w:val="22"/>
          <w:u w:val="thick"/>
        </w:rPr>
        <w:t>Durumluk ve Süreklilik Kaygı Değerlendirmesi</w:t>
      </w:r>
    </w:p>
    <w:p>
      <w:pPr>
        <w:pStyle w:val="BodyText"/>
        <w:rPr>
          <w:b/>
          <w:sz w:val="17"/>
        </w:rPr>
      </w:pPr>
    </w:p>
    <w:p>
      <w:pPr>
        <w:pStyle w:val="BodyText"/>
        <w:spacing w:before="94"/>
        <w:ind w:left="588"/>
      </w:pPr>
      <w:r>
        <w:rPr/>
        <w:t>STAI form skoru:</w:t>
      </w:r>
    </w:p>
    <w:p>
      <w:pPr>
        <w:pStyle w:val="BodyText"/>
        <w:spacing w:before="9"/>
        <w:rPr>
          <w:sz w:val="24"/>
        </w:rPr>
      </w:pPr>
    </w:p>
    <w:p>
      <w:pPr>
        <w:spacing w:before="0"/>
        <w:ind w:left="588" w:right="0" w:firstLine="0"/>
        <w:jc w:val="left"/>
        <w:rPr>
          <w:b/>
          <w:sz w:val="22"/>
        </w:rPr>
      </w:pPr>
      <w:r>
        <w:rPr>
          <w:b/>
          <w:sz w:val="22"/>
          <w:u w:val="thick"/>
        </w:rPr>
        <w:t>Hasta hareketlilik ve Gözlemci Hareketlilik Ölçeği</w:t>
      </w:r>
    </w:p>
    <w:p>
      <w:pPr>
        <w:pStyle w:val="BodyText"/>
        <w:spacing w:before="10"/>
        <w:rPr>
          <w:b/>
          <w:sz w:val="16"/>
        </w:rPr>
      </w:pPr>
    </w:p>
    <w:p>
      <w:pPr>
        <w:pStyle w:val="BodyText"/>
        <w:spacing w:line="511" w:lineRule="auto" w:before="93"/>
        <w:ind w:left="588" w:right="5332"/>
      </w:pPr>
      <w:r>
        <w:rPr/>
        <w:t>Hasta Hareketlilik Ölçeği skoru: Gözlemci Hareketlilik ölçeği skoru:</w:t>
      </w:r>
    </w:p>
    <w:p>
      <w:pPr>
        <w:spacing w:after="0" w:line="511" w:lineRule="auto"/>
        <w:sectPr>
          <w:headerReference w:type="default" r:id="rId54"/>
          <w:pgSz w:w="11910" w:h="16840"/>
          <w:pgMar w:header="0" w:footer="0" w:top="1320" w:bottom="280" w:left="1680" w:right="940"/>
        </w:sectPr>
      </w:pPr>
    </w:p>
    <w:p>
      <w:pPr>
        <w:pStyle w:val="Heading2"/>
        <w:spacing w:before="73"/>
        <w:ind w:left="588"/>
      </w:pPr>
      <w:r>
        <w:rPr/>
        <w:t>EK-3 Durumluluk ve Süreklilik Kaygı Ölçeği</w:t>
      </w:r>
    </w:p>
    <w:p>
      <w:pPr>
        <w:pStyle w:val="BodyText"/>
        <w:rPr>
          <w:b/>
          <w:sz w:val="24"/>
        </w:rPr>
      </w:pPr>
    </w:p>
    <w:p>
      <w:pPr>
        <w:pStyle w:val="BodyText"/>
        <w:rPr>
          <w:b/>
          <w:sz w:val="24"/>
        </w:rPr>
      </w:pPr>
    </w:p>
    <w:p>
      <w:pPr>
        <w:pStyle w:val="BodyText"/>
        <w:spacing w:before="10"/>
        <w:rPr>
          <w:b/>
          <w:sz w:val="23"/>
        </w:rPr>
      </w:pPr>
    </w:p>
    <w:p>
      <w:pPr>
        <w:spacing w:before="1"/>
        <w:ind w:left="1443" w:right="1047" w:firstLine="0"/>
        <w:jc w:val="center"/>
        <w:rPr>
          <w:b/>
          <w:sz w:val="22"/>
        </w:rPr>
      </w:pPr>
      <w:r>
        <w:rPr>
          <w:b/>
          <w:sz w:val="22"/>
        </w:rPr>
        <w:t>STAI  FORM  TX – I</w:t>
      </w:r>
    </w:p>
    <w:p>
      <w:pPr>
        <w:pStyle w:val="BodyText"/>
        <w:rPr>
          <w:b/>
        </w:rPr>
      </w:pPr>
    </w:p>
    <w:tbl>
      <w:tblPr>
        <w:tblW w:w="0" w:type="auto"/>
        <w:jc w:val="left"/>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73"/>
        <w:gridCol w:w="5560"/>
        <w:gridCol w:w="540"/>
        <w:gridCol w:w="540"/>
        <w:gridCol w:w="540"/>
        <w:gridCol w:w="677"/>
      </w:tblGrid>
      <w:tr>
        <w:trPr>
          <w:trHeight w:val="1770" w:hRule="atLeast"/>
        </w:trPr>
        <w:tc>
          <w:tcPr>
            <w:tcW w:w="473" w:type="dxa"/>
          </w:tcPr>
          <w:p>
            <w:pPr>
              <w:pStyle w:val="TableParagraph"/>
              <w:rPr>
                <w:rFonts w:ascii="Times New Roman"/>
                <w:sz w:val="22"/>
              </w:rPr>
            </w:pPr>
          </w:p>
        </w:tc>
        <w:tc>
          <w:tcPr>
            <w:tcW w:w="5560" w:type="dxa"/>
          </w:tcPr>
          <w:p>
            <w:pPr>
              <w:pStyle w:val="TableParagraph"/>
              <w:rPr>
                <w:rFonts w:ascii="Times New Roman"/>
                <w:sz w:val="22"/>
              </w:rPr>
            </w:pPr>
          </w:p>
        </w:tc>
        <w:tc>
          <w:tcPr>
            <w:tcW w:w="540" w:type="dxa"/>
            <w:textDirection w:val="btLr"/>
          </w:tcPr>
          <w:p>
            <w:pPr>
              <w:pStyle w:val="TableParagraph"/>
              <w:spacing w:before="110"/>
              <w:ind w:left="112"/>
              <w:rPr>
                <w:sz w:val="22"/>
              </w:rPr>
            </w:pPr>
            <w:r>
              <w:rPr>
                <w:sz w:val="22"/>
              </w:rPr>
              <w:t>HİÇ</w:t>
            </w:r>
          </w:p>
        </w:tc>
        <w:tc>
          <w:tcPr>
            <w:tcW w:w="540" w:type="dxa"/>
            <w:textDirection w:val="btLr"/>
          </w:tcPr>
          <w:p>
            <w:pPr>
              <w:pStyle w:val="TableParagraph"/>
              <w:spacing w:before="110"/>
              <w:ind w:left="112"/>
              <w:rPr>
                <w:sz w:val="22"/>
              </w:rPr>
            </w:pPr>
            <w:r>
              <w:rPr>
                <w:sz w:val="22"/>
              </w:rPr>
              <w:t>BİRAZ</w:t>
            </w:r>
          </w:p>
        </w:tc>
        <w:tc>
          <w:tcPr>
            <w:tcW w:w="540" w:type="dxa"/>
            <w:textDirection w:val="btLr"/>
          </w:tcPr>
          <w:p>
            <w:pPr>
              <w:pStyle w:val="TableParagraph"/>
              <w:spacing w:before="110"/>
              <w:ind w:left="112"/>
              <w:rPr>
                <w:sz w:val="22"/>
              </w:rPr>
            </w:pPr>
            <w:r>
              <w:rPr>
                <w:sz w:val="22"/>
              </w:rPr>
              <w:t>ÇOK</w:t>
            </w:r>
          </w:p>
        </w:tc>
        <w:tc>
          <w:tcPr>
            <w:tcW w:w="677" w:type="dxa"/>
            <w:textDirection w:val="btLr"/>
          </w:tcPr>
          <w:p>
            <w:pPr>
              <w:pStyle w:val="TableParagraph"/>
              <w:spacing w:before="110"/>
              <w:ind w:left="112"/>
              <w:rPr>
                <w:sz w:val="22"/>
              </w:rPr>
            </w:pPr>
            <w:r>
              <w:rPr>
                <w:sz w:val="22"/>
              </w:rPr>
              <w:t>TAMAMİYLE</w:t>
            </w:r>
          </w:p>
        </w:tc>
      </w:tr>
      <w:tr>
        <w:trPr>
          <w:trHeight w:val="533" w:hRule="atLeast"/>
        </w:trPr>
        <w:tc>
          <w:tcPr>
            <w:tcW w:w="473" w:type="dxa"/>
          </w:tcPr>
          <w:p>
            <w:pPr>
              <w:pStyle w:val="TableParagraph"/>
              <w:spacing w:line="250" w:lineRule="exact"/>
              <w:ind w:left="28" w:right="89"/>
              <w:jc w:val="center"/>
              <w:rPr>
                <w:sz w:val="22"/>
              </w:rPr>
            </w:pPr>
            <w:r>
              <w:rPr>
                <w:sz w:val="22"/>
              </w:rPr>
              <w:t>1.</w:t>
            </w:r>
          </w:p>
        </w:tc>
        <w:tc>
          <w:tcPr>
            <w:tcW w:w="5560" w:type="dxa"/>
          </w:tcPr>
          <w:p>
            <w:pPr>
              <w:pStyle w:val="TableParagraph"/>
              <w:spacing w:before="156"/>
              <w:ind w:left="107"/>
              <w:rPr>
                <w:b/>
                <w:sz w:val="22"/>
              </w:rPr>
            </w:pPr>
            <w:r>
              <w:rPr>
                <w:b/>
                <w:sz w:val="22"/>
              </w:rPr>
              <w:t>Şu anda sakinim</w:t>
            </w:r>
          </w:p>
        </w:tc>
        <w:tc>
          <w:tcPr>
            <w:tcW w:w="540" w:type="dxa"/>
          </w:tcPr>
          <w:p>
            <w:pPr>
              <w:pStyle w:val="TableParagraph"/>
              <w:spacing w:before="8"/>
              <w:rPr>
                <w:b/>
                <w:sz w:val="21"/>
              </w:rPr>
            </w:pPr>
          </w:p>
          <w:p>
            <w:pPr>
              <w:pStyle w:val="TableParagraph"/>
              <w:ind w:left="107"/>
              <w:rPr>
                <w:sz w:val="22"/>
              </w:rPr>
            </w:pPr>
            <w:r>
              <w:rPr>
                <w:sz w:val="22"/>
              </w:rPr>
              <w:t>(1)</w:t>
            </w:r>
          </w:p>
        </w:tc>
        <w:tc>
          <w:tcPr>
            <w:tcW w:w="540" w:type="dxa"/>
          </w:tcPr>
          <w:p>
            <w:pPr>
              <w:pStyle w:val="TableParagraph"/>
              <w:spacing w:before="8"/>
              <w:rPr>
                <w:b/>
                <w:sz w:val="21"/>
              </w:rPr>
            </w:pPr>
          </w:p>
          <w:p>
            <w:pPr>
              <w:pStyle w:val="TableParagraph"/>
              <w:ind w:left="107"/>
              <w:rPr>
                <w:sz w:val="22"/>
              </w:rPr>
            </w:pPr>
            <w:r>
              <w:rPr>
                <w:sz w:val="22"/>
              </w:rPr>
              <w:t>(2)</w:t>
            </w:r>
          </w:p>
        </w:tc>
        <w:tc>
          <w:tcPr>
            <w:tcW w:w="540" w:type="dxa"/>
          </w:tcPr>
          <w:p>
            <w:pPr>
              <w:pStyle w:val="TableParagraph"/>
              <w:spacing w:before="8"/>
              <w:rPr>
                <w:b/>
                <w:sz w:val="21"/>
              </w:rPr>
            </w:pPr>
          </w:p>
          <w:p>
            <w:pPr>
              <w:pStyle w:val="TableParagraph"/>
              <w:ind w:left="89" w:right="131"/>
              <w:jc w:val="center"/>
              <w:rPr>
                <w:sz w:val="22"/>
              </w:rPr>
            </w:pPr>
            <w:r>
              <w:rPr>
                <w:sz w:val="22"/>
              </w:rPr>
              <w:t>(3)</w:t>
            </w:r>
          </w:p>
        </w:tc>
        <w:tc>
          <w:tcPr>
            <w:tcW w:w="677" w:type="dxa"/>
          </w:tcPr>
          <w:p>
            <w:pPr>
              <w:pStyle w:val="TableParagraph"/>
              <w:spacing w:line="250" w:lineRule="exact"/>
              <w:ind w:left="210" w:right="147"/>
              <w:jc w:val="center"/>
              <w:rPr>
                <w:sz w:val="22"/>
              </w:rPr>
            </w:pPr>
            <w:r>
              <w:rPr>
                <w:sz w:val="22"/>
              </w:rPr>
              <w:t>(4)</w:t>
            </w:r>
          </w:p>
        </w:tc>
      </w:tr>
      <w:tr>
        <w:trPr>
          <w:trHeight w:val="505" w:hRule="atLeast"/>
        </w:trPr>
        <w:tc>
          <w:tcPr>
            <w:tcW w:w="473" w:type="dxa"/>
          </w:tcPr>
          <w:p>
            <w:pPr>
              <w:pStyle w:val="TableParagraph"/>
              <w:spacing w:line="250" w:lineRule="exact"/>
              <w:ind w:left="28" w:right="89"/>
              <w:jc w:val="center"/>
              <w:rPr>
                <w:sz w:val="22"/>
              </w:rPr>
            </w:pPr>
            <w:r>
              <w:rPr>
                <w:sz w:val="22"/>
              </w:rPr>
              <w:t>2.</w:t>
            </w:r>
          </w:p>
        </w:tc>
        <w:tc>
          <w:tcPr>
            <w:tcW w:w="5560" w:type="dxa"/>
          </w:tcPr>
          <w:p>
            <w:pPr>
              <w:pStyle w:val="TableParagraph"/>
              <w:spacing w:line="250" w:lineRule="exact"/>
              <w:ind w:left="107"/>
              <w:rPr>
                <w:sz w:val="22"/>
              </w:rPr>
            </w:pPr>
            <w:r>
              <w:rPr>
                <w:sz w:val="22"/>
              </w:rPr>
              <w:t>Kendimi emniyette hissediyorum</w:t>
            </w:r>
          </w:p>
        </w:tc>
        <w:tc>
          <w:tcPr>
            <w:tcW w:w="540" w:type="dxa"/>
          </w:tcPr>
          <w:p>
            <w:pPr>
              <w:pStyle w:val="TableParagraph"/>
              <w:spacing w:before="7"/>
              <w:rPr>
                <w:b/>
                <w:sz w:val="21"/>
              </w:rPr>
            </w:pPr>
          </w:p>
          <w:p>
            <w:pPr>
              <w:pStyle w:val="TableParagraph"/>
              <w:spacing w:line="237" w:lineRule="exact" w:before="1"/>
              <w:ind w:left="107"/>
              <w:rPr>
                <w:sz w:val="22"/>
              </w:rPr>
            </w:pPr>
            <w:r>
              <w:rPr>
                <w:sz w:val="22"/>
              </w:rPr>
              <w:t>(1)</w:t>
            </w:r>
          </w:p>
        </w:tc>
        <w:tc>
          <w:tcPr>
            <w:tcW w:w="540" w:type="dxa"/>
          </w:tcPr>
          <w:p>
            <w:pPr>
              <w:pStyle w:val="TableParagraph"/>
              <w:spacing w:before="7"/>
              <w:rPr>
                <w:b/>
                <w:sz w:val="21"/>
              </w:rPr>
            </w:pPr>
          </w:p>
          <w:p>
            <w:pPr>
              <w:pStyle w:val="TableParagraph"/>
              <w:spacing w:line="237" w:lineRule="exact" w:before="1"/>
              <w:ind w:left="107"/>
              <w:rPr>
                <w:sz w:val="22"/>
              </w:rPr>
            </w:pPr>
            <w:r>
              <w:rPr>
                <w:sz w:val="22"/>
              </w:rPr>
              <w:t>(2)</w:t>
            </w:r>
          </w:p>
        </w:tc>
        <w:tc>
          <w:tcPr>
            <w:tcW w:w="540" w:type="dxa"/>
          </w:tcPr>
          <w:p>
            <w:pPr>
              <w:pStyle w:val="TableParagraph"/>
              <w:spacing w:before="7"/>
              <w:rPr>
                <w:b/>
                <w:sz w:val="21"/>
              </w:rPr>
            </w:pPr>
          </w:p>
          <w:p>
            <w:pPr>
              <w:pStyle w:val="TableParagraph"/>
              <w:spacing w:line="237" w:lineRule="exact" w:before="1"/>
              <w:ind w:left="89" w:right="131"/>
              <w:jc w:val="center"/>
              <w:rPr>
                <w:sz w:val="22"/>
              </w:rPr>
            </w:pPr>
            <w:r>
              <w:rPr>
                <w:sz w:val="22"/>
              </w:rPr>
              <w:t>(3)</w:t>
            </w:r>
          </w:p>
        </w:tc>
        <w:tc>
          <w:tcPr>
            <w:tcW w:w="677" w:type="dxa"/>
          </w:tcPr>
          <w:p>
            <w:pPr>
              <w:pStyle w:val="TableParagraph"/>
              <w:spacing w:line="250" w:lineRule="exact"/>
              <w:ind w:left="210" w:right="147"/>
              <w:jc w:val="center"/>
              <w:rPr>
                <w:sz w:val="22"/>
              </w:rPr>
            </w:pPr>
            <w:r>
              <w:rPr>
                <w:sz w:val="22"/>
              </w:rPr>
              <w:t>(4)</w:t>
            </w:r>
          </w:p>
        </w:tc>
      </w:tr>
      <w:tr>
        <w:trPr>
          <w:trHeight w:val="505" w:hRule="atLeast"/>
        </w:trPr>
        <w:tc>
          <w:tcPr>
            <w:tcW w:w="473" w:type="dxa"/>
          </w:tcPr>
          <w:p>
            <w:pPr>
              <w:pStyle w:val="TableParagraph"/>
              <w:spacing w:line="250" w:lineRule="exact"/>
              <w:ind w:right="122"/>
              <w:jc w:val="center"/>
              <w:rPr>
                <w:sz w:val="22"/>
              </w:rPr>
            </w:pPr>
            <w:r>
              <w:rPr>
                <w:w w:val="100"/>
                <w:sz w:val="22"/>
              </w:rPr>
              <w:t>3</w:t>
            </w:r>
          </w:p>
        </w:tc>
        <w:tc>
          <w:tcPr>
            <w:tcW w:w="5560" w:type="dxa"/>
          </w:tcPr>
          <w:p>
            <w:pPr>
              <w:pStyle w:val="TableParagraph"/>
              <w:spacing w:line="250" w:lineRule="exact"/>
              <w:ind w:left="107"/>
              <w:rPr>
                <w:sz w:val="22"/>
              </w:rPr>
            </w:pPr>
            <w:r>
              <w:rPr>
                <w:sz w:val="22"/>
              </w:rPr>
              <w:t>Su anda sinirlerim gergin</w:t>
            </w:r>
          </w:p>
        </w:tc>
        <w:tc>
          <w:tcPr>
            <w:tcW w:w="540" w:type="dxa"/>
          </w:tcPr>
          <w:p>
            <w:pPr>
              <w:pStyle w:val="TableParagraph"/>
              <w:spacing w:before="7"/>
              <w:rPr>
                <w:b/>
                <w:sz w:val="21"/>
              </w:rPr>
            </w:pPr>
          </w:p>
          <w:p>
            <w:pPr>
              <w:pStyle w:val="TableParagraph"/>
              <w:spacing w:line="237" w:lineRule="exact" w:before="1"/>
              <w:ind w:left="107"/>
              <w:rPr>
                <w:sz w:val="22"/>
              </w:rPr>
            </w:pPr>
            <w:r>
              <w:rPr>
                <w:sz w:val="22"/>
              </w:rPr>
              <w:t>(1)</w:t>
            </w:r>
          </w:p>
        </w:tc>
        <w:tc>
          <w:tcPr>
            <w:tcW w:w="540" w:type="dxa"/>
          </w:tcPr>
          <w:p>
            <w:pPr>
              <w:pStyle w:val="TableParagraph"/>
              <w:spacing w:before="7"/>
              <w:rPr>
                <w:b/>
                <w:sz w:val="21"/>
              </w:rPr>
            </w:pPr>
          </w:p>
          <w:p>
            <w:pPr>
              <w:pStyle w:val="TableParagraph"/>
              <w:spacing w:line="237" w:lineRule="exact" w:before="1"/>
              <w:ind w:left="107"/>
              <w:rPr>
                <w:sz w:val="22"/>
              </w:rPr>
            </w:pPr>
            <w:r>
              <w:rPr>
                <w:sz w:val="22"/>
              </w:rPr>
              <w:t>(2)</w:t>
            </w:r>
          </w:p>
        </w:tc>
        <w:tc>
          <w:tcPr>
            <w:tcW w:w="540" w:type="dxa"/>
          </w:tcPr>
          <w:p>
            <w:pPr>
              <w:pStyle w:val="TableParagraph"/>
              <w:spacing w:before="7"/>
              <w:rPr>
                <w:b/>
                <w:sz w:val="21"/>
              </w:rPr>
            </w:pPr>
          </w:p>
          <w:p>
            <w:pPr>
              <w:pStyle w:val="TableParagraph"/>
              <w:spacing w:line="237" w:lineRule="exact" w:before="1"/>
              <w:ind w:left="89" w:right="131"/>
              <w:jc w:val="center"/>
              <w:rPr>
                <w:sz w:val="22"/>
              </w:rPr>
            </w:pPr>
            <w:r>
              <w:rPr>
                <w:sz w:val="22"/>
              </w:rPr>
              <w:t>(3)</w:t>
            </w:r>
          </w:p>
        </w:tc>
        <w:tc>
          <w:tcPr>
            <w:tcW w:w="677" w:type="dxa"/>
          </w:tcPr>
          <w:p>
            <w:pPr>
              <w:pStyle w:val="TableParagraph"/>
              <w:spacing w:line="250" w:lineRule="exact"/>
              <w:ind w:left="210" w:right="147"/>
              <w:jc w:val="center"/>
              <w:rPr>
                <w:sz w:val="22"/>
              </w:rPr>
            </w:pPr>
            <w:r>
              <w:rPr>
                <w:sz w:val="22"/>
              </w:rPr>
              <w:t>(4)</w:t>
            </w:r>
          </w:p>
        </w:tc>
      </w:tr>
      <w:tr>
        <w:trPr>
          <w:trHeight w:val="506" w:hRule="atLeast"/>
        </w:trPr>
        <w:tc>
          <w:tcPr>
            <w:tcW w:w="473" w:type="dxa"/>
          </w:tcPr>
          <w:p>
            <w:pPr>
              <w:pStyle w:val="TableParagraph"/>
              <w:spacing w:line="250" w:lineRule="exact"/>
              <w:ind w:right="122"/>
              <w:jc w:val="center"/>
              <w:rPr>
                <w:sz w:val="22"/>
              </w:rPr>
            </w:pPr>
            <w:r>
              <w:rPr>
                <w:w w:val="100"/>
                <w:sz w:val="22"/>
              </w:rPr>
              <w:t>4</w:t>
            </w:r>
          </w:p>
        </w:tc>
        <w:tc>
          <w:tcPr>
            <w:tcW w:w="5560" w:type="dxa"/>
          </w:tcPr>
          <w:p>
            <w:pPr>
              <w:pStyle w:val="TableParagraph"/>
              <w:spacing w:line="250" w:lineRule="exact"/>
              <w:ind w:left="107"/>
              <w:rPr>
                <w:sz w:val="22"/>
              </w:rPr>
            </w:pPr>
            <w:r>
              <w:rPr>
                <w:sz w:val="22"/>
              </w:rPr>
              <w:t>Pişmanlık duygusu içindeyim</w:t>
            </w:r>
          </w:p>
        </w:tc>
        <w:tc>
          <w:tcPr>
            <w:tcW w:w="540" w:type="dxa"/>
          </w:tcPr>
          <w:p>
            <w:pPr>
              <w:pStyle w:val="TableParagraph"/>
              <w:spacing w:before="7"/>
              <w:rPr>
                <w:b/>
                <w:sz w:val="21"/>
              </w:rPr>
            </w:pPr>
          </w:p>
          <w:p>
            <w:pPr>
              <w:pStyle w:val="TableParagraph"/>
              <w:spacing w:line="237" w:lineRule="exact" w:before="1"/>
              <w:ind w:left="107"/>
              <w:rPr>
                <w:sz w:val="22"/>
              </w:rPr>
            </w:pPr>
            <w:r>
              <w:rPr>
                <w:sz w:val="22"/>
              </w:rPr>
              <w:t>(1)</w:t>
            </w:r>
          </w:p>
        </w:tc>
        <w:tc>
          <w:tcPr>
            <w:tcW w:w="540" w:type="dxa"/>
          </w:tcPr>
          <w:p>
            <w:pPr>
              <w:pStyle w:val="TableParagraph"/>
              <w:spacing w:before="7"/>
              <w:rPr>
                <w:b/>
                <w:sz w:val="21"/>
              </w:rPr>
            </w:pPr>
          </w:p>
          <w:p>
            <w:pPr>
              <w:pStyle w:val="TableParagraph"/>
              <w:spacing w:line="237" w:lineRule="exact" w:before="1"/>
              <w:ind w:left="107"/>
              <w:rPr>
                <w:sz w:val="22"/>
              </w:rPr>
            </w:pPr>
            <w:r>
              <w:rPr>
                <w:sz w:val="22"/>
              </w:rPr>
              <w:t>(2)</w:t>
            </w:r>
          </w:p>
        </w:tc>
        <w:tc>
          <w:tcPr>
            <w:tcW w:w="540" w:type="dxa"/>
          </w:tcPr>
          <w:p>
            <w:pPr>
              <w:pStyle w:val="TableParagraph"/>
              <w:spacing w:before="7"/>
              <w:rPr>
                <w:b/>
                <w:sz w:val="21"/>
              </w:rPr>
            </w:pPr>
          </w:p>
          <w:p>
            <w:pPr>
              <w:pStyle w:val="TableParagraph"/>
              <w:spacing w:line="237" w:lineRule="exact" w:before="1"/>
              <w:ind w:left="89" w:right="131"/>
              <w:jc w:val="center"/>
              <w:rPr>
                <w:sz w:val="22"/>
              </w:rPr>
            </w:pPr>
            <w:r>
              <w:rPr>
                <w:sz w:val="22"/>
              </w:rPr>
              <w:t>(3)</w:t>
            </w:r>
          </w:p>
        </w:tc>
        <w:tc>
          <w:tcPr>
            <w:tcW w:w="677" w:type="dxa"/>
          </w:tcPr>
          <w:p>
            <w:pPr>
              <w:pStyle w:val="TableParagraph"/>
              <w:spacing w:line="250" w:lineRule="exact"/>
              <w:ind w:left="210" w:right="147"/>
              <w:jc w:val="center"/>
              <w:rPr>
                <w:sz w:val="22"/>
              </w:rPr>
            </w:pPr>
            <w:r>
              <w:rPr>
                <w:sz w:val="22"/>
              </w:rPr>
              <w:t>(4)</w:t>
            </w:r>
          </w:p>
        </w:tc>
      </w:tr>
      <w:tr>
        <w:trPr>
          <w:trHeight w:val="506" w:hRule="atLeast"/>
        </w:trPr>
        <w:tc>
          <w:tcPr>
            <w:tcW w:w="473" w:type="dxa"/>
          </w:tcPr>
          <w:p>
            <w:pPr>
              <w:pStyle w:val="TableParagraph"/>
              <w:spacing w:line="250" w:lineRule="exact"/>
              <w:ind w:left="28" w:right="89"/>
              <w:jc w:val="center"/>
              <w:rPr>
                <w:sz w:val="22"/>
              </w:rPr>
            </w:pPr>
            <w:r>
              <w:rPr>
                <w:sz w:val="22"/>
              </w:rPr>
              <w:t>5.</w:t>
            </w:r>
          </w:p>
        </w:tc>
        <w:tc>
          <w:tcPr>
            <w:tcW w:w="5560" w:type="dxa"/>
          </w:tcPr>
          <w:p>
            <w:pPr>
              <w:pStyle w:val="TableParagraph"/>
              <w:spacing w:line="250" w:lineRule="exact"/>
              <w:ind w:left="107"/>
              <w:rPr>
                <w:sz w:val="22"/>
              </w:rPr>
            </w:pPr>
            <w:r>
              <w:rPr>
                <w:sz w:val="22"/>
              </w:rPr>
              <w:t>Şu anda huzur içindeyim</w:t>
            </w:r>
          </w:p>
        </w:tc>
        <w:tc>
          <w:tcPr>
            <w:tcW w:w="540" w:type="dxa"/>
          </w:tcPr>
          <w:p>
            <w:pPr>
              <w:pStyle w:val="TableParagraph"/>
              <w:spacing w:before="7"/>
              <w:rPr>
                <w:b/>
                <w:sz w:val="21"/>
              </w:rPr>
            </w:pPr>
          </w:p>
          <w:p>
            <w:pPr>
              <w:pStyle w:val="TableParagraph"/>
              <w:spacing w:line="237" w:lineRule="exact" w:before="1"/>
              <w:ind w:left="107"/>
              <w:rPr>
                <w:sz w:val="22"/>
              </w:rPr>
            </w:pPr>
            <w:r>
              <w:rPr>
                <w:sz w:val="22"/>
              </w:rPr>
              <w:t>(1)</w:t>
            </w:r>
          </w:p>
        </w:tc>
        <w:tc>
          <w:tcPr>
            <w:tcW w:w="540" w:type="dxa"/>
          </w:tcPr>
          <w:p>
            <w:pPr>
              <w:pStyle w:val="TableParagraph"/>
              <w:spacing w:before="7"/>
              <w:rPr>
                <w:b/>
                <w:sz w:val="21"/>
              </w:rPr>
            </w:pPr>
          </w:p>
          <w:p>
            <w:pPr>
              <w:pStyle w:val="TableParagraph"/>
              <w:spacing w:line="237" w:lineRule="exact" w:before="1"/>
              <w:ind w:left="107"/>
              <w:rPr>
                <w:sz w:val="22"/>
              </w:rPr>
            </w:pPr>
            <w:r>
              <w:rPr>
                <w:sz w:val="22"/>
              </w:rPr>
              <w:t>(2)</w:t>
            </w:r>
          </w:p>
        </w:tc>
        <w:tc>
          <w:tcPr>
            <w:tcW w:w="540" w:type="dxa"/>
          </w:tcPr>
          <w:p>
            <w:pPr>
              <w:pStyle w:val="TableParagraph"/>
              <w:spacing w:before="7"/>
              <w:rPr>
                <w:b/>
                <w:sz w:val="21"/>
              </w:rPr>
            </w:pPr>
          </w:p>
          <w:p>
            <w:pPr>
              <w:pStyle w:val="TableParagraph"/>
              <w:spacing w:line="237" w:lineRule="exact" w:before="1"/>
              <w:ind w:left="89" w:right="131"/>
              <w:jc w:val="center"/>
              <w:rPr>
                <w:sz w:val="22"/>
              </w:rPr>
            </w:pPr>
            <w:r>
              <w:rPr>
                <w:sz w:val="22"/>
              </w:rPr>
              <w:t>(3)</w:t>
            </w:r>
          </w:p>
        </w:tc>
        <w:tc>
          <w:tcPr>
            <w:tcW w:w="677" w:type="dxa"/>
          </w:tcPr>
          <w:p>
            <w:pPr>
              <w:pStyle w:val="TableParagraph"/>
              <w:spacing w:line="250" w:lineRule="exact"/>
              <w:ind w:left="210" w:right="147"/>
              <w:jc w:val="center"/>
              <w:rPr>
                <w:sz w:val="22"/>
              </w:rPr>
            </w:pPr>
            <w:r>
              <w:rPr>
                <w:sz w:val="22"/>
              </w:rPr>
              <w:t>(4)</w:t>
            </w:r>
          </w:p>
        </w:tc>
      </w:tr>
      <w:tr>
        <w:trPr>
          <w:trHeight w:val="506" w:hRule="atLeast"/>
        </w:trPr>
        <w:tc>
          <w:tcPr>
            <w:tcW w:w="473" w:type="dxa"/>
          </w:tcPr>
          <w:p>
            <w:pPr>
              <w:pStyle w:val="TableParagraph"/>
              <w:spacing w:line="250" w:lineRule="exact"/>
              <w:ind w:right="122"/>
              <w:jc w:val="center"/>
              <w:rPr>
                <w:sz w:val="22"/>
              </w:rPr>
            </w:pPr>
            <w:r>
              <w:rPr>
                <w:w w:val="100"/>
                <w:sz w:val="22"/>
              </w:rPr>
              <w:t>6</w:t>
            </w:r>
          </w:p>
        </w:tc>
        <w:tc>
          <w:tcPr>
            <w:tcW w:w="5560" w:type="dxa"/>
          </w:tcPr>
          <w:p>
            <w:pPr>
              <w:pStyle w:val="TableParagraph"/>
              <w:spacing w:line="250" w:lineRule="exact"/>
              <w:ind w:left="107"/>
              <w:rPr>
                <w:sz w:val="22"/>
              </w:rPr>
            </w:pPr>
            <w:r>
              <w:rPr>
                <w:sz w:val="22"/>
              </w:rPr>
              <w:t>Şu anda hiç keyfim yok</w:t>
            </w:r>
          </w:p>
        </w:tc>
        <w:tc>
          <w:tcPr>
            <w:tcW w:w="540" w:type="dxa"/>
          </w:tcPr>
          <w:p>
            <w:pPr>
              <w:pStyle w:val="TableParagraph"/>
              <w:spacing w:before="7"/>
              <w:rPr>
                <w:b/>
                <w:sz w:val="21"/>
              </w:rPr>
            </w:pPr>
          </w:p>
          <w:p>
            <w:pPr>
              <w:pStyle w:val="TableParagraph"/>
              <w:spacing w:line="237" w:lineRule="exact" w:before="1"/>
              <w:ind w:left="107"/>
              <w:rPr>
                <w:sz w:val="22"/>
              </w:rPr>
            </w:pPr>
            <w:r>
              <w:rPr>
                <w:sz w:val="22"/>
              </w:rPr>
              <w:t>(1)</w:t>
            </w:r>
          </w:p>
        </w:tc>
        <w:tc>
          <w:tcPr>
            <w:tcW w:w="540" w:type="dxa"/>
          </w:tcPr>
          <w:p>
            <w:pPr>
              <w:pStyle w:val="TableParagraph"/>
              <w:spacing w:before="7"/>
              <w:rPr>
                <w:b/>
                <w:sz w:val="21"/>
              </w:rPr>
            </w:pPr>
          </w:p>
          <w:p>
            <w:pPr>
              <w:pStyle w:val="TableParagraph"/>
              <w:spacing w:line="237" w:lineRule="exact" w:before="1"/>
              <w:ind w:left="107"/>
              <w:rPr>
                <w:sz w:val="22"/>
              </w:rPr>
            </w:pPr>
            <w:r>
              <w:rPr>
                <w:sz w:val="22"/>
              </w:rPr>
              <w:t>(2)</w:t>
            </w:r>
          </w:p>
        </w:tc>
        <w:tc>
          <w:tcPr>
            <w:tcW w:w="540" w:type="dxa"/>
          </w:tcPr>
          <w:p>
            <w:pPr>
              <w:pStyle w:val="TableParagraph"/>
              <w:spacing w:before="7"/>
              <w:rPr>
                <w:b/>
                <w:sz w:val="21"/>
              </w:rPr>
            </w:pPr>
          </w:p>
          <w:p>
            <w:pPr>
              <w:pStyle w:val="TableParagraph"/>
              <w:spacing w:line="237" w:lineRule="exact" w:before="1"/>
              <w:ind w:left="89" w:right="131"/>
              <w:jc w:val="center"/>
              <w:rPr>
                <w:sz w:val="22"/>
              </w:rPr>
            </w:pPr>
            <w:r>
              <w:rPr>
                <w:sz w:val="22"/>
              </w:rPr>
              <w:t>(3)</w:t>
            </w:r>
          </w:p>
        </w:tc>
        <w:tc>
          <w:tcPr>
            <w:tcW w:w="677" w:type="dxa"/>
          </w:tcPr>
          <w:p>
            <w:pPr>
              <w:pStyle w:val="TableParagraph"/>
              <w:spacing w:line="250" w:lineRule="exact"/>
              <w:ind w:left="210" w:right="147"/>
              <w:jc w:val="center"/>
              <w:rPr>
                <w:sz w:val="22"/>
              </w:rPr>
            </w:pPr>
            <w:r>
              <w:rPr>
                <w:sz w:val="22"/>
              </w:rPr>
              <w:t>(4)</w:t>
            </w:r>
          </w:p>
        </w:tc>
      </w:tr>
      <w:tr>
        <w:trPr>
          <w:trHeight w:val="505" w:hRule="atLeast"/>
        </w:trPr>
        <w:tc>
          <w:tcPr>
            <w:tcW w:w="473" w:type="dxa"/>
          </w:tcPr>
          <w:p>
            <w:pPr>
              <w:pStyle w:val="TableParagraph"/>
              <w:spacing w:line="250" w:lineRule="exact"/>
              <w:ind w:right="122"/>
              <w:jc w:val="center"/>
              <w:rPr>
                <w:sz w:val="22"/>
              </w:rPr>
            </w:pPr>
            <w:r>
              <w:rPr>
                <w:w w:val="100"/>
                <w:sz w:val="22"/>
              </w:rPr>
              <w:t>7</w:t>
            </w:r>
          </w:p>
        </w:tc>
        <w:tc>
          <w:tcPr>
            <w:tcW w:w="5560" w:type="dxa"/>
          </w:tcPr>
          <w:p>
            <w:pPr>
              <w:pStyle w:val="TableParagraph"/>
              <w:spacing w:line="250" w:lineRule="exact"/>
              <w:ind w:left="107"/>
              <w:rPr>
                <w:sz w:val="22"/>
              </w:rPr>
            </w:pPr>
            <w:r>
              <w:rPr>
                <w:sz w:val="22"/>
              </w:rPr>
              <w:t>Başıma geleceklerden endişe ediyorum</w:t>
            </w:r>
          </w:p>
        </w:tc>
        <w:tc>
          <w:tcPr>
            <w:tcW w:w="540" w:type="dxa"/>
          </w:tcPr>
          <w:p>
            <w:pPr>
              <w:pStyle w:val="TableParagraph"/>
              <w:spacing w:before="7"/>
              <w:rPr>
                <w:b/>
                <w:sz w:val="21"/>
              </w:rPr>
            </w:pPr>
          </w:p>
          <w:p>
            <w:pPr>
              <w:pStyle w:val="TableParagraph"/>
              <w:spacing w:line="237" w:lineRule="exact" w:before="1"/>
              <w:ind w:left="107"/>
              <w:rPr>
                <w:sz w:val="22"/>
              </w:rPr>
            </w:pPr>
            <w:r>
              <w:rPr>
                <w:sz w:val="22"/>
              </w:rPr>
              <w:t>(1)</w:t>
            </w:r>
          </w:p>
        </w:tc>
        <w:tc>
          <w:tcPr>
            <w:tcW w:w="540" w:type="dxa"/>
          </w:tcPr>
          <w:p>
            <w:pPr>
              <w:pStyle w:val="TableParagraph"/>
              <w:spacing w:before="7"/>
              <w:rPr>
                <w:b/>
                <w:sz w:val="21"/>
              </w:rPr>
            </w:pPr>
          </w:p>
          <w:p>
            <w:pPr>
              <w:pStyle w:val="TableParagraph"/>
              <w:spacing w:line="237" w:lineRule="exact" w:before="1"/>
              <w:ind w:left="107"/>
              <w:rPr>
                <w:sz w:val="22"/>
              </w:rPr>
            </w:pPr>
            <w:r>
              <w:rPr>
                <w:sz w:val="22"/>
              </w:rPr>
              <w:t>(2)</w:t>
            </w:r>
          </w:p>
        </w:tc>
        <w:tc>
          <w:tcPr>
            <w:tcW w:w="540" w:type="dxa"/>
          </w:tcPr>
          <w:p>
            <w:pPr>
              <w:pStyle w:val="TableParagraph"/>
              <w:spacing w:before="7"/>
              <w:rPr>
                <w:b/>
                <w:sz w:val="21"/>
              </w:rPr>
            </w:pPr>
          </w:p>
          <w:p>
            <w:pPr>
              <w:pStyle w:val="TableParagraph"/>
              <w:spacing w:line="237" w:lineRule="exact" w:before="1"/>
              <w:ind w:left="89" w:right="131"/>
              <w:jc w:val="center"/>
              <w:rPr>
                <w:sz w:val="22"/>
              </w:rPr>
            </w:pPr>
            <w:r>
              <w:rPr>
                <w:sz w:val="22"/>
              </w:rPr>
              <w:t>(3)</w:t>
            </w:r>
          </w:p>
        </w:tc>
        <w:tc>
          <w:tcPr>
            <w:tcW w:w="677" w:type="dxa"/>
          </w:tcPr>
          <w:p>
            <w:pPr>
              <w:pStyle w:val="TableParagraph"/>
              <w:spacing w:line="250" w:lineRule="exact"/>
              <w:ind w:left="210" w:right="147"/>
              <w:jc w:val="center"/>
              <w:rPr>
                <w:sz w:val="22"/>
              </w:rPr>
            </w:pPr>
            <w:r>
              <w:rPr>
                <w:sz w:val="22"/>
              </w:rPr>
              <w:t>(4)</w:t>
            </w:r>
          </w:p>
        </w:tc>
      </w:tr>
      <w:tr>
        <w:trPr>
          <w:trHeight w:val="506" w:hRule="atLeast"/>
        </w:trPr>
        <w:tc>
          <w:tcPr>
            <w:tcW w:w="473" w:type="dxa"/>
          </w:tcPr>
          <w:p>
            <w:pPr>
              <w:pStyle w:val="TableParagraph"/>
              <w:spacing w:line="250" w:lineRule="exact"/>
              <w:ind w:left="28" w:right="89"/>
              <w:jc w:val="center"/>
              <w:rPr>
                <w:sz w:val="22"/>
              </w:rPr>
            </w:pPr>
            <w:r>
              <w:rPr>
                <w:sz w:val="22"/>
              </w:rPr>
              <w:t>8.</w:t>
            </w:r>
          </w:p>
        </w:tc>
        <w:tc>
          <w:tcPr>
            <w:tcW w:w="5560" w:type="dxa"/>
          </w:tcPr>
          <w:p>
            <w:pPr>
              <w:pStyle w:val="TableParagraph"/>
              <w:spacing w:line="250" w:lineRule="exact"/>
              <w:ind w:left="107"/>
              <w:rPr>
                <w:sz w:val="22"/>
              </w:rPr>
            </w:pPr>
            <w:r>
              <w:rPr>
                <w:sz w:val="22"/>
              </w:rPr>
              <w:t>Kendimi dinlenmiş hissediyorum</w:t>
            </w:r>
          </w:p>
        </w:tc>
        <w:tc>
          <w:tcPr>
            <w:tcW w:w="540" w:type="dxa"/>
          </w:tcPr>
          <w:p>
            <w:pPr>
              <w:pStyle w:val="TableParagraph"/>
              <w:spacing w:before="8"/>
              <w:rPr>
                <w:b/>
                <w:sz w:val="21"/>
              </w:rPr>
            </w:pPr>
          </w:p>
          <w:p>
            <w:pPr>
              <w:pStyle w:val="TableParagraph"/>
              <w:spacing w:line="237" w:lineRule="exact"/>
              <w:ind w:left="107"/>
              <w:rPr>
                <w:sz w:val="22"/>
              </w:rPr>
            </w:pPr>
            <w:r>
              <w:rPr>
                <w:sz w:val="22"/>
              </w:rPr>
              <w:t>(1)</w:t>
            </w:r>
          </w:p>
        </w:tc>
        <w:tc>
          <w:tcPr>
            <w:tcW w:w="540" w:type="dxa"/>
          </w:tcPr>
          <w:p>
            <w:pPr>
              <w:pStyle w:val="TableParagraph"/>
              <w:spacing w:before="8"/>
              <w:rPr>
                <w:b/>
                <w:sz w:val="21"/>
              </w:rPr>
            </w:pPr>
          </w:p>
          <w:p>
            <w:pPr>
              <w:pStyle w:val="TableParagraph"/>
              <w:spacing w:line="237" w:lineRule="exact"/>
              <w:ind w:left="107"/>
              <w:rPr>
                <w:sz w:val="22"/>
              </w:rPr>
            </w:pPr>
            <w:r>
              <w:rPr>
                <w:sz w:val="22"/>
              </w:rPr>
              <w:t>(2)</w:t>
            </w:r>
          </w:p>
        </w:tc>
        <w:tc>
          <w:tcPr>
            <w:tcW w:w="540" w:type="dxa"/>
          </w:tcPr>
          <w:p>
            <w:pPr>
              <w:pStyle w:val="TableParagraph"/>
              <w:spacing w:before="8"/>
              <w:rPr>
                <w:b/>
                <w:sz w:val="21"/>
              </w:rPr>
            </w:pPr>
          </w:p>
          <w:p>
            <w:pPr>
              <w:pStyle w:val="TableParagraph"/>
              <w:spacing w:line="237" w:lineRule="exact"/>
              <w:ind w:left="89" w:right="131"/>
              <w:jc w:val="center"/>
              <w:rPr>
                <w:sz w:val="22"/>
              </w:rPr>
            </w:pPr>
            <w:r>
              <w:rPr>
                <w:sz w:val="22"/>
              </w:rPr>
              <w:t>(3)</w:t>
            </w:r>
          </w:p>
        </w:tc>
        <w:tc>
          <w:tcPr>
            <w:tcW w:w="677" w:type="dxa"/>
          </w:tcPr>
          <w:p>
            <w:pPr>
              <w:pStyle w:val="TableParagraph"/>
              <w:spacing w:line="250" w:lineRule="exact"/>
              <w:ind w:left="210" w:right="147"/>
              <w:jc w:val="center"/>
              <w:rPr>
                <w:sz w:val="22"/>
              </w:rPr>
            </w:pPr>
            <w:r>
              <w:rPr>
                <w:sz w:val="22"/>
              </w:rPr>
              <w:t>(4)</w:t>
            </w:r>
          </w:p>
        </w:tc>
      </w:tr>
      <w:tr>
        <w:trPr>
          <w:trHeight w:val="506" w:hRule="atLeast"/>
        </w:trPr>
        <w:tc>
          <w:tcPr>
            <w:tcW w:w="473" w:type="dxa"/>
          </w:tcPr>
          <w:p>
            <w:pPr>
              <w:pStyle w:val="TableParagraph"/>
              <w:spacing w:line="250" w:lineRule="exact"/>
              <w:ind w:right="122"/>
              <w:jc w:val="center"/>
              <w:rPr>
                <w:sz w:val="22"/>
              </w:rPr>
            </w:pPr>
            <w:r>
              <w:rPr>
                <w:w w:val="100"/>
                <w:sz w:val="22"/>
              </w:rPr>
              <w:t>9</w:t>
            </w:r>
          </w:p>
        </w:tc>
        <w:tc>
          <w:tcPr>
            <w:tcW w:w="5560" w:type="dxa"/>
          </w:tcPr>
          <w:p>
            <w:pPr>
              <w:pStyle w:val="TableParagraph"/>
              <w:spacing w:line="250" w:lineRule="exact"/>
              <w:ind w:left="107"/>
              <w:rPr>
                <w:sz w:val="22"/>
              </w:rPr>
            </w:pPr>
            <w:r>
              <w:rPr>
                <w:sz w:val="22"/>
              </w:rPr>
              <w:t>Şu anda kaygılıyım</w:t>
            </w:r>
          </w:p>
        </w:tc>
        <w:tc>
          <w:tcPr>
            <w:tcW w:w="540" w:type="dxa"/>
          </w:tcPr>
          <w:p>
            <w:pPr>
              <w:pStyle w:val="TableParagraph"/>
              <w:spacing w:before="7"/>
              <w:rPr>
                <w:b/>
                <w:sz w:val="21"/>
              </w:rPr>
            </w:pPr>
          </w:p>
          <w:p>
            <w:pPr>
              <w:pStyle w:val="TableParagraph"/>
              <w:spacing w:line="237" w:lineRule="exact" w:before="1"/>
              <w:ind w:left="107"/>
              <w:rPr>
                <w:sz w:val="22"/>
              </w:rPr>
            </w:pPr>
            <w:r>
              <w:rPr>
                <w:sz w:val="22"/>
              </w:rPr>
              <w:t>(1)</w:t>
            </w:r>
          </w:p>
        </w:tc>
        <w:tc>
          <w:tcPr>
            <w:tcW w:w="540" w:type="dxa"/>
          </w:tcPr>
          <w:p>
            <w:pPr>
              <w:pStyle w:val="TableParagraph"/>
              <w:spacing w:before="7"/>
              <w:rPr>
                <w:b/>
                <w:sz w:val="21"/>
              </w:rPr>
            </w:pPr>
          </w:p>
          <w:p>
            <w:pPr>
              <w:pStyle w:val="TableParagraph"/>
              <w:spacing w:line="237" w:lineRule="exact" w:before="1"/>
              <w:ind w:left="107"/>
              <w:rPr>
                <w:sz w:val="22"/>
              </w:rPr>
            </w:pPr>
            <w:r>
              <w:rPr>
                <w:sz w:val="22"/>
              </w:rPr>
              <w:t>(2)</w:t>
            </w:r>
          </w:p>
        </w:tc>
        <w:tc>
          <w:tcPr>
            <w:tcW w:w="540" w:type="dxa"/>
          </w:tcPr>
          <w:p>
            <w:pPr>
              <w:pStyle w:val="TableParagraph"/>
              <w:spacing w:before="7"/>
              <w:rPr>
                <w:b/>
                <w:sz w:val="21"/>
              </w:rPr>
            </w:pPr>
          </w:p>
          <w:p>
            <w:pPr>
              <w:pStyle w:val="TableParagraph"/>
              <w:spacing w:line="237" w:lineRule="exact" w:before="1"/>
              <w:ind w:left="89" w:right="131"/>
              <w:jc w:val="center"/>
              <w:rPr>
                <w:sz w:val="22"/>
              </w:rPr>
            </w:pPr>
            <w:r>
              <w:rPr>
                <w:sz w:val="22"/>
              </w:rPr>
              <w:t>(3)</w:t>
            </w:r>
          </w:p>
        </w:tc>
        <w:tc>
          <w:tcPr>
            <w:tcW w:w="677" w:type="dxa"/>
          </w:tcPr>
          <w:p>
            <w:pPr>
              <w:pStyle w:val="TableParagraph"/>
              <w:spacing w:line="250" w:lineRule="exact"/>
              <w:ind w:left="210" w:right="147"/>
              <w:jc w:val="center"/>
              <w:rPr>
                <w:sz w:val="22"/>
              </w:rPr>
            </w:pPr>
            <w:r>
              <w:rPr>
                <w:sz w:val="22"/>
              </w:rPr>
              <w:t>(4)</w:t>
            </w:r>
          </w:p>
        </w:tc>
      </w:tr>
      <w:tr>
        <w:trPr>
          <w:trHeight w:val="506" w:hRule="atLeast"/>
        </w:trPr>
        <w:tc>
          <w:tcPr>
            <w:tcW w:w="473" w:type="dxa"/>
          </w:tcPr>
          <w:p>
            <w:pPr>
              <w:pStyle w:val="TableParagraph"/>
              <w:spacing w:line="250" w:lineRule="exact"/>
              <w:ind w:left="89" w:right="89"/>
              <w:jc w:val="center"/>
              <w:rPr>
                <w:sz w:val="22"/>
              </w:rPr>
            </w:pPr>
            <w:r>
              <w:rPr>
                <w:sz w:val="22"/>
              </w:rPr>
              <w:t>10</w:t>
            </w:r>
          </w:p>
        </w:tc>
        <w:tc>
          <w:tcPr>
            <w:tcW w:w="5560" w:type="dxa"/>
          </w:tcPr>
          <w:p>
            <w:pPr>
              <w:pStyle w:val="TableParagraph"/>
              <w:spacing w:line="250" w:lineRule="exact"/>
              <w:ind w:left="107"/>
              <w:rPr>
                <w:sz w:val="22"/>
              </w:rPr>
            </w:pPr>
            <w:r>
              <w:rPr>
                <w:sz w:val="22"/>
              </w:rPr>
              <w:t>Kendimi rahat hissediyorum</w:t>
            </w:r>
          </w:p>
        </w:tc>
        <w:tc>
          <w:tcPr>
            <w:tcW w:w="540" w:type="dxa"/>
          </w:tcPr>
          <w:p>
            <w:pPr>
              <w:pStyle w:val="TableParagraph"/>
              <w:spacing w:before="7"/>
              <w:rPr>
                <w:b/>
                <w:sz w:val="21"/>
              </w:rPr>
            </w:pPr>
          </w:p>
          <w:p>
            <w:pPr>
              <w:pStyle w:val="TableParagraph"/>
              <w:spacing w:line="237" w:lineRule="exact" w:before="1"/>
              <w:ind w:left="107"/>
              <w:rPr>
                <w:sz w:val="22"/>
              </w:rPr>
            </w:pPr>
            <w:r>
              <w:rPr>
                <w:sz w:val="22"/>
              </w:rPr>
              <w:t>(1)</w:t>
            </w:r>
          </w:p>
        </w:tc>
        <w:tc>
          <w:tcPr>
            <w:tcW w:w="540" w:type="dxa"/>
          </w:tcPr>
          <w:p>
            <w:pPr>
              <w:pStyle w:val="TableParagraph"/>
              <w:spacing w:before="7"/>
              <w:rPr>
                <w:b/>
                <w:sz w:val="21"/>
              </w:rPr>
            </w:pPr>
          </w:p>
          <w:p>
            <w:pPr>
              <w:pStyle w:val="TableParagraph"/>
              <w:spacing w:line="237" w:lineRule="exact" w:before="1"/>
              <w:ind w:left="107"/>
              <w:rPr>
                <w:sz w:val="22"/>
              </w:rPr>
            </w:pPr>
            <w:r>
              <w:rPr>
                <w:sz w:val="22"/>
              </w:rPr>
              <w:t>(2)</w:t>
            </w:r>
          </w:p>
        </w:tc>
        <w:tc>
          <w:tcPr>
            <w:tcW w:w="540" w:type="dxa"/>
          </w:tcPr>
          <w:p>
            <w:pPr>
              <w:pStyle w:val="TableParagraph"/>
              <w:spacing w:before="7"/>
              <w:rPr>
                <w:b/>
                <w:sz w:val="21"/>
              </w:rPr>
            </w:pPr>
          </w:p>
          <w:p>
            <w:pPr>
              <w:pStyle w:val="TableParagraph"/>
              <w:spacing w:line="237" w:lineRule="exact" w:before="1"/>
              <w:ind w:left="89" w:right="131"/>
              <w:jc w:val="center"/>
              <w:rPr>
                <w:sz w:val="22"/>
              </w:rPr>
            </w:pPr>
            <w:r>
              <w:rPr>
                <w:sz w:val="22"/>
              </w:rPr>
              <w:t>(3)</w:t>
            </w:r>
          </w:p>
        </w:tc>
        <w:tc>
          <w:tcPr>
            <w:tcW w:w="677" w:type="dxa"/>
          </w:tcPr>
          <w:p>
            <w:pPr>
              <w:pStyle w:val="TableParagraph"/>
              <w:spacing w:line="250" w:lineRule="exact"/>
              <w:ind w:left="210" w:right="147"/>
              <w:jc w:val="center"/>
              <w:rPr>
                <w:sz w:val="22"/>
              </w:rPr>
            </w:pPr>
            <w:r>
              <w:rPr>
                <w:sz w:val="22"/>
              </w:rPr>
              <w:t>(4)</w:t>
            </w:r>
          </w:p>
        </w:tc>
      </w:tr>
      <w:tr>
        <w:trPr>
          <w:trHeight w:val="506" w:hRule="atLeast"/>
        </w:trPr>
        <w:tc>
          <w:tcPr>
            <w:tcW w:w="473" w:type="dxa"/>
          </w:tcPr>
          <w:p>
            <w:pPr>
              <w:pStyle w:val="TableParagraph"/>
              <w:spacing w:line="250" w:lineRule="exact"/>
              <w:ind w:left="89" w:right="89"/>
              <w:jc w:val="center"/>
              <w:rPr>
                <w:sz w:val="22"/>
              </w:rPr>
            </w:pPr>
            <w:r>
              <w:rPr>
                <w:sz w:val="22"/>
              </w:rPr>
              <w:t>11</w:t>
            </w:r>
          </w:p>
        </w:tc>
        <w:tc>
          <w:tcPr>
            <w:tcW w:w="5560" w:type="dxa"/>
          </w:tcPr>
          <w:p>
            <w:pPr>
              <w:pStyle w:val="TableParagraph"/>
              <w:spacing w:line="250" w:lineRule="exact"/>
              <w:ind w:left="107"/>
              <w:rPr>
                <w:sz w:val="22"/>
              </w:rPr>
            </w:pPr>
            <w:r>
              <w:rPr>
                <w:sz w:val="22"/>
              </w:rPr>
              <w:t>Kendime güvenim var</w:t>
            </w:r>
          </w:p>
        </w:tc>
        <w:tc>
          <w:tcPr>
            <w:tcW w:w="540" w:type="dxa"/>
          </w:tcPr>
          <w:p>
            <w:pPr>
              <w:pStyle w:val="TableParagraph"/>
              <w:spacing w:before="7"/>
              <w:rPr>
                <w:b/>
                <w:sz w:val="21"/>
              </w:rPr>
            </w:pPr>
          </w:p>
          <w:p>
            <w:pPr>
              <w:pStyle w:val="TableParagraph"/>
              <w:spacing w:line="237" w:lineRule="exact" w:before="1"/>
              <w:ind w:left="107"/>
              <w:rPr>
                <w:sz w:val="22"/>
              </w:rPr>
            </w:pPr>
            <w:r>
              <w:rPr>
                <w:sz w:val="22"/>
              </w:rPr>
              <w:t>(1)</w:t>
            </w:r>
          </w:p>
        </w:tc>
        <w:tc>
          <w:tcPr>
            <w:tcW w:w="540" w:type="dxa"/>
          </w:tcPr>
          <w:p>
            <w:pPr>
              <w:pStyle w:val="TableParagraph"/>
              <w:spacing w:before="7"/>
              <w:rPr>
                <w:b/>
                <w:sz w:val="21"/>
              </w:rPr>
            </w:pPr>
          </w:p>
          <w:p>
            <w:pPr>
              <w:pStyle w:val="TableParagraph"/>
              <w:spacing w:line="237" w:lineRule="exact" w:before="1"/>
              <w:ind w:left="107"/>
              <w:rPr>
                <w:sz w:val="22"/>
              </w:rPr>
            </w:pPr>
            <w:r>
              <w:rPr>
                <w:sz w:val="22"/>
              </w:rPr>
              <w:t>(2)</w:t>
            </w:r>
          </w:p>
        </w:tc>
        <w:tc>
          <w:tcPr>
            <w:tcW w:w="540" w:type="dxa"/>
          </w:tcPr>
          <w:p>
            <w:pPr>
              <w:pStyle w:val="TableParagraph"/>
              <w:spacing w:before="7"/>
              <w:rPr>
                <w:b/>
                <w:sz w:val="21"/>
              </w:rPr>
            </w:pPr>
          </w:p>
          <w:p>
            <w:pPr>
              <w:pStyle w:val="TableParagraph"/>
              <w:spacing w:line="237" w:lineRule="exact" w:before="1"/>
              <w:ind w:left="89" w:right="131"/>
              <w:jc w:val="center"/>
              <w:rPr>
                <w:sz w:val="22"/>
              </w:rPr>
            </w:pPr>
            <w:r>
              <w:rPr>
                <w:sz w:val="22"/>
              </w:rPr>
              <w:t>(3)</w:t>
            </w:r>
          </w:p>
        </w:tc>
        <w:tc>
          <w:tcPr>
            <w:tcW w:w="677" w:type="dxa"/>
          </w:tcPr>
          <w:p>
            <w:pPr>
              <w:pStyle w:val="TableParagraph"/>
              <w:spacing w:line="250" w:lineRule="exact"/>
              <w:ind w:left="210" w:right="147"/>
              <w:jc w:val="center"/>
              <w:rPr>
                <w:sz w:val="22"/>
              </w:rPr>
            </w:pPr>
            <w:r>
              <w:rPr>
                <w:sz w:val="22"/>
              </w:rPr>
              <w:t>(4)</w:t>
            </w:r>
          </w:p>
        </w:tc>
      </w:tr>
      <w:tr>
        <w:trPr>
          <w:trHeight w:val="505" w:hRule="atLeast"/>
        </w:trPr>
        <w:tc>
          <w:tcPr>
            <w:tcW w:w="473" w:type="dxa"/>
          </w:tcPr>
          <w:p>
            <w:pPr>
              <w:pStyle w:val="TableParagraph"/>
              <w:spacing w:line="250" w:lineRule="exact"/>
              <w:ind w:left="89" w:right="89"/>
              <w:jc w:val="center"/>
              <w:rPr>
                <w:sz w:val="22"/>
              </w:rPr>
            </w:pPr>
            <w:r>
              <w:rPr>
                <w:sz w:val="22"/>
              </w:rPr>
              <w:t>12</w:t>
            </w:r>
          </w:p>
        </w:tc>
        <w:tc>
          <w:tcPr>
            <w:tcW w:w="5560" w:type="dxa"/>
          </w:tcPr>
          <w:p>
            <w:pPr>
              <w:pStyle w:val="TableParagraph"/>
              <w:spacing w:line="250" w:lineRule="exact"/>
              <w:ind w:left="107"/>
              <w:rPr>
                <w:sz w:val="22"/>
              </w:rPr>
            </w:pPr>
            <w:r>
              <w:rPr>
                <w:sz w:val="22"/>
              </w:rPr>
              <w:t>Şu anda asabım bozuk</w:t>
            </w:r>
          </w:p>
        </w:tc>
        <w:tc>
          <w:tcPr>
            <w:tcW w:w="540" w:type="dxa"/>
          </w:tcPr>
          <w:p>
            <w:pPr>
              <w:pStyle w:val="TableParagraph"/>
              <w:spacing w:before="7"/>
              <w:rPr>
                <w:b/>
                <w:sz w:val="21"/>
              </w:rPr>
            </w:pPr>
          </w:p>
          <w:p>
            <w:pPr>
              <w:pStyle w:val="TableParagraph"/>
              <w:spacing w:line="237" w:lineRule="exact" w:before="1"/>
              <w:ind w:left="107"/>
              <w:rPr>
                <w:sz w:val="22"/>
              </w:rPr>
            </w:pPr>
            <w:r>
              <w:rPr>
                <w:sz w:val="22"/>
              </w:rPr>
              <w:t>(1)</w:t>
            </w:r>
          </w:p>
        </w:tc>
        <w:tc>
          <w:tcPr>
            <w:tcW w:w="540" w:type="dxa"/>
          </w:tcPr>
          <w:p>
            <w:pPr>
              <w:pStyle w:val="TableParagraph"/>
              <w:spacing w:before="7"/>
              <w:rPr>
                <w:b/>
                <w:sz w:val="21"/>
              </w:rPr>
            </w:pPr>
          </w:p>
          <w:p>
            <w:pPr>
              <w:pStyle w:val="TableParagraph"/>
              <w:spacing w:line="237" w:lineRule="exact" w:before="1"/>
              <w:ind w:left="107"/>
              <w:rPr>
                <w:sz w:val="22"/>
              </w:rPr>
            </w:pPr>
            <w:r>
              <w:rPr>
                <w:sz w:val="22"/>
              </w:rPr>
              <w:t>(2)</w:t>
            </w:r>
          </w:p>
        </w:tc>
        <w:tc>
          <w:tcPr>
            <w:tcW w:w="540" w:type="dxa"/>
          </w:tcPr>
          <w:p>
            <w:pPr>
              <w:pStyle w:val="TableParagraph"/>
              <w:spacing w:before="7"/>
              <w:rPr>
                <w:b/>
                <w:sz w:val="21"/>
              </w:rPr>
            </w:pPr>
          </w:p>
          <w:p>
            <w:pPr>
              <w:pStyle w:val="TableParagraph"/>
              <w:spacing w:line="237" w:lineRule="exact" w:before="1"/>
              <w:ind w:left="89" w:right="131"/>
              <w:jc w:val="center"/>
              <w:rPr>
                <w:sz w:val="22"/>
              </w:rPr>
            </w:pPr>
            <w:r>
              <w:rPr>
                <w:sz w:val="22"/>
              </w:rPr>
              <w:t>(3)</w:t>
            </w:r>
          </w:p>
        </w:tc>
        <w:tc>
          <w:tcPr>
            <w:tcW w:w="677" w:type="dxa"/>
          </w:tcPr>
          <w:p>
            <w:pPr>
              <w:pStyle w:val="TableParagraph"/>
              <w:spacing w:line="250" w:lineRule="exact"/>
              <w:ind w:left="210" w:right="147"/>
              <w:jc w:val="center"/>
              <w:rPr>
                <w:sz w:val="22"/>
              </w:rPr>
            </w:pPr>
            <w:r>
              <w:rPr>
                <w:sz w:val="22"/>
              </w:rPr>
              <w:t>(4)</w:t>
            </w:r>
          </w:p>
        </w:tc>
      </w:tr>
      <w:tr>
        <w:trPr>
          <w:trHeight w:val="505" w:hRule="atLeast"/>
        </w:trPr>
        <w:tc>
          <w:tcPr>
            <w:tcW w:w="473" w:type="dxa"/>
          </w:tcPr>
          <w:p>
            <w:pPr>
              <w:pStyle w:val="TableParagraph"/>
              <w:spacing w:line="250" w:lineRule="exact"/>
              <w:ind w:left="89" w:right="89"/>
              <w:jc w:val="center"/>
              <w:rPr>
                <w:sz w:val="22"/>
              </w:rPr>
            </w:pPr>
            <w:r>
              <w:rPr>
                <w:sz w:val="22"/>
              </w:rPr>
              <w:t>13</w:t>
            </w:r>
          </w:p>
        </w:tc>
        <w:tc>
          <w:tcPr>
            <w:tcW w:w="5560" w:type="dxa"/>
          </w:tcPr>
          <w:p>
            <w:pPr>
              <w:pStyle w:val="TableParagraph"/>
              <w:spacing w:line="250" w:lineRule="exact"/>
              <w:ind w:left="107"/>
              <w:rPr>
                <w:sz w:val="22"/>
              </w:rPr>
            </w:pPr>
            <w:r>
              <w:rPr>
                <w:sz w:val="22"/>
              </w:rPr>
              <w:t>Çok sinirliyim</w:t>
            </w:r>
          </w:p>
        </w:tc>
        <w:tc>
          <w:tcPr>
            <w:tcW w:w="540" w:type="dxa"/>
          </w:tcPr>
          <w:p>
            <w:pPr>
              <w:pStyle w:val="TableParagraph"/>
              <w:spacing w:before="7"/>
              <w:rPr>
                <w:b/>
                <w:sz w:val="21"/>
              </w:rPr>
            </w:pPr>
          </w:p>
          <w:p>
            <w:pPr>
              <w:pStyle w:val="TableParagraph"/>
              <w:spacing w:line="237" w:lineRule="exact" w:before="1"/>
              <w:ind w:left="107"/>
              <w:rPr>
                <w:sz w:val="22"/>
              </w:rPr>
            </w:pPr>
            <w:r>
              <w:rPr>
                <w:sz w:val="22"/>
              </w:rPr>
              <w:t>(1)</w:t>
            </w:r>
          </w:p>
        </w:tc>
        <w:tc>
          <w:tcPr>
            <w:tcW w:w="540" w:type="dxa"/>
          </w:tcPr>
          <w:p>
            <w:pPr>
              <w:pStyle w:val="TableParagraph"/>
              <w:spacing w:before="7"/>
              <w:rPr>
                <w:b/>
                <w:sz w:val="21"/>
              </w:rPr>
            </w:pPr>
          </w:p>
          <w:p>
            <w:pPr>
              <w:pStyle w:val="TableParagraph"/>
              <w:spacing w:line="237" w:lineRule="exact" w:before="1"/>
              <w:ind w:left="107"/>
              <w:rPr>
                <w:sz w:val="22"/>
              </w:rPr>
            </w:pPr>
            <w:r>
              <w:rPr>
                <w:sz w:val="22"/>
              </w:rPr>
              <w:t>(2)</w:t>
            </w:r>
          </w:p>
        </w:tc>
        <w:tc>
          <w:tcPr>
            <w:tcW w:w="540" w:type="dxa"/>
          </w:tcPr>
          <w:p>
            <w:pPr>
              <w:pStyle w:val="TableParagraph"/>
              <w:spacing w:before="7"/>
              <w:rPr>
                <w:b/>
                <w:sz w:val="21"/>
              </w:rPr>
            </w:pPr>
          </w:p>
          <w:p>
            <w:pPr>
              <w:pStyle w:val="TableParagraph"/>
              <w:spacing w:line="237" w:lineRule="exact" w:before="1"/>
              <w:ind w:left="89" w:right="131"/>
              <w:jc w:val="center"/>
              <w:rPr>
                <w:sz w:val="22"/>
              </w:rPr>
            </w:pPr>
            <w:r>
              <w:rPr>
                <w:sz w:val="22"/>
              </w:rPr>
              <w:t>(3)</w:t>
            </w:r>
          </w:p>
        </w:tc>
        <w:tc>
          <w:tcPr>
            <w:tcW w:w="677" w:type="dxa"/>
          </w:tcPr>
          <w:p>
            <w:pPr>
              <w:pStyle w:val="TableParagraph"/>
              <w:spacing w:line="250" w:lineRule="exact"/>
              <w:ind w:left="210" w:right="147"/>
              <w:jc w:val="center"/>
              <w:rPr>
                <w:sz w:val="22"/>
              </w:rPr>
            </w:pPr>
            <w:r>
              <w:rPr>
                <w:sz w:val="22"/>
              </w:rPr>
              <w:t>(4)</w:t>
            </w:r>
          </w:p>
        </w:tc>
      </w:tr>
      <w:tr>
        <w:trPr>
          <w:trHeight w:val="506" w:hRule="atLeast"/>
        </w:trPr>
        <w:tc>
          <w:tcPr>
            <w:tcW w:w="473" w:type="dxa"/>
          </w:tcPr>
          <w:p>
            <w:pPr>
              <w:pStyle w:val="TableParagraph"/>
              <w:spacing w:line="250" w:lineRule="exact"/>
              <w:ind w:left="89" w:right="89"/>
              <w:jc w:val="center"/>
              <w:rPr>
                <w:sz w:val="22"/>
              </w:rPr>
            </w:pPr>
            <w:r>
              <w:rPr>
                <w:sz w:val="22"/>
              </w:rPr>
              <w:t>14</w:t>
            </w:r>
          </w:p>
        </w:tc>
        <w:tc>
          <w:tcPr>
            <w:tcW w:w="5560" w:type="dxa"/>
          </w:tcPr>
          <w:p>
            <w:pPr>
              <w:pStyle w:val="TableParagraph"/>
              <w:spacing w:line="250" w:lineRule="exact"/>
              <w:ind w:left="107"/>
              <w:rPr>
                <w:sz w:val="22"/>
              </w:rPr>
            </w:pPr>
            <w:r>
              <w:rPr>
                <w:sz w:val="22"/>
              </w:rPr>
              <w:t>Sinirlerimin çok gergin olduğunu hissediyorum</w:t>
            </w:r>
          </w:p>
        </w:tc>
        <w:tc>
          <w:tcPr>
            <w:tcW w:w="540" w:type="dxa"/>
          </w:tcPr>
          <w:p>
            <w:pPr>
              <w:pStyle w:val="TableParagraph"/>
              <w:spacing w:before="7"/>
              <w:rPr>
                <w:b/>
                <w:sz w:val="21"/>
              </w:rPr>
            </w:pPr>
          </w:p>
          <w:p>
            <w:pPr>
              <w:pStyle w:val="TableParagraph"/>
              <w:spacing w:line="237" w:lineRule="exact" w:before="1"/>
              <w:ind w:left="107"/>
              <w:rPr>
                <w:sz w:val="22"/>
              </w:rPr>
            </w:pPr>
            <w:r>
              <w:rPr>
                <w:sz w:val="22"/>
              </w:rPr>
              <w:t>(1)</w:t>
            </w:r>
          </w:p>
        </w:tc>
        <w:tc>
          <w:tcPr>
            <w:tcW w:w="540" w:type="dxa"/>
          </w:tcPr>
          <w:p>
            <w:pPr>
              <w:pStyle w:val="TableParagraph"/>
              <w:spacing w:before="7"/>
              <w:rPr>
                <w:b/>
                <w:sz w:val="21"/>
              </w:rPr>
            </w:pPr>
          </w:p>
          <w:p>
            <w:pPr>
              <w:pStyle w:val="TableParagraph"/>
              <w:spacing w:line="237" w:lineRule="exact" w:before="1"/>
              <w:ind w:left="107"/>
              <w:rPr>
                <w:sz w:val="22"/>
              </w:rPr>
            </w:pPr>
            <w:r>
              <w:rPr>
                <w:sz w:val="22"/>
              </w:rPr>
              <w:t>(2)</w:t>
            </w:r>
          </w:p>
        </w:tc>
        <w:tc>
          <w:tcPr>
            <w:tcW w:w="540" w:type="dxa"/>
          </w:tcPr>
          <w:p>
            <w:pPr>
              <w:pStyle w:val="TableParagraph"/>
              <w:spacing w:before="7"/>
              <w:rPr>
                <w:b/>
                <w:sz w:val="21"/>
              </w:rPr>
            </w:pPr>
          </w:p>
          <w:p>
            <w:pPr>
              <w:pStyle w:val="TableParagraph"/>
              <w:spacing w:line="237" w:lineRule="exact" w:before="1"/>
              <w:ind w:left="89" w:right="131"/>
              <w:jc w:val="center"/>
              <w:rPr>
                <w:sz w:val="22"/>
              </w:rPr>
            </w:pPr>
            <w:r>
              <w:rPr>
                <w:sz w:val="22"/>
              </w:rPr>
              <w:t>(3)</w:t>
            </w:r>
          </w:p>
        </w:tc>
        <w:tc>
          <w:tcPr>
            <w:tcW w:w="677" w:type="dxa"/>
          </w:tcPr>
          <w:p>
            <w:pPr>
              <w:pStyle w:val="TableParagraph"/>
              <w:spacing w:line="250" w:lineRule="exact"/>
              <w:ind w:left="210" w:right="147"/>
              <w:jc w:val="center"/>
              <w:rPr>
                <w:sz w:val="22"/>
              </w:rPr>
            </w:pPr>
            <w:r>
              <w:rPr>
                <w:sz w:val="22"/>
              </w:rPr>
              <w:t>(4)</w:t>
            </w:r>
          </w:p>
        </w:tc>
      </w:tr>
      <w:tr>
        <w:trPr>
          <w:trHeight w:val="506" w:hRule="atLeast"/>
        </w:trPr>
        <w:tc>
          <w:tcPr>
            <w:tcW w:w="473" w:type="dxa"/>
          </w:tcPr>
          <w:p>
            <w:pPr>
              <w:pStyle w:val="TableParagraph"/>
              <w:spacing w:line="250" w:lineRule="exact"/>
              <w:ind w:left="89" w:right="89"/>
              <w:jc w:val="center"/>
              <w:rPr>
                <w:sz w:val="22"/>
              </w:rPr>
            </w:pPr>
            <w:r>
              <w:rPr>
                <w:sz w:val="22"/>
              </w:rPr>
              <w:t>15</w:t>
            </w:r>
          </w:p>
        </w:tc>
        <w:tc>
          <w:tcPr>
            <w:tcW w:w="5560" w:type="dxa"/>
          </w:tcPr>
          <w:p>
            <w:pPr>
              <w:pStyle w:val="TableParagraph"/>
              <w:spacing w:line="250" w:lineRule="exact"/>
              <w:ind w:left="107"/>
              <w:rPr>
                <w:sz w:val="22"/>
              </w:rPr>
            </w:pPr>
            <w:r>
              <w:rPr>
                <w:sz w:val="22"/>
              </w:rPr>
              <w:t>Kendimi rahatlamış hissediyorum</w:t>
            </w:r>
          </w:p>
        </w:tc>
        <w:tc>
          <w:tcPr>
            <w:tcW w:w="540" w:type="dxa"/>
          </w:tcPr>
          <w:p>
            <w:pPr>
              <w:pStyle w:val="TableParagraph"/>
              <w:spacing w:before="8"/>
              <w:rPr>
                <w:b/>
                <w:sz w:val="21"/>
              </w:rPr>
            </w:pPr>
          </w:p>
          <w:p>
            <w:pPr>
              <w:pStyle w:val="TableParagraph"/>
              <w:spacing w:line="237" w:lineRule="exact"/>
              <w:ind w:left="107"/>
              <w:rPr>
                <w:sz w:val="22"/>
              </w:rPr>
            </w:pPr>
            <w:r>
              <w:rPr>
                <w:sz w:val="22"/>
              </w:rPr>
              <w:t>(1)</w:t>
            </w:r>
          </w:p>
        </w:tc>
        <w:tc>
          <w:tcPr>
            <w:tcW w:w="540" w:type="dxa"/>
          </w:tcPr>
          <w:p>
            <w:pPr>
              <w:pStyle w:val="TableParagraph"/>
              <w:spacing w:before="8"/>
              <w:rPr>
                <w:b/>
                <w:sz w:val="21"/>
              </w:rPr>
            </w:pPr>
          </w:p>
          <w:p>
            <w:pPr>
              <w:pStyle w:val="TableParagraph"/>
              <w:spacing w:line="237" w:lineRule="exact"/>
              <w:ind w:left="107"/>
              <w:rPr>
                <w:sz w:val="22"/>
              </w:rPr>
            </w:pPr>
            <w:r>
              <w:rPr>
                <w:sz w:val="22"/>
              </w:rPr>
              <w:t>(2)</w:t>
            </w:r>
          </w:p>
        </w:tc>
        <w:tc>
          <w:tcPr>
            <w:tcW w:w="540" w:type="dxa"/>
          </w:tcPr>
          <w:p>
            <w:pPr>
              <w:pStyle w:val="TableParagraph"/>
              <w:spacing w:before="8"/>
              <w:rPr>
                <w:b/>
                <w:sz w:val="21"/>
              </w:rPr>
            </w:pPr>
          </w:p>
          <w:p>
            <w:pPr>
              <w:pStyle w:val="TableParagraph"/>
              <w:spacing w:line="237" w:lineRule="exact"/>
              <w:ind w:left="89" w:right="131"/>
              <w:jc w:val="center"/>
              <w:rPr>
                <w:sz w:val="22"/>
              </w:rPr>
            </w:pPr>
            <w:r>
              <w:rPr>
                <w:sz w:val="22"/>
              </w:rPr>
              <w:t>(3)</w:t>
            </w:r>
          </w:p>
        </w:tc>
        <w:tc>
          <w:tcPr>
            <w:tcW w:w="677" w:type="dxa"/>
          </w:tcPr>
          <w:p>
            <w:pPr>
              <w:pStyle w:val="TableParagraph"/>
              <w:spacing w:line="250" w:lineRule="exact"/>
              <w:ind w:left="210" w:right="147"/>
              <w:jc w:val="center"/>
              <w:rPr>
                <w:sz w:val="22"/>
              </w:rPr>
            </w:pPr>
            <w:r>
              <w:rPr>
                <w:sz w:val="22"/>
              </w:rPr>
              <w:t>(4)</w:t>
            </w:r>
          </w:p>
        </w:tc>
      </w:tr>
      <w:tr>
        <w:trPr>
          <w:trHeight w:val="503" w:hRule="atLeast"/>
        </w:trPr>
        <w:tc>
          <w:tcPr>
            <w:tcW w:w="473" w:type="dxa"/>
          </w:tcPr>
          <w:p>
            <w:pPr>
              <w:pStyle w:val="TableParagraph"/>
              <w:spacing w:line="250" w:lineRule="exact"/>
              <w:ind w:left="89" w:right="89"/>
              <w:jc w:val="center"/>
              <w:rPr>
                <w:sz w:val="22"/>
              </w:rPr>
            </w:pPr>
            <w:r>
              <w:rPr>
                <w:sz w:val="22"/>
              </w:rPr>
              <w:t>16</w:t>
            </w:r>
          </w:p>
        </w:tc>
        <w:tc>
          <w:tcPr>
            <w:tcW w:w="5560" w:type="dxa"/>
          </w:tcPr>
          <w:p>
            <w:pPr>
              <w:pStyle w:val="TableParagraph"/>
              <w:spacing w:line="250" w:lineRule="exact"/>
              <w:ind w:left="107"/>
              <w:rPr>
                <w:sz w:val="22"/>
              </w:rPr>
            </w:pPr>
            <w:r>
              <w:rPr>
                <w:sz w:val="22"/>
              </w:rPr>
              <w:t>Şu anda halimden memnunum</w:t>
            </w:r>
          </w:p>
        </w:tc>
        <w:tc>
          <w:tcPr>
            <w:tcW w:w="540" w:type="dxa"/>
          </w:tcPr>
          <w:p>
            <w:pPr>
              <w:pStyle w:val="TableParagraph"/>
              <w:spacing w:before="7"/>
              <w:rPr>
                <w:b/>
                <w:sz w:val="21"/>
              </w:rPr>
            </w:pPr>
          </w:p>
          <w:p>
            <w:pPr>
              <w:pStyle w:val="TableParagraph"/>
              <w:spacing w:line="234" w:lineRule="exact" w:before="1"/>
              <w:ind w:left="107"/>
              <w:rPr>
                <w:sz w:val="22"/>
              </w:rPr>
            </w:pPr>
            <w:r>
              <w:rPr>
                <w:sz w:val="22"/>
              </w:rPr>
              <w:t>(1)</w:t>
            </w:r>
          </w:p>
        </w:tc>
        <w:tc>
          <w:tcPr>
            <w:tcW w:w="540" w:type="dxa"/>
          </w:tcPr>
          <w:p>
            <w:pPr>
              <w:pStyle w:val="TableParagraph"/>
              <w:spacing w:before="7"/>
              <w:rPr>
                <w:b/>
                <w:sz w:val="21"/>
              </w:rPr>
            </w:pPr>
          </w:p>
          <w:p>
            <w:pPr>
              <w:pStyle w:val="TableParagraph"/>
              <w:spacing w:line="234" w:lineRule="exact" w:before="1"/>
              <w:ind w:left="107"/>
              <w:rPr>
                <w:sz w:val="22"/>
              </w:rPr>
            </w:pPr>
            <w:r>
              <w:rPr>
                <w:sz w:val="22"/>
              </w:rPr>
              <w:t>(2)</w:t>
            </w:r>
          </w:p>
        </w:tc>
        <w:tc>
          <w:tcPr>
            <w:tcW w:w="540" w:type="dxa"/>
          </w:tcPr>
          <w:p>
            <w:pPr>
              <w:pStyle w:val="TableParagraph"/>
              <w:spacing w:before="7"/>
              <w:rPr>
                <w:b/>
                <w:sz w:val="21"/>
              </w:rPr>
            </w:pPr>
          </w:p>
          <w:p>
            <w:pPr>
              <w:pStyle w:val="TableParagraph"/>
              <w:spacing w:line="234" w:lineRule="exact" w:before="1"/>
              <w:ind w:left="89" w:right="131"/>
              <w:jc w:val="center"/>
              <w:rPr>
                <w:sz w:val="22"/>
              </w:rPr>
            </w:pPr>
            <w:r>
              <w:rPr>
                <w:sz w:val="22"/>
              </w:rPr>
              <w:t>(3)</w:t>
            </w:r>
          </w:p>
        </w:tc>
        <w:tc>
          <w:tcPr>
            <w:tcW w:w="677" w:type="dxa"/>
          </w:tcPr>
          <w:p>
            <w:pPr>
              <w:pStyle w:val="TableParagraph"/>
              <w:spacing w:line="250" w:lineRule="exact"/>
              <w:ind w:left="210" w:right="147"/>
              <w:jc w:val="center"/>
              <w:rPr>
                <w:sz w:val="22"/>
              </w:rPr>
            </w:pPr>
            <w:r>
              <w:rPr>
                <w:sz w:val="22"/>
              </w:rPr>
              <w:t>(4)</w:t>
            </w:r>
          </w:p>
        </w:tc>
      </w:tr>
      <w:tr>
        <w:trPr>
          <w:trHeight w:val="505" w:hRule="atLeast"/>
        </w:trPr>
        <w:tc>
          <w:tcPr>
            <w:tcW w:w="473" w:type="dxa"/>
          </w:tcPr>
          <w:p>
            <w:pPr>
              <w:pStyle w:val="TableParagraph"/>
              <w:ind w:left="89" w:right="89"/>
              <w:jc w:val="center"/>
              <w:rPr>
                <w:sz w:val="22"/>
              </w:rPr>
            </w:pPr>
            <w:r>
              <w:rPr>
                <w:sz w:val="22"/>
              </w:rPr>
              <w:t>17</w:t>
            </w:r>
          </w:p>
        </w:tc>
        <w:tc>
          <w:tcPr>
            <w:tcW w:w="5560" w:type="dxa"/>
          </w:tcPr>
          <w:p>
            <w:pPr>
              <w:pStyle w:val="TableParagraph"/>
              <w:ind w:left="107"/>
              <w:rPr>
                <w:sz w:val="22"/>
              </w:rPr>
            </w:pPr>
            <w:r>
              <w:rPr>
                <w:sz w:val="22"/>
              </w:rPr>
              <w:t>Şu anda endişeliyim</w:t>
            </w:r>
          </w:p>
        </w:tc>
        <w:tc>
          <w:tcPr>
            <w:tcW w:w="540" w:type="dxa"/>
          </w:tcPr>
          <w:p>
            <w:pPr>
              <w:pStyle w:val="TableParagraph"/>
              <w:spacing w:before="10"/>
              <w:rPr>
                <w:b/>
                <w:sz w:val="21"/>
              </w:rPr>
            </w:pPr>
          </w:p>
          <w:p>
            <w:pPr>
              <w:pStyle w:val="TableParagraph"/>
              <w:spacing w:line="234" w:lineRule="exact"/>
              <w:ind w:left="107"/>
              <w:rPr>
                <w:sz w:val="22"/>
              </w:rPr>
            </w:pPr>
            <w:r>
              <w:rPr>
                <w:sz w:val="22"/>
              </w:rPr>
              <w:t>(1)</w:t>
            </w:r>
          </w:p>
        </w:tc>
        <w:tc>
          <w:tcPr>
            <w:tcW w:w="540" w:type="dxa"/>
          </w:tcPr>
          <w:p>
            <w:pPr>
              <w:pStyle w:val="TableParagraph"/>
              <w:spacing w:before="10"/>
              <w:rPr>
                <w:b/>
                <w:sz w:val="21"/>
              </w:rPr>
            </w:pPr>
          </w:p>
          <w:p>
            <w:pPr>
              <w:pStyle w:val="TableParagraph"/>
              <w:spacing w:line="234" w:lineRule="exact"/>
              <w:ind w:left="107"/>
              <w:rPr>
                <w:sz w:val="22"/>
              </w:rPr>
            </w:pPr>
            <w:r>
              <w:rPr>
                <w:sz w:val="22"/>
              </w:rPr>
              <w:t>(2)</w:t>
            </w:r>
          </w:p>
        </w:tc>
        <w:tc>
          <w:tcPr>
            <w:tcW w:w="540" w:type="dxa"/>
          </w:tcPr>
          <w:p>
            <w:pPr>
              <w:pStyle w:val="TableParagraph"/>
              <w:spacing w:before="10"/>
              <w:rPr>
                <w:b/>
                <w:sz w:val="21"/>
              </w:rPr>
            </w:pPr>
          </w:p>
          <w:p>
            <w:pPr>
              <w:pStyle w:val="TableParagraph"/>
              <w:spacing w:line="234" w:lineRule="exact"/>
              <w:ind w:left="89" w:right="131"/>
              <w:jc w:val="center"/>
              <w:rPr>
                <w:sz w:val="22"/>
              </w:rPr>
            </w:pPr>
            <w:r>
              <w:rPr>
                <w:sz w:val="22"/>
              </w:rPr>
              <w:t>(3)</w:t>
            </w:r>
          </w:p>
        </w:tc>
        <w:tc>
          <w:tcPr>
            <w:tcW w:w="677" w:type="dxa"/>
          </w:tcPr>
          <w:p>
            <w:pPr>
              <w:pStyle w:val="TableParagraph"/>
              <w:ind w:left="210" w:right="147"/>
              <w:jc w:val="center"/>
              <w:rPr>
                <w:sz w:val="22"/>
              </w:rPr>
            </w:pPr>
            <w:r>
              <w:rPr>
                <w:sz w:val="22"/>
              </w:rPr>
              <w:t>(4)</w:t>
            </w:r>
          </w:p>
        </w:tc>
      </w:tr>
      <w:tr>
        <w:trPr>
          <w:trHeight w:val="506" w:hRule="atLeast"/>
        </w:trPr>
        <w:tc>
          <w:tcPr>
            <w:tcW w:w="473" w:type="dxa"/>
          </w:tcPr>
          <w:p>
            <w:pPr>
              <w:pStyle w:val="TableParagraph"/>
              <w:ind w:left="89" w:right="89"/>
              <w:jc w:val="center"/>
              <w:rPr>
                <w:sz w:val="22"/>
              </w:rPr>
            </w:pPr>
            <w:r>
              <w:rPr>
                <w:sz w:val="22"/>
              </w:rPr>
              <w:t>18</w:t>
            </w:r>
          </w:p>
        </w:tc>
        <w:tc>
          <w:tcPr>
            <w:tcW w:w="5560" w:type="dxa"/>
          </w:tcPr>
          <w:p>
            <w:pPr>
              <w:pStyle w:val="TableParagraph"/>
              <w:ind w:left="107"/>
              <w:rPr>
                <w:sz w:val="22"/>
              </w:rPr>
            </w:pPr>
            <w:r>
              <w:rPr>
                <w:sz w:val="22"/>
              </w:rPr>
              <w:t>Heyecandan kendimi şaşkına dönmüş hissediyorum</w:t>
            </w:r>
          </w:p>
        </w:tc>
        <w:tc>
          <w:tcPr>
            <w:tcW w:w="540" w:type="dxa"/>
          </w:tcPr>
          <w:p>
            <w:pPr>
              <w:pStyle w:val="TableParagraph"/>
              <w:spacing w:before="10"/>
              <w:rPr>
                <w:b/>
                <w:sz w:val="21"/>
              </w:rPr>
            </w:pPr>
          </w:p>
          <w:p>
            <w:pPr>
              <w:pStyle w:val="TableParagraph"/>
              <w:spacing w:line="234" w:lineRule="exact"/>
              <w:ind w:left="107"/>
              <w:rPr>
                <w:sz w:val="22"/>
              </w:rPr>
            </w:pPr>
            <w:r>
              <w:rPr>
                <w:sz w:val="22"/>
              </w:rPr>
              <w:t>(1)</w:t>
            </w:r>
          </w:p>
        </w:tc>
        <w:tc>
          <w:tcPr>
            <w:tcW w:w="540" w:type="dxa"/>
          </w:tcPr>
          <w:p>
            <w:pPr>
              <w:pStyle w:val="TableParagraph"/>
              <w:spacing w:before="10"/>
              <w:rPr>
                <w:b/>
                <w:sz w:val="21"/>
              </w:rPr>
            </w:pPr>
          </w:p>
          <w:p>
            <w:pPr>
              <w:pStyle w:val="TableParagraph"/>
              <w:spacing w:line="234" w:lineRule="exact"/>
              <w:ind w:left="107"/>
              <w:rPr>
                <w:sz w:val="22"/>
              </w:rPr>
            </w:pPr>
            <w:r>
              <w:rPr>
                <w:sz w:val="22"/>
              </w:rPr>
              <w:t>(2)</w:t>
            </w:r>
          </w:p>
        </w:tc>
        <w:tc>
          <w:tcPr>
            <w:tcW w:w="540" w:type="dxa"/>
          </w:tcPr>
          <w:p>
            <w:pPr>
              <w:pStyle w:val="TableParagraph"/>
              <w:spacing w:before="10"/>
              <w:rPr>
                <w:b/>
                <w:sz w:val="21"/>
              </w:rPr>
            </w:pPr>
          </w:p>
          <w:p>
            <w:pPr>
              <w:pStyle w:val="TableParagraph"/>
              <w:spacing w:line="234" w:lineRule="exact"/>
              <w:ind w:left="89" w:right="131"/>
              <w:jc w:val="center"/>
              <w:rPr>
                <w:sz w:val="22"/>
              </w:rPr>
            </w:pPr>
            <w:r>
              <w:rPr>
                <w:sz w:val="22"/>
              </w:rPr>
              <w:t>(3)</w:t>
            </w:r>
          </w:p>
        </w:tc>
        <w:tc>
          <w:tcPr>
            <w:tcW w:w="677" w:type="dxa"/>
          </w:tcPr>
          <w:p>
            <w:pPr>
              <w:pStyle w:val="TableParagraph"/>
              <w:ind w:left="210" w:right="147"/>
              <w:jc w:val="center"/>
              <w:rPr>
                <w:sz w:val="22"/>
              </w:rPr>
            </w:pPr>
            <w:r>
              <w:rPr>
                <w:sz w:val="22"/>
              </w:rPr>
              <w:t>(4)</w:t>
            </w:r>
          </w:p>
        </w:tc>
      </w:tr>
      <w:tr>
        <w:trPr>
          <w:trHeight w:val="506" w:hRule="atLeast"/>
        </w:trPr>
        <w:tc>
          <w:tcPr>
            <w:tcW w:w="473" w:type="dxa"/>
          </w:tcPr>
          <w:p>
            <w:pPr>
              <w:pStyle w:val="TableParagraph"/>
              <w:ind w:left="89" w:right="89"/>
              <w:jc w:val="center"/>
              <w:rPr>
                <w:sz w:val="22"/>
              </w:rPr>
            </w:pPr>
            <w:r>
              <w:rPr>
                <w:sz w:val="22"/>
              </w:rPr>
              <w:t>19</w:t>
            </w:r>
          </w:p>
        </w:tc>
        <w:tc>
          <w:tcPr>
            <w:tcW w:w="5560" w:type="dxa"/>
          </w:tcPr>
          <w:p>
            <w:pPr>
              <w:pStyle w:val="TableParagraph"/>
              <w:ind w:left="107"/>
              <w:rPr>
                <w:sz w:val="22"/>
              </w:rPr>
            </w:pPr>
            <w:r>
              <w:rPr>
                <w:sz w:val="22"/>
              </w:rPr>
              <w:t>Şu anda sevinçliyim</w:t>
            </w:r>
          </w:p>
        </w:tc>
        <w:tc>
          <w:tcPr>
            <w:tcW w:w="540" w:type="dxa"/>
          </w:tcPr>
          <w:p>
            <w:pPr>
              <w:pStyle w:val="TableParagraph"/>
              <w:spacing w:before="10"/>
              <w:rPr>
                <w:b/>
                <w:sz w:val="21"/>
              </w:rPr>
            </w:pPr>
          </w:p>
          <w:p>
            <w:pPr>
              <w:pStyle w:val="TableParagraph"/>
              <w:spacing w:line="234" w:lineRule="exact"/>
              <w:ind w:left="107"/>
              <w:rPr>
                <w:sz w:val="22"/>
              </w:rPr>
            </w:pPr>
            <w:r>
              <w:rPr>
                <w:sz w:val="22"/>
              </w:rPr>
              <w:t>(1)</w:t>
            </w:r>
          </w:p>
        </w:tc>
        <w:tc>
          <w:tcPr>
            <w:tcW w:w="540" w:type="dxa"/>
          </w:tcPr>
          <w:p>
            <w:pPr>
              <w:pStyle w:val="TableParagraph"/>
              <w:spacing w:before="10"/>
              <w:rPr>
                <w:b/>
                <w:sz w:val="21"/>
              </w:rPr>
            </w:pPr>
          </w:p>
          <w:p>
            <w:pPr>
              <w:pStyle w:val="TableParagraph"/>
              <w:spacing w:line="234" w:lineRule="exact"/>
              <w:ind w:left="107"/>
              <w:rPr>
                <w:sz w:val="22"/>
              </w:rPr>
            </w:pPr>
            <w:r>
              <w:rPr>
                <w:sz w:val="22"/>
              </w:rPr>
              <w:t>(2)</w:t>
            </w:r>
          </w:p>
        </w:tc>
        <w:tc>
          <w:tcPr>
            <w:tcW w:w="540" w:type="dxa"/>
          </w:tcPr>
          <w:p>
            <w:pPr>
              <w:pStyle w:val="TableParagraph"/>
              <w:spacing w:before="10"/>
              <w:rPr>
                <w:b/>
                <w:sz w:val="21"/>
              </w:rPr>
            </w:pPr>
          </w:p>
          <w:p>
            <w:pPr>
              <w:pStyle w:val="TableParagraph"/>
              <w:spacing w:line="234" w:lineRule="exact"/>
              <w:ind w:left="89" w:right="131"/>
              <w:jc w:val="center"/>
              <w:rPr>
                <w:sz w:val="22"/>
              </w:rPr>
            </w:pPr>
            <w:r>
              <w:rPr>
                <w:sz w:val="22"/>
              </w:rPr>
              <w:t>(3)</w:t>
            </w:r>
          </w:p>
        </w:tc>
        <w:tc>
          <w:tcPr>
            <w:tcW w:w="677" w:type="dxa"/>
          </w:tcPr>
          <w:p>
            <w:pPr>
              <w:pStyle w:val="TableParagraph"/>
              <w:ind w:left="210" w:right="147"/>
              <w:jc w:val="center"/>
              <w:rPr>
                <w:sz w:val="22"/>
              </w:rPr>
            </w:pPr>
            <w:r>
              <w:rPr>
                <w:sz w:val="22"/>
              </w:rPr>
              <w:t>(4)</w:t>
            </w:r>
          </w:p>
        </w:tc>
      </w:tr>
      <w:tr>
        <w:trPr>
          <w:trHeight w:val="508" w:hRule="atLeast"/>
        </w:trPr>
        <w:tc>
          <w:tcPr>
            <w:tcW w:w="473" w:type="dxa"/>
          </w:tcPr>
          <w:p>
            <w:pPr>
              <w:pStyle w:val="TableParagraph"/>
              <w:ind w:left="89" w:right="89"/>
              <w:jc w:val="center"/>
              <w:rPr>
                <w:sz w:val="22"/>
              </w:rPr>
            </w:pPr>
            <w:r>
              <w:rPr>
                <w:sz w:val="22"/>
              </w:rPr>
              <w:t>20</w:t>
            </w:r>
          </w:p>
        </w:tc>
        <w:tc>
          <w:tcPr>
            <w:tcW w:w="5560" w:type="dxa"/>
          </w:tcPr>
          <w:p>
            <w:pPr>
              <w:pStyle w:val="TableParagraph"/>
              <w:ind w:left="107"/>
              <w:rPr>
                <w:sz w:val="22"/>
              </w:rPr>
            </w:pPr>
            <w:r>
              <w:rPr>
                <w:sz w:val="22"/>
              </w:rPr>
              <w:t>Şu anda keyfim yerinde.</w:t>
            </w:r>
          </w:p>
        </w:tc>
        <w:tc>
          <w:tcPr>
            <w:tcW w:w="540" w:type="dxa"/>
          </w:tcPr>
          <w:p>
            <w:pPr>
              <w:pStyle w:val="TableParagraph"/>
              <w:spacing w:before="10"/>
              <w:rPr>
                <w:b/>
                <w:sz w:val="21"/>
              </w:rPr>
            </w:pPr>
          </w:p>
          <w:p>
            <w:pPr>
              <w:pStyle w:val="TableParagraph"/>
              <w:spacing w:line="237" w:lineRule="exact"/>
              <w:ind w:left="107"/>
              <w:rPr>
                <w:sz w:val="22"/>
              </w:rPr>
            </w:pPr>
            <w:r>
              <w:rPr>
                <w:sz w:val="22"/>
              </w:rPr>
              <w:t>(1)</w:t>
            </w:r>
          </w:p>
        </w:tc>
        <w:tc>
          <w:tcPr>
            <w:tcW w:w="540" w:type="dxa"/>
          </w:tcPr>
          <w:p>
            <w:pPr>
              <w:pStyle w:val="TableParagraph"/>
              <w:spacing w:before="10"/>
              <w:rPr>
                <w:b/>
                <w:sz w:val="21"/>
              </w:rPr>
            </w:pPr>
          </w:p>
          <w:p>
            <w:pPr>
              <w:pStyle w:val="TableParagraph"/>
              <w:spacing w:line="237" w:lineRule="exact"/>
              <w:ind w:left="107"/>
              <w:rPr>
                <w:sz w:val="22"/>
              </w:rPr>
            </w:pPr>
            <w:r>
              <w:rPr>
                <w:sz w:val="22"/>
              </w:rPr>
              <w:t>(2)</w:t>
            </w:r>
          </w:p>
        </w:tc>
        <w:tc>
          <w:tcPr>
            <w:tcW w:w="540" w:type="dxa"/>
          </w:tcPr>
          <w:p>
            <w:pPr>
              <w:pStyle w:val="TableParagraph"/>
              <w:spacing w:before="10"/>
              <w:rPr>
                <w:b/>
                <w:sz w:val="21"/>
              </w:rPr>
            </w:pPr>
          </w:p>
          <w:p>
            <w:pPr>
              <w:pStyle w:val="TableParagraph"/>
              <w:spacing w:line="237" w:lineRule="exact"/>
              <w:ind w:left="89" w:right="131"/>
              <w:jc w:val="center"/>
              <w:rPr>
                <w:sz w:val="22"/>
              </w:rPr>
            </w:pPr>
            <w:r>
              <w:rPr>
                <w:sz w:val="22"/>
              </w:rPr>
              <w:t>(3)</w:t>
            </w:r>
          </w:p>
        </w:tc>
        <w:tc>
          <w:tcPr>
            <w:tcW w:w="677" w:type="dxa"/>
          </w:tcPr>
          <w:p>
            <w:pPr>
              <w:pStyle w:val="TableParagraph"/>
              <w:ind w:left="210" w:right="147"/>
              <w:jc w:val="center"/>
              <w:rPr>
                <w:sz w:val="22"/>
              </w:rPr>
            </w:pPr>
            <w:r>
              <w:rPr>
                <w:sz w:val="22"/>
              </w:rPr>
              <w:t>(4)</w:t>
            </w:r>
          </w:p>
        </w:tc>
      </w:tr>
    </w:tbl>
    <w:p>
      <w:pPr>
        <w:spacing w:after="0"/>
        <w:jc w:val="center"/>
        <w:rPr>
          <w:sz w:val="22"/>
        </w:rPr>
        <w:sectPr>
          <w:headerReference w:type="default" r:id="rId55"/>
          <w:pgSz w:w="11910" w:h="16840"/>
          <w:pgMar w:header="0" w:footer="0" w:top="1320" w:bottom="280" w:left="1680" w:right="940"/>
        </w:sectPr>
      </w:pPr>
    </w:p>
    <w:p>
      <w:pPr>
        <w:spacing w:before="73"/>
        <w:ind w:left="1443" w:right="1046" w:firstLine="0"/>
        <w:jc w:val="center"/>
        <w:rPr>
          <w:b/>
          <w:sz w:val="22"/>
        </w:rPr>
      </w:pPr>
      <w:r>
        <w:rPr>
          <w:b/>
          <w:sz w:val="22"/>
        </w:rPr>
        <w:t>STAI  FORM  TX – 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rPr>
          <w:b/>
          <w:sz w:val="25"/>
        </w:rPr>
      </w:pPr>
    </w:p>
    <w:tbl>
      <w:tblPr>
        <w:tblW w:w="0" w:type="auto"/>
        <w:jc w:val="left"/>
        <w:tblInd w:w="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5305"/>
        <w:gridCol w:w="628"/>
        <w:gridCol w:w="503"/>
        <w:gridCol w:w="503"/>
        <w:gridCol w:w="631"/>
      </w:tblGrid>
      <w:tr>
        <w:trPr>
          <w:trHeight w:val="2053" w:hRule="atLeast"/>
        </w:trPr>
        <w:tc>
          <w:tcPr>
            <w:tcW w:w="703" w:type="dxa"/>
          </w:tcPr>
          <w:p>
            <w:pPr>
              <w:pStyle w:val="TableParagraph"/>
              <w:rPr>
                <w:rFonts w:ascii="Times New Roman"/>
                <w:sz w:val="22"/>
              </w:rPr>
            </w:pPr>
          </w:p>
        </w:tc>
        <w:tc>
          <w:tcPr>
            <w:tcW w:w="5305" w:type="dxa"/>
          </w:tcPr>
          <w:p>
            <w:pPr>
              <w:pStyle w:val="TableParagraph"/>
              <w:rPr>
                <w:rFonts w:ascii="Times New Roman"/>
                <w:sz w:val="22"/>
              </w:rPr>
            </w:pPr>
          </w:p>
        </w:tc>
        <w:tc>
          <w:tcPr>
            <w:tcW w:w="628" w:type="dxa"/>
            <w:textDirection w:val="btLr"/>
          </w:tcPr>
          <w:p>
            <w:pPr>
              <w:pStyle w:val="TableParagraph"/>
              <w:spacing w:line="260" w:lineRule="atLeast" w:before="104"/>
              <w:ind w:left="112" w:right="417"/>
              <w:rPr>
                <w:b/>
                <w:sz w:val="22"/>
              </w:rPr>
            </w:pPr>
            <w:r>
              <w:rPr>
                <w:b/>
                <w:sz w:val="22"/>
              </w:rPr>
              <w:t>Hemen hemen hiçbir zaman</w:t>
            </w:r>
          </w:p>
        </w:tc>
        <w:tc>
          <w:tcPr>
            <w:tcW w:w="503" w:type="dxa"/>
            <w:textDirection w:val="btLr"/>
          </w:tcPr>
          <w:p>
            <w:pPr>
              <w:pStyle w:val="TableParagraph"/>
              <w:spacing w:before="112"/>
              <w:ind w:left="112"/>
              <w:rPr>
                <w:b/>
                <w:sz w:val="22"/>
              </w:rPr>
            </w:pPr>
            <w:r>
              <w:rPr>
                <w:b/>
                <w:sz w:val="22"/>
              </w:rPr>
              <w:t>Bazen</w:t>
            </w:r>
          </w:p>
        </w:tc>
        <w:tc>
          <w:tcPr>
            <w:tcW w:w="503" w:type="dxa"/>
            <w:textDirection w:val="btLr"/>
          </w:tcPr>
          <w:p>
            <w:pPr>
              <w:pStyle w:val="TableParagraph"/>
              <w:spacing w:before="113"/>
              <w:ind w:left="112"/>
              <w:rPr>
                <w:b/>
                <w:sz w:val="22"/>
              </w:rPr>
            </w:pPr>
            <w:r>
              <w:rPr>
                <w:b/>
                <w:sz w:val="22"/>
              </w:rPr>
              <w:t>Çok zaman</w:t>
            </w:r>
          </w:p>
        </w:tc>
        <w:tc>
          <w:tcPr>
            <w:tcW w:w="631" w:type="dxa"/>
            <w:textDirection w:val="btLr"/>
          </w:tcPr>
          <w:p>
            <w:pPr>
              <w:pStyle w:val="TableParagraph"/>
              <w:spacing w:line="260" w:lineRule="atLeast" w:before="107"/>
              <w:ind w:left="112" w:right="783"/>
              <w:rPr>
                <w:b/>
                <w:sz w:val="22"/>
              </w:rPr>
            </w:pPr>
            <w:r>
              <w:rPr>
                <w:b/>
                <w:sz w:val="22"/>
              </w:rPr>
              <w:t>Hemen her zaman</w:t>
            </w:r>
          </w:p>
        </w:tc>
      </w:tr>
      <w:tr>
        <w:trPr>
          <w:trHeight w:val="415" w:hRule="atLeast"/>
        </w:trPr>
        <w:tc>
          <w:tcPr>
            <w:tcW w:w="703" w:type="dxa"/>
          </w:tcPr>
          <w:p>
            <w:pPr>
              <w:pStyle w:val="TableParagraph"/>
              <w:spacing w:line="250" w:lineRule="exact"/>
              <w:ind w:left="107"/>
              <w:rPr>
                <w:sz w:val="22"/>
              </w:rPr>
            </w:pPr>
            <w:r>
              <w:rPr>
                <w:sz w:val="22"/>
              </w:rPr>
              <w:t>21</w:t>
            </w:r>
          </w:p>
        </w:tc>
        <w:tc>
          <w:tcPr>
            <w:tcW w:w="5305" w:type="dxa"/>
          </w:tcPr>
          <w:p>
            <w:pPr>
              <w:pStyle w:val="TableParagraph"/>
              <w:spacing w:line="250" w:lineRule="exact"/>
              <w:ind w:left="108"/>
              <w:rPr>
                <w:sz w:val="22"/>
              </w:rPr>
            </w:pPr>
            <w:r>
              <w:rPr>
                <w:sz w:val="22"/>
              </w:rPr>
              <w:t>Genellikle keyfim yerindedir</w:t>
            </w:r>
          </w:p>
        </w:tc>
        <w:tc>
          <w:tcPr>
            <w:tcW w:w="628" w:type="dxa"/>
          </w:tcPr>
          <w:p>
            <w:pPr>
              <w:pStyle w:val="TableParagraph"/>
              <w:spacing w:line="250" w:lineRule="exact"/>
              <w:ind w:left="161" w:right="148"/>
              <w:jc w:val="center"/>
              <w:rPr>
                <w:sz w:val="22"/>
              </w:rPr>
            </w:pPr>
            <w:r>
              <w:rPr>
                <w:sz w:val="22"/>
              </w:rPr>
              <w:t>(1)</w:t>
            </w:r>
          </w:p>
        </w:tc>
        <w:tc>
          <w:tcPr>
            <w:tcW w:w="503" w:type="dxa"/>
          </w:tcPr>
          <w:p>
            <w:pPr>
              <w:pStyle w:val="TableParagraph"/>
              <w:spacing w:line="250" w:lineRule="exact"/>
              <w:ind w:left="98" w:right="83"/>
              <w:jc w:val="center"/>
              <w:rPr>
                <w:sz w:val="22"/>
              </w:rPr>
            </w:pPr>
            <w:r>
              <w:rPr>
                <w:sz w:val="22"/>
              </w:rPr>
              <w:t>(2)</w:t>
            </w:r>
          </w:p>
        </w:tc>
        <w:tc>
          <w:tcPr>
            <w:tcW w:w="503" w:type="dxa"/>
          </w:tcPr>
          <w:p>
            <w:pPr>
              <w:pStyle w:val="TableParagraph"/>
              <w:spacing w:line="250" w:lineRule="exact"/>
              <w:ind w:left="99" w:right="82"/>
              <w:jc w:val="center"/>
              <w:rPr>
                <w:sz w:val="22"/>
              </w:rPr>
            </w:pPr>
            <w:r>
              <w:rPr>
                <w:sz w:val="22"/>
              </w:rPr>
              <w:t>(3)</w:t>
            </w:r>
          </w:p>
        </w:tc>
        <w:tc>
          <w:tcPr>
            <w:tcW w:w="631" w:type="dxa"/>
          </w:tcPr>
          <w:p>
            <w:pPr>
              <w:pStyle w:val="TableParagraph"/>
              <w:spacing w:line="250" w:lineRule="exact"/>
              <w:ind w:left="164" w:right="148"/>
              <w:jc w:val="center"/>
              <w:rPr>
                <w:sz w:val="22"/>
              </w:rPr>
            </w:pPr>
            <w:r>
              <w:rPr>
                <w:sz w:val="22"/>
              </w:rPr>
              <w:t>(4)</w:t>
            </w:r>
          </w:p>
        </w:tc>
      </w:tr>
      <w:tr>
        <w:trPr>
          <w:trHeight w:val="395" w:hRule="atLeast"/>
        </w:trPr>
        <w:tc>
          <w:tcPr>
            <w:tcW w:w="703" w:type="dxa"/>
          </w:tcPr>
          <w:p>
            <w:pPr>
              <w:pStyle w:val="TableParagraph"/>
              <w:spacing w:line="250" w:lineRule="exact"/>
              <w:ind w:left="107"/>
              <w:rPr>
                <w:sz w:val="22"/>
              </w:rPr>
            </w:pPr>
            <w:r>
              <w:rPr>
                <w:sz w:val="22"/>
              </w:rPr>
              <w:t>22</w:t>
            </w:r>
          </w:p>
        </w:tc>
        <w:tc>
          <w:tcPr>
            <w:tcW w:w="5305" w:type="dxa"/>
          </w:tcPr>
          <w:p>
            <w:pPr>
              <w:pStyle w:val="TableParagraph"/>
              <w:spacing w:line="250" w:lineRule="exact"/>
              <w:ind w:left="108"/>
              <w:rPr>
                <w:sz w:val="22"/>
              </w:rPr>
            </w:pPr>
            <w:r>
              <w:rPr>
                <w:sz w:val="22"/>
              </w:rPr>
              <w:t>Genellikle çabuk yorulurum</w:t>
            </w:r>
          </w:p>
        </w:tc>
        <w:tc>
          <w:tcPr>
            <w:tcW w:w="628" w:type="dxa"/>
          </w:tcPr>
          <w:p>
            <w:pPr>
              <w:pStyle w:val="TableParagraph"/>
              <w:spacing w:line="250" w:lineRule="exact"/>
              <w:ind w:left="161" w:right="148"/>
              <w:jc w:val="center"/>
              <w:rPr>
                <w:sz w:val="22"/>
              </w:rPr>
            </w:pPr>
            <w:r>
              <w:rPr>
                <w:sz w:val="22"/>
              </w:rPr>
              <w:t>(1)</w:t>
            </w:r>
          </w:p>
        </w:tc>
        <w:tc>
          <w:tcPr>
            <w:tcW w:w="503" w:type="dxa"/>
          </w:tcPr>
          <w:p>
            <w:pPr>
              <w:pStyle w:val="TableParagraph"/>
              <w:spacing w:line="250" w:lineRule="exact"/>
              <w:ind w:left="98" w:right="83"/>
              <w:jc w:val="center"/>
              <w:rPr>
                <w:sz w:val="22"/>
              </w:rPr>
            </w:pPr>
            <w:r>
              <w:rPr>
                <w:sz w:val="22"/>
              </w:rPr>
              <w:t>(2)</w:t>
            </w:r>
          </w:p>
        </w:tc>
        <w:tc>
          <w:tcPr>
            <w:tcW w:w="503" w:type="dxa"/>
          </w:tcPr>
          <w:p>
            <w:pPr>
              <w:pStyle w:val="TableParagraph"/>
              <w:spacing w:line="250" w:lineRule="exact"/>
              <w:ind w:left="99" w:right="82"/>
              <w:jc w:val="center"/>
              <w:rPr>
                <w:sz w:val="22"/>
              </w:rPr>
            </w:pPr>
            <w:r>
              <w:rPr>
                <w:sz w:val="22"/>
              </w:rPr>
              <w:t>(3)</w:t>
            </w:r>
          </w:p>
        </w:tc>
        <w:tc>
          <w:tcPr>
            <w:tcW w:w="631" w:type="dxa"/>
          </w:tcPr>
          <w:p>
            <w:pPr>
              <w:pStyle w:val="TableParagraph"/>
              <w:spacing w:line="250" w:lineRule="exact"/>
              <w:ind w:left="164" w:right="148"/>
              <w:jc w:val="center"/>
              <w:rPr>
                <w:sz w:val="22"/>
              </w:rPr>
            </w:pPr>
            <w:r>
              <w:rPr>
                <w:sz w:val="22"/>
              </w:rPr>
              <w:t>(4)</w:t>
            </w:r>
          </w:p>
        </w:tc>
      </w:tr>
      <w:tr>
        <w:trPr>
          <w:trHeight w:val="414" w:hRule="atLeast"/>
        </w:trPr>
        <w:tc>
          <w:tcPr>
            <w:tcW w:w="703" w:type="dxa"/>
          </w:tcPr>
          <w:p>
            <w:pPr>
              <w:pStyle w:val="TableParagraph"/>
              <w:spacing w:line="250" w:lineRule="exact"/>
              <w:ind w:left="107"/>
              <w:rPr>
                <w:sz w:val="22"/>
              </w:rPr>
            </w:pPr>
            <w:r>
              <w:rPr>
                <w:sz w:val="22"/>
              </w:rPr>
              <w:t>23</w:t>
            </w:r>
          </w:p>
        </w:tc>
        <w:tc>
          <w:tcPr>
            <w:tcW w:w="5305" w:type="dxa"/>
          </w:tcPr>
          <w:p>
            <w:pPr>
              <w:pStyle w:val="TableParagraph"/>
              <w:spacing w:line="250" w:lineRule="exact"/>
              <w:ind w:left="108"/>
              <w:rPr>
                <w:sz w:val="22"/>
              </w:rPr>
            </w:pPr>
            <w:r>
              <w:rPr>
                <w:sz w:val="22"/>
              </w:rPr>
              <w:t>Genellikle kolay ağlarım</w:t>
            </w:r>
          </w:p>
        </w:tc>
        <w:tc>
          <w:tcPr>
            <w:tcW w:w="628" w:type="dxa"/>
          </w:tcPr>
          <w:p>
            <w:pPr>
              <w:pStyle w:val="TableParagraph"/>
              <w:spacing w:line="250" w:lineRule="exact"/>
              <w:ind w:left="161" w:right="148"/>
              <w:jc w:val="center"/>
              <w:rPr>
                <w:sz w:val="22"/>
              </w:rPr>
            </w:pPr>
            <w:r>
              <w:rPr>
                <w:sz w:val="22"/>
              </w:rPr>
              <w:t>(1)</w:t>
            </w:r>
          </w:p>
        </w:tc>
        <w:tc>
          <w:tcPr>
            <w:tcW w:w="503" w:type="dxa"/>
          </w:tcPr>
          <w:p>
            <w:pPr>
              <w:pStyle w:val="TableParagraph"/>
              <w:spacing w:line="250" w:lineRule="exact"/>
              <w:ind w:left="98" w:right="83"/>
              <w:jc w:val="center"/>
              <w:rPr>
                <w:sz w:val="22"/>
              </w:rPr>
            </w:pPr>
            <w:r>
              <w:rPr>
                <w:sz w:val="22"/>
              </w:rPr>
              <w:t>(2)</w:t>
            </w:r>
          </w:p>
        </w:tc>
        <w:tc>
          <w:tcPr>
            <w:tcW w:w="503" w:type="dxa"/>
          </w:tcPr>
          <w:p>
            <w:pPr>
              <w:pStyle w:val="TableParagraph"/>
              <w:spacing w:line="250" w:lineRule="exact"/>
              <w:ind w:left="99" w:right="82"/>
              <w:jc w:val="center"/>
              <w:rPr>
                <w:sz w:val="22"/>
              </w:rPr>
            </w:pPr>
            <w:r>
              <w:rPr>
                <w:sz w:val="22"/>
              </w:rPr>
              <w:t>(3)</w:t>
            </w:r>
          </w:p>
        </w:tc>
        <w:tc>
          <w:tcPr>
            <w:tcW w:w="631" w:type="dxa"/>
          </w:tcPr>
          <w:p>
            <w:pPr>
              <w:pStyle w:val="TableParagraph"/>
              <w:spacing w:line="250" w:lineRule="exact"/>
              <w:ind w:left="164" w:right="148"/>
              <w:jc w:val="center"/>
              <w:rPr>
                <w:sz w:val="22"/>
              </w:rPr>
            </w:pPr>
            <w:r>
              <w:rPr>
                <w:sz w:val="22"/>
              </w:rPr>
              <w:t>(4)</w:t>
            </w:r>
          </w:p>
        </w:tc>
      </w:tr>
      <w:tr>
        <w:trPr>
          <w:trHeight w:val="414" w:hRule="atLeast"/>
        </w:trPr>
        <w:tc>
          <w:tcPr>
            <w:tcW w:w="703" w:type="dxa"/>
          </w:tcPr>
          <w:p>
            <w:pPr>
              <w:pStyle w:val="TableParagraph"/>
              <w:spacing w:line="250" w:lineRule="exact"/>
              <w:ind w:left="107"/>
              <w:rPr>
                <w:sz w:val="22"/>
              </w:rPr>
            </w:pPr>
            <w:r>
              <w:rPr>
                <w:sz w:val="22"/>
              </w:rPr>
              <w:t>24</w:t>
            </w:r>
          </w:p>
        </w:tc>
        <w:tc>
          <w:tcPr>
            <w:tcW w:w="5305" w:type="dxa"/>
          </w:tcPr>
          <w:p>
            <w:pPr>
              <w:pStyle w:val="TableParagraph"/>
              <w:spacing w:line="250" w:lineRule="exact"/>
              <w:ind w:left="108"/>
              <w:rPr>
                <w:sz w:val="22"/>
              </w:rPr>
            </w:pPr>
            <w:r>
              <w:rPr>
                <w:sz w:val="22"/>
              </w:rPr>
              <w:t>Başkaları kadar mutlu olmak isterim</w:t>
            </w:r>
          </w:p>
        </w:tc>
        <w:tc>
          <w:tcPr>
            <w:tcW w:w="628" w:type="dxa"/>
          </w:tcPr>
          <w:p>
            <w:pPr>
              <w:pStyle w:val="TableParagraph"/>
              <w:spacing w:line="250" w:lineRule="exact"/>
              <w:ind w:left="161" w:right="148"/>
              <w:jc w:val="center"/>
              <w:rPr>
                <w:sz w:val="22"/>
              </w:rPr>
            </w:pPr>
            <w:r>
              <w:rPr>
                <w:sz w:val="22"/>
              </w:rPr>
              <w:t>(1)</w:t>
            </w:r>
          </w:p>
        </w:tc>
        <w:tc>
          <w:tcPr>
            <w:tcW w:w="503" w:type="dxa"/>
          </w:tcPr>
          <w:p>
            <w:pPr>
              <w:pStyle w:val="TableParagraph"/>
              <w:spacing w:line="250" w:lineRule="exact"/>
              <w:ind w:left="98" w:right="83"/>
              <w:jc w:val="center"/>
              <w:rPr>
                <w:sz w:val="22"/>
              </w:rPr>
            </w:pPr>
            <w:r>
              <w:rPr>
                <w:sz w:val="22"/>
              </w:rPr>
              <w:t>(2)</w:t>
            </w:r>
          </w:p>
        </w:tc>
        <w:tc>
          <w:tcPr>
            <w:tcW w:w="503" w:type="dxa"/>
          </w:tcPr>
          <w:p>
            <w:pPr>
              <w:pStyle w:val="TableParagraph"/>
              <w:spacing w:line="250" w:lineRule="exact"/>
              <w:ind w:left="99" w:right="82"/>
              <w:jc w:val="center"/>
              <w:rPr>
                <w:sz w:val="22"/>
              </w:rPr>
            </w:pPr>
            <w:r>
              <w:rPr>
                <w:sz w:val="22"/>
              </w:rPr>
              <w:t>(3)</w:t>
            </w:r>
          </w:p>
        </w:tc>
        <w:tc>
          <w:tcPr>
            <w:tcW w:w="631" w:type="dxa"/>
          </w:tcPr>
          <w:p>
            <w:pPr>
              <w:pStyle w:val="TableParagraph"/>
              <w:spacing w:line="250" w:lineRule="exact"/>
              <w:ind w:left="164" w:right="148"/>
              <w:jc w:val="center"/>
              <w:rPr>
                <w:sz w:val="22"/>
              </w:rPr>
            </w:pPr>
            <w:r>
              <w:rPr>
                <w:sz w:val="22"/>
              </w:rPr>
              <w:t>(4)</w:t>
            </w:r>
          </w:p>
        </w:tc>
      </w:tr>
      <w:tr>
        <w:trPr>
          <w:trHeight w:val="412" w:hRule="atLeast"/>
        </w:trPr>
        <w:tc>
          <w:tcPr>
            <w:tcW w:w="703" w:type="dxa"/>
          </w:tcPr>
          <w:p>
            <w:pPr>
              <w:pStyle w:val="TableParagraph"/>
              <w:spacing w:line="250" w:lineRule="exact"/>
              <w:ind w:left="107"/>
              <w:rPr>
                <w:sz w:val="22"/>
              </w:rPr>
            </w:pPr>
            <w:r>
              <w:rPr>
                <w:sz w:val="22"/>
              </w:rPr>
              <w:t>25</w:t>
            </w:r>
          </w:p>
        </w:tc>
        <w:tc>
          <w:tcPr>
            <w:tcW w:w="5305" w:type="dxa"/>
          </w:tcPr>
          <w:p>
            <w:pPr>
              <w:pStyle w:val="TableParagraph"/>
              <w:spacing w:line="250" w:lineRule="exact"/>
              <w:ind w:left="108"/>
              <w:rPr>
                <w:sz w:val="22"/>
              </w:rPr>
            </w:pPr>
            <w:r>
              <w:rPr>
                <w:sz w:val="22"/>
              </w:rPr>
              <w:t>Çabuk karar veremediğim için fırsatları kaçırırım</w:t>
            </w:r>
          </w:p>
        </w:tc>
        <w:tc>
          <w:tcPr>
            <w:tcW w:w="628" w:type="dxa"/>
          </w:tcPr>
          <w:p>
            <w:pPr>
              <w:pStyle w:val="TableParagraph"/>
              <w:spacing w:line="250" w:lineRule="exact"/>
              <w:ind w:left="161" w:right="148"/>
              <w:jc w:val="center"/>
              <w:rPr>
                <w:sz w:val="22"/>
              </w:rPr>
            </w:pPr>
            <w:r>
              <w:rPr>
                <w:sz w:val="22"/>
              </w:rPr>
              <w:t>(1)</w:t>
            </w:r>
          </w:p>
        </w:tc>
        <w:tc>
          <w:tcPr>
            <w:tcW w:w="503" w:type="dxa"/>
          </w:tcPr>
          <w:p>
            <w:pPr>
              <w:pStyle w:val="TableParagraph"/>
              <w:spacing w:line="250" w:lineRule="exact"/>
              <w:ind w:left="98" w:right="83"/>
              <w:jc w:val="center"/>
              <w:rPr>
                <w:sz w:val="22"/>
              </w:rPr>
            </w:pPr>
            <w:r>
              <w:rPr>
                <w:sz w:val="22"/>
              </w:rPr>
              <w:t>(2)</w:t>
            </w:r>
          </w:p>
        </w:tc>
        <w:tc>
          <w:tcPr>
            <w:tcW w:w="503" w:type="dxa"/>
          </w:tcPr>
          <w:p>
            <w:pPr>
              <w:pStyle w:val="TableParagraph"/>
              <w:spacing w:line="250" w:lineRule="exact"/>
              <w:ind w:left="99" w:right="82"/>
              <w:jc w:val="center"/>
              <w:rPr>
                <w:sz w:val="22"/>
              </w:rPr>
            </w:pPr>
            <w:r>
              <w:rPr>
                <w:sz w:val="22"/>
              </w:rPr>
              <w:t>(3)</w:t>
            </w:r>
          </w:p>
        </w:tc>
        <w:tc>
          <w:tcPr>
            <w:tcW w:w="631" w:type="dxa"/>
          </w:tcPr>
          <w:p>
            <w:pPr>
              <w:pStyle w:val="TableParagraph"/>
              <w:spacing w:line="250" w:lineRule="exact"/>
              <w:ind w:left="164" w:right="148"/>
              <w:jc w:val="center"/>
              <w:rPr>
                <w:sz w:val="22"/>
              </w:rPr>
            </w:pPr>
            <w:r>
              <w:rPr>
                <w:sz w:val="22"/>
              </w:rPr>
              <w:t>(4)</w:t>
            </w:r>
          </w:p>
        </w:tc>
      </w:tr>
      <w:tr>
        <w:trPr>
          <w:trHeight w:val="414" w:hRule="atLeast"/>
        </w:trPr>
        <w:tc>
          <w:tcPr>
            <w:tcW w:w="703" w:type="dxa"/>
          </w:tcPr>
          <w:p>
            <w:pPr>
              <w:pStyle w:val="TableParagraph"/>
              <w:spacing w:line="250" w:lineRule="exact"/>
              <w:ind w:left="107"/>
              <w:rPr>
                <w:sz w:val="22"/>
              </w:rPr>
            </w:pPr>
            <w:r>
              <w:rPr>
                <w:sz w:val="22"/>
              </w:rPr>
              <w:t>26</w:t>
            </w:r>
          </w:p>
        </w:tc>
        <w:tc>
          <w:tcPr>
            <w:tcW w:w="5305" w:type="dxa"/>
          </w:tcPr>
          <w:p>
            <w:pPr>
              <w:pStyle w:val="TableParagraph"/>
              <w:spacing w:line="250" w:lineRule="exact"/>
              <w:ind w:left="108"/>
              <w:rPr>
                <w:sz w:val="22"/>
              </w:rPr>
            </w:pPr>
            <w:r>
              <w:rPr>
                <w:sz w:val="22"/>
              </w:rPr>
              <w:t>Kendimi dinlenmiş hissediyorum</w:t>
            </w:r>
          </w:p>
        </w:tc>
        <w:tc>
          <w:tcPr>
            <w:tcW w:w="628" w:type="dxa"/>
          </w:tcPr>
          <w:p>
            <w:pPr>
              <w:pStyle w:val="TableParagraph"/>
              <w:spacing w:line="250" w:lineRule="exact"/>
              <w:ind w:left="161" w:right="148"/>
              <w:jc w:val="center"/>
              <w:rPr>
                <w:sz w:val="22"/>
              </w:rPr>
            </w:pPr>
            <w:r>
              <w:rPr>
                <w:sz w:val="22"/>
              </w:rPr>
              <w:t>(1)</w:t>
            </w:r>
          </w:p>
        </w:tc>
        <w:tc>
          <w:tcPr>
            <w:tcW w:w="503" w:type="dxa"/>
          </w:tcPr>
          <w:p>
            <w:pPr>
              <w:pStyle w:val="TableParagraph"/>
              <w:spacing w:line="250" w:lineRule="exact"/>
              <w:ind w:left="98" w:right="83"/>
              <w:jc w:val="center"/>
              <w:rPr>
                <w:sz w:val="22"/>
              </w:rPr>
            </w:pPr>
            <w:r>
              <w:rPr>
                <w:sz w:val="22"/>
              </w:rPr>
              <w:t>(2)</w:t>
            </w:r>
          </w:p>
        </w:tc>
        <w:tc>
          <w:tcPr>
            <w:tcW w:w="503" w:type="dxa"/>
          </w:tcPr>
          <w:p>
            <w:pPr>
              <w:pStyle w:val="TableParagraph"/>
              <w:spacing w:line="250" w:lineRule="exact"/>
              <w:ind w:left="99" w:right="82"/>
              <w:jc w:val="center"/>
              <w:rPr>
                <w:sz w:val="22"/>
              </w:rPr>
            </w:pPr>
            <w:r>
              <w:rPr>
                <w:sz w:val="22"/>
              </w:rPr>
              <w:t>(3)</w:t>
            </w:r>
          </w:p>
        </w:tc>
        <w:tc>
          <w:tcPr>
            <w:tcW w:w="631" w:type="dxa"/>
          </w:tcPr>
          <w:p>
            <w:pPr>
              <w:pStyle w:val="TableParagraph"/>
              <w:spacing w:line="250" w:lineRule="exact"/>
              <w:ind w:left="164" w:right="148"/>
              <w:jc w:val="center"/>
              <w:rPr>
                <w:sz w:val="22"/>
              </w:rPr>
            </w:pPr>
            <w:r>
              <w:rPr>
                <w:sz w:val="22"/>
              </w:rPr>
              <w:t>(4)</w:t>
            </w:r>
          </w:p>
        </w:tc>
      </w:tr>
      <w:tr>
        <w:trPr>
          <w:trHeight w:val="412" w:hRule="atLeast"/>
        </w:trPr>
        <w:tc>
          <w:tcPr>
            <w:tcW w:w="703" w:type="dxa"/>
          </w:tcPr>
          <w:p>
            <w:pPr>
              <w:pStyle w:val="TableParagraph"/>
              <w:spacing w:line="250" w:lineRule="exact"/>
              <w:ind w:left="107"/>
              <w:rPr>
                <w:sz w:val="22"/>
              </w:rPr>
            </w:pPr>
            <w:r>
              <w:rPr>
                <w:sz w:val="22"/>
              </w:rPr>
              <w:t>27</w:t>
            </w:r>
          </w:p>
        </w:tc>
        <w:tc>
          <w:tcPr>
            <w:tcW w:w="5305" w:type="dxa"/>
          </w:tcPr>
          <w:p>
            <w:pPr>
              <w:pStyle w:val="TableParagraph"/>
              <w:spacing w:line="250" w:lineRule="exact"/>
              <w:ind w:left="108"/>
              <w:rPr>
                <w:sz w:val="22"/>
              </w:rPr>
            </w:pPr>
            <w:r>
              <w:rPr>
                <w:sz w:val="22"/>
              </w:rPr>
              <w:t>Genellikle sakin, kendine hakim ve soğukkanlıyım</w:t>
            </w:r>
          </w:p>
        </w:tc>
        <w:tc>
          <w:tcPr>
            <w:tcW w:w="628" w:type="dxa"/>
          </w:tcPr>
          <w:p>
            <w:pPr>
              <w:pStyle w:val="TableParagraph"/>
              <w:spacing w:line="250" w:lineRule="exact"/>
              <w:ind w:left="161" w:right="148"/>
              <w:jc w:val="center"/>
              <w:rPr>
                <w:sz w:val="22"/>
              </w:rPr>
            </w:pPr>
            <w:r>
              <w:rPr>
                <w:sz w:val="22"/>
              </w:rPr>
              <w:t>(1)</w:t>
            </w:r>
          </w:p>
        </w:tc>
        <w:tc>
          <w:tcPr>
            <w:tcW w:w="503" w:type="dxa"/>
          </w:tcPr>
          <w:p>
            <w:pPr>
              <w:pStyle w:val="TableParagraph"/>
              <w:spacing w:line="250" w:lineRule="exact"/>
              <w:ind w:left="98" w:right="83"/>
              <w:jc w:val="center"/>
              <w:rPr>
                <w:sz w:val="22"/>
              </w:rPr>
            </w:pPr>
            <w:r>
              <w:rPr>
                <w:sz w:val="22"/>
              </w:rPr>
              <w:t>(2)</w:t>
            </w:r>
          </w:p>
        </w:tc>
        <w:tc>
          <w:tcPr>
            <w:tcW w:w="503" w:type="dxa"/>
          </w:tcPr>
          <w:p>
            <w:pPr>
              <w:pStyle w:val="TableParagraph"/>
              <w:spacing w:line="250" w:lineRule="exact"/>
              <w:ind w:left="99" w:right="82"/>
              <w:jc w:val="center"/>
              <w:rPr>
                <w:sz w:val="22"/>
              </w:rPr>
            </w:pPr>
            <w:r>
              <w:rPr>
                <w:sz w:val="22"/>
              </w:rPr>
              <w:t>(3)</w:t>
            </w:r>
          </w:p>
        </w:tc>
        <w:tc>
          <w:tcPr>
            <w:tcW w:w="631" w:type="dxa"/>
          </w:tcPr>
          <w:p>
            <w:pPr>
              <w:pStyle w:val="TableParagraph"/>
              <w:spacing w:line="250" w:lineRule="exact"/>
              <w:ind w:left="164" w:right="148"/>
              <w:jc w:val="center"/>
              <w:rPr>
                <w:sz w:val="22"/>
              </w:rPr>
            </w:pPr>
            <w:r>
              <w:rPr>
                <w:sz w:val="22"/>
              </w:rPr>
              <w:t>(4)</w:t>
            </w:r>
          </w:p>
        </w:tc>
      </w:tr>
      <w:tr>
        <w:trPr>
          <w:trHeight w:val="506" w:hRule="atLeast"/>
        </w:trPr>
        <w:tc>
          <w:tcPr>
            <w:tcW w:w="703" w:type="dxa"/>
          </w:tcPr>
          <w:p>
            <w:pPr>
              <w:pStyle w:val="TableParagraph"/>
              <w:ind w:left="107"/>
              <w:rPr>
                <w:sz w:val="22"/>
              </w:rPr>
            </w:pPr>
            <w:r>
              <w:rPr>
                <w:sz w:val="22"/>
              </w:rPr>
              <w:t>28</w:t>
            </w:r>
          </w:p>
        </w:tc>
        <w:tc>
          <w:tcPr>
            <w:tcW w:w="5305" w:type="dxa"/>
          </w:tcPr>
          <w:p>
            <w:pPr>
              <w:pStyle w:val="TableParagraph"/>
              <w:spacing w:line="252" w:lineRule="exact" w:before="4"/>
              <w:ind w:left="108" w:right="875"/>
              <w:rPr>
                <w:sz w:val="22"/>
              </w:rPr>
            </w:pPr>
            <w:r>
              <w:rPr>
                <w:sz w:val="22"/>
              </w:rPr>
              <w:t>Güçlüklerin yenemeyeceğim kadar biriktiğini hissederim</w:t>
            </w:r>
          </w:p>
        </w:tc>
        <w:tc>
          <w:tcPr>
            <w:tcW w:w="628" w:type="dxa"/>
          </w:tcPr>
          <w:p>
            <w:pPr>
              <w:pStyle w:val="TableParagraph"/>
              <w:ind w:left="161" w:right="148"/>
              <w:jc w:val="center"/>
              <w:rPr>
                <w:sz w:val="22"/>
              </w:rPr>
            </w:pPr>
            <w:r>
              <w:rPr>
                <w:sz w:val="22"/>
              </w:rPr>
              <w:t>(1)</w:t>
            </w:r>
          </w:p>
        </w:tc>
        <w:tc>
          <w:tcPr>
            <w:tcW w:w="503" w:type="dxa"/>
          </w:tcPr>
          <w:p>
            <w:pPr>
              <w:pStyle w:val="TableParagraph"/>
              <w:ind w:left="98" w:right="83"/>
              <w:jc w:val="center"/>
              <w:rPr>
                <w:sz w:val="22"/>
              </w:rPr>
            </w:pPr>
            <w:r>
              <w:rPr>
                <w:sz w:val="22"/>
              </w:rPr>
              <w:t>(2)</w:t>
            </w:r>
          </w:p>
        </w:tc>
        <w:tc>
          <w:tcPr>
            <w:tcW w:w="503" w:type="dxa"/>
          </w:tcPr>
          <w:p>
            <w:pPr>
              <w:pStyle w:val="TableParagraph"/>
              <w:ind w:left="99" w:right="82"/>
              <w:jc w:val="center"/>
              <w:rPr>
                <w:sz w:val="22"/>
              </w:rPr>
            </w:pPr>
            <w:r>
              <w:rPr>
                <w:sz w:val="22"/>
              </w:rPr>
              <w:t>(3)</w:t>
            </w:r>
          </w:p>
        </w:tc>
        <w:tc>
          <w:tcPr>
            <w:tcW w:w="631" w:type="dxa"/>
          </w:tcPr>
          <w:p>
            <w:pPr>
              <w:pStyle w:val="TableParagraph"/>
              <w:ind w:left="164" w:right="148"/>
              <w:jc w:val="center"/>
              <w:rPr>
                <w:sz w:val="22"/>
              </w:rPr>
            </w:pPr>
            <w:r>
              <w:rPr>
                <w:sz w:val="22"/>
              </w:rPr>
              <w:t>(4)</w:t>
            </w:r>
          </w:p>
        </w:tc>
      </w:tr>
      <w:tr>
        <w:trPr>
          <w:trHeight w:val="413" w:hRule="atLeast"/>
        </w:trPr>
        <w:tc>
          <w:tcPr>
            <w:tcW w:w="703" w:type="dxa"/>
          </w:tcPr>
          <w:p>
            <w:pPr>
              <w:pStyle w:val="TableParagraph"/>
              <w:spacing w:line="251" w:lineRule="exact"/>
              <w:ind w:left="107"/>
              <w:rPr>
                <w:sz w:val="22"/>
              </w:rPr>
            </w:pPr>
            <w:r>
              <w:rPr>
                <w:sz w:val="22"/>
              </w:rPr>
              <w:t>29</w:t>
            </w:r>
          </w:p>
        </w:tc>
        <w:tc>
          <w:tcPr>
            <w:tcW w:w="5305" w:type="dxa"/>
          </w:tcPr>
          <w:p>
            <w:pPr>
              <w:pStyle w:val="TableParagraph"/>
              <w:spacing w:line="251" w:lineRule="exact"/>
              <w:ind w:left="108"/>
              <w:rPr>
                <w:sz w:val="22"/>
              </w:rPr>
            </w:pPr>
            <w:r>
              <w:rPr>
                <w:sz w:val="22"/>
              </w:rPr>
              <w:t>Önemsiz şeyler hakkında endişelenirim</w:t>
            </w:r>
          </w:p>
        </w:tc>
        <w:tc>
          <w:tcPr>
            <w:tcW w:w="628" w:type="dxa"/>
          </w:tcPr>
          <w:p>
            <w:pPr>
              <w:pStyle w:val="TableParagraph"/>
              <w:spacing w:line="251" w:lineRule="exact"/>
              <w:ind w:left="161" w:right="148"/>
              <w:jc w:val="center"/>
              <w:rPr>
                <w:sz w:val="22"/>
              </w:rPr>
            </w:pPr>
            <w:r>
              <w:rPr>
                <w:sz w:val="22"/>
              </w:rPr>
              <w:t>(1)</w:t>
            </w:r>
          </w:p>
        </w:tc>
        <w:tc>
          <w:tcPr>
            <w:tcW w:w="503" w:type="dxa"/>
          </w:tcPr>
          <w:p>
            <w:pPr>
              <w:pStyle w:val="TableParagraph"/>
              <w:spacing w:line="251" w:lineRule="exact"/>
              <w:ind w:left="98" w:right="83"/>
              <w:jc w:val="center"/>
              <w:rPr>
                <w:sz w:val="22"/>
              </w:rPr>
            </w:pPr>
            <w:r>
              <w:rPr>
                <w:sz w:val="22"/>
              </w:rPr>
              <w:t>(2)</w:t>
            </w:r>
          </w:p>
        </w:tc>
        <w:tc>
          <w:tcPr>
            <w:tcW w:w="503" w:type="dxa"/>
          </w:tcPr>
          <w:p>
            <w:pPr>
              <w:pStyle w:val="TableParagraph"/>
              <w:spacing w:line="251" w:lineRule="exact"/>
              <w:ind w:left="99" w:right="82"/>
              <w:jc w:val="center"/>
              <w:rPr>
                <w:sz w:val="22"/>
              </w:rPr>
            </w:pPr>
            <w:r>
              <w:rPr>
                <w:sz w:val="22"/>
              </w:rPr>
              <w:t>(3)</w:t>
            </w:r>
          </w:p>
        </w:tc>
        <w:tc>
          <w:tcPr>
            <w:tcW w:w="631" w:type="dxa"/>
          </w:tcPr>
          <w:p>
            <w:pPr>
              <w:pStyle w:val="TableParagraph"/>
              <w:spacing w:line="251" w:lineRule="exact"/>
              <w:ind w:left="164" w:right="148"/>
              <w:jc w:val="center"/>
              <w:rPr>
                <w:sz w:val="22"/>
              </w:rPr>
            </w:pPr>
            <w:r>
              <w:rPr>
                <w:sz w:val="22"/>
              </w:rPr>
              <w:t>(4)</w:t>
            </w:r>
          </w:p>
        </w:tc>
      </w:tr>
      <w:tr>
        <w:trPr>
          <w:trHeight w:val="414" w:hRule="atLeast"/>
        </w:trPr>
        <w:tc>
          <w:tcPr>
            <w:tcW w:w="703" w:type="dxa"/>
          </w:tcPr>
          <w:p>
            <w:pPr>
              <w:pStyle w:val="TableParagraph"/>
              <w:spacing w:line="250" w:lineRule="exact"/>
              <w:ind w:left="107"/>
              <w:rPr>
                <w:sz w:val="22"/>
              </w:rPr>
            </w:pPr>
            <w:r>
              <w:rPr>
                <w:sz w:val="22"/>
              </w:rPr>
              <w:t>30</w:t>
            </w:r>
          </w:p>
        </w:tc>
        <w:tc>
          <w:tcPr>
            <w:tcW w:w="5305" w:type="dxa"/>
          </w:tcPr>
          <w:p>
            <w:pPr>
              <w:pStyle w:val="TableParagraph"/>
              <w:spacing w:line="250" w:lineRule="exact"/>
              <w:ind w:left="108"/>
              <w:rPr>
                <w:sz w:val="22"/>
              </w:rPr>
            </w:pPr>
            <w:r>
              <w:rPr>
                <w:sz w:val="22"/>
              </w:rPr>
              <w:t>Genellikle mutluyum</w:t>
            </w:r>
          </w:p>
        </w:tc>
        <w:tc>
          <w:tcPr>
            <w:tcW w:w="628" w:type="dxa"/>
          </w:tcPr>
          <w:p>
            <w:pPr>
              <w:pStyle w:val="TableParagraph"/>
              <w:spacing w:line="250" w:lineRule="exact"/>
              <w:ind w:left="161" w:right="148"/>
              <w:jc w:val="center"/>
              <w:rPr>
                <w:sz w:val="22"/>
              </w:rPr>
            </w:pPr>
            <w:r>
              <w:rPr>
                <w:sz w:val="22"/>
              </w:rPr>
              <w:t>(1)</w:t>
            </w:r>
          </w:p>
        </w:tc>
        <w:tc>
          <w:tcPr>
            <w:tcW w:w="503" w:type="dxa"/>
          </w:tcPr>
          <w:p>
            <w:pPr>
              <w:pStyle w:val="TableParagraph"/>
              <w:spacing w:line="250" w:lineRule="exact"/>
              <w:ind w:left="98" w:right="83"/>
              <w:jc w:val="center"/>
              <w:rPr>
                <w:sz w:val="22"/>
              </w:rPr>
            </w:pPr>
            <w:r>
              <w:rPr>
                <w:sz w:val="22"/>
              </w:rPr>
              <w:t>(2)</w:t>
            </w:r>
          </w:p>
        </w:tc>
        <w:tc>
          <w:tcPr>
            <w:tcW w:w="503" w:type="dxa"/>
          </w:tcPr>
          <w:p>
            <w:pPr>
              <w:pStyle w:val="TableParagraph"/>
              <w:spacing w:line="250" w:lineRule="exact"/>
              <w:ind w:left="99" w:right="82"/>
              <w:jc w:val="center"/>
              <w:rPr>
                <w:sz w:val="22"/>
              </w:rPr>
            </w:pPr>
            <w:r>
              <w:rPr>
                <w:sz w:val="22"/>
              </w:rPr>
              <w:t>(3)</w:t>
            </w:r>
          </w:p>
        </w:tc>
        <w:tc>
          <w:tcPr>
            <w:tcW w:w="631" w:type="dxa"/>
          </w:tcPr>
          <w:p>
            <w:pPr>
              <w:pStyle w:val="TableParagraph"/>
              <w:spacing w:line="250" w:lineRule="exact"/>
              <w:ind w:left="164" w:right="148"/>
              <w:jc w:val="center"/>
              <w:rPr>
                <w:sz w:val="22"/>
              </w:rPr>
            </w:pPr>
            <w:r>
              <w:rPr>
                <w:sz w:val="22"/>
              </w:rPr>
              <w:t>(4)</w:t>
            </w:r>
          </w:p>
        </w:tc>
      </w:tr>
      <w:tr>
        <w:trPr>
          <w:trHeight w:val="412" w:hRule="atLeast"/>
        </w:trPr>
        <w:tc>
          <w:tcPr>
            <w:tcW w:w="703" w:type="dxa"/>
          </w:tcPr>
          <w:p>
            <w:pPr>
              <w:pStyle w:val="TableParagraph"/>
              <w:spacing w:line="250" w:lineRule="exact"/>
              <w:ind w:left="107"/>
              <w:rPr>
                <w:sz w:val="22"/>
              </w:rPr>
            </w:pPr>
            <w:r>
              <w:rPr>
                <w:sz w:val="22"/>
              </w:rPr>
              <w:t>31</w:t>
            </w:r>
          </w:p>
        </w:tc>
        <w:tc>
          <w:tcPr>
            <w:tcW w:w="5305" w:type="dxa"/>
          </w:tcPr>
          <w:p>
            <w:pPr>
              <w:pStyle w:val="TableParagraph"/>
              <w:spacing w:line="250" w:lineRule="exact"/>
              <w:ind w:left="108"/>
              <w:rPr>
                <w:sz w:val="22"/>
              </w:rPr>
            </w:pPr>
            <w:r>
              <w:rPr>
                <w:sz w:val="22"/>
              </w:rPr>
              <w:t>Her şeyi ciddiye alır ve endişelenirim</w:t>
            </w:r>
          </w:p>
        </w:tc>
        <w:tc>
          <w:tcPr>
            <w:tcW w:w="628" w:type="dxa"/>
          </w:tcPr>
          <w:p>
            <w:pPr>
              <w:pStyle w:val="TableParagraph"/>
              <w:spacing w:line="250" w:lineRule="exact"/>
              <w:ind w:left="161" w:right="148"/>
              <w:jc w:val="center"/>
              <w:rPr>
                <w:sz w:val="22"/>
              </w:rPr>
            </w:pPr>
            <w:r>
              <w:rPr>
                <w:sz w:val="22"/>
              </w:rPr>
              <w:t>(1)</w:t>
            </w:r>
          </w:p>
        </w:tc>
        <w:tc>
          <w:tcPr>
            <w:tcW w:w="503" w:type="dxa"/>
          </w:tcPr>
          <w:p>
            <w:pPr>
              <w:pStyle w:val="TableParagraph"/>
              <w:spacing w:line="250" w:lineRule="exact"/>
              <w:ind w:left="98" w:right="83"/>
              <w:jc w:val="center"/>
              <w:rPr>
                <w:sz w:val="22"/>
              </w:rPr>
            </w:pPr>
            <w:r>
              <w:rPr>
                <w:sz w:val="22"/>
              </w:rPr>
              <w:t>(2)</w:t>
            </w:r>
          </w:p>
        </w:tc>
        <w:tc>
          <w:tcPr>
            <w:tcW w:w="503" w:type="dxa"/>
          </w:tcPr>
          <w:p>
            <w:pPr>
              <w:pStyle w:val="TableParagraph"/>
              <w:spacing w:line="250" w:lineRule="exact"/>
              <w:ind w:left="99" w:right="82"/>
              <w:jc w:val="center"/>
              <w:rPr>
                <w:sz w:val="22"/>
              </w:rPr>
            </w:pPr>
            <w:r>
              <w:rPr>
                <w:sz w:val="22"/>
              </w:rPr>
              <w:t>(3)</w:t>
            </w:r>
          </w:p>
        </w:tc>
        <w:tc>
          <w:tcPr>
            <w:tcW w:w="631" w:type="dxa"/>
          </w:tcPr>
          <w:p>
            <w:pPr>
              <w:pStyle w:val="TableParagraph"/>
              <w:spacing w:line="250" w:lineRule="exact"/>
              <w:ind w:left="164" w:right="148"/>
              <w:jc w:val="center"/>
              <w:rPr>
                <w:sz w:val="22"/>
              </w:rPr>
            </w:pPr>
            <w:r>
              <w:rPr>
                <w:sz w:val="22"/>
              </w:rPr>
              <w:t>(4)</w:t>
            </w:r>
          </w:p>
        </w:tc>
      </w:tr>
      <w:tr>
        <w:trPr>
          <w:trHeight w:val="414" w:hRule="atLeast"/>
        </w:trPr>
        <w:tc>
          <w:tcPr>
            <w:tcW w:w="703" w:type="dxa"/>
          </w:tcPr>
          <w:p>
            <w:pPr>
              <w:pStyle w:val="TableParagraph"/>
              <w:ind w:left="107"/>
              <w:rPr>
                <w:sz w:val="22"/>
              </w:rPr>
            </w:pPr>
            <w:r>
              <w:rPr>
                <w:sz w:val="22"/>
              </w:rPr>
              <w:t>32</w:t>
            </w:r>
          </w:p>
        </w:tc>
        <w:tc>
          <w:tcPr>
            <w:tcW w:w="5305" w:type="dxa"/>
          </w:tcPr>
          <w:p>
            <w:pPr>
              <w:pStyle w:val="TableParagraph"/>
              <w:ind w:left="108"/>
              <w:rPr>
                <w:sz w:val="22"/>
              </w:rPr>
            </w:pPr>
            <w:r>
              <w:rPr>
                <w:sz w:val="22"/>
              </w:rPr>
              <w:t>Genellikle kendime güvenim yoktur</w:t>
            </w:r>
          </w:p>
        </w:tc>
        <w:tc>
          <w:tcPr>
            <w:tcW w:w="628" w:type="dxa"/>
          </w:tcPr>
          <w:p>
            <w:pPr>
              <w:pStyle w:val="TableParagraph"/>
              <w:ind w:left="161" w:right="148"/>
              <w:jc w:val="center"/>
              <w:rPr>
                <w:sz w:val="22"/>
              </w:rPr>
            </w:pPr>
            <w:r>
              <w:rPr>
                <w:sz w:val="22"/>
              </w:rPr>
              <w:t>(1)</w:t>
            </w:r>
          </w:p>
        </w:tc>
        <w:tc>
          <w:tcPr>
            <w:tcW w:w="503" w:type="dxa"/>
          </w:tcPr>
          <w:p>
            <w:pPr>
              <w:pStyle w:val="TableParagraph"/>
              <w:ind w:left="98" w:right="83"/>
              <w:jc w:val="center"/>
              <w:rPr>
                <w:sz w:val="22"/>
              </w:rPr>
            </w:pPr>
            <w:r>
              <w:rPr>
                <w:sz w:val="22"/>
              </w:rPr>
              <w:t>(2)</w:t>
            </w:r>
          </w:p>
        </w:tc>
        <w:tc>
          <w:tcPr>
            <w:tcW w:w="503" w:type="dxa"/>
          </w:tcPr>
          <w:p>
            <w:pPr>
              <w:pStyle w:val="TableParagraph"/>
              <w:ind w:left="99" w:right="82"/>
              <w:jc w:val="center"/>
              <w:rPr>
                <w:sz w:val="22"/>
              </w:rPr>
            </w:pPr>
            <w:r>
              <w:rPr>
                <w:sz w:val="22"/>
              </w:rPr>
              <w:t>(3)</w:t>
            </w:r>
          </w:p>
        </w:tc>
        <w:tc>
          <w:tcPr>
            <w:tcW w:w="631" w:type="dxa"/>
          </w:tcPr>
          <w:p>
            <w:pPr>
              <w:pStyle w:val="TableParagraph"/>
              <w:ind w:left="164" w:right="148"/>
              <w:jc w:val="center"/>
              <w:rPr>
                <w:sz w:val="22"/>
              </w:rPr>
            </w:pPr>
            <w:r>
              <w:rPr>
                <w:sz w:val="22"/>
              </w:rPr>
              <w:t>(4)</w:t>
            </w:r>
          </w:p>
        </w:tc>
      </w:tr>
      <w:tr>
        <w:trPr>
          <w:trHeight w:val="414" w:hRule="atLeast"/>
        </w:trPr>
        <w:tc>
          <w:tcPr>
            <w:tcW w:w="703" w:type="dxa"/>
          </w:tcPr>
          <w:p>
            <w:pPr>
              <w:pStyle w:val="TableParagraph"/>
              <w:spacing w:line="250" w:lineRule="exact"/>
              <w:ind w:left="107"/>
              <w:rPr>
                <w:sz w:val="22"/>
              </w:rPr>
            </w:pPr>
            <w:r>
              <w:rPr>
                <w:sz w:val="22"/>
              </w:rPr>
              <w:t>33</w:t>
            </w:r>
          </w:p>
        </w:tc>
        <w:tc>
          <w:tcPr>
            <w:tcW w:w="5305" w:type="dxa"/>
          </w:tcPr>
          <w:p>
            <w:pPr>
              <w:pStyle w:val="TableParagraph"/>
              <w:spacing w:line="250" w:lineRule="exact"/>
              <w:ind w:left="108"/>
              <w:rPr>
                <w:sz w:val="22"/>
              </w:rPr>
            </w:pPr>
            <w:r>
              <w:rPr>
                <w:sz w:val="22"/>
              </w:rPr>
              <w:t>Genellikle kendimi emniyette hissederim</w:t>
            </w:r>
          </w:p>
        </w:tc>
        <w:tc>
          <w:tcPr>
            <w:tcW w:w="628" w:type="dxa"/>
          </w:tcPr>
          <w:p>
            <w:pPr>
              <w:pStyle w:val="TableParagraph"/>
              <w:spacing w:line="250" w:lineRule="exact"/>
              <w:ind w:left="161" w:right="148"/>
              <w:jc w:val="center"/>
              <w:rPr>
                <w:sz w:val="22"/>
              </w:rPr>
            </w:pPr>
            <w:r>
              <w:rPr>
                <w:sz w:val="22"/>
              </w:rPr>
              <w:t>(1)</w:t>
            </w:r>
          </w:p>
        </w:tc>
        <w:tc>
          <w:tcPr>
            <w:tcW w:w="503" w:type="dxa"/>
          </w:tcPr>
          <w:p>
            <w:pPr>
              <w:pStyle w:val="TableParagraph"/>
              <w:spacing w:line="250" w:lineRule="exact"/>
              <w:ind w:left="98" w:right="83"/>
              <w:jc w:val="center"/>
              <w:rPr>
                <w:sz w:val="22"/>
              </w:rPr>
            </w:pPr>
            <w:r>
              <w:rPr>
                <w:sz w:val="22"/>
              </w:rPr>
              <w:t>(2)</w:t>
            </w:r>
          </w:p>
        </w:tc>
        <w:tc>
          <w:tcPr>
            <w:tcW w:w="503" w:type="dxa"/>
          </w:tcPr>
          <w:p>
            <w:pPr>
              <w:pStyle w:val="TableParagraph"/>
              <w:spacing w:line="250" w:lineRule="exact"/>
              <w:ind w:left="99" w:right="82"/>
              <w:jc w:val="center"/>
              <w:rPr>
                <w:sz w:val="22"/>
              </w:rPr>
            </w:pPr>
            <w:r>
              <w:rPr>
                <w:sz w:val="22"/>
              </w:rPr>
              <w:t>(3)</w:t>
            </w:r>
          </w:p>
        </w:tc>
        <w:tc>
          <w:tcPr>
            <w:tcW w:w="631" w:type="dxa"/>
          </w:tcPr>
          <w:p>
            <w:pPr>
              <w:pStyle w:val="TableParagraph"/>
              <w:spacing w:line="250" w:lineRule="exact"/>
              <w:ind w:left="164" w:right="148"/>
              <w:jc w:val="center"/>
              <w:rPr>
                <w:sz w:val="22"/>
              </w:rPr>
            </w:pPr>
            <w:r>
              <w:rPr>
                <w:sz w:val="22"/>
              </w:rPr>
              <w:t>(4)</w:t>
            </w:r>
          </w:p>
        </w:tc>
      </w:tr>
      <w:tr>
        <w:trPr>
          <w:trHeight w:val="395" w:hRule="atLeast"/>
        </w:trPr>
        <w:tc>
          <w:tcPr>
            <w:tcW w:w="703" w:type="dxa"/>
          </w:tcPr>
          <w:p>
            <w:pPr>
              <w:pStyle w:val="TableParagraph"/>
              <w:spacing w:line="250" w:lineRule="exact"/>
              <w:ind w:left="107"/>
              <w:rPr>
                <w:sz w:val="22"/>
              </w:rPr>
            </w:pPr>
            <w:r>
              <w:rPr>
                <w:sz w:val="22"/>
              </w:rPr>
              <w:t>34</w:t>
            </w:r>
          </w:p>
        </w:tc>
        <w:tc>
          <w:tcPr>
            <w:tcW w:w="5305" w:type="dxa"/>
          </w:tcPr>
          <w:p>
            <w:pPr>
              <w:pStyle w:val="TableParagraph"/>
              <w:spacing w:line="250" w:lineRule="exact"/>
              <w:ind w:left="108"/>
              <w:rPr>
                <w:sz w:val="22"/>
              </w:rPr>
            </w:pPr>
            <w:r>
              <w:rPr>
                <w:sz w:val="22"/>
              </w:rPr>
              <w:t>Sıkıntılı ve güç durumlarla karşılaşmaktan kaçınırım</w:t>
            </w:r>
          </w:p>
        </w:tc>
        <w:tc>
          <w:tcPr>
            <w:tcW w:w="628" w:type="dxa"/>
          </w:tcPr>
          <w:p>
            <w:pPr>
              <w:pStyle w:val="TableParagraph"/>
              <w:spacing w:line="250" w:lineRule="exact"/>
              <w:ind w:left="161" w:right="148"/>
              <w:jc w:val="center"/>
              <w:rPr>
                <w:sz w:val="22"/>
              </w:rPr>
            </w:pPr>
            <w:r>
              <w:rPr>
                <w:sz w:val="22"/>
              </w:rPr>
              <w:t>(1)</w:t>
            </w:r>
          </w:p>
        </w:tc>
        <w:tc>
          <w:tcPr>
            <w:tcW w:w="503" w:type="dxa"/>
          </w:tcPr>
          <w:p>
            <w:pPr>
              <w:pStyle w:val="TableParagraph"/>
              <w:spacing w:line="250" w:lineRule="exact"/>
              <w:ind w:left="98" w:right="83"/>
              <w:jc w:val="center"/>
              <w:rPr>
                <w:sz w:val="22"/>
              </w:rPr>
            </w:pPr>
            <w:r>
              <w:rPr>
                <w:sz w:val="22"/>
              </w:rPr>
              <w:t>(2)</w:t>
            </w:r>
          </w:p>
        </w:tc>
        <w:tc>
          <w:tcPr>
            <w:tcW w:w="503" w:type="dxa"/>
          </w:tcPr>
          <w:p>
            <w:pPr>
              <w:pStyle w:val="TableParagraph"/>
              <w:spacing w:line="250" w:lineRule="exact"/>
              <w:ind w:left="99" w:right="82"/>
              <w:jc w:val="center"/>
              <w:rPr>
                <w:sz w:val="22"/>
              </w:rPr>
            </w:pPr>
            <w:r>
              <w:rPr>
                <w:sz w:val="22"/>
              </w:rPr>
              <w:t>(3)</w:t>
            </w:r>
          </w:p>
        </w:tc>
        <w:tc>
          <w:tcPr>
            <w:tcW w:w="631" w:type="dxa"/>
          </w:tcPr>
          <w:p>
            <w:pPr>
              <w:pStyle w:val="TableParagraph"/>
              <w:spacing w:line="250" w:lineRule="exact"/>
              <w:ind w:left="164" w:right="148"/>
              <w:jc w:val="center"/>
              <w:rPr>
                <w:sz w:val="22"/>
              </w:rPr>
            </w:pPr>
            <w:r>
              <w:rPr>
                <w:sz w:val="22"/>
              </w:rPr>
              <w:t>(4)</w:t>
            </w:r>
          </w:p>
        </w:tc>
      </w:tr>
      <w:tr>
        <w:trPr>
          <w:trHeight w:val="414" w:hRule="atLeast"/>
        </w:trPr>
        <w:tc>
          <w:tcPr>
            <w:tcW w:w="703" w:type="dxa"/>
          </w:tcPr>
          <w:p>
            <w:pPr>
              <w:pStyle w:val="TableParagraph"/>
              <w:ind w:left="107"/>
              <w:rPr>
                <w:sz w:val="22"/>
              </w:rPr>
            </w:pPr>
            <w:r>
              <w:rPr>
                <w:sz w:val="22"/>
              </w:rPr>
              <w:t>35</w:t>
            </w:r>
          </w:p>
        </w:tc>
        <w:tc>
          <w:tcPr>
            <w:tcW w:w="5305" w:type="dxa"/>
          </w:tcPr>
          <w:p>
            <w:pPr>
              <w:pStyle w:val="TableParagraph"/>
              <w:ind w:left="108"/>
              <w:rPr>
                <w:sz w:val="22"/>
              </w:rPr>
            </w:pPr>
            <w:r>
              <w:rPr>
                <w:sz w:val="22"/>
              </w:rPr>
              <w:t>Genellikle kendimi hüzünlü hissederim</w:t>
            </w:r>
          </w:p>
        </w:tc>
        <w:tc>
          <w:tcPr>
            <w:tcW w:w="628" w:type="dxa"/>
          </w:tcPr>
          <w:p>
            <w:pPr>
              <w:pStyle w:val="TableParagraph"/>
              <w:ind w:left="161" w:right="148"/>
              <w:jc w:val="center"/>
              <w:rPr>
                <w:sz w:val="22"/>
              </w:rPr>
            </w:pPr>
            <w:r>
              <w:rPr>
                <w:sz w:val="22"/>
              </w:rPr>
              <w:t>(1)</w:t>
            </w:r>
          </w:p>
        </w:tc>
        <w:tc>
          <w:tcPr>
            <w:tcW w:w="503" w:type="dxa"/>
          </w:tcPr>
          <w:p>
            <w:pPr>
              <w:pStyle w:val="TableParagraph"/>
              <w:ind w:left="98" w:right="83"/>
              <w:jc w:val="center"/>
              <w:rPr>
                <w:sz w:val="22"/>
              </w:rPr>
            </w:pPr>
            <w:r>
              <w:rPr>
                <w:sz w:val="22"/>
              </w:rPr>
              <w:t>(2)</w:t>
            </w:r>
          </w:p>
        </w:tc>
        <w:tc>
          <w:tcPr>
            <w:tcW w:w="503" w:type="dxa"/>
          </w:tcPr>
          <w:p>
            <w:pPr>
              <w:pStyle w:val="TableParagraph"/>
              <w:ind w:left="99" w:right="82"/>
              <w:jc w:val="center"/>
              <w:rPr>
                <w:sz w:val="22"/>
              </w:rPr>
            </w:pPr>
            <w:r>
              <w:rPr>
                <w:sz w:val="22"/>
              </w:rPr>
              <w:t>(3)</w:t>
            </w:r>
          </w:p>
        </w:tc>
        <w:tc>
          <w:tcPr>
            <w:tcW w:w="631" w:type="dxa"/>
          </w:tcPr>
          <w:p>
            <w:pPr>
              <w:pStyle w:val="TableParagraph"/>
              <w:ind w:left="164" w:right="148"/>
              <w:jc w:val="center"/>
              <w:rPr>
                <w:sz w:val="22"/>
              </w:rPr>
            </w:pPr>
            <w:r>
              <w:rPr>
                <w:sz w:val="22"/>
              </w:rPr>
              <w:t>(4)</w:t>
            </w:r>
          </w:p>
        </w:tc>
      </w:tr>
      <w:tr>
        <w:trPr>
          <w:trHeight w:val="414" w:hRule="atLeast"/>
        </w:trPr>
        <w:tc>
          <w:tcPr>
            <w:tcW w:w="703" w:type="dxa"/>
          </w:tcPr>
          <w:p>
            <w:pPr>
              <w:pStyle w:val="TableParagraph"/>
              <w:spacing w:line="250" w:lineRule="exact"/>
              <w:ind w:left="107"/>
              <w:rPr>
                <w:sz w:val="22"/>
              </w:rPr>
            </w:pPr>
            <w:r>
              <w:rPr>
                <w:sz w:val="22"/>
              </w:rPr>
              <w:t>36</w:t>
            </w:r>
          </w:p>
        </w:tc>
        <w:tc>
          <w:tcPr>
            <w:tcW w:w="5305" w:type="dxa"/>
          </w:tcPr>
          <w:p>
            <w:pPr>
              <w:pStyle w:val="TableParagraph"/>
              <w:spacing w:line="250" w:lineRule="exact"/>
              <w:ind w:left="108"/>
              <w:rPr>
                <w:sz w:val="22"/>
              </w:rPr>
            </w:pPr>
            <w:r>
              <w:rPr>
                <w:sz w:val="22"/>
              </w:rPr>
              <w:t>Genellikle hayatımdan memnunum</w:t>
            </w:r>
          </w:p>
        </w:tc>
        <w:tc>
          <w:tcPr>
            <w:tcW w:w="628" w:type="dxa"/>
          </w:tcPr>
          <w:p>
            <w:pPr>
              <w:pStyle w:val="TableParagraph"/>
              <w:spacing w:line="250" w:lineRule="exact"/>
              <w:ind w:left="161" w:right="148"/>
              <w:jc w:val="center"/>
              <w:rPr>
                <w:sz w:val="22"/>
              </w:rPr>
            </w:pPr>
            <w:r>
              <w:rPr>
                <w:sz w:val="22"/>
              </w:rPr>
              <w:t>(1)</w:t>
            </w:r>
          </w:p>
        </w:tc>
        <w:tc>
          <w:tcPr>
            <w:tcW w:w="503" w:type="dxa"/>
          </w:tcPr>
          <w:p>
            <w:pPr>
              <w:pStyle w:val="TableParagraph"/>
              <w:spacing w:line="250" w:lineRule="exact"/>
              <w:ind w:left="98" w:right="83"/>
              <w:jc w:val="center"/>
              <w:rPr>
                <w:sz w:val="22"/>
              </w:rPr>
            </w:pPr>
            <w:r>
              <w:rPr>
                <w:sz w:val="22"/>
              </w:rPr>
              <w:t>(2)</w:t>
            </w:r>
          </w:p>
        </w:tc>
        <w:tc>
          <w:tcPr>
            <w:tcW w:w="503" w:type="dxa"/>
          </w:tcPr>
          <w:p>
            <w:pPr>
              <w:pStyle w:val="TableParagraph"/>
              <w:spacing w:line="250" w:lineRule="exact"/>
              <w:ind w:left="99" w:right="82"/>
              <w:jc w:val="center"/>
              <w:rPr>
                <w:sz w:val="22"/>
              </w:rPr>
            </w:pPr>
            <w:r>
              <w:rPr>
                <w:sz w:val="22"/>
              </w:rPr>
              <w:t>(3)</w:t>
            </w:r>
          </w:p>
        </w:tc>
        <w:tc>
          <w:tcPr>
            <w:tcW w:w="631" w:type="dxa"/>
          </w:tcPr>
          <w:p>
            <w:pPr>
              <w:pStyle w:val="TableParagraph"/>
              <w:spacing w:line="250" w:lineRule="exact"/>
              <w:ind w:left="164" w:right="148"/>
              <w:jc w:val="center"/>
              <w:rPr>
                <w:sz w:val="22"/>
              </w:rPr>
            </w:pPr>
            <w:r>
              <w:rPr>
                <w:sz w:val="22"/>
              </w:rPr>
              <w:t>(4)</w:t>
            </w:r>
          </w:p>
        </w:tc>
      </w:tr>
      <w:tr>
        <w:trPr>
          <w:trHeight w:val="412" w:hRule="atLeast"/>
        </w:trPr>
        <w:tc>
          <w:tcPr>
            <w:tcW w:w="703" w:type="dxa"/>
          </w:tcPr>
          <w:p>
            <w:pPr>
              <w:pStyle w:val="TableParagraph"/>
              <w:spacing w:line="250" w:lineRule="exact"/>
              <w:ind w:left="107"/>
              <w:rPr>
                <w:sz w:val="22"/>
              </w:rPr>
            </w:pPr>
            <w:r>
              <w:rPr>
                <w:sz w:val="22"/>
              </w:rPr>
              <w:t>37</w:t>
            </w:r>
          </w:p>
        </w:tc>
        <w:tc>
          <w:tcPr>
            <w:tcW w:w="5305" w:type="dxa"/>
          </w:tcPr>
          <w:p>
            <w:pPr>
              <w:pStyle w:val="TableParagraph"/>
              <w:spacing w:line="250" w:lineRule="exact"/>
              <w:ind w:left="108"/>
              <w:rPr>
                <w:sz w:val="22"/>
              </w:rPr>
            </w:pPr>
            <w:r>
              <w:rPr>
                <w:sz w:val="22"/>
              </w:rPr>
              <w:t>Olur, olmaz düşünceler beni rahatsız eder</w:t>
            </w:r>
          </w:p>
        </w:tc>
        <w:tc>
          <w:tcPr>
            <w:tcW w:w="628" w:type="dxa"/>
          </w:tcPr>
          <w:p>
            <w:pPr>
              <w:pStyle w:val="TableParagraph"/>
              <w:spacing w:line="250" w:lineRule="exact"/>
              <w:ind w:left="161" w:right="148"/>
              <w:jc w:val="center"/>
              <w:rPr>
                <w:sz w:val="22"/>
              </w:rPr>
            </w:pPr>
            <w:r>
              <w:rPr>
                <w:sz w:val="22"/>
              </w:rPr>
              <w:t>(1)</w:t>
            </w:r>
          </w:p>
        </w:tc>
        <w:tc>
          <w:tcPr>
            <w:tcW w:w="503" w:type="dxa"/>
          </w:tcPr>
          <w:p>
            <w:pPr>
              <w:pStyle w:val="TableParagraph"/>
              <w:spacing w:line="250" w:lineRule="exact"/>
              <w:ind w:left="98" w:right="83"/>
              <w:jc w:val="center"/>
              <w:rPr>
                <w:sz w:val="22"/>
              </w:rPr>
            </w:pPr>
            <w:r>
              <w:rPr>
                <w:sz w:val="22"/>
              </w:rPr>
              <w:t>(2)</w:t>
            </w:r>
          </w:p>
        </w:tc>
        <w:tc>
          <w:tcPr>
            <w:tcW w:w="503" w:type="dxa"/>
          </w:tcPr>
          <w:p>
            <w:pPr>
              <w:pStyle w:val="TableParagraph"/>
              <w:spacing w:line="250" w:lineRule="exact"/>
              <w:ind w:left="99" w:right="82"/>
              <w:jc w:val="center"/>
              <w:rPr>
                <w:sz w:val="22"/>
              </w:rPr>
            </w:pPr>
            <w:r>
              <w:rPr>
                <w:sz w:val="22"/>
              </w:rPr>
              <w:t>(3)</w:t>
            </w:r>
          </w:p>
        </w:tc>
        <w:tc>
          <w:tcPr>
            <w:tcW w:w="631" w:type="dxa"/>
          </w:tcPr>
          <w:p>
            <w:pPr>
              <w:pStyle w:val="TableParagraph"/>
              <w:spacing w:line="250" w:lineRule="exact"/>
              <w:ind w:left="164" w:right="148"/>
              <w:jc w:val="center"/>
              <w:rPr>
                <w:sz w:val="22"/>
              </w:rPr>
            </w:pPr>
            <w:r>
              <w:rPr>
                <w:sz w:val="22"/>
              </w:rPr>
              <w:t>(4)</w:t>
            </w:r>
          </w:p>
        </w:tc>
      </w:tr>
      <w:tr>
        <w:trPr>
          <w:trHeight w:val="506" w:hRule="atLeast"/>
        </w:trPr>
        <w:tc>
          <w:tcPr>
            <w:tcW w:w="703" w:type="dxa"/>
          </w:tcPr>
          <w:p>
            <w:pPr>
              <w:pStyle w:val="TableParagraph"/>
              <w:ind w:left="107"/>
              <w:rPr>
                <w:sz w:val="22"/>
              </w:rPr>
            </w:pPr>
            <w:r>
              <w:rPr>
                <w:sz w:val="22"/>
              </w:rPr>
              <w:t>38</w:t>
            </w:r>
          </w:p>
        </w:tc>
        <w:tc>
          <w:tcPr>
            <w:tcW w:w="5305" w:type="dxa"/>
          </w:tcPr>
          <w:p>
            <w:pPr>
              <w:pStyle w:val="TableParagraph"/>
              <w:spacing w:line="252" w:lineRule="exact" w:before="5"/>
              <w:ind w:left="108" w:right="631"/>
              <w:rPr>
                <w:sz w:val="22"/>
              </w:rPr>
            </w:pPr>
            <w:r>
              <w:rPr>
                <w:sz w:val="22"/>
              </w:rPr>
              <w:t>Hayal kırıklıklarını öylesine ciddiye alırım ki hiç unutamam</w:t>
            </w:r>
          </w:p>
        </w:tc>
        <w:tc>
          <w:tcPr>
            <w:tcW w:w="628" w:type="dxa"/>
          </w:tcPr>
          <w:p>
            <w:pPr>
              <w:pStyle w:val="TableParagraph"/>
              <w:ind w:left="161" w:right="148"/>
              <w:jc w:val="center"/>
              <w:rPr>
                <w:sz w:val="22"/>
              </w:rPr>
            </w:pPr>
            <w:r>
              <w:rPr>
                <w:sz w:val="22"/>
              </w:rPr>
              <w:t>(1)</w:t>
            </w:r>
          </w:p>
        </w:tc>
        <w:tc>
          <w:tcPr>
            <w:tcW w:w="503" w:type="dxa"/>
          </w:tcPr>
          <w:p>
            <w:pPr>
              <w:pStyle w:val="TableParagraph"/>
              <w:ind w:left="98" w:right="83"/>
              <w:jc w:val="center"/>
              <w:rPr>
                <w:sz w:val="22"/>
              </w:rPr>
            </w:pPr>
            <w:r>
              <w:rPr>
                <w:sz w:val="22"/>
              </w:rPr>
              <w:t>(2)</w:t>
            </w:r>
          </w:p>
        </w:tc>
        <w:tc>
          <w:tcPr>
            <w:tcW w:w="503" w:type="dxa"/>
          </w:tcPr>
          <w:p>
            <w:pPr>
              <w:pStyle w:val="TableParagraph"/>
              <w:ind w:left="99" w:right="82"/>
              <w:jc w:val="center"/>
              <w:rPr>
                <w:sz w:val="22"/>
              </w:rPr>
            </w:pPr>
            <w:r>
              <w:rPr>
                <w:sz w:val="22"/>
              </w:rPr>
              <w:t>(3)</w:t>
            </w:r>
          </w:p>
        </w:tc>
        <w:tc>
          <w:tcPr>
            <w:tcW w:w="631" w:type="dxa"/>
          </w:tcPr>
          <w:p>
            <w:pPr>
              <w:pStyle w:val="TableParagraph"/>
              <w:ind w:left="164" w:right="148"/>
              <w:jc w:val="center"/>
              <w:rPr>
                <w:sz w:val="22"/>
              </w:rPr>
            </w:pPr>
            <w:r>
              <w:rPr>
                <w:sz w:val="22"/>
              </w:rPr>
              <w:t>(4)</w:t>
            </w:r>
          </w:p>
        </w:tc>
      </w:tr>
      <w:tr>
        <w:trPr>
          <w:trHeight w:val="412" w:hRule="atLeast"/>
        </w:trPr>
        <w:tc>
          <w:tcPr>
            <w:tcW w:w="703" w:type="dxa"/>
          </w:tcPr>
          <w:p>
            <w:pPr>
              <w:pStyle w:val="TableParagraph"/>
              <w:spacing w:line="250" w:lineRule="exact"/>
              <w:ind w:left="107"/>
              <w:rPr>
                <w:sz w:val="22"/>
              </w:rPr>
            </w:pPr>
            <w:r>
              <w:rPr>
                <w:sz w:val="22"/>
              </w:rPr>
              <w:t>39</w:t>
            </w:r>
          </w:p>
        </w:tc>
        <w:tc>
          <w:tcPr>
            <w:tcW w:w="5305" w:type="dxa"/>
          </w:tcPr>
          <w:p>
            <w:pPr>
              <w:pStyle w:val="TableParagraph"/>
              <w:spacing w:line="250" w:lineRule="exact"/>
              <w:ind w:left="108"/>
              <w:rPr>
                <w:sz w:val="22"/>
              </w:rPr>
            </w:pPr>
            <w:r>
              <w:rPr>
                <w:sz w:val="22"/>
              </w:rPr>
              <w:t>Aklı başında ve kararlı bir insanım</w:t>
            </w:r>
          </w:p>
        </w:tc>
        <w:tc>
          <w:tcPr>
            <w:tcW w:w="628" w:type="dxa"/>
          </w:tcPr>
          <w:p>
            <w:pPr>
              <w:pStyle w:val="TableParagraph"/>
              <w:spacing w:line="250" w:lineRule="exact"/>
              <w:ind w:left="161" w:right="148"/>
              <w:jc w:val="center"/>
              <w:rPr>
                <w:sz w:val="22"/>
              </w:rPr>
            </w:pPr>
            <w:r>
              <w:rPr>
                <w:sz w:val="22"/>
              </w:rPr>
              <w:t>(1)</w:t>
            </w:r>
          </w:p>
        </w:tc>
        <w:tc>
          <w:tcPr>
            <w:tcW w:w="503" w:type="dxa"/>
          </w:tcPr>
          <w:p>
            <w:pPr>
              <w:pStyle w:val="TableParagraph"/>
              <w:spacing w:line="250" w:lineRule="exact"/>
              <w:ind w:left="98" w:right="83"/>
              <w:jc w:val="center"/>
              <w:rPr>
                <w:sz w:val="22"/>
              </w:rPr>
            </w:pPr>
            <w:r>
              <w:rPr>
                <w:sz w:val="22"/>
              </w:rPr>
              <w:t>(2)</w:t>
            </w:r>
          </w:p>
        </w:tc>
        <w:tc>
          <w:tcPr>
            <w:tcW w:w="503" w:type="dxa"/>
          </w:tcPr>
          <w:p>
            <w:pPr>
              <w:pStyle w:val="TableParagraph"/>
              <w:spacing w:line="250" w:lineRule="exact"/>
              <w:ind w:left="99" w:right="82"/>
              <w:jc w:val="center"/>
              <w:rPr>
                <w:sz w:val="22"/>
              </w:rPr>
            </w:pPr>
            <w:r>
              <w:rPr>
                <w:sz w:val="22"/>
              </w:rPr>
              <w:t>(3)</w:t>
            </w:r>
          </w:p>
        </w:tc>
        <w:tc>
          <w:tcPr>
            <w:tcW w:w="631" w:type="dxa"/>
          </w:tcPr>
          <w:p>
            <w:pPr>
              <w:pStyle w:val="TableParagraph"/>
              <w:spacing w:line="250" w:lineRule="exact"/>
              <w:ind w:left="164" w:right="148"/>
              <w:jc w:val="center"/>
              <w:rPr>
                <w:sz w:val="22"/>
              </w:rPr>
            </w:pPr>
            <w:r>
              <w:rPr>
                <w:sz w:val="22"/>
              </w:rPr>
              <w:t>(4)</w:t>
            </w:r>
          </w:p>
        </w:tc>
      </w:tr>
      <w:tr>
        <w:trPr>
          <w:trHeight w:val="505" w:hRule="atLeast"/>
        </w:trPr>
        <w:tc>
          <w:tcPr>
            <w:tcW w:w="703" w:type="dxa"/>
          </w:tcPr>
          <w:p>
            <w:pPr>
              <w:pStyle w:val="TableParagraph"/>
              <w:spacing w:line="250" w:lineRule="exact"/>
              <w:ind w:left="107"/>
              <w:rPr>
                <w:sz w:val="22"/>
              </w:rPr>
            </w:pPr>
            <w:r>
              <w:rPr>
                <w:sz w:val="22"/>
              </w:rPr>
              <w:t>40</w:t>
            </w:r>
          </w:p>
        </w:tc>
        <w:tc>
          <w:tcPr>
            <w:tcW w:w="5305" w:type="dxa"/>
          </w:tcPr>
          <w:p>
            <w:pPr>
              <w:pStyle w:val="TableParagraph"/>
              <w:spacing w:line="254" w:lineRule="exact"/>
              <w:ind w:left="108" w:right="813"/>
              <w:rPr>
                <w:sz w:val="22"/>
              </w:rPr>
            </w:pPr>
            <w:r>
              <w:rPr>
                <w:sz w:val="22"/>
              </w:rPr>
              <w:t>Son zamanlarda kafama takılan konular beni tedirgin ediyor</w:t>
            </w:r>
          </w:p>
        </w:tc>
        <w:tc>
          <w:tcPr>
            <w:tcW w:w="628" w:type="dxa"/>
          </w:tcPr>
          <w:p>
            <w:pPr>
              <w:pStyle w:val="TableParagraph"/>
              <w:spacing w:line="250" w:lineRule="exact"/>
              <w:ind w:left="161" w:right="148"/>
              <w:jc w:val="center"/>
              <w:rPr>
                <w:sz w:val="22"/>
              </w:rPr>
            </w:pPr>
            <w:r>
              <w:rPr>
                <w:sz w:val="22"/>
              </w:rPr>
              <w:t>(1)</w:t>
            </w:r>
          </w:p>
        </w:tc>
        <w:tc>
          <w:tcPr>
            <w:tcW w:w="503" w:type="dxa"/>
          </w:tcPr>
          <w:p>
            <w:pPr>
              <w:pStyle w:val="TableParagraph"/>
              <w:spacing w:line="250" w:lineRule="exact"/>
              <w:ind w:left="98" w:right="83"/>
              <w:jc w:val="center"/>
              <w:rPr>
                <w:sz w:val="22"/>
              </w:rPr>
            </w:pPr>
            <w:r>
              <w:rPr>
                <w:sz w:val="22"/>
              </w:rPr>
              <w:t>(2)</w:t>
            </w:r>
          </w:p>
        </w:tc>
        <w:tc>
          <w:tcPr>
            <w:tcW w:w="503" w:type="dxa"/>
          </w:tcPr>
          <w:p>
            <w:pPr>
              <w:pStyle w:val="TableParagraph"/>
              <w:spacing w:line="250" w:lineRule="exact"/>
              <w:ind w:left="99" w:right="82"/>
              <w:jc w:val="center"/>
              <w:rPr>
                <w:sz w:val="22"/>
              </w:rPr>
            </w:pPr>
            <w:r>
              <w:rPr>
                <w:sz w:val="22"/>
              </w:rPr>
              <w:t>(3)</w:t>
            </w:r>
          </w:p>
        </w:tc>
        <w:tc>
          <w:tcPr>
            <w:tcW w:w="631" w:type="dxa"/>
          </w:tcPr>
          <w:p>
            <w:pPr>
              <w:pStyle w:val="TableParagraph"/>
              <w:spacing w:line="250" w:lineRule="exact"/>
              <w:ind w:left="164" w:right="148"/>
              <w:jc w:val="center"/>
              <w:rPr>
                <w:sz w:val="22"/>
              </w:rPr>
            </w:pPr>
            <w:r>
              <w:rPr>
                <w:sz w:val="22"/>
              </w:rPr>
              <w:t>(4)</w:t>
            </w:r>
          </w:p>
        </w:tc>
      </w:tr>
    </w:tbl>
    <w:p>
      <w:pPr>
        <w:spacing w:after="0" w:line="250" w:lineRule="exact"/>
        <w:jc w:val="center"/>
        <w:rPr>
          <w:sz w:val="22"/>
        </w:rPr>
        <w:sectPr>
          <w:headerReference w:type="default" r:id="rId56"/>
          <w:pgSz w:w="11910" w:h="16840"/>
          <w:pgMar w:header="0" w:footer="0" w:top="1320" w:bottom="280" w:left="1680" w:right="940"/>
        </w:sectPr>
      </w:pPr>
    </w:p>
    <w:p>
      <w:pPr>
        <w:pStyle w:val="BodyText"/>
        <w:rPr>
          <w:b/>
          <w:sz w:val="20"/>
        </w:rPr>
      </w:pPr>
    </w:p>
    <w:p>
      <w:pPr>
        <w:pStyle w:val="BodyText"/>
        <w:rPr>
          <w:b/>
          <w:sz w:val="20"/>
        </w:rPr>
      </w:pPr>
    </w:p>
    <w:p>
      <w:pPr>
        <w:pStyle w:val="BodyText"/>
        <w:spacing w:before="6"/>
        <w:rPr>
          <w:b/>
          <w:sz w:val="23"/>
        </w:rPr>
      </w:pPr>
    </w:p>
    <w:p>
      <w:pPr>
        <w:spacing w:before="94"/>
        <w:ind w:left="1443" w:right="1058" w:firstLine="0"/>
        <w:jc w:val="center"/>
        <w:rPr>
          <w:b/>
          <w:sz w:val="22"/>
        </w:rPr>
      </w:pPr>
      <w:r>
        <w:rPr>
          <w:b/>
          <w:sz w:val="22"/>
        </w:rPr>
        <w:t>ASA (American Society of Anesthesiologists) SINIFLANDIRMASI</w:t>
      </w:r>
    </w:p>
    <w:p>
      <w:pPr>
        <w:pStyle w:val="BodyText"/>
        <w:spacing w:before="4"/>
        <w:rPr>
          <w:b/>
          <w:sz w:val="25"/>
        </w:rPr>
      </w:pPr>
    </w:p>
    <w:p>
      <w:pPr>
        <w:pStyle w:val="BodyText"/>
        <w:spacing w:line="357" w:lineRule="auto"/>
        <w:ind w:left="1068" w:right="197" w:hanging="418"/>
        <w:jc w:val="both"/>
      </w:pPr>
      <w:r>
        <w:rPr/>
        <w:t>Preoperatif olarak hastanın sınıflandırıldığı ve buna göre anestezik yaklaşımın ve özellikle monitorizasyon yöntemlerinin belirlenmesi için yararlı olduğu kabul edilen bir değerlendirme sistemidir.</w:t>
      </w:r>
    </w:p>
    <w:p>
      <w:pPr>
        <w:pStyle w:val="BodyText"/>
        <w:spacing w:line="360" w:lineRule="auto" w:before="166"/>
        <w:ind w:left="1068" w:right="192" w:hanging="480"/>
        <w:jc w:val="both"/>
      </w:pPr>
      <w:r>
        <w:rPr>
          <w:b/>
        </w:rPr>
        <w:t>ASA 1</w:t>
      </w:r>
      <w:r>
        <w:rPr/>
        <w:t>. Normal, sistemik bir bozukluğa neden olmayan cerrahi patoloji dışında bir hastalık veya sistemik sorunu olmayan sağlıklı bir kişi.</w:t>
      </w:r>
    </w:p>
    <w:p>
      <w:pPr>
        <w:pStyle w:val="BodyText"/>
        <w:spacing w:line="360" w:lineRule="auto" w:before="161"/>
        <w:ind w:left="1068" w:right="193" w:hanging="480"/>
        <w:jc w:val="both"/>
      </w:pPr>
      <w:r>
        <w:rPr>
          <w:b/>
        </w:rPr>
        <w:t>ASA 2</w:t>
      </w:r>
      <w:r>
        <w:rPr/>
        <w:t>. Cerrahi girişim gerektiren nedene veya başka bir hastalığa (hafif derecede anemi, kronik bronşit, hipertansiyon, amfizem, şişmanlık, diabet gibi) bağlı hafif bir sistemik bozukluğu olan kişi.</w:t>
      </w:r>
    </w:p>
    <w:p>
      <w:pPr>
        <w:pStyle w:val="BodyText"/>
        <w:spacing w:line="360" w:lineRule="auto" w:before="160"/>
        <w:ind w:left="1068" w:right="191" w:hanging="480"/>
        <w:jc w:val="both"/>
      </w:pPr>
      <w:r>
        <w:rPr>
          <w:b/>
        </w:rPr>
        <w:t>ASA 3</w:t>
      </w:r>
      <w:r>
        <w:rPr/>
        <w:t>. Aktivitesini sınırlayan, ancak güçsüz bırakmayan hastalığı (hipovolemi, latent kalp</w:t>
      </w:r>
      <w:r>
        <w:rPr>
          <w:spacing w:val="-17"/>
        </w:rPr>
        <w:t> </w:t>
      </w:r>
      <w:r>
        <w:rPr/>
        <w:t>yetmezliği,</w:t>
      </w:r>
      <w:r>
        <w:rPr>
          <w:spacing w:val="-17"/>
        </w:rPr>
        <w:t> </w:t>
      </w:r>
      <w:r>
        <w:rPr/>
        <w:t>geçirilmiş</w:t>
      </w:r>
      <w:r>
        <w:rPr>
          <w:spacing w:val="-15"/>
        </w:rPr>
        <w:t> </w:t>
      </w:r>
      <w:r>
        <w:rPr/>
        <w:t>miyokard</w:t>
      </w:r>
      <w:r>
        <w:rPr>
          <w:spacing w:val="-16"/>
        </w:rPr>
        <w:t> </w:t>
      </w:r>
      <w:r>
        <w:rPr/>
        <w:t>infarktüsü,</w:t>
      </w:r>
      <w:r>
        <w:rPr>
          <w:spacing w:val="-15"/>
        </w:rPr>
        <w:t> </w:t>
      </w:r>
      <w:r>
        <w:rPr/>
        <w:t>ileri</w:t>
      </w:r>
      <w:r>
        <w:rPr>
          <w:spacing w:val="-14"/>
        </w:rPr>
        <w:t> </w:t>
      </w:r>
      <w:r>
        <w:rPr/>
        <w:t>diabet,</w:t>
      </w:r>
      <w:r>
        <w:rPr>
          <w:spacing w:val="-14"/>
        </w:rPr>
        <w:t> </w:t>
      </w:r>
      <w:r>
        <w:rPr/>
        <w:t>sınırlı</w:t>
      </w:r>
      <w:r>
        <w:rPr>
          <w:spacing w:val="-17"/>
        </w:rPr>
        <w:t> </w:t>
      </w:r>
      <w:r>
        <w:rPr/>
        <w:t>akciğer</w:t>
      </w:r>
      <w:r>
        <w:rPr>
          <w:spacing w:val="-18"/>
        </w:rPr>
        <w:t> </w:t>
      </w:r>
      <w:r>
        <w:rPr/>
        <w:t>fonksiyonu gibi) olan</w:t>
      </w:r>
      <w:r>
        <w:rPr>
          <w:spacing w:val="-5"/>
        </w:rPr>
        <w:t> </w:t>
      </w:r>
      <w:r>
        <w:rPr/>
        <w:t>kişi.</w:t>
      </w:r>
    </w:p>
    <w:p>
      <w:pPr>
        <w:pStyle w:val="BodyText"/>
        <w:spacing w:line="360" w:lineRule="auto" w:before="160"/>
        <w:ind w:left="1068" w:right="191" w:hanging="480"/>
        <w:jc w:val="both"/>
      </w:pPr>
      <w:r>
        <w:rPr>
          <w:b/>
        </w:rPr>
        <w:t>ASA</w:t>
      </w:r>
      <w:r>
        <w:rPr>
          <w:b/>
          <w:spacing w:val="-13"/>
        </w:rPr>
        <w:t> </w:t>
      </w:r>
      <w:r>
        <w:rPr>
          <w:b/>
        </w:rPr>
        <w:t>4</w:t>
      </w:r>
      <w:r>
        <w:rPr/>
        <w:t>.</w:t>
      </w:r>
      <w:r>
        <w:rPr>
          <w:spacing w:val="-6"/>
        </w:rPr>
        <w:t> </w:t>
      </w:r>
      <w:r>
        <w:rPr/>
        <w:t>Gücünü</w:t>
      </w:r>
      <w:r>
        <w:rPr>
          <w:spacing w:val="-10"/>
        </w:rPr>
        <w:t> </w:t>
      </w:r>
      <w:r>
        <w:rPr/>
        <w:t>tamamen</w:t>
      </w:r>
      <w:r>
        <w:rPr>
          <w:spacing w:val="-7"/>
        </w:rPr>
        <w:t> </w:t>
      </w:r>
      <w:r>
        <w:rPr/>
        <w:t>yitirmesine</w:t>
      </w:r>
      <w:r>
        <w:rPr>
          <w:spacing w:val="-8"/>
        </w:rPr>
        <w:t> </w:t>
      </w:r>
      <w:r>
        <w:rPr/>
        <w:t>neden</w:t>
      </w:r>
      <w:r>
        <w:rPr>
          <w:spacing w:val="-7"/>
        </w:rPr>
        <w:t> </w:t>
      </w:r>
      <w:r>
        <w:rPr/>
        <w:t>olup</w:t>
      </w:r>
      <w:r>
        <w:rPr>
          <w:spacing w:val="-13"/>
        </w:rPr>
        <w:t> </w:t>
      </w:r>
      <w:r>
        <w:rPr/>
        <w:t>hayatına</w:t>
      </w:r>
      <w:r>
        <w:rPr>
          <w:spacing w:val="-7"/>
        </w:rPr>
        <w:t> </w:t>
      </w:r>
      <w:r>
        <w:rPr/>
        <w:t>sürekli</w:t>
      </w:r>
      <w:r>
        <w:rPr>
          <w:spacing w:val="-8"/>
        </w:rPr>
        <w:t> </w:t>
      </w:r>
      <w:r>
        <w:rPr/>
        <w:t>bir</w:t>
      </w:r>
      <w:r>
        <w:rPr>
          <w:spacing w:val="-6"/>
        </w:rPr>
        <w:t> </w:t>
      </w:r>
      <w:r>
        <w:rPr/>
        <w:t>tehdit</w:t>
      </w:r>
      <w:r>
        <w:rPr>
          <w:spacing w:val="-8"/>
        </w:rPr>
        <w:t> </w:t>
      </w:r>
      <w:r>
        <w:rPr/>
        <w:t>oluşturan</w:t>
      </w:r>
      <w:r>
        <w:rPr>
          <w:spacing w:val="-10"/>
        </w:rPr>
        <w:t> </w:t>
      </w:r>
      <w:r>
        <w:rPr/>
        <w:t>bir hastalığı (şok, dekompanse kalp veya solunum sistemi hastalığı, böbrek,</w:t>
      </w:r>
      <w:r>
        <w:rPr>
          <w:spacing w:val="-44"/>
        </w:rPr>
        <w:t> </w:t>
      </w:r>
      <w:r>
        <w:rPr/>
        <w:t>karaciğer yetmezliği gibi) olan</w:t>
      </w:r>
      <w:r>
        <w:rPr>
          <w:spacing w:val="-2"/>
        </w:rPr>
        <w:t> </w:t>
      </w:r>
      <w:r>
        <w:rPr/>
        <w:t>kişi.</w:t>
      </w:r>
    </w:p>
    <w:p>
      <w:pPr>
        <w:pStyle w:val="BodyText"/>
        <w:spacing w:line="360" w:lineRule="auto" w:before="160"/>
        <w:ind w:left="1068" w:right="196" w:hanging="480"/>
        <w:jc w:val="both"/>
      </w:pPr>
      <w:r>
        <w:rPr>
          <w:b/>
        </w:rPr>
        <w:t>ASA 5</w:t>
      </w:r>
      <w:r>
        <w:rPr/>
        <w:t>. Ameliyat olsa da olmasa da 24 saatten fazla yaşaması beklenmeyen, son ümit olarak cerrahi girişim yapılan ölüm halindeki kişi.</w:t>
      </w:r>
    </w:p>
    <w:p>
      <w:pPr>
        <w:pStyle w:val="BodyText"/>
        <w:spacing w:line="360" w:lineRule="auto" w:before="160"/>
        <w:ind w:left="1068" w:right="192" w:hanging="416"/>
        <w:jc w:val="both"/>
      </w:pPr>
      <w:r>
        <w:rPr>
          <w:b/>
        </w:rPr>
        <w:t>ASA</w:t>
      </w:r>
      <w:r>
        <w:rPr>
          <w:b/>
          <w:spacing w:val="-19"/>
        </w:rPr>
        <w:t> </w:t>
      </w:r>
      <w:r>
        <w:rPr>
          <w:b/>
        </w:rPr>
        <w:t>6</w:t>
      </w:r>
      <w:r>
        <w:rPr/>
        <w:t>.</w:t>
      </w:r>
      <w:r>
        <w:rPr>
          <w:spacing w:val="-12"/>
        </w:rPr>
        <w:t> </w:t>
      </w:r>
      <w:r>
        <w:rPr/>
        <w:t>Yukarıdaki</w:t>
      </w:r>
      <w:r>
        <w:rPr>
          <w:spacing w:val="-14"/>
        </w:rPr>
        <w:t> </w:t>
      </w:r>
      <w:r>
        <w:rPr/>
        <w:t>5</w:t>
      </w:r>
      <w:r>
        <w:rPr>
          <w:spacing w:val="-16"/>
        </w:rPr>
        <w:t> </w:t>
      </w:r>
      <w:r>
        <w:rPr/>
        <w:t>gruba</w:t>
      </w:r>
      <w:r>
        <w:rPr>
          <w:spacing w:val="-13"/>
        </w:rPr>
        <w:t> </w:t>
      </w:r>
      <w:r>
        <w:rPr/>
        <w:t>daha</w:t>
      </w:r>
      <w:r>
        <w:rPr>
          <w:spacing w:val="-14"/>
        </w:rPr>
        <w:t> </w:t>
      </w:r>
      <w:r>
        <w:rPr/>
        <w:t>sonra</w:t>
      </w:r>
      <w:r>
        <w:rPr>
          <w:spacing w:val="-14"/>
        </w:rPr>
        <w:t> </w:t>
      </w:r>
      <w:r>
        <w:rPr/>
        <w:t>bu</w:t>
      </w:r>
      <w:r>
        <w:rPr>
          <w:spacing w:val="-16"/>
        </w:rPr>
        <w:t> </w:t>
      </w:r>
      <w:r>
        <w:rPr/>
        <w:t>grup</w:t>
      </w:r>
      <w:r>
        <w:rPr>
          <w:spacing w:val="-14"/>
        </w:rPr>
        <w:t> </w:t>
      </w:r>
      <w:r>
        <w:rPr/>
        <w:t>eklenmiştir.</w:t>
      </w:r>
      <w:r>
        <w:rPr>
          <w:spacing w:val="-11"/>
        </w:rPr>
        <w:t> </w:t>
      </w:r>
      <w:r>
        <w:rPr/>
        <w:t>Bu</w:t>
      </w:r>
      <w:r>
        <w:rPr>
          <w:spacing w:val="-16"/>
        </w:rPr>
        <w:t> </w:t>
      </w:r>
      <w:r>
        <w:rPr/>
        <w:t>gruba</w:t>
      </w:r>
      <w:r>
        <w:rPr>
          <w:spacing w:val="-14"/>
        </w:rPr>
        <w:t> </w:t>
      </w:r>
      <w:r>
        <w:rPr/>
        <w:t>da</w:t>
      </w:r>
      <w:r>
        <w:rPr>
          <w:spacing w:val="-14"/>
        </w:rPr>
        <w:t> </w:t>
      </w:r>
      <w:r>
        <w:rPr/>
        <w:t>organ</w:t>
      </w:r>
      <w:r>
        <w:rPr>
          <w:spacing w:val="-14"/>
        </w:rPr>
        <w:t> </w:t>
      </w:r>
      <w:r>
        <w:rPr/>
        <w:t>alınmaya uygun, beyin ölümü gelişmiş hastalar girmektedir. Acil cerrahi girişim gerektiğinde hastanın sınıflama numarasından sonra “E” harfi eklenmektedir. ASA IE</w:t>
      </w:r>
      <w:r>
        <w:rPr>
          <w:spacing w:val="-22"/>
        </w:rPr>
        <w:t> </w:t>
      </w:r>
      <w:r>
        <w:rPr/>
        <w:t>gibi.</w:t>
      </w:r>
    </w:p>
    <w:p>
      <w:pPr>
        <w:spacing w:after="0" w:line="360" w:lineRule="auto"/>
        <w:jc w:val="both"/>
        <w:sectPr>
          <w:headerReference w:type="default" r:id="rId57"/>
          <w:pgSz w:w="11910" w:h="16840"/>
          <w:pgMar w:header="1418" w:footer="0" w:top="1660" w:bottom="280" w:left="1680" w:right="9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3"/>
        <w:rPr>
          <w:rFonts w:ascii="Times New Roman"/>
          <w:sz w:val="12"/>
        </w:rPr>
      </w:pPr>
    </w:p>
    <w:p>
      <w:pPr>
        <w:pStyle w:val="BodyText"/>
        <w:ind w:left="588"/>
        <w:rPr>
          <w:rFonts w:ascii="Times New Roman"/>
          <w:sz w:val="20"/>
        </w:rPr>
      </w:pPr>
      <w:r>
        <w:rPr>
          <w:rFonts w:ascii="Times New Roman"/>
          <w:sz w:val="20"/>
        </w:rPr>
        <w:drawing>
          <wp:inline distT="0" distB="0" distL="0" distR="0">
            <wp:extent cx="5317235" cy="7151179"/>
            <wp:effectExtent l="0" t="0" r="0" b="0"/>
            <wp:docPr id="23" name="image40.jpeg"/>
            <wp:cNvGraphicFramePr>
              <a:graphicFrameLocks noChangeAspect="1"/>
            </wp:cNvGraphicFramePr>
            <a:graphic>
              <a:graphicData uri="http://schemas.openxmlformats.org/drawingml/2006/picture">
                <pic:pic>
                  <pic:nvPicPr>
                    <pic:cNvPr id="24" name="image40.jpeg"/>
                    <pic:cNvPicPr/>
                  </pic:nvPicPr>
                  <pic:blipFill>
                    <a:blip r:embed="rId59" cstate="print"/>
                    <a:stretch>
                      <a:fillRect/>
                    </a:stretch>
                  </pic:blipFill>
                  <pic:spPr>
                    <a:xfrm>
                      <a:off x="0" y="0"/>
                      <a:ext cx="5317235" cy="7151179"/>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58"/>
          <w:pgSz w:w="11910" w:h="16840"/>
          <w:pgMar w:header="1418" w:footer="0" w:top="1660" w:bottom="280" w:left="1680" w:right="940"/>
        </w:sectPr>
      </w:pPr>
    </w:p>
    <w:p>
      <w:pPr>
        <w:pStyle w:val="BodyText"/>
        <w:ind w:left="588"/>
        <w:rPr>
          <w:rFonts w:ascii="Times New Roman"/>
          <w:sz w:val="20"/>
        </w:rPr>
      </w:pPr>
      <w:r>
        <w:rPr>
          <w:rFonts w:ascii="Times New Roman"/>
          <w:sz w:val="20"/>
        </w:rPr>
        <w:drawing>
          <wp:inline distT="0" distB="0" distL="0" distR="0">
            <wp:extent cx="5322795" cy="7241285"/>
            <wp:effectExtent l="0" t="0" r="0" b="0"/>
            <wp:docPr id="25" name="image41.jpeg"/>
            <wp:cNvGraphicFramePr>
              <a:graphicFrameLocks noChangeAspect="1"/>
            </wp:cNvGraphicFramePr>
            <a:graphic>
              <a:graphicData uri="http://schemas.openxmlformats.org/drawingml/2006/picture">
                <pic:pic>
                  <pic:nvPicPr>
                    <pic:cNvPr id="26" name="image41.jpeg"/>
                    <pic:cNvPicPr/>
                  </pic:nvPicPr>
                  <pic:blipFill>
                    <a:blip r:embed="rId61" cstate="print"/>
                    <a:stretch>
                      <a:fillRect/>
                    </a:stretch>
                  </pic:blipFill>
                  <pic:spPr>
                    <a:xfrm>
                      <a:off x="0" y="0"/>
                      <a:ext cx="5322795" cy="7241285"/>
                    </a:xfrm>
                    <a:prstGeom prst="rect">
                      <a:avLst/>
                    </a:prstGeom>
                  </pic:spPr>
                </pic:pic>
              </a:graphicData>
            </a:graphic>
          </wp:inline>
        </w:drawing>
      </w:r>
      <w:r>
        <w:rPr>
          <w:rFonts w:ascii="Times New Roman"/>
          <w:sz w:val="20"/>
        </w:rPr>
      </w:r>
    </w:p>
    <w:sectPr>
      <w:headerReference w:type="default" r:id="rId60"/>
      <w:pgSz w:w="11910" w:h="16840"/>
      <w:pgMar w:header="0" w:footer="0" w:top="1400" w:bottom="280" w:left="1680" w:right="9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Arial Black">
    <w:altName w:val="Arial Black"/>
    <w:charset w:val="0"/>
    <w:family w:val="swiss"/>
    <w:pitch w:val="variable"/>
  </w:font>
  <w:font w:name="Nirmala UI">
    <w:altName w:val="Nirmala UI"/>
    <w:charset w:val="0"/>
    <w:family w:val="swiss"/>
    <w:pitch w:val="variable"/>
  </w:font>
  <w:font w:name="Cambria Math">
    <w:altName w:val="Cambria Math"/>
    <w:charset w:val="0"/>
    <w:family w:val="roman"/>
    <w:pitch w:val="variable"/>
  </w:font>
  <w:font w:name="Symbol">
    <w:altName w:val="Symbol"/>
    <w:charset w:val="2"/>
    <w:family w:val="roman"/>
    <w:pitch w:val="variable"/>
  </w:font>
  <w:font w:name="Wingdings">
    <w:altName w:val="Wingdings"/>
    <w:charset w:val="2"/>
    <w:family w:val="auto"/>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531.640015pt;margin-top:36.439983pt;width:9.1pt;height:13.05pt;mso-position-horizontal-relative:page;mso-position-vertical-relative:page;z-index:-256966656" type="#_x0000_t202" filled="false" stroked="false">
          <v:textbox inset="0,0,0,0">
            <w:txbxContent>
              <w:p>
                <w:pPr>
                  <w:pStyle w:val="BodyText"/>
                  <w:spacing w:line="245" w:lineRule="exact"/>
                  <w:ind w:left="40"/>
                  <w:rPr>
                    <w:rFonts w:ascii="Calibri"/>
                  </w:rPr>
                </w:pPr>
                <w:r>
                  <w:rPr/>
                  <w:fldChar w:fldCharType="begin"/>
                </w:r>
                <w:r>
                  <w:rPr>
                    <w:rFonts w:ascii="Calibri"/>
                  </w:rPr>
                  <w:instrText> PAGE  \* roman </w:instrText>
                </w:r>
                <w:r>
                  <w:rPr/>
                  <w:fldChar w:fldCharType="separate"/>
                </w:r>
                <w:r>
                  <w:rPr/>
                  <w:t>ii</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419998pt;margin-top:69.885765pt;width:115.25pt;height:14.35pt;mso-position-horizontal-relative:page;mso-position-vertical-relative:page;z-index:-256961536" type="#_x0000_t202" filled="false" stroked="false">
          <v:textbox inset="0,0,0,0">
            <w:txbxContent>
              <w:p>
                <w:pPr>
                  <w:spacing w:before="13"/>
                  <w:ind w:left="20" w:right="0" w:firstLine="0"/>
                  <w:jc w:val="left"/>
                  <w:rPr>
                    <w:b/>
                    <w:sz w:val="22"/>
                  </w:rPr>
                </w:pPr>
                <w:r>
                  <w:rPr>
                    <w:b/>
                    <w:sz w:val="22"/>
                  </w:rPr>
                  <w:t>EK-4 ASA Skorlaması</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112.419998pt;margin-top:69.885765pt;width:365.85pt;height:14.35pt;mso-position-horizontal-relative:page;mso-position-vertical-relative:page;z-index:-256960512" type="#_x0000_t202" filled="false" stroked="false">
          <v:textbox inset="0,0,0,0">
            <w:txbxContent>
              <w:p>
                <w:pPr>
                  <w:spacing w:before="13"/>
                  <w:ind w:left="20" w:right="0" w:firstLine="0"/>
                  <w:jc w:val="left"/>
                  <w:rPr>
                    <w:b/>
                    <w:sz w:val="22"/>
                  </w:rPr>
                </w:pPr>
                <w:r>
                  <w:rPr>
                    <w:b/>
                    <w:sz w:val="22"/>
                  </w:rPr>
                  <w:t>EK-5 Resim Çekimi ve Kullanımı Yayın Hakkı Devir Sözleşmesi Formu</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080017pt;margin-top:36.439983pt;width:16.8pt;height:13.05pt;mso-position-horizontal-relative:page;mso-position-vertical-relative:page;z-index:-256965632" type="#_x0000_t202" filled="false" stroked="false">
          <v:textbox inset="0,0,0,0">
            <w:txbxContent>
              <w:p>
                <w:pPr>
                  <w:pStyle w:val="BodyText"/>
                  <w:spacing w:line="245" w:lineRule="exact"/>
                  <w:ind w:left="40"/>
                  <w:rPr>
                    <w:rFonts w:ascii="Calibri"/>
                  </w:rPr>
                </w:pPr>
                <w:r>
                  <w:rPr/>
                  <w:fldChar w:fldCharType="begin"/>
                </w:r>
                <w:r>
                  <w:rPr>
                    <w:rFonts w:ascii="Calibri"/>
                  </w:rPr>
                  <w:instrText> PAGE  \* roman </w:instrText>
                </w:r>
                <w:r>
                  <w:rPr/>
                  <w:fldChar w:fldCharType="separate"/>
                </w:r>
                <w:r>
                  <w:rPr/>
                  <w:t>viii</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840027pt;margin-top:36.439983pt;width:13.9pt;height:13.05pt;mso-position-horizontal-relative:page;mso-position-vertical-relative:page;z-index:-256964608" type="#_x0000_t202" filled="false" stroked="false">
          <v:textbox inset="0,0,0,0">
            <w:txbxContent>
              <w:p>
                <w:pPr>
                  <w:pStyle w:val="BodyText"/>
                  <w:spacing w:line="245" w:lineRule="exact"/>
                  <w:ind w:left="40"/>
                  <w:rPr>
                    <w:rFonts w:ascii="Calibri"/>
                  </w:rPr>
                </w:pPr>
                <w:r>
                  <w:rPr/>
                  <w:fldChar w:fldCharType="begin"/>
                </w:r>
                <w:r>
                  <w:rPr>
                    <w:rFonts w:ascii="Calibri"/>
                  </w:rPr>
                  <w:instrText> PAGE  \* roman </w:instrText>
                </w:r>
                <w:r>
                  <w:rPr/>
                  <w:fldChar w:fldCharType="separate"/>
                </w:r>
                <w:r>
                  <w:rPr/>
                  <w:t>xii</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5.520020pt;margin-top:36.439983pt;width:15.3pt;height:13.05pt;mso-position-horizontal-relative:page;mso-position-vertical-relative:page;z-index:-256963584"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10</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5.520020pt;margin-top:36.439983pt;width:15.3pt;height:13.05pt;mso-position-horizontal-relative:page;mso-position-vertical-relative:page;z-index:-256962560"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42</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1308" w:hanging="360"/>
      </w:pPr>
      <w:rPr>
        <w:rFonts w:hint="default"/>
        <w:w w:val="100"/>
        <w:lang w:val="tr-TR" w:eastAsia="tr-TR" w:bidi="tr-TR"/>
      </w:rPr>
    </w:lvl>
    <w:lvl w:ilvl="1">
      <w:start w:val="0"/>
      <w:numFmt w:val="bullet"/>
      <w:lvlText w:val="•"/>
      <w:lvlJc w:val="left"/>
      <w:pPr>
        <w:ind w:left="2098" w:hanging="360"/>
      </w:pPr>
      <w:rPr>
        <w:rFonts w:hint="default"/>
        <w:lang w:val="tr-TR" w:eastAsia="tr-TR" w:bidi="tr-TR"/>
      </w:rPr>
    </w:lvl>
    <w:lvl w:ilvl="2">
      <w:start w:val="0"/>
      <w:numFmt w:val="bullet"/>
      <w:lvlText w:val="•"/>
      <w:lvlJc w:val="left"/>
      <w:pPr>
        <w:ind w:left="2897" w:hanging="360"/>
      </w:pPr>
      <w:rPr>
        <w:rFonts w:hint="default"/>
        <w:lang w:val="tr-TR" w:eastAsia="tr-TR" w:bidi="tr-TR"/>
      </w:rPr>
    </w:lvl>
    <w:lvl w:ilvl="3">
      <w:start w:val="0"/>
      <w:numFmt w:val="bullet"/>
      <w:lvlText w:val="•"/>
      <w:lvlJc w:val="left"/>
      <w:pPr>
        <w:ind w:left="3695" w:hanging="360"/>
      </w:pPr>
      <w:rPr>
        <w:rFonts w:hint="default"/>
        <w:lang w:val="tr-TR" w:eastAsia="tr-TR" w:bidi="tr-TR"/>
      </w:rPr>
    </w:lvl>
    <w:lvl w:ilvl="4">
      <w:start w:val="0"/>
      <w:numFmt w:val="bullet"/>
      <w:lvlText w:val="•"/>
      <w:lvlJc w:val="left"/>
      <w:pPr>
        <w:ind w:left="4494" w:hanging="360"/>
      </w:pPr>
      <w:rPr>
        <w:rFonts w:hint="default"/>
        <w:lang w:val="tr-TR" w:eastAsia="tr-TR" w:bidi="tr-TR"/>
      </w:rPr>
    </w:lvl>
    <w:lvl w:ilvl="5">
      <w:start w:val="0"/>
      <w:numFmt w:val="bullet"/>
      <w:lvlText w:val="•"/>
      <w:lvlJc w:val="left"/>
      <w:pPr>
        <w:ind w:left="5293" w:hanging="360"/>
      </w:pPr>
      <w:rPr>
        <w:rFonts w:hint="default"/>
        <w:lang w:val="tr-TR" w:eastAsia="tr-TR" w:bidi="tr-TR"/>
      </w:rPr>
    </w:lvl>
    <w:lvl w:ilvl="6">
      <w:start w:val="0"/>
      <w:numFmt w:val="bullet"/>
      <w:lvlText w:val="•"/>
      <w:lvlJc w:val="left"/>
      <w:pPr>
        <w:ind w:left="6091" w:hanging="360"/>
      </w:pPr>
      <w:rPr>
        <w:rFonts w:hint="default"/>
        <w:lang w:val="tr-TR" w:eastAsia="tr-TR" w:bidi="tr-TR"/>
      </w:rPr>
    </w:lvl>
    <w:lvl w:ilvl="7">
      <w:start w:val="0"/>
      <w:numFmt w:val="bullet"/>
      <w:lvlText w:val="•"/>
      <w:lvlJc w:val="left"/>
      <w:pPr>
        <w:ind w:left="6890" w:hanging="360"/>
      </w:pPr>
      <w:rPr>
        <w:rFonts w:hint="default"/>
        <w:lang w:val="tr-TR" w:eastAsia="tr-TR" w:bidi="tr-TR"/>
      </w:rPr>
    </w:lvl>
    <w:lvl w:ilvl="8">
      <w:start w:val="0"/>
      <w:numFmt w:val="bullet"/>
      <w:lvlText w:val="•"/>
      <w:lvlJc w:val="left"/>
      <w:pPr>
        <w:ind w:left="7689" w:hanging="360"/>
      </w:pPr>
      <w:rPr>
        <w:rFonts w:hint="default"/>
        <w:lang w:val="tr-TR" w:eastAsia="tr-TR" w:bidi="tr-TR"/>
      </w:rPr>
    </w:lvl>
  </w:abstractNum>
  <w:abstractNum w:abstractNumId="5">
    <w:multiLevelType w:val="hybridMultilevel"/>
    <w:lvl w:ilvl="0">
      <w:start w:val="4"/>
      <w:numFmt w:val="decimal"/>
      <w:lvlText w:val="%1."/>
      <w:lvlJc w:val="left"/>
      <w:pPr>
        <w:ind w:left="835" w:hanging="248"/>
        <w:jc w:val="left"/>
      </w:pPr>
      <w:rPr>
        <w:rFonts w:hint="default" w:ascii="Arial" w:hAnsi="Arial" w:eastAsia="Arial" w:cs="Arial"/>
        <w:b/>
        <w:bCs/>
        <w:w w:val="100"/>
        <w:sz w:val="22"/>
        <w:szCs w:val="22"/>
        <w:lang w:val="tr-TR" w:eastAsia="tr-TR" w:bidi="tr-TR"/>
      </w:rPr>
    </w:lvl>
    <w:lvl w:ilvl="1">
      <w:start w:val="1"/>
      <w:numFmt w:val="decimal"/>
      <w:lvlText w:val="%1.%2"/>
      <w:lvlJc w:val="left"/>
      <w:pPr>
        <w:ind w:left="955" w:hanging="368"/>
        <w:jc w:val="left"/>
      </w:pPr>
      <w:rPr>
        <w:rFonts w:hint="default" w:ascii="Arial" w:hAnsi="Arial" w:eastAsia="Arial" w:cs="Arial"/>
        <w:b/>
        <w:bCs/>
        <w:spacing w:val="-1"/>
        <w:w w:val="100"/>
        <w:sz w:val="22"/>
        <w:szCs w:val="22"/>
        <w:lang w:val="tr-TR" w:eastAsia="tr-TR" w:bidi="tr-TR"/>
      </w:rPr>
    </w:lvl>
    <w:lvl w:ilvl="2">
      <w:start w:val="1"/>
      <w:numFmt w:val="decimal"/>
      <w:lvlText w:val="%1.%2.%3."/>
      <w:lvlJc w:val="left"/>
      <w:pPr>
        <w:ind w:left="1202" w:hanging="614"/>
        <w:jc w:val="left"/>
      </w:pPr>
      <w:rPr>
        <w:rFonts w:hint="default" w:ascii="Arial" w:hAnsi="Arial" w:eastAsia="Arial" w:cs="Arial"/>
        <w:b/>
        <w:bCs/>
        <w:spacing w:val="-3"/>
        <w:w w:val="100"/>
        <w:sz w:val="22"/>
        <w:szCs w:val="22"/>
        <w:lang w:val="tr-TR" w:eastAsia="tr-TR" w:bidi="tr-TR"/>
      </w:rPr>
    </w:lvl>
    <w:lvl w:ilvl="3">
      <w:start w:val="0"/>
      <w:numFmt w:val="bullet"/>
      <w:lvlText w:val="•"/>
      <w:lvlJc w:val="left"/>
      <w:pPr>
        <w:ind w:left="2223" w:hanging="614"/>
      </w:pPr>
      <w:rPr>
        <w:rFonts w:hint="default"/>
        <w:lang w:val="tr-TR" w:eastAsia="tr-TR" w:bidi="tr-TR"/>
      </w:rPr>
    </w:lvl>
    <w:lvl w:ilvl="4">
      <w:start w:val="0"/>
      <w:numFmt w:val="bullet"/>
      <w:lvlText w:val="•"/>
      <w:lvlJc w:val="left"/>
      <w:pPr>
        <w:ind w:left="3246" w:hanging="614"/>
      </w:pPr>
      <w:rPr>
        <w:rFonts w:hint="default"/>
        <w:lang w:val="tr-TR" w:eastAsia="tr-TR" w:bidi="tr-TR"/>
      </w:rPr>
    </w:lvl>
    <w:lvl w:ilvl="5">
      <w:start w:val="0"/>
      <w:numFmt w:val="bullet"/>
      <w:lvlText w:val="•"/>
      <w:lvlJc w:val="left"/>
      <w:pPr>
        <w:ind w:left="4269" w:hanging="614"/>
      </w:pPr>
      <w:rPr>
        <w:rFonts w:hint="default"/>
        <w:lang w:val="tr-TR" w:eastAsia="tr-TR" w:bidi="tr-TR"/>
      </w:rPr>
    </w:lvl>
    <w:lvl w:ilvl="6">
      <w:start w:val="0"/>
      <w:numFmt w:val="bullet"/>
      <w:lvlText w:val="•"/>
      <w:lvlJc w:val="left"/>
      <w:pPr>
        <w:ind w:left="5293" w:hanging="614"/>
      </w:pPr>
      <w:rPr>
        <w:rFonts w:hint="default"/>
        <w:lang w:val="tr-TR" w:eastAsia="tr-TR" w:bidi="tr-TR"/>
      </w:rPr>
    </w:lvl>
    <w:lvl w:ilvl="7">
      <w:start w:val="0"/>
      <w:numFmt w:val="bullet"/>
      <w:lvlText w:val="•"/>
      <w:lvlJc w:val="left"/>
      <w:pPr>
        <w:ind w:left="6316" w:hanging="614"/>
      </w:pPr>
      <w:rPr>
        <w:rFonts w:hint="default"/>
        <w:lang w:val="tr-TR" w:eastAsia="tr-TR" w:bidi="tr-TR"/>
      </w:rPr>
    </w:lvl>
    <w:lvl w:ilvl="8">
      <w:start w:val="0"/>
      <w:numFmt w:val="bullet"/>
      <w:lvlText w:val="•"/>
      <w:lvlJc w:val="left"/>
      <w:pPr>
        <w:ind w:left="7339" w:hanging="614"/>
      </w:pPr>
      <w:rPr>
        <w:rFonts w:hint="default"/>
        <w:lang w:val="tr-TR" w:eastAsia="tr-TR" w:bidi="tr-TR"/>
      </w:rPr>
    </w:lvl>
  </w:abstractNum>
  <w:abstractNum w:abstractNumId="4">
    <w:multiLevelType w:val="hybridMultilevel"/>
    <w:lvl w:ilvl="0">
      <w:start w:val="0"/>
      <w:numFmt w:val="bullet"/>
      <w:lvlText w:val=""/>
      <w:lvlJc w:val="left"/>
      <w:pPr>
        <w:ind w:left="835" w:hanging="360"/>
      </w:pPr>
      <w:rPr>
        <w:rFonts w:hint="default" w:ascii="Symbol" w:hAnsi="Symbol" w:eastAsia="Symbol" w:cs="Symbol"/>
        <w:w w:val="100"/>
        <w:sz w:val="22"/>
        <w:szCs w:val="22"/>
        <w:lang w:val="tr-TR" w:eastAsia="tr-TR" w:bidi="tr-TR"/>
      </w:rPr>
    </w:lvl>
    <w:lvl w:ilvl="1">
      <w:start w:val="0"/>
      <w:numFmt w:val="bullet"/>
      <w:lvlText w:val="•"/>
      <w:lvlJc w:val="left"/>
      <w:pPr>
        <w:ind w:left="1626" w:hanging="360"/>
      </w:pPr>
      <w:rPr>
        <w:rFonts w:hint="default"/>
        <w:lang w:val="tr-TR" w:eastAsia="tr-TR" w:bidi="tr-TR"/>
      </w:rPr>
    </w:lvl>
    <w:lvl w:ilvl="2">
      <w:start w:val="0"/>
      <w:numFmt w:val="bullet"/>
      <w:lvlText w:val="•"/>
      <w:lvlJc w:val="left"/>
      <w:pPr>
        <w:ind w:left="2412" w:hanging="360"/>
      </w:pPr>
      <w:rPr>
        <w:rFonts w:hint="default"/>
        <w:lang w:val="tr-TR" w:eastAsia="tr-TR" w:bidi="tr-TR"/>
      </w:rPr>
    </w:lvl>
    <w:lvl w:ilvl="3">
      <w:start w:val="0"/>
      <w:numFmt w:val="bullet"/>
      <w:lvlText w:val="•"/>
      <w:lvlJc w:val="left"/>
      <w:pPr>
        <w:ind w:left="3199" w:hanging="360"/>
      </w:pPr>
      <w:rPr>
        <w:rFonts w:hint="default"/>
        <w:lang w:val="tr-TR" w:eastAsia="tr-TR" w:bidi="tr-TR"/>
      </w:rPr>
    </w:lvl>
    <w:lvl w:ilvl="4">
      <w:start w:val="0"/>
      <w:numFmt w:val="bullet"/>
      <w:lvlText w:val="•"/>
      <w:lvlJc w:val="left"/>
      <w:pPr>
        <w:ind w:left="3985" w:hanging="360"/>
      </w:pPr>
      <w:rPr>
        <w:rFonts w:hint="default"/>
        <w:lang w:val="tr-TR" w:eastAsia="tr-TR" w:bidi="tr-TR"/>
      </w:rPr>
    </w:lvl>
    <w:lvl w:ilvl="5">
      <w:start w:val="0"/>
      <w:numFmt w:val="bullet"/>
      <w:lvlText w:val="•"/>
      <w:lvlJc w:val="left"/>
      <w:pPr>
        <w:ind w:left="4772" w:hanging="360"/>
      </w:pPr>
      <w:rPr>
        <w:rFonts w:hint="default"/>
        <w:lang w:val="tr-TR" w:eastAsia="tr-TR" w:bidi="tr-TR"/>
      </w:rPr>
    </w:lvl>
    <w:lvl w:ilvl="6">
      <w:start w:val="0"/>
      <w:numFmt w:val="bullet"/>
      <w:lvlText w:val="•"/>
      <w:lvlJc w:val="left"/>
      <w:pPr>
        <w:ind w:left="5558" w:hanging="360"/>
      </w:pPr>
      <w:rPr>
        <w:rFonts w:hint="default"/>
        <w:lang w:val="tr-TR" w:eastAsia="tr-TR" w:bidi="tr-TR"/>
      </w:rPr>
    </w:lvl>
    <w:lvl w:ilvl="7">
      <w:start w:val="0"/>
      <w:numFmt w:val="bullet"/>
      <w:lvlText w:val="•"/>
      <w:lvlJc w:val="left"/>
      <w:pPr>
        <w:ind w:left="6344" w:hanging="360"/>
      </w:pPr>
      <w:rPr>
        <w:rFonts w:hint="default"/>
        <w:lang w:val="tr-TR" w:eastAsia="tr-TR" w:bidi="tr-TR"/>
      </w:rPr>
    </w:lvl>
    <w:lvl w:ilvl="8">
      <w:start w:val="0"/>
      <w:numFmt w:val="bullet"/>
      <w:lvlText w:val="•"/>
      <w:lvlJc w:val="left"/>
      <w:pPr>
        <w:ind w:left="7131" w:hanging="360"/>
      </w:pPr>
      <w:rPr>
        <w:rFonts w:hint="default"/>
        <w:lang w:val="tr-TR" w:eastAsia="tr-TR" w:bidi="tr-TR"/>
      </w:rPr>
    </w:lvl>
  </w:abstractNum>
  <w:abstractNum w:abstractNumId="3">
    <w:multiLevelType w:val="hybridMultilevel"/>
    <w:lvl w:ilvl="0">
      <w:start w:val="0"/>
      <w:numFmt w:val="bullet"/>
      <w:lvlText w:val="-"/>
      <w:lvlJc w:val="left"/>
      <w:pPr>
        <w:ind w:left="1308" w:hanging="360"/>
      </w:pPr>
      <w:rPr>
        <w:rFonts w:hint="default" w:ascii="Arial" w:hAnsi="Arial" w:eastAsia="Arial" w:cs="Arial"/>
        <w:w w:val="100"/>
        <w:sz w:val="22"/>
        <w:szCs w:val="22"/>
        <w:lang w:val="tr-TR" w:eastAsia="tr-TR" w:bidi="tr-TR"/>
      </w:rPr>
    </w:lvl>
    <w:lvl w:ilvl="1">
      <w:start w:val="0"/>
      <w:numFmt w:val="bullet"/>
      <w:lvlText w:val="•"/>
      <w:lvlJc w:val="left"/>
      <w:pPr>
        <w:ind w:left="2108" w:hanging="360"/>
      </w:pPr>
      <w:rPr>
        <w:rFonts w:hint="default"/>
        <w:lang w:val="tr-TR" w:eastAsia="tr-TR" w:bidi="tr-TR"/>
      </w:rPr>
    </w:lvl>
    <w:lvl w:ilvl="2">
      <w:start w:val="0"/>
      <w:numFmt w:val="bullet"/>
      <w:lvlText w:val="•"/>
      <w:lvlJc w:val="left"/>
      <w:pPr>
        <w:ind w:left="2917" w:hanging="360"/>
      </w:pPr>
      <w:rPr>
        <w:rFonts w:hint="default"/>
        <w:lang w:val="tr-TR" w:eastAsia="tr-TR" w:bidi="tr-TR"/>
      </w:rPr>
    </w:lvl>
    <w:lvl w:ilvl="3">
      <w:start w:val="0"/>
      <w:numFmt w:val="bullet"/>
      <w:lvlText w:val="•"/>
      <w:lvlJc w:val="left"/>
      <w:pPr>
        <w:ind w:left="3725" w:hanging="360"/>
      </w:pPr>
      <w:rPr>
        <w:rFonts w:hint="default"/>
        <w:lang w:val="tr-TR" w:eastAsia="tr-TR" w:bidi="tr-TR"/>
      </w:rPr>
    </w:lvl>
    <w:lvl w:ilvl="4">
      <w:start w:val="0"/>
      <w:numFmt w:val="bullet"/>
      <w:lvlText w:val="•"/>
      <w:lvlJc w:val="left"/>
      <w:pPr>
        <w:ind w:left="4534" w:hanging="360"/>
      </w:pPr>
      <w:rPr>
        <w:rFonts w:hint="default"/>
        <w:lang w:val="tr-TR" w:eastAsia="tr-TR" w:bidi="tr-TR"/>
      </w:rPr>
    </w:lvl>
    <w:lvl w:ilvl="5">
      <w:start w:val="0"/>
      <w:numFmt w:val="bullet"/>
      <w:lvlText w:val="•"/>
      <w:lvlJc w:val="left"/>
      <w:pPr>
        <w:ind w:left="5343" w:hanging="360"/>
      </w:pPr>
      <w:rPr>
        <w:rFonts w:hint="default"/>
        <w:lang w:val="tr-TR" w:eastAsia="tr-TR" w:bidi="tr-TR"/>
      </w:rPr>
    </w:lvl>
    <w:lvl w:ilvl="6">
      <w:start w:val="0"/>
      <w:numFmt w:val="bullet"/>
      <w:lvlText w:val="•"/>
      <w:lvlJc w:val="left"/>
      <w:pPr>
        <w:ind w:left="6151" w:hanging="360"/>
      </w:pPr>
      <w:rPr>
        <w:rFonts w:hint="default"/>
        <w:lang w:val="tr-TR" w:eastAsia="tr-TR" w:bidi="tr-TR"/>
      </w:rPr>
    </w:lvl>
    <w:lvl w:ilvl="7">
      <w:start w:val="0"/>
      <w:numFmt w:val="bullet"/>
      <w:lvlText w:val="•"/>
      <w:lvlJc w:val="left"/>
      <w:pPr>
        <w:ind w:left="6960" w:hanging="360"/>
      </w:pPr>
      <w:rPr>
        <w:rFonts w:hint="default"/>
        <w:lang w:val="tr-TR" w:eastAsia="tr-TR" w:bidi="tr-TR"/>
      </w:rPr>
    </w:lvl>
    <w:lvl w:ilvl="8">
      <w:start w:val="0"/>
      <w:numFmt w:val="bullet"/>
      <w:lvlText w:val="•"/>
      <w:lvlJc w:val="left"/>
      <w:pPr>
        <w:ind w:left="7769" w:hanging="360"/>
      </w:pPr>
      <w:rPr>
        <w:rFonts w:hint="default"/>
        <w:lang w:val="tr-TR" w:eastAsia="tr-TR" w:bidi="tr-TR"/>
      </w:rPr>
    </w:lvl>
  </w:abstractNum>
  <w:abstractNum w:abstractNumId="2">
    <w:multiLevelType w:val="hybridMultilevel"/>
    <w:lvl w:ilvl="0">
      <w:start w:val="0"/>
      <w:numFmt w:val="bullet"/>
      <w:lvlText w:val="-"/>
      <w:lvlJc w:val="left"/>
      <w:pPr>
        <w:ind w:left="1308" w:hanging="360"/>
      </w:pPr>
      <w:rPr>
        <w:rFonts w:hint="default"/>
        <w:w w:val="100"/>
        <w:lang w:val="tr-TR" w:eastAsia="tr-TR" w:bidi="tr-TR"/>
      </w:rPr>
    </w:lvl>
    <w:lvl w:ilvl="1">
      <w:start w:val="0"/>
      <w:numFmt w:val="bullet"/>
      <w:lvlText w:val="•"/>
      <w:lvlJc w:val="left"/>
      <w:pPr>
        <w:ind w:left="2108" w:hanging="360"/>
      </w:pPr>
      <w:rPr>
        <w:rFonts w:hint="default"/>
        <w:lang w:val="tr-TR" w:eastAsia="tr-TR" w:bidi="tr-TR"/>
      </w:rPr>
    </w:lvl>
    <w:lvl w:ilvl="2">
      <w:start w:val="0"/>
      <w:numFmt w:val="bullet"/>
      <w:lvlText w:val="•"/>
      <w:lvlJc w:val="left"/>
      <w:pPr>
        <w:ind w:left="2917" w:hanging="360"/>
      </w:pPr>
      <w:rPr>
        <w:rFonts w:hint="default"/>
        <w:lang w:val="tr-TR" w:eastAsia="tr-TR" w:bidi="tr-TR"/>
      </w:rPr>
    </w:lvl>
    <w:lvl w:ilvl="3">
      <w:start w:val="0"/>
      <w:numFmt w:val="bullet"/>
      <w:lvlText w:val="•"/>
      <w:lvlJc w:val="left"/>
      <w:pPr>
        <w:ind w:left="3725" w:hanging="360"/>
      </w:pPr>
      <w:rPr>
        <w:rFonts w:hint="default"/>
        <w:lang w:val="tr-TR" w:eastAsia="tr-TR" w:bidi="tr-TR"/>
      </w:rPr>
    </w:lvl>
    <w:lvl w:ilvl="4">
      <w:start w:val="0"/>
      <w:numFmt w:val="bullet"/>
      <w:lvlText w:val="•"/>
      <w:lvlJc w:val="left"/>
      <w:pPr>
        <w:ind w:left="4534" w:hanging="360"/>
      </w:pPr>
      <w:rPr>
        <w:rFonts w:hint="default"/>
        <w:lang w:val="tr-TR" w:eastAsia="tr-TR" w:bidi="tr-TR"/>
      </w:rPr>
    </w:lvl>
    <w:lvl w:ilvl="5">
      <w:start w:val="0"/>
      <w:numFmt w:val="bullet"/>
      <w:lvlText w:val="•"/>
      <w:lvlJc w:val="left"/>
      <w:pPr>
        <w:ind w:left="5343" w:hanging="360"/>
      </w:pPr>
      <w:rPr>
        <w:rFonts w:hint="default"/>
        <w:lang w:val="tr-TR" w:eastAsia="tr-TR" w:bidi="tr-TR"/>
      </w:rPr>
    </w:lvl>
    <w:lvl w:ilvl="6">
      <w:start w:val="0"/>
      <w:numFmt w:val="bullet"/>
      <w:lvlText w:val="•"/>
      <w:lvlJc w:val="left"/>
      <w:pPr>
        <w:ind w:left="6151" w:hanging="360"/>
      </w:pPr>
      <w:rPr>
        <w:rFonts w:hint="default"/>
        <w:lang w:val="tr-TR" w:eastAsia="tr-TR" w:bidi="tr-TR"/>
      </w:rPr>
    </w:lvl>
    <w:lvl w:ilvl="7">
      <w:start w:val="0"/>
      <w:numFmt w:val="bullet"/>
      <w:lvlText w:val="•"/>
      <w:lvlJc w:val="left"/>
      <w:pPr>
        <w:ind w:left="6960" w:hanging="360"/>
      </w:pPr>
      <w:rPr>
        <w:rFonts w:hint="default"/>
        <w:lang w:val="tr-TR" w:eastAsia="tr-TR" w:bidi="tr-TR"/>
      </w:rPr>
    </w:lvl>
    <w:lvl w:ilvl="8">
      <w:start w:val="0"/>
      <w:numFmt w:val="bullet"/>
      <w:lvlText w:val="•"/>
      <w:lvlJc w:val="left"/>
      <w:pPr>
        <w:ind w:left="7769" w:hanging="360"/>
      </w:pPr>
      <w:rPr>
        <w:rFonts w:hint="default"/>
        <w:lang w:val="tr-TR" w:eastAsia="tr-TR" w:bidi="tr-TR"/>
      </w:rPr>
    </w:lvl>
  </w:abstractNum>
  <w:abstractNum w:abstractNumId="1">
    <w:multiLevelType w:val="hybridMultilevel"/>
    <w:lvl w:ilvl="0">
      <w:start w:val="1"/>
      <w:numFmt w:val="decimal"/>
      <w:lvlText w:val="%1."/>
      <w:lvlJc w:val="left"/>
      <w:pPr>
        <w:ind w:left="773" w:hanging="186"/>
        <w:jc w:val="left"/>
      </w:pPr>
      <w:rPr>
        <w:rFonts w:hint="default" w:ascii="Arial" w:hAnsi="Arial" w:eastAsia="Arial" w:cs="Arial"/>
        <w:b/>
        <w:bCs/>
        <w:spacing w:val="-2"/>
        <w:w w:val="100"/>
        <w:sz w:val="20"/>
        <w:szCs w:val="20"/>
        <w:lang w:val="tr-TR" w:eastAsia="tr-TR" w:bidi="tr-TR"/>
      </w:rPr>
    </w:lvl>
    <w:lvl w:ilvl="1">
      <w:start w:val="1"/>
      <w:numFmt w:val="decimal"/>
      <w:lvlText w:val="%1.%2"/>
      <w:lvlJc w:val="left"/>
      <w:pPr>
        <w:ind w:left="960" w:hanging="372"/>
        <w:jc w:val="left"/>
      </w:pPr>
      <w:rPr>
        <w:rFonts w:hint="default" w:ascii="Arial" w:hAnsi="Arial" w:eastAsia="Arial" w:cs="Arial"/>
        <w:b/>
        <w:bCs/>
        <w:spacing w:val="-1"/>
        <w:w w:val="100"/>
        <w:sz w:val="22"/>
        <w:szCs w:val="22"/>
        <w:lang w:val="tr-TR" w:eastAsia="tr-TR" w:bidi="tr-TR"/>
      </w:rPr>
    </w:lvl>
    <w:lvl w:ilvl="2">
      <w:start w:val="1"/>
      <w:numFmt w:val="decimal"/>
      <w:lvlText w:val="%1.%2.%3."/>
      <w:lvlJc w:val="left"/>
      <w:pPr>
        <w:ind w:left="1200" w:hanging="612"/>
        <w:jc w:val="left"/>
      </w:pPr>
      <w:rPr>
        <w:rFonts w:hint="default" w:ascii="Arial" w:hAnsi="Arial" w:eastAsia="Arial" w:cs="Arial"/>
        <w:b/>
        <w:bCs/>
        <w:spacing w:val="-3"/>
        <w:w w:val="100"/>
        <w:sz w:val="22"/>
        <w:szCs w:val="22"/>
        <w:lang w:val="tr-TR" w:eastAsia="tr-TR" w:bidi="tr-TR"/>
      </w:rPr>
    </w:lvl>
    <w:lvl w:ilvl="3">
      <w:start w:val="0"/>
      <w:numFmt w:val="bullet"/>
      <w:lvlText w:val="•"/>
      <w:lvlJc w:val="left"/>
      <w:pPr>
        <w:ind w:left="2223" w:hanging="612"/>
      </w:pPr>
      <w:rPr>
        <w:rFonts w:hint="default"/>
        <w:lang w:val="tr-TR" w:eastAsia="tr-TR" w:bidi="tr-TR"/>
      </w:rPr>
    </w:lvl>
    <w:lvl w:ilvl="4">
      <w:start w:val="0"/>
      <w:numFmt w:val="bullet"/>
      <w:lvlText w:val="•"/>
      <w:lvlJc w:val="left"/>
      <w:pPr>
        <w:ind w:left="3246" w:hanging="612"/>
      </w:pPr>
      <w:rPr>
        <w:rFonts w:hint="default"/>
        <w:lang w:val="tr-TR" w:eastAsia="tr-TR" w:bidi="tr-TR"/>
      </w:rPr>
    </w:lvl>
    <w:lvl w:ilvl="5">
      <w:start w:val="0"/>
      <w:numFmt w:val="bullet"/>
      <w:lvlText w:val="•"/>
      <w:lvlJc w:val="left"/>
      <w:pPr>
        <w:ind w:left="4269" w:hanging="612"/>
      </w:pPr>
      <w:rPr>
        <w:rFonts w:hint="default"/>
        <w:lang w:val="tr-TR" w:eastAsia="tr-TR" w:bidi="tr-TR"/>
      </w:rPr>
    </w:lvl>
    <w:lvl w:ilvl="6">
      <w:start w:val="0"/>
      <w:numFmt w:val="bullet"/>
      <w:lvlText w:val="•"/>
      <w:lvlJc w:val="left"/>
      <w:pPr>
        <w:ind w:left="5293" w:hanging="612"/>
      </w:pPr>
      <w:rPr>
        <w:rFonts w:hint="default"/>
        <w:lang w:val="tr-TR" w:eastAsia="tr-TR" w:bidi="tr-TR"/>
      </w:rPr>
    </w:lvl>
    <w:lvl w:ilvl="7">
      <w:start w:val="0"/>
      <w:numFmt w:val="bullet"/>
      <w:lvlText w:val="•"/>
      <w:lvlJc w:val="left"/>
      <w:pPr>
        <w:ind w:left="6316" w:hanging="612"/>
      </w:pPr>
      <w:rPr>
        <w:rFonts w:hint="default"/>
        <w:lang w:val="tr-TR" w:eastAsia="tr-TR" w:bidi="tr-TR"/>
      </w:rPr>
    </w:lvl>
    <w:lvl w:ilvl="8">
      <w:start w:val="0"/>
      <w:numFmt w:val="bullet"/>
      <w:lvlText w:val="•"/>
      <w:lvlJc w:val="left"/>
      <w:pPr>
        <w:ind w:left="7339" w:hanging="612"/>
      </w:pPr>
      <w:rPr>
        <w:rFonts w:hint="default"/>
        <w:lang w:val="tr-TR" w:eastAsia="tr-TR" w:bidi="tr-TR"/>
      </w:rPr>
    </w:lvl>
  </w:abstractNum>
  <w:abstractNum w:abstractNumId="0">
    <w:multiLevelType w:val="hybridMultilevel"/>
    <w:lvl w:ilvl="0">
      <w:start w:val="1"/>
      <w:numFmt w:val="decimal"/>
      <w:lvlText w:val="%1."/>
      <w:lvlJc w:val="left"/>
      <w:pPr>
        <w:ind w:left="773" w:hanging="186"/>
        <w:jc w:val="left"/>
      </w:pPr>
      <w:rPr>
        <w:rFonts w:hint="default" w:ascii="Arial" w:hAnsi="Arial" w:eastAsia="Arial" w:cs="Arial"/>
        <w:spacing w:val="-2"/>
        <w:w w:val="100"/>
        <w:sz w:val="20"/>
        <w:szCs w:val="20"/>
        <w:lang w:val="tr-TR" w:eastAsia="tr-TR" w:bidi="tr-TR"/>
      </w:rPr>
    </w:lvl>
    <w:lvl w:ilvl="1">
      <w:start w:val="1"/>
      <w:numFmt w:val="decimal"/>
      <w:lvlText w:val="%1.%2"/>
      <w:lvlJc w:val="left"/>
      <w:pPr>
        <w:ind w:left="1178" w:hanging="370"/>
        <w:jc w:val="left"/>
      </w:pPr>
      <w:rPr>
        <w:rFonts w:hint="default" w:ascii="Arial" w:hAnsi="Arial" w:eastAsia="Arial" w:cs="Arial"/>
        <w:w w:val="100"/>
        <w:sz w:val="22"/>
        <w:szCs w:val="22"/>
        <w:lang w:val="tr-TR" w:eastAsia="tr-TR" w:bidi="tr-TR"/>
      </w:rPr>
    </w:lvl>
    <w:lvl w:ilvl="2">
      <w:start w:val="1"/>
      <w:numFmt w:val="decimal"/>
      <w:lvlText w:val="%1.%2.%3."/>
      <w:lvlJc w:val="left"/>
      <w:pPr>
        <w:ind w:left="1639" w:hanging="612"/>
        <w:jc w:val="left"/>
      </w:pPr>
      <w:rPr>
        <w:rFonts w:hint="default" w:ascii="Arial" w:hAnsi="Arial" w:eastAsia="Arial" w:cs="Arial"/>
        <w:spacing w:val="-3"/>
        <w:w w:val="100"/>
        <w:sz w:val="22"/>
        <w:szCs w:val="22"/>
        <w:lang w:val="tr-TR" w:eastAsia="tr-TR" w:bidi="tr-TR"/>
      </w:rPr>
    </w:lvl>
    <w:lvl w:ilvl="3">
      <w:start w:val="0"/>
      <w:numFmt w:val="bullet"/>
      <w:lvlText w:val="•"/>
      <w:lvlJc w:val="left"/>
      <w:pPr>
        <w:ind w:left="2608" w:hanging="612"/>
      </w:pPr>
      <w:rPr>
        <w:rFonts w:hint="default"/>
        <w:lang w:val="tr-TR" w:eastAsia="tr-TR" w:bidi="tr-TR"/>
      </w:rPr>
    </w:lvl>
    <w:lvl w:ilvl="4">
      <w:start w:val="0"/>
      <w:numFmt w:val="bullet"/>
      <w:lvlText w:val="•"/>
      <w:lvlJc w:val="left"/>
      <w:pPr>
        <w:ind w:left="3576" w:hanging="612"/>
      </w:pPr>
      <w:rPr>
        <w:rFonts w:hint="default"/>
        <w:lang w:val="tr-TR" w:eastAsia="tr-TR" w:bidi="tr-TR"/>
      </w:rPr>
    </w:lvl>
    <w:lvl w:ilvl="5">
      <w:start w:val="0"/>
      <w:numFmt w:val="bullet"/>
      <w:lvlText w:val="•"/>
      <w:lvlJc w:val="left"/>
      <w:pPr>
        <w:ind w:left="4544" w:hanging="612"/>
      </w:pPr>
      <w:rPr>
        <w:rFonts w:hint="default"/>
        <w:lang w:val="tr-TR" w:eastAsia="tr-TR" w:bidi="tr-TR"/>
      </w:rPr>
    </w:lvl>
    <w:lvl w:ilvl="6">
      <w:start w:val="0"/>
      <w:numFmt w:val="bullet"/>
      <w:lvlText w:val="•"/>
      <w:lvlJc w:val="left"/>
      <w:pPr>
        <w:ind w:left="5513" w:hanging="612"/>
      </w:pPr>
      <w:rPr>
        <w:rFonts w:hint="default"/>
        <w:lang w:val="tr-TR" w:eastAsia="tr-TR" w:bidi="tr-TR"/>
      </w:rPr>
    </w:lvl>
    <w:lvl w:ilvl="7">
      <w:start w:val="0"/>
      <w:numFmt w:val="bullet"/>
      <w:lvlText w:val="•"/>
      <w:lvlJc w:val="left"/>
      <w:pPr>
        <w:ind w:left="6481" w:hanging="612"/>
      </w:pPr>
      <w:rPr>
        <w:rFonts w:hint="default"/>
        <w:lang w:val="tr-TR" w:eastAsia="tr-TR" w:bidi="tr-TR"/>
      </w:rPr>
    </w:lvl>
    <w:lvl w:ilvl="8">
      <w:start w:val="0"/>
      <w:numFmt w:val="bullet"/>
      <w:lvlText w:val="•"/>
      <w:lvlJc w:val="left"/>
      <w:pPr>
        <w:ind w:left="7449" w:hanging="612"/>
      </w:pPr>
      <w:rPr>
        <w:rFonts w:hint="default"/>
        <w:lang w:val="tr-TR" w:eastAsia="tr-TR" w:bidi="tr-TR"/>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tr-TR" w:eastAsia="tr-TR" w:bidi="tr-TR"/>
    </w:rPr>
  </w:style>
  <w:style w:styleId="TOC1" w:type="paragraph">
    <w:name w:val="TOC 1"/>
    <w:basedOn w:val="Normal"/>
    <w:uiPriority w:val="1"/>
    <w:qFormat/>
    <w:pPr>
      <w:spacing w:before="227"/>
      <w:ind w:left="1641" w:right="300" w:hanging="1642"/>
      <w:jc w:val="right"/>
    </w:pPr>
    <w:rPr>
      <w:rFonts w:ascii="Arial" w:hAnsi="Arial" w:eastAsia="Arial" w:cs="Arial"/>
      <w:sz w:val="22"/>
      <w:szCs w:val="22"/>
      <w:lang w:val="tr-TR" w:eastAsia="tr-TR" w:bidi="tr-TR"/>
    </w:rPr>
  </w:style>
  <w:style w:styleId="TOC2" w:type="paragraph">
    <w:name w:val="TOC 2"/>
    <w:basedOn w:val="Normal"/>
    <w:uiPriority w:val="1"/>
    <w:qFormat/>
    <w:pPr>
      <w:spacing w:before="227"/>
      <w:ind w:left="773" w:hanging="488"/>
    </w:pPr>
    <w:rPr>
      <w:rFonts w:ascii="Arial" w:hAnsi="Arial" w:eastAsia="Arial" w:cs="Arial"/>
      <w:sz w:val="22"/>
      <w:szCs w:val="22"/>
      <w:lang w:val="tr-TR" w:eastAsia="tr-TR" w:bidi="tr-TR"/>
    </w:rPr>
  </w:style>
  <w:style w:styleId="TOC3" w:type="paragraph">
    <w:name w:val="TOC 3"/>
    <w:basedOn w:val="Normal"/>
    <w:uiPriority w:val="1"/>
    <w:qFormat/>
    <w:pPr>
      <w:spacing w:before="225"/>
      <w:ind w:left="1178" w:hanging="370"/>
    </w:pPr>
    <w:rPr>
      <w:rFonts w:ascii="Arial" w:hAnsi="Arial" w:eastAsia="Arial" w:cs="Arial"/>
      <w:sz w:val="22"/>
      <w:szCs w:val="22"/>
      <w:lang w:val="tr-TR" w:eastAsia="tr-TR" w:bidi="tr-TR"/>
    </w:rPr>
  </w:style>
  <w:style w:styleId="BodyText" w:type="paragraph">
    <w:name w:val="Body Text"/>
    <w:basedOn w:val="Normal"/>
    <w:uiPriority w:val="1"/>
    <w:qFormat/>
    <w:pPr/>
    <w:rPr>
      <w:rFonts w:ascii="Arial" w:hAnsi="Arial" w:eastAsia="Arial" w:cs="Arial"/>
      <w:sz w:val="22"/>
      <w:szCs w:val="22"/>
      <w:lang w:val="tr-TR" w:eastAsia="tr-TR" w:bidi="tr-TR"/>
    </w:rPr>
  </w:style>
  <w:style w:styleId="Heading1" w:type="paragraph">
    <w:name w:val="Heading 1"/>
    <w:basedOn w:val="Normal"/>
    <w:uiPriority w:val="1"/>
    <w:qFormat/>
    <w:pPr>
      <w:spacing w:before="208"/>
      <w:ind w:left="1604"/>
      <w:outlineLvl w:val="1"/>
    </w:pPr>
    <w:rPr>
      <w:rFonts w:ascii="Calibri" w:hAnsi="Calibri" w:eastAsia="Calibri" w:cs="Calibri"/>
      <w:b/>
      <w:bCs/>
      <w:sz w:val="32"/>
      <w:szCs w:val="32"/>
      <w:lang w:val="tr-TR" w:eastAsia="tr-TR" w:bidi="tr-TR"/>
    </w:rPr>
  </w:style>
  <w:style w:styleId="Heading2" w:type="paragraph">
    <w:name w:val="Heading 2"/>
    <w:basedOn w:val="Normal"/>
    <w:uiPriority w:val="1"/>
    <w:qFormat/>
    <w:pPr>
      <w:ind w:left="1202"/>
      <w:outlineLvl w:val="2"/>
    </w:pPr>
    <w:rPr>
      <w:rFonts w:ascii="Arial" w:hAnsi="Arial" w:eastAsia="Arial" w:cs="Arial"/>
      <w:b/>
      <w:bCs/>
      <w:sz w:val="22"/>
      <w:szCs w:val="22"/>
      <w:lang w:val="tr-TR" w:eastAsia="tr-TR" w:bidi="tr-TR"/>
    </w:rPr>
  </w:style>
  <w:style w:styleId="ListParagraph" w:type="paragraph">
    <w:name w:val="List Paragraph"/>
    <w:basedOn w:val="Normal"/>
    <w:uiPriority w:val="1"/>
    <w:qFormat/>
    <w:pPr>
      <w:spacing w:before="227"/>
      <w:ind w:left="1308" w:hanging="361"/>
    </w:pPr>
    <w:rPr>
      <w:rFonts w:ascii="Arial" w:hAnsi="Arial" w:eastAsia="Arial" w:cs="Arial"/>
      <w:lang w:val="tr-TR" w:eastAsia="tr-TR" w:bidi="tr-TR"/>
    </w:rPr>
  </w:style>
  <w:style w:styleId="TableParagraph" w:type="paragraph">
    <w:name w:val="Table Paragraph"/>
    <w:basedOn w:val="Normal"/>
    <w:uiPriority w:val="1"/>
    <w:qFormat/>
    <w:pPr/>
    <w:rPr>
      <w:rFonts w:ascii="Arial" w:hAnsi="Arial" w:eastAsia="Arial" w:cs="Arial"/>
      <w:lang w:val="tr-TR" w:eastAsia="tr-TR" w:bidi="tr-T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20" Type="http://schemas.openxmlformats.org/officeDocument/2006/relationships/image" Target="media/image12.pn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header" Target="header5.xml"/><Relationship Id="rId48" Type="http://schemas.openxmlformats.org/officeDocument/2006/relationships/header" Target="header6.xml"/><Relationship Id="rId49" Type="http://schemas.openxmlformats.org/officeDocument/2006/relationships/header" Target="header7.xml"/><Relationship Id="rId50" Type="http://schemas.openxmlformats.org/officeDocument/2006/relationships/header" Target="header8.xml"/><Relationship Id="rId51" Type="http://schemas.openxmlformats.org/officeDocument/2006/relationships/header" Target="header9.xml"/><Relationship Id="rId52" Type="http://schemas.openxmlformats.org/officeDocument/2006/relationships/image" Target="media/image39.jpeg"/><Relationship Id="rId53" Type="http://schemas.openxmlformats.org/officeDocument/2006/relationships/header" Target="header10.xml"/><Relationship Id="rId54" Type="http://schemas.openxmlformats.org/officeDocument/2006/relationships/header" Target="header11.xml"/><Relationship Id="rId55" Type="http://schemas.openxmlformats.org/officeDocument/2006/relationships/header" Target="header12.xml"/><Relationship Id="rId56" Type="http://schemas.openxmlformats.org/officeDocument/2006/relationships/header" Target="header13.xml"/><Relationship Id="rId57" Type="http://schemas.openxmlformats.org/officeDocument/2006/relationships/header" Target="header14.xml"/><Relationship Id="rId58" Type="http://schemas.openxmlformats.org/officeDocument/2006/relationships/header" Target="header15.xml"/><Relationship Id="rId59" Type="http://schemas.openxmlformats.org/officeDocument/2006/relationships/image" Target="media/image40.jpeg"/><Relationship Id="rId60" Type="http://schemas.openxmlformats.org/officeDocument/2006/relationships/header" Target="header16.xml"/><Relationship Id="rId61" Type="http://schemas.openxmlformats.org/officeDocument/2006/relationships/image" Target="media/image41.jpeg"/><Relationship Id="rId6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2019-07-22T07:25:23Z</dcterms:created>
  <dcterms:modified xsi:type="dcterms:W3CDTF">2019-07-22T07:25:23Z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2019-07-22T00:00:00Z</vt:filetime>
  </property>
</Properties>
</file>