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D5B" w:rsidRDefault="00E97D5B" w:rsidP="00E97D5B">
      <w:pPr>
        <w:pStyle w:val="GvdeMetni"/>
        <w:tabs>
          <w:tab w:val="left" w:pos="0"/>
          <w:tab w:val="left" w:pos="1418"/>
        </w:tabs>
        <w:rPr>
          <w:b/>
          <w:caps/>
          <w:sz w:val="28"/>
        </w:rPr>
      </w:pPr>
      <w:r>
        <w:rPr>
          <w:b/>
          <w:caps/>
          <w:sz w:val="28"/>
        </w:rPr>
        <w:t>T.C.</w:t>
      </w:r>
    </w:p>
    <w:p w:rsidR="00E97D5B" w:rsidRDefault="00E97D5B" w:rsidP="00E97D5B">
      <w:pPr>
        <w:pStyle w:val="GvdeMetni"/>
        <w:tabs>
          <w:tab w:val="left" w:pos="0"/>
          <w:tab w:val="left" w:pos="1418"/>
        </w:tabs>
        <w:rPr>
          <w:b/>
          <w:caps/>
          <w:sz w:val="28"/>
        </w:rPr>
      </w:pPr>
      <w:r>
        <w:rPr>
          <w:b/>
          <w:caps/>
          <w:sz w:val="28"/>
        </w:rPr>
        <w:t>PAMUKKALE ÜNİVERSİTESİ</w:t>
      </w:r>
    </w:p>
    <w:p w:rsidR="00E97D5B" w:rsidRDefault="00E97D5B" w:rsidP="00E97D5B">
      <w:pPr>
        <w:pStyle w:val="GvdeMetni"/>
        <w:tabs>
          <w:tab w:val="left" w:pos="0"/>
          <w:tab w:val="left" w:pos="1418"/>
        </w:tabs>
        <w:rPr>
          <w:b/>
          <w:caps/>
          <w:sz w:val="28"/>
        </w:rPr>
      </w:pPr>
      <w:r>
        <w:rPr>
          <w:b/>
          <w:caps/>
          <w:sz w:val="28"/>
        </w:rPr>
        <w:t>TIP FAKÜLTESİ</w:t>
      </w:r>
    </w:p>
    <w:p w:rsidR="00E97D5B" w:rsidRPr="00E97D5B" w:rsidRDefault="00E97D5B" w:rsidP="00E97D5B">
      <w:pPr>
        <w:jc w:val="center"/>
        <w:rPr>
          <w:b/>
          <w:sz w:val="28"/>
          <w:szCs w:val="28"/>
        </w:rPr>
      </w:pPr>
      <w:r w:rsidRPr="00E97D5B">
        <w:rPr>
          <w:b/>
          <w:sz w:val="28"/>
          <w:szCs w:val="28"/>
        </w:rPr>
        <w:t>ÇOCUK ve ERGEN RUH SAĞLIĞI</w:t>
      </w:r>
    </w:p>
    <w:p w:rsidR="00E97D5B" w:rsidRPr="00E97D5B" w:rsidRDefault="00E97D5B" w:rsidP="00E97D5B">
      <w:pPr>
        <w:jc w:val="center"/>
        <w:rPr>
          <w:rFonts w:eastAsia="Calibri"/>
          <w:b/>
          <w:sz w:val="28"/>
          <w:szCs w:val="28"/>
        </w:rPr>
      </w:pPr>
      <w:r w:rsidRPr="00E97D5B">
        <w:rPr>
          <w:rFonts w:eastAsia="Calibri"/>
          <w:b/>
          <w:sz w:val="28"/>
          <w:szCs w:val="28"/>
        </w:rPr>
        <w:t>ve HASTALIKLARI ANABİLİM DALI</w:t>
      </w:r>
    </w:p>
    <w:p w:rsidR="00E97D5B" w:rsidRDefault="00E97D5B" w:rsidP="00E97D5B">
      <w:pPr>
        <w:pStyle w:val="GvdeMetni"/>
        <w:jc w:val="both"/>
        <w:rPr>
          <w:b/>
          <w:caps/>
          <w:sz w:val="28"/>
        </w:rPr>
      </w:pPr>
    </w:p>
    <w:p w:rsidR="00E97D5B" w:rsidRDefault="00E97D5B" w:rsidP="00E97D5B">
      <w:pPr>
        <w:pStyle w:val="GvdeMetni"/>
        <w:jc w:val="both"/>
        <w:rPr>
          <w:b/>
          <w:caps/>
          <w:sz w:val="28"/>
        </w:rPr>
      </w:pPr>
    </w:p>
    <w:p w:rsidR="00E97D5B" w:rsidRDefault="00E97D5B" w:rsidP="00E97D5B">
      <w:pPr>
        <w:pStyle w:val="GvdeMetni"/>
        <w:jc w:val="both"/>
        <w:rPr>
          <w:b/>
          <w:caps/>
          <w:sz w:val="28"/>
        </w:rPr>
      </w:pPr>
    </w:p>
    <w:p w:rsidR="00E97D5B" w:rsidRDefault="00E97D5B" w:rsidP="00E97D5B">
      <w:pPr>
        <w:pStyle w:val="GvdeMetni"/>
        <w:jc w:val="both"/>
        <w:rPr>
          <w:b/>
          <w:caps/>
          <w:sz w:val="28"/>
        </w:rPr>
      </w:pPr>
    </w:p>
    <w:p w:rsidR="00E97D5B" w:rsidRDefault="00E97D5B" w:rsidP="00E97D5B">
      <w:pPr>
        <w:pStyle w:val="GvdeMetni"/>
        <w:jc w:val="both"/>
        <w:rPr>
          <w:b/>
          <w:caps/>
          <w:sz w:val="28"/>
        </w:rPr>
      </w:pPr>
    </w:p>
    <w:p w:rsidR="00E97D5B" w:rsidRDefault="00E97D5B" w:rsidP="00E97D5B">
      <w:pPr>
        <w:pStyle w:val="GvdeMetni"/>
        <w:jc w:val="both"/>
        <w:rPr>
          <w:b/>
          <w:caps/>
          <w:sz w:val="28"/>
        </w:rPr>
      </w:pPr>
    </w:p>
    <w:p w:rsidR="00E97D5B" w:rsidRDefault="00E97D5B" w:rsidP="00E97D5B">
      <w:pPr>
        <w:pStyle w:val="GvdeMetni"/>
        <w:jc w:val="both"/>
        <w:rPr>
          <w:b/>
          <w:caps/>
          <w:sz w:val="28"/>
        </w:rPr>
      </w:pPr>
    </w:p>
    <w:p w:rsidR="00E97D5B" w:rsidRDefault="00E97D5B" w:rsidP="00E97D5B">
      <w:pPr>
        <w:pStyle w:val="GvdeMetni"/>
        <w:jc w:val="both"/>
        <w:rPr>
          <w:b/>
          <w:caps/>
          <w:sz w:val="28"/>
        </w:rPr>
      </w:pPr>
    </w:p>
    <w:p w:rsidR="00E97D5B" w:rsidRPr="00E97D5B" w:rsidRDefault="00E97D5B" w:rsidP="00E97D5B">
      <w:pPr>
        <w:pStyle w:val="GvdeMetni"/>
        <w:spacing w:line="360" w:lineRule="auto"/>
        <w:rPr>
          <w:b/>
          <w:sz w:val="28"/>
          <w:szCs w:val="32"/>
        </w:rPr>
      </w:pPr>
      <w:r w:rsidRPr="00E97D5B">
        <w:rPr>
          <w:b/>
          <w:sz w:val="28"/>
          <w:szCs w:val="32"/>
        </w:rPr>
        <w:t>DİKKAT EKSİKLİĞİ HİPERAKTİVİTE</w:t>
      </w:r>
    </w:p>
    <w:p w:rsidR="00E97D5B" w:rsidRDefault="00E97D5B" w:rsidP="00E97D5B">
      <w:pPr>
        <w:pStyle w:val="GvdeMetni"/>
        <w:spacing w:line="360" w:lineRule="auto"/>
        <w:rPr>
          <w:caps/>
          <w:sz w:val="28"/>
        </w:rPr>
      </w:pPr>
      <w:r w:rsidRPr="00E97D5B">
        <w:rPr>
          <w:b/>
          <w:sz w:val="28"/>
          <w:szCs w:val="32"/>
        </w:rPr>
        <w:t>BOZUKLUĞUNDA MIR-124-3P, MIR-4447, MIR-107, MIR-LET-7D, MIR 5692B MIRNALARININ EKSPRESYON PROFİLLERİ</w:t>
      </w:r>
    </w:p>
    <w:p w:rsidR="00E97D5B" w:rsidRDefault="00E97D5B" w:rsidP="00E97D5B">
      <w:pPr>
        <w:pStyle w:val="GvdeMetni"/>
        <w:rPr>
          <w:caps/>
          <w:sz w:val="28"/>
        </w:rPr>
      </w:pPr>
    </w:p>
    <w:p w:rsidR="00E97D5B" w:rsidRDefault="00E97D5B" w:rsidP="00E97D5B">
      <w:pPr>
        <w:pStyle w:val="GvdeMetni"/>
        <w:rPr>
          <w:caps/>
          <w:sz w:val="28"/>
        </w:rPr>
      </w:pPr>
    </w:p>
    <w:p w:rsidR="00E97D5B" w:rsidRDefault="00E97D5B" w:rsidP="00E97D5B">
      <w:pPr>
        <w:pStyle w:val="GvdeMetni"/>
        <w:rPr>
          <w:caps/>
          <w:sz w:val="28"/>
        </w:rPr>
      </w:pPr>
    </w:p>
    <w:p w:rsidR="00E97D5B" w:rsidRDefault="00E97D5B" w:rsidP="00E97D5B">
      <w:pPr>
        <w:pStyle w:val="GvdeMetni"/>
        <w:rPr>
          <w:caps/>
          <w:sz w:val="28"/>
        </w:rPr>
      </w:pPr>
    </w:p>
    <w:p w:rsidR="00E97D5B" w:rsidRDefault="00E97D5B" w:rsidP="00E97D5B">
      <w:pPr>
        <w:pStyle w:val="GvdeMetni"/>
        <w:rPr>
          <w:caps/>
          <w:sz w:val="28"/>
        </w:rPr>
      </w:pPr>
    </w:p>
    <w:p w:rsidR="00E97D5B" w:rsidRDefault="00E97D5B" w:rsidP="00E97D5B">
      <w:pPr>
        <w:pStyle w:val="GvdeMetni"/>
        <w:rPr>
          <w:caps/>
          <w:sz w:val="28"/>
        </w:rPr>
      </w:pPr>
    </w:p>
    <w:p w:rsidR="00E97D5B" w:rsidRDefault="00E97D5B" w:rsidP="00E97D5B">
      <w:pPr>
        <w:pStyle w:val="GvdeMetni"/>
        <w:rPr>
          <w:caps/>
          <w:sz w:val="28"/>
        </w:rPr>
      </w:pPr>
    </w:p>
    <w:p w:rsidR="00E97D5B" w:rsidRDefault="00E97D5B" w:rsidP="00E97D5B">
      <w:pPr>
        <w:pStyle w:val="GvdeMetni"/>
        <w:rPr>
          <w:b/>
          <w:caps/>
          <w:sz w:val="28"/>
        </w:rPr>
      </w:pPr>
    </w:p>
    <w:p w:rsidR="00E97D5B" w:rsidRDefault="00E97D5B" w:rsidP="00E97D5B">
      <w:pPr>
        <w:pStyle w:val="GvdeMetni"/>
        <w:rPr>
          <w:b/>
          <w:caps/>
          <w:sz w:val="28"/>
        </w:rPr>
      </w:pPr>
      <w:r>
        <w:rPr>
          <w:b/>
          <w:caps/>
          <w:sz w:val="28"/>
        </w:rPr>
        <w:t>UZMANLIK TEZİ</w:t>
      </w:r>
    </w:p>
    <w:p w:rsidR="00E97D5B" w:rsidRPr="00E97D5B" w:rsidRDefault="00E97D5B" w:rsidP="00E97D5B">
      <w:pPr>
        <w:pStyle w:val="GvdeMetni"/>
        <w:rPr>
          <w:b/>
          <w:caps/>
          <w:sz w:val="28"/>
        </w:rPr>
      </w:pPr>
    </w:p>
    <w:p w:rsidR="00E97D5B" w:rsidRPr="00E97D5B" w:rsidRDefault="00E97D5B" w:rsidP="00E97D5B">
      <w:pPr>
        <w:jc w:val="center"/>
        <w:rPr>
          <w:b/>
          <w:caps/>
          <w:sz w:val="28"/>
          <w:szCs w:val="28"/>
        </w:rPr>
      </w:pPr>
      <w:r w:rsidRPr="00E97D5B">
        <w:rPr>
          <w:b/>
          <w:caps/>
          <w:sz w:val="28"/>
          <w:szCs w:val="28"/>
        </w:rPr>
        <w:t>DR. sezai üstün aydın</w:t>
      </w:r>
    </w:p>
    <w:p w:rsidR="00E97D5B" w:rsidRDefault="00E97D5B" w:rsidP="00E97D5B">
      <w:pPr>
        <w:pStyle w:val="GvdeMetni"/>
        <w:rPr>
          <w:b/>
          <w:caps/>
          <w:sz w:val="28"/>
        </w:rPr>
      </w:pPr>
    </w:p>
    <w:p w:rsidR="001638DA" w:rsidRDefault="001638DA" w:rsidP="00E97D5B">
      <w:pPr>
        <w:pStyle w:val="GvdeMetni"/>
        <w:rPr>
          <w:b/>
          <w:caps/>
          <w:sz w:val="28"/>
        </w:rPr>
      </w:pPr>
    </w:p>
    <w:p w:rsidR="00E97D5B" w:rsidRPr="00E97D5B" w:rsidRDefault="00E97D5B" w:rsidP="00E97D5B">
      <w:pPr>
        <w:jc w:val="center"/>
        <w:rPr>
          <w:caps/>
          <w:sz w:val="28"/>
          <w:szCs w:val="28"/>
        </w:rPr>
      </w:pPr>
      <w:r w:rsidRPr="00E97D5B">
        <w:rPr>
          <w:caps/>
          <w:sz w:val="28"/>
          <w:szCs w:val="28"/>
        </w:rPr>
        <w:t>TEZ DANIŞMANI</w:t>
      </w:r>
    </w:p>
    <w:p w:rsidR="00E97D5B" w:rsidRPr="00E97D5B" w:rsidRDefault="00E97D5B" w:rsidP="00E97D5B">
      <w:pPr>
        <w:jc w:val="center"/>
        <w:rPr>
          <w:caps/>
          <w:sz w:val="28"/>
          <w:szCs w:val="28"/>
        </w:rPr>
      </w:pPr>
      <w:r w:rsidRPr="00E97D5B">
        <w:rPr>
          <w:caps/>
          <w:sz w:val="28"/>
          <w:szCs w:val="28"/>
        </w:rPr>
        <w:t>YRD. DOÇ. DR. bürge kabukçu BAŞAY</w:t>
      </w:r>
    </w:p>
    <w:p w:rsidR="00E97D5B" w:rsidRDefault="00E97D5B" w:rsidP="00E97D5B">
      <w:pPr>
        <w:pStyle w:val="GvdeMetni"/>
        <w:rPr>
          <w:caps/>
          <w:sz w:val="28"/>
        </w:rPr>
      </w:pPr>
    </w:p>
    <w:p w:rsidR="00E97D5B" w:rsidRDefault="00E97D5B" w:rsidP="00E97D5B">
      <w:pPr>
        <w:pStyle w:val="GvdeMetni"/>
        <w:rPr>
          <w:b/>
          <w:caps/>
          <w:sz w:val="28"/>
        </w:rPr>
      </w:pPr>
    </w:p>
    <w:p w:rsidR="00E97D5B" w:rsidRDefault="00E97D5B" w:rsidP="00E97D5B">
      <w:pPr>
        <w:pStyle w:val="GvdeMetni"/>
        <w:rPr>
          <w:b/>
          <w:caps/>
          <w:sz w:val="28"/>
        </w:rPr>
      </w:pPr>
    </w:p>
    <w:p w:rsidR="00E97D5B" w:rsidRDefault="00E97D5B" w:rsidP="00E97D5B">
      <w:pPr>
        <w:pStyle w:val="GvdeMetni"/>
        <w:rPr>
          <w:b/>
          <w:caps/>
          <w:sz w:val="28"/>
        </w:rPr>
      </w:pPr>
    </w:p>
    <w:p w:rsidR="00E97D5B" w:rsidRDefault="00E97D5B" w:rsidP="00E97D5B">
      <w:pPr>
        <w:pStyle w:val="GvdeMetni"/>
        <w:rPr>
          <w:b/>
          <w:caps/>
          <w:sz w:val="28"/>
        </w:rPr>
      </w:pPr>
    </w:p>
    <w:p w:rsidR="00E97D5B" w:rsidRDefault="00E97D5B" w:rsidP="00E97D5B">
      <w:pPr>
        <w:pStyle w:val="GvdeMetni"/>
        <w:rPr>
          <w:b/>
          <w:caps/>
          <w:sz w:val="28"/>
        </w:rPr>
      </w:pPr>
    </w:p>
    <w:p w:rsidR="001638DA" w:rsidRDefault="001638DA" w:rsidP="00E97D5B">
      <w:pPr>
        <w:pStyle w:val="GvdeMetni"/>
        <w:rPr>
          <w:b/>
          <w:caps/>
          <w:sz w:val="28"/>
        </w:rPr>
      </w:pPr>
    </w:p>
    <w:p w:rsidR="001638DA" w:rsidRDefault="001638DA" w:rsidP="00E97D5B">
      <w:pPr>
        <w:pStyle w:val="GvdeMetni"/>
        <w:rPr>
          <w:b/>
          <w:caps/>
          <w:sz w:val="28"/>
        </w:rPr>
      </w:pPr>
    </w:p>
    <w:p w:rsidR="00E97D5B" w:rsidRDefault="00E97D5B" w:rsidP="001638DA">
      <w:pPr>
        <w:pStyle w:val="GvdeMetni"/>
        <w:rPr>
          <w:b/>
          <w:caps/>
          <w:sz w:val="28"/>
        </w:rPr>
      </w:pPr>
      <w:smartTag w:uri="urn:schemas-microsoft-com:office:smarttags" w:element="PersonName">
        <w:r>
          <w:rPr>
            <w:b/>
            <w:caps/>
            <w:sz w:val="28"/>
          </w:rPr>
          <w:t>DENİZ</w:t>
        </w:r>
      </w:smartTag>
      <w:r>
        <w:rPr>
          <w:b/>
          <w:caps/>
          <w:sz w:val="28"/>
        </w:rPr>
        <w:t>Lİ - 2017</w:t>
      </w:r>
    </w:p>
    <w:p w:rsidR="00E97D5B" w:rsidRDefault="00E97D5B" w:rsidP="00E97D5B">
      <w:pPr>
        <w:pStyle w:val="GvdeMetni"/>
        <w:tabs>
          <w:tab w:val="left" w:pos="0"/>
          <w:tab w:val="left" w:pos="1418"/>
        </w:tabs>
        <w:rPr>
          <w:b/>
          <w:caps/>
          <w:sz w:val="28"/>
        </w:rPr>
      </w:pPr>
      <w:r>
        <w:rPr>
          <w:b/>
          <w:caps/>
          <w:sz w:val="28"/>
        </w:rPr>
        <w:lastRenderedPageBreak/>
        <w:t>T.C.</w:t>
      </w:r>
    </w:p>
    <w:p w:rsidR="00E97D5B" w:rsidRDefault="00E97D5B" w:rsidP="00E97D5B">
      <w:pPr>
        <w:pStyle w:val="GvdeMetni"/>
        <w:tabs>
          <w:tab w:val="left" w:pos="0"/>
          <w:tab w:val="left" w:pos="1418"/>
        </w:tabs>
        <w:rPr>
          <w:b/>
          <w:caps/>
          <w:sz w:val="28"/>
        </w:rPr>
      </w:pPr>
      <w:r>
        <w:rPr>
          <w:b/>
          <w:caps/>
          <w:sz w:val="28"/>
        </w:rPr>
        <w:t>PAMUKKALE ÜNİVERSİTESİ</w:t>
      </w:r>
    </w:p>
    <w:p w:rsidR="00E97D5B" w:rsidRDefault="00E97D5B" w:rsidP="00E97D5B">
      <w:pPr>
        <w:pStyle w:val="GvdeMetni"/>
        <w:tabs>
          <w:tab w:val="left" w:pos="0"/>
          <w:tab w:val="left" w:pos="1418"/>
        </w:tabs>
        <w:rPr>
          <w:b/>
          <w:caps/>
          <w:sz w:val="28"/>
        </w:rPr>
      </w:pPr>
      <w:r>
        <w:rPr>
          <w:b/>
          <w:caps/>
          <w:sz w:val="28"/>
        </w:rPr>
        <w:t>TIP FAKÜLTESİ</w:t>
      </w:r>
    </w:p>
    <w:p w:rsidR="00E97D5B" w:rsidRPr="00E97D5B" w:rsidRDefault="00E97D5B" w:rsidP="00E97D5B">
      <w:pPr>
        <w:jc w:val="center"/>
        <w:rPr>
          <w:b/>
          <w:sz w:val="28"/>
          <w:szCs w:val="28"/>
        </w:rPr>
      </w:pPr>
      <w:r w:rsidRPr="00E97D5B">
        <w:rPr>
          <w:b/>
          <w:sz w:val="28"/>
          <w:szCs w:val="28"/>
        </w:rPr>
        <w:t>ÇOCUK ve ERGEN RUH SAĞLIĞI</w:t>
      </w:r>
    </w:p>
    <w:p w:rsidR="00E97D5B" w:rsidRPr="00E97D5B" w:rsidRDefault="00E97D5B" w:rsidP="00E97D5B">
      <w:pPr>
        <w:jc w:val="center"/>
        <w:rPr>
          <w:rFonts w:eastAsia="Calibri"/>
          <w:b/>
          <w:sz w:val="28"/>
          <w:szCs w:val="28"/>
        </w:rPr>
      </w:pPr>
      <w:r w:rsidRPr="00E97D5B">
        <w:rPr>
          <w:rFonts w:eastAsia="Calibri"/>
          <w:b/>
          <w:sz w:val="28"/>
          <w:szCs w:val="28"/>
        </w:rPr>
        <w:t>ve HASTALIKLARI ANABİLİM DALI</w:t>
      </w:r>
    </w:p>
    <w:p w:rsidR="00E97D5B" w:rsidRDefault="00E97D5B" w:rsidP="00E97D5B">
      <w:pPr>
        <w:pStyle w:val="GvdeMetni"/>
        <w:jc w:val="both"/>
        <w:rPr>
          <w:b/>
          <w:caps/>
          <w:sz w:val="28"/>
        </w:rPr>
      </w:pPr>
    </w:p>
    <w:p w:rsidR="00E97D5B" w:rsidRDefault="00E97D5B" w:rsidP="00E97D5B">
      <w:pPr>
        <w:pStyle w:val="GvdeMetni"/>
        <w:jc w:val="both"/>
        <w:rPr>
          <w:b/>
          <w:caps/>
          <w:sz w:val="28"/>
        </w:rPr>
      </w:pPr>
    </w:p>
    <w:p w:rsidR="00E97D5B" w:rsidRDefault="00E97D5B" w:rsidP="00E97D5B">
      <w:pPr>
        <w:pStyle w:val="GvdeMetni"/>
        <w:jc w:val="both"/>
        <w:rPr>
          <w:b/>
          <w:caps/>
          <w:sz w:val="28"/>
        </w:rPr>
      </w:pPr>
    </w:p>
    <w:p w:rsidR="00E97D5B" w:rsidRDefault="00E97D5B" w:rsidP="00E97D5B">
      <w:pPr>
        <w:pStyle w:val="GvdeMetni"/>
        <w:jc w:val="both"/>
        <w:rPr>
          <w:b/>
          <w:caps/>
          <w:sz w:val="28"/>
        </w:rPr>
      </w:pPr>
    </w:p>
    <w:p w:rsidR="00E97D5B" w:rsidRDefault="00E97D5B" w:rsidP="00E97D5B">
      <w:pPr>
        <w:pStyle w:val="GvdeMetni"/>
        <w:jc w:val="both"/>
        <w:rPr>
          <w:b/>
          <w:caps/>
          <w:sz w:val="28"/>
        </w:rPr>
      </w:pPr>
    </w:p>
    <w:p w:rsidR="00E97D5B" w:rsidRDefault="00E97D5B" w:rsidP="00E97D5B">
      <w:pPr>
        <w:pStyle w:val="GvdeMetni"/>
        <w:jc w:val="both"/>
        <w:rPr>
          <w:b/>
          <w:caps/>
          <w:sz w:val="28"/>
        </w:rPr>
      </w:pPr>
    </w:p>
    <w:p w:rsidR="00E97D5B" w:rsidRDefault="00E97D5B" w:rsidP="00E97D5B">
      <w:pPr>
        <w:pStyle w:val="GvdeMetni"/>
        <w:jc w:val="both"/>
        <w:rPr>
          <w:b/>
          <w:caps/>
          <w:sz w:val="28"/>
        </w:rPr>
      </w:pPr>
    </w:p>
    <w:p w:rsidR="00E97D5B" w:rsidRDefault="00E97D5B" w:rsidP="00E97D5B">
      <w:pPr>
        <w:pStyle w:val="GvdeMetni"/>
        <w:jc w:val="both"/>
        <w:rPr>
          <w:b/>
          <w:caps/>
          <w:sz w:val="28"/>
        </w:rPr>
      </w:pPr>
    </w:p>
    <w:p w:rsidR="00E97D5B" w:rsidRPr="00E97D5B" w:rsidRDefault="00E97D5B" w:rsidP="00E97D5B">
      <w:pPr>
        <w:pStyle w:val="GvdeMetni"/>
        <w:spacing w:line="360" w:lineRule="auto"/>
        <w:rPr>
          <w:b/>
          <w:sz w:val="28"/>
          <w:szCs w:val="32"/>
        </w:rPr>
      </w:pPr>
      <w:r w:rsidRPr="00E97D5B">
        <w:rPr>
          <w:b/>
          <w:sz w:val="28"/>
          <w:szCs w:val="32"/>
        </w:rPr>
        <w:t>DİKKAT EKSİKLİĞİ HİPERAKTİVİTE</w:t>
      </w:r>
    </w:p>
    <w:p w:rsidR="00E97D5B" w:rsidRDefault="00E97D5B" w:rsidP="00E97D5B">
      <w:pPr>
        <w:pStyle w:val="GvdeMetni"/>
        <w:spacing w:line="360" w:lineRule="auto"/>
        <w:rPr>
          <w:caps/>
          <w:sz w:val="28"/>
        </w:rPr>
      </w:pPr>
      <w:r w:rsidRPr="00E97D5B">
        <w:rPr>
          <w:b/>
          <w:sz w:val="28"/>
          <w:szCs w:val="32"/>
        </w:rPr>
        <w:t>BOZUKLUĞUNDA MIR-124-3P, MIR-4447, MIR-107, MIR-LET-7D, MIR 5692B MIRNALARININ EKSPRESYON PROFİLLERİ</w:t>
      </w:r>
    </w:p>
    <w:p w:rsidR="00E97D5B" w:rsidRDefault="00E97D5B" w:rsidP="00E97D5B">
      <w:pPr>
        <w:pStyle w:val="GvdeMetni"/>
        <w:rPr>
          <w:caps/>
          <w:sz w:val="28"/>
        </w:rPr>
      </w:pPr>
    </w:p>
    <w:p w:rsidR="00E97D5B" w:rsidRDefault="00E97D5B" w:rsidP="00E97D5B">
      <w:pPr>
        <w:pStyle w:val="GvdeMetni"/>
        <w:rPr>
          <w:caps/>
          <w:sz w:val="28"/>
        </w:rPr>
      </w:pPr>
    </w:p>
    <w:p w:rsidR="00E97D5B" w:rsidRDefault="00E97D5B" w:rsidP="00E97D5B">
      <w:pPr>
        <w:pStyle w:val="GvdeMetni"/>
        <w:rPr>
          <w:caps/>
          <w:sz w:val="28"/>
        </w:rPr>
      </w:pPr>
    </w:p>
    <w:p w:rsidR="00E97D5B" w:rsidRDefault="00E97D5B" w:rsidP="00E97D5B">
      <w:pPr>
        <w:pStyle w:val="GvdeMetni"/>
        <w:rPr>
          <w:caps/>
          <w:sz w:val="28"/>
        </w:rPr>
      </w:pPr>
    </w:p>
    <w:p w:rsidR="00E97D5B" w:rsidRDefault="00E97D5B" w:rsidP="00E97D5B">
      <w:pPr>
        <w:pStyle w:val="GvdeMetni"/>
        <w:rPr>
          <w:caps/>
          <w:sz w:val="28"/>
        </w:rPr>
      </w:pPr>
    </w:p>
    <w:p w:rsidR="00E97D5B" w:rsidRDefault="00E97D5B" w:rsidP="00E97D5B">
      <w:pPr>
        <w:pStyle w:val="GvdeMetni"/>
        <w:rPr>
          <w:caps/>
          <w:sz w:val="28"/>
        </w:rPr>
      </w:pPr>
    </w:p>
    <w:p w:rsidR="00E97D5B" w:rsidRDefault="00E97D5B" w:rsidP="00E97D5B">
      <w:pPr>
        <w:pStyle w:val="GvdeMetni"/>
        <w:rPr>
          <w:caps/>
          <w:sz w:val="28"/>
        </w:rPr>
      </w:pPr>
    </w:p>
    <w:p w:rsidR="00E97D5B" w:rsidRDefault="00E97D5B" w:rsidP="00E97D5B">
      <w:pPr>
        <w:pStyle w:val="GvdeMetni"/>
        <w:rPr>
          <w:b/>
          <w:caps/>
          <w:sz w:val="28"/>
        </w:rPr>
      </w:pPr>
    </w:p>
    <w:p w:rsidR="00E97D5B" w:rsidRDefault="00E97D5B" w:rsidP="00E97D5B">
      <w:pPr>
        <w:pStyle w:val="GvdeMetni"/>
        <w:rPr>
          <w:b/>
          <w:caps/>
          <w:sz w:val="28"/>
        </w:rPr>
      </w:pPr>
      <w:r>
        <w:rPr>
          <w:b/>
          <w:caps/>
          <w:sz w:val="28"/>
        </w:rPr>
        <w:t>UZMANLIK TEZİ</w:t>
      </w:r>
    </w:p>
    <w:p w:rsidR="00E97D5B" w:rsidRDefault="00E97D5B" w:rsidP="00E97D5B">
      <w:pPr>
        <w:pStyle w:val="GvdeMetni"/>
        <w:rPr>
          <w:b/>
          <w:caps/>
          <w:sz w:val="28"/>
        </w:rPr>
      </w:pPr>
    </w:p>
    <w:p w:rsidR="00E97D5B" w:rsidRPr="00E97D5B" w:rsidRDefault="00E97D5B" w:rsidP="00E97D5B">
      <w:pPr>
        <w:jc w:val="center"/>
        <w:rPr>
          <w:b/>
          <w:caps/>
          <w:sz w:val="28"/>
          <w:szCs w:val="28"/>
        </w:rPr>
      </w:pPr>
      <w:r w:rsidRPr="00E97D5B">
        <w:rPr>
          <w:b/>
          <w:caps/>
          <w:sz w:val="28"/>
          <w:szCs w:val="28"/>
        </w:rPr>
        <w:t>DR. sezai üstün aydın</w:t>
      </w:r>
    </w:p>
    <w:p w:rsidR="00E97D5B" w:rsidRDefault="00E97D5B" w:rsidP="00E97D5B">
      <w:pPr>
        <w:pStyle w:val="GvdeMetni"/>
        <w:rPr>
          <w:b/>
          <w:caps/>
          <w:sz w:val="28"/>
        </w:rPr>
      </w:pPr>
    </w:p>
    <w:p w:rsidR="001638DA" w:rsidRDefault="001638DA" w:rsidP="00E97D5B">
      <w:pPr>
        <w:pStyle w:val="GvdeMetni"/>
        <w:rPr>
          <w:b/>
          <w:caps/>
          <w:sz w:val="28"/>
        </w:rPr>
      </w:pPr>
    </w:p>
    <w:p w:rsidR="00E97D5B" w:rsidRPr="00E97D5B" w:rsidRDefault="00E97D5B" w:rsidP="00E97D5B">
      <w:pPr>
        <w:jc w:val="center"/>
        <w:rPr>
          <w:caps/>
          <w:sz w:val="28"/>
          <w:szCs w:val="28"/>
        </w:rPr>
      </w:pPr>
      <w:r w:rsidRPr="00E97D5B">
        <w:rPr>
          <w:caps/>
          <w:sz w:val="28"/>
          <w:szCs w:val="28"/>
        </w:rPr>
        <w:t>TEZ DANIŞMANI</w:t>
      </w:r>
    </w:p>
    <w:p w:rsidR="00E97D5B" w:rsidRPr="00E97D5B" w:rsidRDefault="00E97D5B" w:rsidP="00E97D5B">
      <w:pPr>
        <w:jc w:val="center"/>
        <w:rPr>
          <w:caps/>
          <w:sz w:val="28"/>
          <w:szCs w:val="28"/>
        </w:rPr>
      </w:pPr>
      <w:r w:rsidRPr="00E97D5B">
        <w:rPr>
          <w:caps/>
          <w:sz w:val="28"/>
          <w:szCs w:val="28"/>
        </w:rPr>
        <w:t>YRD. DOÇ. DR. bürge kabukçu BAŞAY</w:t>
      </w:r>
    </w:p>
    <w:p w:rsidR="00CC487D" w:rsidRPr="00E97D5B" w:rsidRDefault="00CC487D" w:rsidP="00CF4822">
      <w:pPr>
        <w:spacing w:line="360" w:lineRule="auto"/>
        <w:jc w:val="center"/>
        <w:rPr>
          <w:b/>
          <w:caps/>
          <w:sz w:val="28"/>
          <w:szCs w:val="28"/>
        </w:rPr>
      </w:pPr>
    </w:p>
    <w:p w:rsidR="00CC487D" w:rsidRPr="00E97D5B" w:rsidRDefault="00CC487D" w:rsidP="00CF4822">
      <w:pPr>
        <w:spacing w:line="360" w:lineRule="auto"/>
        <w:jc w:val="center"/>
        <w:rPr>
          <w:b/>
          <w:caps/>
          <w:sz w:val="28"/>
          <w:szCs w:val="28"/>
        </w:rPr>
      </w:pPr>
    </w:p>
    <w:p w:rsidR="00CC487D" w:rsidRPr="00E97D5B" w:rsidRDefault="00CC487D" w:rsidP="00E97D5B">
      <w:pPr>
        <w:jc w:val="center"/>
        <w:rPr>
          <w:sz w:val="32"/>
          <w:szCs w:val="32"/>
        </w:rPr>
      </w:pPr>
      <w:r w:rsidRPr="00E97D5B">
        <w:rPr>
          <w:sz w:val="32"/>
          <w:szCs w:val="32"/>
        </w:rPr>
        <w:t xml:space="preserve">Bu çalışma Pamukkale Üniversitesi Bilimsel Araştırma Projeleri Koordinasyon Birimi’nin </w:t>
      </w:r>
      <w:r w:rsidR="00B81C44" w:rsidRPr="00E97D5B">
        <w:rPr>
          <w:sz w:val="32"/>
          <w:szCs w:val="32"/>
        </w:rPr>
        <w:t>2016TIPF024</w:t>
      </w:r>
      <w:r w:rsidRPr="00E97D5B">
        <w:rPr>
          <w:sz w:val="32"/>
          <w:szCs w:val="32"/>
        </w:rPr>
        <w:t xml:space="preserve">  nolu kararı ile desteklenmiştir.</w:t>
      </w:r>
    </w:p>
    <w:p w:rsidR="00CC487D" w:rsidRPr="00E97D5B" w:rsidRDefault="00CC487D" w:rsidP="00CF4822">
      <w:pPr>
        <w:spacing w:line="360" w:lineRule="auto"/>
        <w:jc w:val="center"/>
        <w:rPr>
          <w:b/>
          <w:caps/>
          <w:sz w:val="28"/>
          <w:szCs w:val="28"/>
        </w:rPr>
      </w:pPr>
    </w:p>
    <w:p w:rsidR="00E97D5B" w:rsidRPr="007F158F" w:rsidRDefault="00CC487D" w:rsidP="00CC487D">
      <w:pPr>
        <w:spacing w:line="360" w:lineRule="auto"/>
        <w:jc w:val="center"/>
        <w:rPr>
          <w:b/>
          <w:caps/>
          <w:sz w:val="28"/>
          <w:szCs w:val="28"/>
        </w:rPr>
        <w:sectPr w:rsidR="00E97D5B" w:rsidRPr="007F158F" w:rsidSect="00824250">
          <w:footerReference w:type="even" r:id="rId8"/>
          <w:pgSz w:w="11906" w:h="16838" w:code="9"/>
          <w:pgMar w:top="1701" w:right="1418" w:bottom="1701" w:left="2268" w:header="709" w:footer="709" w:gutter="0"/>
          <w:pgNumType w:fmt="upperRoman" w:start="1"/>
          <w:cols w:space="708"/>
          <w:titlePg/>
          <w:docGrid w:linePitch="360"/>
        </w:sectPr>
      </w:pPr>
      <w:r w:rsidRPr="00E97D5B">
        <w:rPr>
          <w:b/>
          <w:caps/>
          <w:sz w:val="28"/>
          <w:szCs w:val="28"/>
        </w:rPr>
        <w:t>DENİZLİ – 2017</w:t>
      </w:r>
    </w:p>
    <w:p w:rsidR="00CC487D" w:rsidRDefault="009815ED" w:rsidP="00084C8B">
      <w:pPr>
        <w:spacing w:line="360" w:lineRule="auto"/>
        <w:jc w:val="both"/>
        <w:rPr>
          <w:rFonts w:ascii="Arial" w:hAnsi="Arial" w:cs="Arial"/>
          <w:noProof/>
          <w:sz w:val="22"/>
          <w:szCs w:val="22"/>
        </w:rPr>
      </w:pPr>
      <w:r>
        <w:rPr>
          <w:rFonts w:ascii="Arial" w:hAnsi="Arial" w:cs="Arial"/>
          <w:noProof/>
          <w:sz w:val="22"/>
          <w:szCs w:val="22"/>
        </w:rPr>
        <w:lastRenderedPageBreak/>
        <w:drawing>
          <wp:anchor distT="0" distB="0" distL="114300" distR="114300" simplePos="0" relativeHeight="251658240" behindDoc="1" locked="0" layoutInCell="1" allowOverlap="1">
            <wp:simplePos x="0" y="0"/>
            <wp:positionH relativeFrom="column">
              <wp:posOffset>-659130</wp:posOffset>
            </wp:positionH>
            <wp:positionV relativeFrom="paragraph">
              <wp:posOffset>214630</wp:posOffset>
            </wp:positionV>
            <wp:extent cx="6107430" cy="8399780"/>
            <wp:effectExtent l="0" t="0" r="0" b="0"/>
            <wp:wrapTight wrapText="bothSides">
              <wp:wrapPolygon edited="0">
                <wp:start x="0" y="0"/>
                <wp:lineTo x="0" y="21554"/>
                <wp:lineTo x="21560" y="21554"/>
                <wp:lineTo x="21560"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tun.png"/>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107430" cy="8399780"/>
                    </a:xfrm>
                    <a:prstGeom prst="rect">
                      <a:avLst/>
                    </a:prstGeom>
                  </pic:spPr>
                </pic:pic>
              </a:graphicData>
            </a:graphic>
            <wp14:sizeRelH relativeFrom="page">
              <wp14:pctWidth>0</wp14:pctWidth>
            </wp14:sizeRelH>
            <wp14:sizeRelV relativeFrom="page">
              <wp14:pctHeight>0</wp14:pctHeight>
            </wp14:sizeRelV>
          </wp:anchor>
        </w:drawing>
      </w:r>
    </w:p>
    <w:p w:rsidR="00930C51" w:rsidRPr="00EF674A" w:rsidRDefault="00930C51" w:rsidP="00930C51">
      <w:pPr>
        <w:pStyle w:val="Balk2"/>
        <w:tabs>
          <w:tab w:val="left" w:pos="3402"/>
        </w:tabs>
        <w:spacing w:before="102"/>
        <w:ind w:left="571" w:right="105" w:firstLine="2831"/>
        <w:rPr>
          <w:rFonts w:ascii="Arial" w:hAnsi="Arial" w:cs="Arial"/>
          <w:sz w:val="22"/>
          <w:szCs w:val="22"/>
        </w:rPr>
      </w:pPr>
      <w:r w:rsidRPr="00EF674A">
        <w:rPr>
          <w:rFonts w:ascii="Arial" w:hAnsi="Arial" w:cs="Arial"/>
          <w:sz w:val="22"/>
          <w:szCs w:val="22"/>
        </w:rPr>
        <w:lastRenderedPageBreak/>
        <w:t>TEŞEKKÜR</w:t>
      </w:r>
    </w:p>
    <w:p w:rsidR="00930C51" w:rsidRPr="003D368C" w:rsidRDefault="00930C51" w:rsidP="00930C51">
      <w:pPr>
        <w:pStyle w:val="GvdeMetni"/>
        <w:rPr>
          <w:rFonts w:ascii="Arial" w:hAnsi="Arial" w:cs="Arial"/>
          <w:b/>
          <w:sz w:val="22"/>
          <w:szCs w:val="22"/>
          <w:highlight w:val="yellow"/>
        </w:rPr>
      </w:pPr>
    </w:p>
    <w:p w:rsidR="00930C51" w:rsidRPr="00F35FB5" w:rsidRDefault="003D368C" w:rsidP="00C61732">
      <w:pPr>
        <w:pStyle w:val="GvdeMetni"/>
        <w:spacing w:line="360" w:lineRule="auto"/>
        <w:ind w:right="113" w:firstLine="566"/>
        <w:jc w:val="both"/>
        <w:rPr>
          <w:rFonts w:ascii="Arial" w:hAnsi="Arial" w:cs="Arial"/>
          <w:sz w:val="22"/>
          <w:szCs w:val="22"/>
        </w:rPr>
      </w:pPr>
      <w:r w:rsidRPr="00F35FB5">
        <w:rPr>
          <w:rFonts w:ascii="Arial" w:hAnsi="Arial" w:cs="Arial"/>
          <w:sz w:val="22"/>
          <w:szCs w:val="22"/>
        </w:rPr>
        <w:t>Asistanlığım boyunc</w:t>
      </w:r>
      <w:r w:rsidR="00FF0683" w:rsidRPr="00F35FB5">
        <w:rPr>
          <w:rFonts w:ascii="Arial" w:hAnsi="Arial" w:cs="Arial"/>
          <w:sz w:val="22"/>
          <w:szCs w:val="22"/>
        </w:rPr>
        <w:t xml:space="preserve">a </w:t>
      </w:r>
      <w:r w:rsidR="007F18AE" w:rsidRPr="00F35FB5">
        <w:rPr>
          <w:rFonts w:ascii="Arial" w:hAnsi="Arial" w:cs="Arial"/>
          <w:sz w:val="22"/>
          <w:szCs w:val="22"/>
        </w:rPr>
        <w:t xml:space="preserve">ilgi, </w:t>
      </w:r>
      <w:r w:rsidR="00FF0683" w:rsidRPr="00F35FB5">
        <w:rPr>
          <w:rFonts w:ascii="Arial" w:hAnsi="Arial" w:cs="Arial"/>
          <w:sz w:val="22"/>
          <w:szCs w:val="22"/>
        </w:rPr>
        <w:t>bilgi ve birikimlerini paylaşmaktan, desteklerini sunmaktan çekinmeyen, hatta bu konuda çok cömertçe davranan</w:t>
      </w:r>
      <w:r w:rsidRPr="00F35FB5">
        <w:rPr>
          <w:rFonts w:ascii="Arial" w:hAnsi="Arial" w:cs="Arial"/>
          <w:sz w:val="22"/>
          <w:szCs w:val="22"/>
        </w:rPr>
        <w:t>,</w:t>
      </w:r>
      <w:r w:rsidR="00FF0683" w:rsidRPr="00F35FB5">
        <w:rPr>
          <w:rFonts w:ascii="Arial" w:hAnsi="Arial" w:cs="Arial"/>
          <w:sz w:val="22"/>
          <w:szCs w:val="22"/>
        </w:rPr>
        <w:t xml:space="preserve"> </w:t>
      </w:r>
      <w:r w:rsidR="000C1FE6" w:rsidRPr="00F35FB5">
        <w:rPr>
          <w:rFonts w:ascii="Arial" w:hAnsi="Arial" w:cs="Arial"/>
          <w:sz w:val="22"/>
          <w:szCs w:val="22"/>
        </w:rPr>
        <w:t>içinde bulunmaktan keyif ve onur duyduğum</w:t>
      </w:r>
      <w:r w:rsidR="00FF0683" w:rsidRPr="00F35FB5">
        <w:rPr>
          <w:rFonts w:ascii="Arial" w:hAnsi="Arial" w:cs="Arial"/>
          <w:sz w:val="22"/>
          <w:szCs w:val="22"/>
        </w:rPr>
        <w:t xml:space="preserve"> </w:t>
      </w:r>
      <w:r w:rsidR="00E5273F" w:rsidRPr="00F35FB5">
        <w:rPr>
          <w:rFonts w:ascii="Arial" w:hAnsi="Arial" w:cs="Arial"/>
          <w:sz w:val="22"/>
          <w:szCs w:val="22"/>
        </w:rPr>
        <w:t>çalışma ortamı ile</w:t>
      </w:r>
      <w:r w:rsidR="00226C14" w:rsidRPr="00F35FB5">
        <w:rPr>
          <w:rFonts w:ascii="Arial" w:hAnsi="Arial" w:cs="Arial"/>
          <w:sz w:val="22"/>
          <w:szCs w:val="22"/>
        </w:rPr>
        <w:t xml:space="preserve"> mesleki hayatıma</w:t>
      </w:r>
      <w:r w:rsidR="00E5273F" w:rsidRPr="00F35FB5">
        <w:rPr>
          <w:rFonts w:ascii="Arial" w:hAnsi="Arial" w:cs="Arial"/>
          <w:sz w:val="22"/>
          <w:szCs w:val="22"/>
        </w:rPr>
        <w:t xml:space="preserve"> büyük katkıları bulunan saygı değer hocalarım </w:t>
      </w:r>
      <w:r w:rsidR="00930C51" w:rsidRPr="00F35FB5">
        <w:rPr>
          <w:rFonts w:ascii="Arial" w:hAnsi="Arial" w:cs="Arial"/>
          <w:sz w:val="22"/>
          <w:szCs w:val="22"/>
        </w:rPr>
        <w:t>Doç. Dr. Burcu ÇAKALOZ’a, Yrd. Doç. Dr. Gülşen ÜNLÜ’ye, Yrd. Doç. Dr.</w:t>
      </w:r>
      <w:r w:rsidR="00930C51" w:rsidRPr="00F35FB5">
        <w:rPr>
          <w:rFonts w:ascii="Arial" w:eastAsia="Calibri" w:hAnsi="Arial" w:cs="Arial"/>
          <w:sz w:val="22"/>
          <w:szCs w:val="22"/>
        </w:rPr>
        <w:t xml:space="preserve"> Bürge KABUKÇU BAŞAY’a, Yrd. Doç. Dr. Ömer BAŞAY’a;</w:t>
      </w:r>
    </w:p>
    <w:p w:rsidR="00930C51" w:rsidRPr="00F35FB5" w:rsidRDefault="000C1FE6" w:rsidP="00C61732">
      <w:pPr>
        <w:pStyle w:val="GvdeMetni"/>
        <w:spacing w:before="6" w:line="360" w:lineRule="auto"/>
        <w:ind w:right="117" w:firstLine="566"/>
        <w:jc w:val="both"/>
        <w:rPr>
          <w:rFonts w:ascii="Arial" w:hAnsi="Arial" w:cs="Arial"/>
          <w:sz w:val="22"/>
          <w:szCs w:val="22"/>
        </w:rPr>
      </w:pPr>
      <w:r w:rsidRPr="00F35FB5">
        <w:rPr>
          <w:rFonts w:ascii="Arial" w:hAnsi="Arial" w:cs="Arial"/>
          <w:sz w:val="22"/>
          <w:szCs w:val="22"/>
        </w:rPr>
        <w:t xml:space="preserve">Tez sürecinde </w:t>
      </w:r>
      <w:r w:rsidR="00FF0683" w:rsidRPr="00F35FB5">
        <w:rPr>
          <w:rFonts w:ascii="Arial" w:hAnsi="Arial" w:cs="Arial"/>
          <w:sz w:val="22"/>
          <w:szCs w:val="22"/>
        </w:rPr>
        <w:t>sabırla ayırdığı değerli vakti,</w:t>
      </w:r>
      <w:r w:rsidRPr="00F35FB5">
        <w:rPr>
          <w:rFonts w:ascii="Arial" w:hAnsi="Arial" w:cs="Arial"/>
          <w:sz w:val="22"/>
          <w:szCs w:val="22"/>
        </w:rPr>
        <w:t xml:space="preserve"> </w:t>
      </w:r>
      <w:r w:rsidR="00FF0683" w:rsidRPr="00F35FB5">
        <w:rPr>
          <w:rFonts w:ascii="Arial" w:hAnsi="Arial" w:cs="Arial"/>
          <w:sz w:val="22"/>
          <w:szCs w:val="22"/>
        </w:rPr>
        <w:t xml:space="preserve">kıymetli fikir ve </w:t>
      </w:r>
      <w:r w:rsidR="00035B4E">
        <w:rPr>
          <w:rFonts w:ascii="Arial" w:hAnsi="Arial" w:cs="Arial"/>
          <w:sz w:val="22"/>
          <w:szCs w:val="22"/>
        </w:rPr>
        <w:t>emekleri</w:t>
      </w:r>
      <w:r w:rsidRPr="00F35FB5">
        <w:rPr>
          <w:rFonts w:ascii="Arial" w:hAnsi="Arial" w:cs="Arial"/>
          <w:sz w:val="22"/>
          <w:szCs w:val="22"/>
        </w:rPr>
        <w:t xml:space="preserve"> için</w:t>
      </w:r>
      <w:r w:rsidR="00930C51" w:rsidRPr="00F35FB5">
        <w:rPr>
          <w:rFonts w:ascii="Arial" w:hAnsi="Arial" w:cs="Arial"/>
          <w:sz w:val="22"/>
          <w:szCs w:val="22"/>
        </w:rPr>
        <w:t xml:space="preserve"> </w:t>
      </w:r>
      <w:r w:rsidR="00E5273F" w:rsidRPr="00F35FB5">
        <w:rPr>
          <w:rFonts w:ascii="Arial" w:hAnsi="Arial" w:cs="Arial"/>
          <w:sz w:val="22"/>
          <w:szCs w:val="22"/>
        </w:rPr>
        <w:t>ayrıca</w:t>
      </w:r>
      <w:r w:rsidR="00930C51" w:rsidRPr="00F35FB5">
        <w:rPr>
          <w:rFonts w:ascii="Arial" w:hAnsi="Arial" w:cs="Arial"/>
          <w:sz w:val="22"/>
          <w:szCs w:val="22"/>
        </w:rPr>
        <w:t xml:space="preserve"> Yrd. Doç. Dr. </w:t>
      </w:r>
      <w:r w:rsidR="003D368C" w:rsidRPr="00F35FB5">
        <w:rPr>
          <w:rFonts w:ascii="Arial" w:hAnsi="Arial" w:cs="Arial"/>
          <w:sz w:val="22"/>
          <w:szCs w:val="22"/>
        </w:rPr>
        <w:t>Bürge KABUKÇU</w:t>
      </w:r>
      <w:r w:rsidR="00930C51" w:rsidRPr="00F35FB5">
        <w:rPr>
          <w:rFonts w:ascii="Arial" w:hAnsi="Arial" w:cs="Arial"/>
          <w:sz w:val="22"/>
          <w:szCs w:val="22"/>
        </w:rPr>
        <w:t xml:space="preserve"> BAŞAY’a;</w:t>
      </w:r>
    </w:p>
    <w:p w:rsidR="007F18AE" w:rsidRPr="00F35FB5" w:rsidRDefault="00E5273F" w:rsidP="00C61732">
      <w:pPr>
        <w:pStyle w:val="GvdeMetni"/>
        <w:spacing w:before="6" w:line="360" w:lineRule="auto"/>
        <w:ind w:right="117" w:firstLine="566"/>
        <w:jc w:val="both"/>
        <w:rPr>
          <w:rFonts w:ascii="Arial" w:hAnsi="Arial" w:cs="Arial"/>
          <w:sz w:val="22"/>
          <w:szCs w:val="22"/>
        </w:rPr>
      </w:pPr>
      <w:r w:rsidRPr="00F35FB5">
        <w:rPr>
          <w:rFonts w:ascii="Arial" w:hAnsi="Arial" w:cs="Arial"/>
          <w:sz w:val="22"/>
          <w:szCs w:val="22"/>
        </w:rPr>
        <w:t>Deneyimi, bilgisi</w:t>
      </w:r>
      <w:r w:rsidR="00FF0683" w:rsidRPr="00F35FB5">
        <w:rPr>
          <w:rFonts w:ascii="Arial" w:hAnsi="Arial" w:cs="Arial"/>
          <w:sz w:val="22"/>
          <w:szCs w:val="22"/>
        </w:rPr>
        <w:t>,</w:t>
      </w:r>
      <w:r w:rsidRPr="00F35FB5">
        <w:rPr>
          <w:rFonts w:ascii="Arial" w:hAnsi="Arial" w:cs="Arial"/>
          <w:sz w:val="22"/>
          <w:szCs w:val="22"/>
        </w:rPr>
        <w:t xml:space="preserve"> gösterdiği sab</w:t>
      </w:r>
      <w:r w:rsidR="000C1FE6" w:rsidRPr="00F35FB5">
        <w:rPr>
          <w:rFonts w:ascii="Arial" w:hAnsi="Arial" w:cs="Arial"/>
          <w:sz w:val="22"/>
          <w:szCs w:val="22"/>
        </w:rPr>
        <w:t>ı</w:t>
      </w:r>
      <w:r w:rsidRPr="00F35FB5">
        <w:rPr>
          <w:rFonts w:ascii="Arial" w:hAnsi="Arial" w:cs="Arial"/>
          <w:sz w:val="22"/>
          <w:szCs w:val="22"/>
        </w:rPr>
        <w:t>r</w:t>
      </w:r>
      <w:r w:rsidR="00226C14" w:rsidRPr="00F35FB5">
        <w:rPr>
          <w:rFonts w:ascii="Arial" w:hAnsi="Arial" w:cs="Arial"/>
          <w:sz w:val="22"/>
          <w:szCs w:val="22"/>
        </w:rPr>
        <w:t xml:space="preserve"> ve ilgisi </w:t>
      </w:r>
      <w:r w:rsidR="00FF0683" w:rsidRPr="00F35FB5">
        <w:rPr>
          <w:rFonts w:ascii="Arial" w:hAnsi="Arial" w:cs="Arial"/>
          <w:sz w:val="22"/>
          <w:szCs w:val="22"/>
        </w:rPr>
        <w:t xml:space="preserve">ile </w:t>
      </w:r>
      <w:r w:rsidR="00226C14" w:rsidRPr="00F35FB5">
        <w:rPr>
          <w:rFonts w:ascii="Arial" w:hAnsi="Arial" w:cs="Arial"/>
          <w:sz w:val="22"/>
          <w:szCs w:val="22"/>
        </w:rPr>
        <w:t xml:space="preserve">desteğini her zaman yanımda </w:t>
      </w:r>
    </w:p>
    <w:p w:rsidR="00E5273F" w:rsidRPr="00F35FB5" w:rsidRDefault="00226C14" w:rsidP="00C61732">
      <w:pPr>
        <w:pStyle w:val="GvdeMetni"/>
        <w:spacing w:before="6" w:line="360" w:lineRule="auto"/>
        <w:ind w:right="117"/>
        <w:jc w:val="both"/>
        <w:rPr>
          <w:rFonts w:ascii="Arial" w:hAnsi="Arial" w:cs="Arial"/>
          <w:sz w:val="22"/>
          <w:szCs w:val="22"/>
        </w:rPr>
      </w:pPr>
      <w:r w:rsidRPr="00F35FB5">
        <w:rPr>
          <w:rFonts w:ascii="Arial" w:hAnsi="Arial" w:cs="Arial"/>
          <w:sz w:val="22"/>
          <w:szCs w:val="22"/>
        </w:rPr>
        <w:t>hissettiğim</w:t>
      </w:r>
      <w:r w:rsidR="00FF0683" w:rsidRPr="00F35FB5">
        <w:rPr>
          <w:rFonts w:ascii="Arial" w:hAnsi="Arial" w:cs="Arial"/>
          <w:sz w:val="22"/>
          <w:szCs w:val="22"/>
        </w:rPr>
        <w:t xml:space="preserve">, öğrencisi olma şansına </w:t>
      </w:r>
      <w:r w:rsidR="007F18AE" w:rsidRPr="00F35FB5">
        <w:rPr>
          <w:rFonts w:ascii="Arial" w:hAnsi="Arial" w:cs="Arial"/>
          <w:sz w:val="22"/>
          <w:szCs w:val="22"/>
        </w:rPr>
        <w:t>sahip</w:t>
      </w:r>
      <w:r w:rsidR="00FF0683" w:rsidRPr="00F35FB5">
        <w:rPr>
          <w:rFonts w:ascii="Arial" w:hAnsi="Arial" w:cs="Arial"/>
          <w:sz w:val="22"/>
          <w:szCs w:val="22"/>
        </w:rPr>
        <w:t xml:space="preserve"> olduğum</w:t>
      </w:r>
      <w:r w:rsidR="00E5273F" w:rsidRPr="00F35FB5">
        <w:rPr>
          <w:rFonts w:ascii="Arial" w:hAnsi="Arial" w:cs="Arial"/>
          <w:sz w:val="22"/>
          <w:szCs w:val="22"/>
        </w:rPr>
        <w:t xml:space="preserve"> Prof. Dr. Işıl VAH</w:t>
      </w:r>
      <w:r w:rsidR="007F18AE" w:rsidRPr="00F35FB5">
        <w:rPr>
          <w:rFonts w:ascii="Arial" w:hAnsi="Arial" w:cs="Arial"/>
          <w:sz w:val="22"/>
          <w:szCs w:val="22"/>
        </w:rPr>
        <w:t>İP</w:t>
      </w:r>
      <w:r w:rsidR="00E5273F" w:rsidRPr="00F35FB5">
        <w:rPr>
          <w:rFonts w:ascii="Arial" w:hAnsi="Arial" w:cs="Arial"/>
          <w:sz w:val="22"/>
          <w:szCs w:val="22"/>
        </w:rPr>
        <w:t>’e;</w:t>
      </w:r>
    </w:p>
    <w:p w:rsidR="00930C51" w:rsidRPr="00F35FB5" w:rsidRDefault="00930C51" w:rsidP="00C61732">
      <w:pPr>
        <w:pStyle w:val="GvdeMetni"/>
        <w:spacing w:before="6" w:line="360" w:lineRule="auto"/>
        <w:ind w:right="114" w:firstLine="567"/>
        <w:jc w:val="both"/>
        <w:rPr>
          <w:rFonts w:ascii="Arial" w:hAnsi="Arial" w:cs="Arial"/>
          <w:sz w:val="22"/>
          <w:szCs w:val="22"/>
        </w:rPr>
      </w:pPr>
      <w:r w:rsidRPr="00F35FB5">
        <w:rPr>
          <w:rFonts w:ascii="Arial" w:hAnsi="Arial" w:cs="Arial"/>
          <w:sz w:val="22"/>
          <w:szCs w:val="22"/>
        </w:rPr>
        <w:t>Rotasyon süresince ve daha sonrasında birlikte çalıştığım, bilgi ve deneyimlerinden faydalandığım Psikiyatri Anabilim Dalı’ nın değerli hocaları Prof. Dr. Nalan KALKAN OĞUZHANOĞLU’na, Prof. Dr. Osman ÖZDEL’e, Prof. Dr. Figen ÇULHA ATEŞCİ’ye,  Doç. Dr. Gülfizar VARMA’ya, Doç. Dr. Selim TÜMKAYA’ya, Yrd. Doç. Dr. Ayşe Nur İNCİ KENAR’a ve Psikiyatri Anabilim Dalı’nın tüm değerli çalışanlarına;</w:t>
      </w:r>
    </w:p>
    <w:p w:rsidR="00930C51" w:rsidRPr="00F35FB5" w:rsidRDefault="00CB2563" w:rsidP="004C1D27">
      <w:pPr>
        <w:pStyle w:val="GvdeMetni"/>
        <w:spacing w:before="6" w:line="360" w:lineRule="auto"/>
        <w:ind w:right="115" w:firstLine="567"/>
        <w:jc w:val="both"/>
        <w:rPr>
          <w:rFonts w:ascii="Arial" w:hAnsi="Arial" w:cs="Arial"/>
          <w:sz w:val="22"/>
          <w:szCs w:val="22"/>
        </w:rPr>
      </w:pPr>
      <w:r w:rsidRPr="00F35FB5">
        <w:rPr>
          <w:rFonts w:ascii="Arial" w:hAnsi="Arial" w:cs="Arial"/>
          <w:sz w:val="22"/>
          <w:szCs w:val="22"/>
        </w:rPr>
        <w:t>Hem tez süresince hem de a</w:t>
      </w:r>
      <w:r w:rsidR="00E5273F" w:rsidRPr="00F35FB5">
        <w:rPr>
          <w:rFonts w:ascii="Arial" w:hAnsi="Arial" w:cs="Arial"/>
          <w:sz w:val="22"/>
          <w:szCs w:val="22"/>
        </w:rPr>
        <w:t>sistanlığımda</w:t>
      </w:r>
      <w:r w:rsidR="00930C51" w:rsidRPr="00F35FB5">
        <w:rPr>
          <w:rFonts w:ascii="Arial" w:hAnsi="Arial" w:cs="Arial"/>
          <w:sz w:val="22"/>
          <w:szCs w:val="22"/>
        </w:rPr>
        <w:t xml:space="preserve"> destek</w:t>
      </w:r>
      <w:r w:rsidRPr="00F35FB5">
        <w:rPr>
          <w:rFonts w:ascii="Arial" w:hAnsi="Arial" w:cs="Arial"/>
          <w:sz w:val="22"/>
          <w:szCs w:val="22"/>
        </w:rPr>
        <w:t>leri</w:t>
      </w:r>
      <w:r w:rsidR="00E5273F" w:rsidRPr="00F35FB5">
        <w:rPr>
          <w:rFonts w:ascii="Arial" w:hAnsi="Arial" w:cs="Arial"/>
          <w:sz w:val="22"/>
          <w:szCs w:val="22"/>
        </w:rPr>
        <w:t xml:space="preserve"> ve asistanlığı daha çekilebilir kıldıkları için</w:t>
      </w:r>
      <w:r w:rsidR="00930C51" w:rsidRPr="00F35FB5">
        <w:rPr>
          <w:rFonts w:ascii="Arial" w:hAnsi="Arial" w:cs="Arial"/>
          <w:sz w:val="22"/>
          <w:szCs w:val="22"/>
        </w:rPr>
        <w:t xml:space="preserve"> başta </w:t>
      </w:r>
      <w:r w:rsidR="004C1D27">
        <w:rPr>
          <w:rFonts w:ascii="Arial" w:hAnsi="Arial" w:cs="Arial"/>
          <w:sz w:val="22"/>
          <w:szCs w:val="22"/>
        </w:rPr>
        <w:t xml:space="preserve">Uzm. </w:t>
      </w:r>
      <w:r w:rsidRPr="00F35FB5">
        <w:rPr>
          <w:rFonts w:ascii="Arial" w:hAnsi="Arial" w:cs="Arial"/>
          <w:sz w:val="22"/>
          <w:szCs w:val="22"/>
        </w:rPr>
        <w:t xml:space="preserve">Dr. Ahmet BÜBER ve </w:t>
      </w:r>
      <w:r w:rsidR="004C1D27">
        <w:rPr>
          <w:rFonts w:ascii="Arial" w:hAnsi="Arial" w:cs="Arial"/>
          <w:sz w:val="22"/>
          <w:szCs w:val="22"/>
        </w:rPr>
        <w:t xml:space="preserve"> Uzm. </w:t>
      </w:r>
      <w:r w:rsidR="00930C51" w:rsidRPr="00F35FB5">
        <w:rPr>
          <w:rFonts w:ascii="Arial" w:hAnsi="Arial" w:cs="Arial"/>
          <w:sz w:val="22"/>
          <w:szCs w:val="22"/>
        </w:rPr>
        <w:t xml:space="preserve">Dr. Yetiş IŞILDAR </w:t>
      </w:r>
      <w:r w:rsidRPr="00F35FB5">
        <w:rPr>
          <w:rFonts w:ascii="Arial" w:hAnsi="Arial" w:cs="Arial"/>
          <w:sz w:val="22"/>
          <w:szCs w:val="22"/>
        </w:rPr>
        <w:t>olmak üzere, eş kıdemlilerim</w:t>
      </w:r>
      <w:r w:rsidR="00930C51" w:rsidRPr="00F35FB5">
        <w:rPr>
          <w:rFonts w:ascii="Arial" w:hAnsi="Arial" w:cs="Arial"/>
          <w:sz w:val="22"/>
          <w:szCs w:val="22"/>
        </w:rPr>
        <w:t xml:space="preserve"> Dr. </w:t>
      </w:r>
      <w:r w:rsidR="00226C14" w:rsidRPr="00F35FB5">
        <w:rPr>
          <w:rFonts w:ascii="Arial" w:hAnsi="Arial" w:cs="Arial"/>
          <w:sz w:val="22"/>
          <w:szCs w:val="22"/>
        </w:rPr>
        <w:t>İ</w:t>
      </w:r>
      <w:r w:rsidRPr="00F35FB5">
        <w:rPr>
          <w:rFonts w:ascii="Arial" w:hAnsi="Arial" w:cs="Arial"/>
          <w:sz w:val="22"/>
          <w:szCs w:val="22"/>
        </w:rPr>
        <w:t>pek ELİF ERKEN</w:t>
      </w:r>
      <w:r w:rsidR="00930C51" w:rsidRPr="00F35FB5">
        <w:rPr>
          <w:rFonts w:ascii="Arial" w:hAnsi="Arial" w:cs="Arial"/>
          <w:sz w:val="22"/>
          <w:szCs w:val="22"/>
        </w:rPr>
        <w:t xml:space="preserve"> ve Dr. </w:t>
      </w:r>
      <w:r w:rsidRPr="00F35FB5">
        <w:rPr>
          <w:rFonts w:ascii="Arial" w:hAnsi="Arial" w:cs="Arial"/>
          <w:sz w:val="22"/>
          <w:szCs w:val="22"/>
        </w:rPr>
        <w:t>Fatma BELGER’e</w:t>
      </w:r>
      <w:r w:rsidR="00930C51" w:rsidRPr="00F35FB5">
        <w:rPr>
          <w:rFonts w:ascii="Arial" w:hAnsi="Arial" w:cs="Arial"/>
          <w:sz w:val="22"/>
          <w:szCs w:val="22"/>
        </w:rPr>
        <w:t xml:space="preserve"> ve birlikte keyif</w:t>
      </w:r>
      <w:r w:rsidRPr="00F35FB5">
        <w:rPr>
          <w:rFonts w:ascii="Arial" w:hAnsi="Arial" w:cs="Arial"/>
          <w:sz w:val="22"/>
          <w:szCs w:val="22"/>
        </w:rPr>
        <w:t xml:space="preserve">le çalışıtğım </w:t>
      </w:r>
      <w:r w:rsidR="00930C51" w:rsidRPr="00F35FB5">
        <w:rPr>
          <w:rFonts w:ascii="Arial" w:hAnsi="Arial" w:cs="Arial"/>
          <w:sz w:val="22"/>
          <w:szCs w:val="22"/>
        </w:rPr>
        <w:t>tüm Çocuk ve Ergen Psikiyatri asistanı arkadaşlarıma</w:t>
      </w:r>
      <w:r w:rsidR="00F35FB5">
        <w:rPr>
          <w:rFonts w:ascii="Arial" w:hAnsi="Arial" w:cs="Arial"/>
          <w:sz w:val="22"/>
          <w:szCs w:val="22"/>
        </w:rPr>
        <w:t xml:space="preserve"> ve tüm değerli çalışanlarına</w:t>
      </w:r>
      <w:r w:rsidR="00930C51" w:rsidRPr="00F35FB5">
        <w:rPr>
          <w:rFonts w:ascii="Arial" w:hAnsi="Arial" w:cs="Arial"/>
          <w:sz w:val="22"/>
          <w:szCs w:val="22"/>
        </w:rPr>
        <w:t>;</w:t>
      </w:r>
    </w:p>
    <w:p w:rsidR="00CB2563" w:rsidRPr="00F35FB5" w:rsidRDefault="00930C51" w:rsidP="00C61732">
      <w:pPr>
        <w:pStyle w:val="GvdeMetni"/>
        <w:spacing w:before="6" w:line="360" w:lineRule="auto"/>
        <w:ind w:right="114" w:firstLine="567"/>
        <w:jc w:val="both"/>
        <w:rPr>
          <w:rFonts w:ascii="Arial" w:hAnsi="Arial" w:cs="Arial"/>
          <w:sz w:val="22"/>
          <w:szCs w:val="22"/>
        </w:rPr>
      </w:pPr>
      <w:r w:rsidRPr="00F35FB5">
        <w:rPr>
          <w:rFonts w:ascii="Arial" w:hAnsi="Arial" w:cs="Arial"/>
          <w:sz w:val="22"/>
          <w:szCs w:val="22"/>
        </w:rPr>
        <w:t xml:space="preserve">Tezimin </w:t>
      </w:r>
      <w:r w:rsidR="00CB2563" w:rsidRPr="00F35FB5">
        <w:rPr>
          <w:rFonts w:ascii="Arial" w:hAnsi="Arial" w:cs="Arial"/>
          <w:sz w:val="22"/>
          <w:szCs w:val="22"/>
        </w:rPr>
        <w:t>Genetik</w:t>
      </w:r>
      <w:r w:rsidRPr="00F35FB5">
        <w:rPr>
          <w:rFonts w:ascii="Arial" w:hAnsi="Arial" w:cs="Arial"/>
          <w:sz w:val="22"/>
          <w:szCs w:val="22"/>
        </w:rPr>
        <w:t xml:space="preserve"> alanındaki yardımları</w:t>
      </w:r>
      <w:r w:rsidR="000C1FE6" w:rsidRPr="00F35FB5">
        <w:rPr>
          <w:rFonts w:ascii="Arial" w:hAnsi="Arial" w:cs="Arial"/>
          <w:sz w:val="22"/>
          <w:szCs w:val="22"/>
        </w:rPr>
        <w:t xml:space="preserve"> ve değerli katkıları</w:t>
      </w:r>
      <w:r w:rsidRPr="00F35FB5">
        <w:rPr>
          <w:rFonts w:ascii="Arial" w:hAnsi="Arial" w:cs="Arial"/>
          <w:sz w:val="22"/>
          <w:szCs w:val="22"/>
        </w:rPr>
        <w:t xml:space="preserve"> için </w:t>
      </w:r>
      <w:r w:rsidR="000C1FE6" w:rsidRPr="00F35FB5">
        <w:rPr>
          <w:rFonts w:ascii="Arial" w:hAnsi="Arial" w:cs="Arial"/>
          <w:sz w:val="22"/>
          <w:szCs w:val="22"/>
        </w:rPr>
        <w:t>Yrd. Doç. Dr. G. Ozan ÇETİN‘</w:t>
      </w:r>
      <w:r w:rsidRPr="00F35FB5">
        <w:rPr>
          <w:rFonts w:ascii="Arial" w:hAnsi="Arial" w:cs="Arial"/>
          <w:sz w:val="22"/>
          <w:szCs w:val="22"/>
        </w:rPr>
        <w:t xml:space="preserve">e ve tezimdeki örneklerin analizinin tüm aşamalarında </w:t>
      </w:r>
      <w:r w:rsidR="00CB2563" w:rsidRPr="00F35FB5">
        <w:rPr>
          <w:rFonts w:ascii="Arial" w:hAnsi="Arial" w:cs="Arial"/>
          <w:sz w:val="22"/>
          <w:szCs w:val="22"/>
        </w:rPr>
        <w:t>yardım</w:t>
      </w:r>
      <w:r w:rsidR="000C1FE6" w:rsidRPr="00F35FB5">
        <w:rPr>
          <w:rFonts w:ascii="Arial" w:hAnsi="Arial" w:cs="Arial"/>
          <w:sz w:val="22"/>
          <w:szCs w:val="22"/>
        </w:rPr>
        <w:t>cı</w:t>
      </w:r>
      <w:r w:rsidR="00CB2563" w:rsidRPr="00F35FB5">
        <w:rPr>
          <w:rFonts w:ascii="Arial" w:hAnsi="Arial" w:cs="Arial"/>
          <w:sz w:val="22"/>
          <w:szCs w:val="22"/>
        </w:rPr>
        <w:t xml:space="preserve"> olan Samet TÜREL ve Halime ZIRH</w:t>
      </w:r>
      <w:r w:rsidRPr="00F35FB5">
        <w:rPr>
          <w:rFonts w:ascii="Arial" w:hAnsi="Arial" w:cs="Arial"/>
          <w:sz w:val="22"/>
          <w:szCs w:val="22"/>
        </w:rPr>
        <w:t>’</w:t>
      </w:r>
      <w:r w:rsidR="00CB2563" w:rsidRPr="00F35FB5">
        <w:rPr>
          <w:rFonts w:ascii="Arial" w:hAnsi="Arial" w:cs="Arial"/>
          <w:sz w:val="22"/>
          <w:szCs w:val="22"/>
        </w:rPr>
        <w:t>a</w:t>
      </w:r>
      <w:r w:rsidRPr="00F35FB5">
        <w:rPr>
          <w:rFonts w:ascii="Arial" w:hAnsi="Arial" w:cs="Arial"/>
          <w:sz w:val="22"/>
          <w:szCs w:val="22"/>
        </w:rPr>
        <w:t>;</w:t>
      </w:r>
    </w:p>
    <w:p w:rsidR="007F18AE" w:rsidRPr="00F35FB5" w:rsidRDefault="007F18AE" w:rsidP="00C61732">
      <w:pPr>
        <w:pStyle w:val="GvdeMetni"/>
        <w:spacing w:before="6" w:line="360" w:lineRule="auto"/>
        <w:ind w:right="114" w:firstLine="567"/>
        <w:jc w:val="both"/>
        <w:rPr>
          <w:rFonts w:ascii="Arial" w:hAnsi="Arial" w:cs="Arial"/>
          <w:sz w:val="22"/>
          <w:szCs w:val="22"/>
        </w:rPr>
      </w:pPr>
      <w:r w:rsidRPr="00F35FB5">
        <w:rPr>
          <w:rFonts w:ascii="Arial" w:hAnsi="Arial" w:cs="Arial"/>
          <w:sz w:val="22"/>
          <w:szCs w:val="22"/>
        </w:rPr>
        <w:t>Sevgi</w:t>
      </w:r>
      <w:r w:rsidR="007A0A9E">
        <w:rPr>
          <w:rFonts w:ascii="Arial" w:hAnsi="Arial" w:cs="Arial"/>
          <w:sz w:val="22"/>
          <w:szCs w:val="22"/>
        </w:rPr>
        <w:t xml:space="preserve"> dolu desteği</w:t>
      </w:r>
      <w:r w:rsidR="00035B4E">
        <w:rPr>
          <w:rFonts w:ascii="Arial" w:hAnsi="Arial" w:cs="Arial"/>
          <w:sz w:val="22"/>
          <w:szCs w:val="22"/>
        </w:rPr>
        <w:t xml:space="preserve"> kadar bilimselliği ile </w:t>
      </w:r>
      <w:r w:rsidR="007A0A9E">
        <w:rPr>
          <w:rFonts w:ascii="Arial" w:hAnsi="Arial" w:cs="Arial"/>
          <w:sz w:val="22"/>
          <w:szCs w:val="22"/>
        </w:rPr>
        <w:t xml:space="preserve">de hep yanımda olan </w:t>
      </w:r>
      <w:r w:rsidRPr="00F35FB5">
        <w:rPr>
          <w:rFonts w:ascii="Arial" w:hAnsi="Arial" w:cs="Arial"/>
          <w:sz w:val="22"/>
          <w:szCs w:val="22"/>
        </w:rPr>
        <w:t>sevgili eşim Ayşegül GÜNGÖR AYDIN’a;</w:t>
      </w:r>
    </w:p>
    <w:p w:rsidR="00CB2563" w:rsidRPr="00F35FB5" w:rsidRDefault="00F35FB5" w:rsidP="00C61732">
      <w:pPr>
        <w:pStyle w:val="GvdeMetni"/>
        <w:spacing w:before="6" w:line="360" w:lineRule="auto"/>
        <w:ind w:right="114" w:firstLine="567"/>
        <w:jc w:val="both"/>
        <w:rPr>
          <w:rFonts w:ascii="Arial" w:hAnsi="Arial" w:cs="Arial"/>
          <w:sz w:val="22"/>
          <w:szCs w:val="22"/>
        </w:rPr>
      </w:pPr>
      <w:r w:rsidRPr="00F35FB5">
        <w:rPr>
          <w:rFonts w:ascii="Arial" w:hAnsi="Arial" w:cs="Arial"/>
          <w:sz w:val="22"/>
          <w:szCs w:val="22"/>
        </w:rPr>
        <w:t>D</w:t>
      </w:r>
      <w:r w:rsidR="00CB2563" w:rsidRPr="00F35FB5">
        <w:rPr>
          <w:rFonts w:ascii="Arial" w:hAnsi="Arial" w:cs="Arial"/>
          <w:sz w:val="22"/>
          <w:szCs w:val="22"/>
        </w:rPr>
        <w:t>estek</w:t>
      </w:r>
      <w:r w:rsidRPr="00F35FB5">
        <w:rPr>
          <w:rFonts w:ascii="Arial" w:hAnsi="Arial" w:cs="Arial"/>
          <w:sz w:val="22"/>
          <w:szCs w:val="22"/>
        </w:rPr>
        <w:t xml:space="preserve"> ve sevgiler</w:t>
      </w:r>
      <w:r w:rsidR="009B3FE1" w:rsidRPr="00F35FB5">
        <w:rPr>
          <w:rFonts w:ascii="Arial" w:hAnsi="Arial" w:cs="Arial"/>
          <w:sz w:val="22"/>
          <w:szCs w:val="22"/>
        </w:rPr>
        <w:t>i</w:t>
      </w:r>
      <w:r w:rsidR="00CB2563" w:rsidRPr="00F35FB5">
        <w:rPr>
          <w:rFonts w:ascii="Arial" w:hAnsi="Arial" w:cs="Arial"/>
          <w:sz w:val="22"/>
          <w:szCs w:val="22"/>
        </w:rPr>
        <w:t xml:space="preserve"> </w:t>
      </w:r>
      <w:r w:rsidRPr="00F35FB5">
        <w:rPr>
          <w:rFonts w:ascii="Arial" w:hAnsi="Arial" w:cs="Arial"/>
          <w:sz w:val="22"/>
          <w:szCs w:val="22"/>
        </w:rPr>
        <w:t xml:space="preserve">ile bugünlere </w:t>
      </w:r>
      <w:r w:rsidR="00035B4E">
        <w:rPr>
          <w:rFonts w:ascii="Arial" w:hAnsi="Arial" w:cs="Arial"/>
          <w:sz w:val="22"/>
          <w:szCs w:val="22"/>
        </w:rPr>
        <w:t xml:space="preserve">gelmemde emekleri büyük </w:t>
      </w:r>
      <w:r w:rsidRPr="00F35FB5">
        <w:rPr>
          <w:rFonts w:ascii="Arial" w:hAnsi="Arial" w:cs="Arial"/>
          <w:sz w:val="22"/>
          <w:szCs w:val="22"/>
        </w:rPr>
        <w:t>sevgili</w:t>
      </w:r>
      <w:r w:rsidR="00CB2563" w:rsidRPr="00F35FB5">
        <w:rPr>
          <w:rFonts w:ascii="Arial" w:hAnsi="Arial" w:cs="Arial"/>
          <w:sz w:val="22"/>
          <w:szCs w:val="22"/>
        </w:rPr>
        <w:t xml:space="preserve"> anneme, babama ve kardeşime;</w:t>
      </w:r>
    </w:p>
    <w:p w:rsidR="00F35FB5" w:rsidRPr="00F35FB5" w:rsidRDefault="00CB2563" w:rsidP="00C61732">
      <w:pPr>
        <w:pStyle w:val="GvdeMetni"/>
        <w:spacing w:before="4" w:line="360" w:lineRule="auto"/>
        <w:ind w:right="57" w:firstLine="567"/>
        <w:jc w:val="both"/>
        <w:rPr>
          <w:rFonts w:ascii="Arial" w:hAnsi="Arial" w:cs="Arial"/>
          <w:sz w:val="22"/>
          <w:szCs w:val="22"/>
        </w:rPr>
      </w:pPr>
      <w:r w:rsidRPr="00F35FB5">
        <w:rPr>
          <w:rFonts w:ascii="Arial" w:hAnsi="Arial" w:cs="Arial"/>
          <w:sz w:val="22"/>
          <w:szCs w:val="22"/>
        </w:rPr>
        <w:t>Bu tezi mümkün kılan, ç</w:t>
      </w:r>
      <w:r w:rsidR="00930C51" w:rsidRPr="00F35FB5">
        <w:rPr>
          <w:rFonts w:ascii="Arial" w:hAnsi="Arial" w:cs="Arial"/>
          <w:sz w:val="22"/>
          <w:szCs w:val="22"/>
        </w:rPr>
        <w:t xml:space="preserve">alışmaya gönüllü olarak katılan değerli çocuklar ve </w:t>
      </w:r>
    </w:p>
    <w:p w:rsidR="00930C51" w:rsidRPr="00F35FB5" w:rsidRDefault="00930C51" w:rsidP="00C61732">
      <w:pPr>
        <w:pStyle w:val="GvdeMetni"/>
        <w:spacing w:before="4" w:line="360" w:lineRule="auto"/>
        <w:ind w:right="57"/>
        <w:jc w:val="both"/>
        <w:rPr>
          <w:rFonts w:ascii="Arial" w:hAnsi="Arial" w:cs="Arial"/>
          <w:sz w:val="22"/>
          <w:szCs w:val="22"/>
        </w:rPr>
      </w:pPr>
      <w:r w:rsidRPr="00F35FB5">
        <w:rPr>
          <w:rFonts w:ascii="Arial" w:hAnsi="Arial" w:cs="Arial"/>
          <w:sz w:val="22"/>
          <w:szCs w:val="22"/>
        </w:rPr>
        <w:t>ailelerine;</w:t>
      </w:r>
    </w:p>
    <w:p w:rsidR="00930C51" w:rsidRPr="00F35FB5" w:rsidRDefault="00930C51" w:rsidP="00C61732">
      <w:pPr>
        <w:pStyle w:val="GvdeMetni"/>
        <w:spacing w:before="139" w:line="360" w:lineRule="auto"/>
        <w:ind w:right="115" w:firstLine="567"/>
        <w:jc w:val="both"/>
        <w:rPr>
          <w:rFonts w:ascii="Arial" w:hAnsi="Arial" w:cs="Arial"/>
          <w:sz w:val="22"/>
          <w:szCs w:val="22"/>
        </w:rPr>
      </w:pPr>
      <w:r w:rsidRPr="00F35FB5">
        <w:rPr>
          <w:rFonts w:ascii="Arial" w:hAnsi="Arial" w:cs="Arial"/>
          <w:sz w:val="22"/>
          <w:szCs w:val="22"/>
        </w:rPr>
        <w:t>Sonsuz teşekkürler</w:t>
      </w:r>
      <w:r w:rsidR="00CB2563" w:rsidRPr="00F35FB5">
        <w:rPr>
          <w:rFonts w:ascii="Arial" w:hAnsi="Arial" w:cs="Arial"/>
          <w:sz w:val="22"/>
          <w:szCs w:val="22"/>
        </w:rPr>
        <w:t>i borç bilirim.</w:t>
      </w:r>
    </w:p>
    <w:p w:rsidR="00930C51" w:rsidRDefault="00930C51" w:rsidP="00930C51">
      <w:pPr>
        <w:pStyle w:val="GvdeMetni"/>
        <w:spacing w:before="139" w:line="360" w:lineRule="auto"/>
        <w:ind w:right="115" w:firstLine="567"/>
        <w:jc w:val="both"/>
        <w:rPr>
          <w:sz w:val="24"/>
          <w:szCs w:val="24"/>
        </w:rPr>
      </w:pPr>
    </w:p>
    <w:tbl>
      <w:tblPr>
        <w:tblW w:w="9348" w:type="dxa"/>
        <w:tblInd w:w="55" w:type="dxa"/>
        <w:tblCellMar>
          <w:left w:w="70" w:type="dxa"/>
          <w:right w:w="70" w:type="dxa"/>
        </w:tblCellMar>
        <w:tblLook w:val="04A0" w:firstRow="1" w:lastRow="0" w:firstColumn="1" w:lastColumn="0" w:noHBand="0" w:noVBand="1"/>
      </w:tblPr>
      <w:tblGrid>
        <w:gridCol w:w="158"/>
        <w:gridCol w:w="6"/>
        <w:gridCol w:w="148"/>
        <w:gridCol w:w="15"/>
        <w:gridCol w:w="180"/>
        <w:gridCol w:w="7653"/>
        <w:gridCol w:w="15"/>
        <w:gridCol w:w="1158"/>
        <w:gridCol w:w="15"/>
      </w:tblGrid>
      <w:tr w:rsidR="00930C51"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541AC9" w:rsidRDefault="00541AC9" w:rsidP="00824250">
            <w:pPr>
              <w:spacing w:line="360" w:lineRule="auto"/>
              <w:ind w:firstLine="3347"/>
              <w:rPr>
                <w:rFonts w:ascii="Arial" w:hAnsi="Arial" w:cs="Arial"/>
              </w:rPr>
            </w:pPr>
          </w:p>
          <w:p w:rsidR="00930C51" w:rsidRPr="00541AC9" w:rsidRDefault="00930C51" w:rsidP="00824250">
            <w:pPr>
              <w:spacing w:line="360" w:lineRule="auto"/>
              <w:ind w:firstLine="3347"/>
              <w:rPr>
                <w:rFonts w:ascii="Arial" w:hAnsi="Arial" w:cs="Arial"/>
                <w:b/>
                <w:color w:val="000000"/>
              </w:rPr>
            </w:pPr>
            <w:r w:rsidRPr="00541AC9">
              <w:rPr>
                <w:rFonts w:ascii="Arial" w:hAnsi="Arial" w:cs="Arial"/>
                <w:sz w:val="22"/>
                <w:szCs w:val="22"/>
              </w:rPr>
              <w:lastRenderedPageBreak/>
              <w:br w:type="page"/>
            </w:r>
            <w:r w:rsidRPr="00541AC9">
              <w:rPr>
                <w:rFonts w:ascii="Arial" w:hAnsi="Arial" w:cs="Arial"/>
                <w:b/>
                <w:color w:val="000000"/>
                <w:sz w:val="22"/>
                <w:szCs w:val="22"/>
              </w:rPr>
              <w:t>İÇİNDEKİLER</w:t>
            </w:r>
          </w:p>
        </w:tc>
        <w:tc>
          <w:tcPr>
            <w:tcW w:w="1173" w:type="dxa"/>
            <w:gridSpan w:val="2"/>
            <w:tcBorders>
              <w:top w:val="nil"/>
              <w:left w:val="nil"/>
              <w:bottom w:val="nil"/>
              <w:right w:val="nil"/>
            </w:tcBorders>
            <w:shd w:val="clear" w:color="auto" w:fill="auto"/>
            <w:noWrap/>
            <w:vAlign w:val="bottom"/>
            <w:hideMark/>
          </w:tcPr>
          <w:p w:rsidR="00541AC9" w:rsidRPr="00D30218" w:rsidRDefault="00541AC9" w:rsidP="00824250">
            <w:pPr>
              <w:spacing w:line="360" w:lineRule="auto"/>
              <w:rPr>
                <w:rFonts w:ascii="Arial" w:hAnsi="Arial" w:cs="Arial"/>
                <w:b/>
                <w:color w:val="000000"/>
              </w:rPr>
            </w:pPr>
          </w:p>
          <w:p w:rsidR="00930C51" w:rsidRPr="00D30218" w:rsidRDefault="00930C51" w:rsidP="00824250">
            <w:pPr>
              <w:spacing w:line="360" w:lineRule="auto"/>
              <w:rPr>
                <w:rFonts w:ascii="Arial" w:hAnsi="Arial" w:cs="Arial"/>
                <w:b/>
                <w:color w:val="000000"/>
              </w:rPr>
            </w:pPr>
            <w:r w:rsidRPr="00D30218">
              <w:rPr>
                <w:rFonts w:ascii="Arial" w:hAnsi="Arial" w:cs="Arial"/>
                <w:b/>
                <w:color w:val="000000"/>
                <w:sz w:val="22"/>
                <w:szCs w:val="22"/>
              </w:rPr>
              <w:lastRenderedPageBreak/>
              <w:t>Sayfa No</w:t>
            </w:r>
          </w:p>
        </w:tc>
      </w:tr>
      <w:tr w:rsidR="00930C51"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1173" w:type="dxa"/>
            <w:gridSpan w:val="2"/>
            <w:tcBorders>
              <w:top w:val="nil"/>
              <w:left w:val="nil"/>
              <w:bottom w:val="nil"/>
              <w:right w:val="nil"/>
            </w:tcBorders>
            <w:shd w:val="clear" w:color="auto" w:fill="auto"/>
            <w:noWrap/>
            <w:vAlign w:val="bottom"/>
            <w:hideMark/>
          </w:tcPr>
          <w:p w:rsidR="00930C51" w:rsidRPr="00D30218" w:rsidRDefault="00930C51" w:rsidP="00824250">
            <w:pPr>
              <w:spacing w:line="360" w:lineRule="auto"/>
              <w:rPr>
                <w:rFonts w:ascii="Arial" w:hAnsi="Arial" w:cs="Arial"/>
                <w:color w:val="000000"/>
              </w:rPr>
            </w:pPr>
          </w:p>
        </w:tc>
      </w:tr>
      <w:tr w:rsidR="00930C51"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930C51" w:rsidRPr="00B02F76" w:rsidRDefault="00930C51" w:rsidP="00824250">
            <w:pPr>
              <w:spacing w:line="360" w:lineRule="auto"/>
              <w:rPr>
                <w:rFonts w:ascii="Arial" w:hAnsi="Arial" w:cs="Arial"/>
              </w:rPr>
            </w:pPr>
            <w:r w:rsidRPr="00B02F76">
              <w:rPr>
                <w:rFonts w:ascii="Arial" w:hAnsi="Arial" w:cs="Arial"/>
                <w:sz w:val="22"/>
                <w:szCs w:val="22"/>
              </w:rPr>
              <w:t>ONAY SAYFASI…………………………………………………………………</w:t>
            </w:r>
            <w:r w:rsidR="0050244D">
              <w:rPr>
                <w:rFonts w:ascii="Arial" w:hAnsi="Arial" w:cs="Arial"/>
                <w:sz w:val="22"/>
                <w:szCs w:val="22"/>
              </w:rPr>
              <w:t>..............</w:t>
            </w:r>
          </w:p>
        </w:tc>
        <w:tc>
          <w:tcPr>
            <w:tcW w:w="1173" w:type="dxa"/>
            <w:gridSpan w:val="2"/>
            <w:tcBorders>
              <w:top w:val="nil"/>
              <w:left w:val="nil"/>
              <w:bottom w:val="nil"/>
              <w:right w:val="nil"/>
            </w:tcBorders>
            <w:shd w:val="clear" w:color="auto" w:fill="auto"/>
            <w:noWrap/>
            <w:vAlign w:val="bottom"/>
            <w:hideMark/>
          </w:tcPr>
          <w:p w:rsidR="00930C51" w:rsidRPr="00B02F76" w:rsidRDefault="00930C51" w:rsidP="00824250">
            <w:pPr>
              <w:spacing w:line="360" w:lineRule="auto"/>
              <w:rPr>
                <w:rFonts w:ascii="Arial" w:hAnsi="Arial" w:cs="Arial"/>
              </w:rPr>
            </w:pPr>
            <w:r w:rsidRPr="00B02F76">
              <w:rPr>
                <w:rFonts w:ascii="Arial" w:hAnsi="Arial" w:cs="Arial"/>
                <w:sz w:val="22"/>
                <w:szCs w:val="22"/>
              </w:rPr>
              <w:t>I</w:t>
            </w:r>
          </w:p>
        </w:tc>
      </w:tr>
      <w:tr w:rsidR="00930C51"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930C51" w:rsidRPr="00B02F76" w:rsidRDefault="00930C51" w:rsidP="00824250">
            <w:pPr>
              <w:spacing w:line="360" w:lineRule="auto"/>
              <w:rPr>
                <w:rFonts w:ascii="Arial" w:hAnsi="Arial" w:cs="Arial"/>
              </w:rPr>
            </w:pPr>
            <w:r w:rsidRPr="00B02F76">
              <w:rPr>
                <w:rFonts w:ascii="Arial" w:hAnsi="Arial" w:cs="Arial"/>
                <w:sz w:val="22"/>
                <w:szCs w:val="22"/>
              </w:rPr>
              <w:t>TEŞEKKÜR………………………………………………………………………</w:t>
            </w:r>
            <w:r w:rsidR="0050244D">
              <w:rPr>
                <w:rFonts w:ascii="Arial" w:hAnsi="Arial" w:cs="Arial"/>
                <w:sz w:val="22"/>
                <w:szCs w:val="22"/>
              </w:rPr>
              <w:t>..............</w:t>
            </w:r>
          </w:p>
        </w:tc>
        <w:tc>
          <w:tcPr>
            <w:tcW w:w="1173" w:type="dxa"/>
            <w:gridSpan w:val="2"/>
            <w:tcBorders>
              <w:top w:val="nil"/>
              <w:left w:val="nil"/>
              <w:bottom w:val="nil"/>
              <w:right w:val="nil"/>
            </w:tcBorders>
            <w:shd w:val="clear" w:color="auto" w:fill="auto"/>
            <w:noWrap/>
            <w:vAlign w:val="bottom"/>
            <w:hideMark/>
          </w:tcPr>
          <w:p w:rsidR="00930C51" w:rsidRPr="00B02F76" w:rsidRDefault="00930C51" w:rsidP="00824250">
            <w:pPr>
              <w:spacing w:line="360" w:lineRule="auto"/>
              <w:rPr>
                <w:rFonts w:ascii="Arial" w:hAnsi="Arial" w:cs="Arial"/>
              </w:rPr>
            </w:pPr>
            <w:r w:rsidRPr="00B02F76">
              <w:rPr>
                <w:rFonts w:ascii="Arial" w:hAnsi="Arial" w:cs="Arial"/>
                <w:sz w:val="22"/>
                <w:szCs w:val="22"/>
              </w:rPr>
              <w:t>II</w:t>
            </w:r>
          </w:p>
        </w:tc>
      </w:tr>
      <w:tr w:rsidR="00930C51"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930C51" w:rsidRPr="00B02F76" w:rsidRDefault="00930C51" w:rsidP="00824250">
            <w:pPr>
              <w:tabs>
                <w:tab w:val="left" w:pos="7865"/>
              </w:tabs>
              <w:spacing w:line="360" w:lineRule="auto"/>
              <w:rPr>
                <w:rFonts w:ascii="Arial" w:hAnsi="Arial" w:cs="Arial"/>
              </w:rPr>
            </w:pPr>
            <w:r w:rsidRPr="00B02F76">
              <w:rPr>
                <w:rFonts w:ascii="Arial" w:hAnsi="Arial" w:cs="Arial"/>
                <w:sz w:val="22"/>
                <w:szCs w:val="22"/>
              </w:rPr>
              <w:t>İÇİNDEKİLER……………………………………………………………………</w:t>
            </w:r>
            <w:r w:rsidR="0050244D">
              <w:rPr>
                <w:rFonts w:ascii="Arial" w:hAnsi="Arial" w:cs="Arial"/>
                <w:sz w:val="22"/>
                <w:szCs w:val="22"/>
              </w:rPr>
              <w:t>..............</w:t>
            </w:r>
          </w:p>
        </w:tc>
        <w:tc>
          <w:tcPr>
            <w:tcW w:w="1173" w:type="dxa"/>
            <w:gridSpan w:val="2"/>
            <w:tcBorders>
              <w:top w:val="nil"/>
              <w:left w:val="nil"/>
              <w:bottom w:val="nil"/>
              <w:right w:val="nil"/>
            </w:tcBorders>
            <w:shd w:val="clear" w:color="auto" w:fill="auto"/>
            <w:noWrap/>
            <w:vAlign w:val="bottom"/>
            <w:hideMark/>
          </w:tcPr>
          <w:p w:rsidR="00930C51" w:rsidRPr="00B02F76" w:rsidRDefault="00930C51" w:rsidP="00824250">
            <w:pPr>
              <w:spacing w:line="360" w:lineRule="auto"/>
              <w:rPr>
                <w:rFonts w:ascii="Arial" w:hAnsi="Arial" w:cs="Arial"/>
              </w:rPr>
            </w:pPr>
            <w:r w:rsidRPr="00B02F76">
              <w:rPr>
                <w:rFonts w:ascii="Arial" w:hAnsi="Arial" w:cs="Arial"/>
                <w:sz w:val="22"/>
                <w:szCs w:val="22"/>
              </w:rPr>
              <w:t>III</w:t>
            </w:r>
          </w:p>
        </w:tc>
      </w:tr>
      <w:tr w:rsidR="00930C51"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930C51" w:rsidRPr="00B02F76" w:rsidRDefault="00930C51" w:rsidP="00824250">
            <w:pPr>
              <w:spacing w:line="360" w:lineRule="auto"/>
              <w:rPr>
                <w:rFonts w:ascii="Arial" w:hAnsi="Arial" w:cs="Arial"/>
              </w:rPr>
            </w:pPr>
            <w:r w:rsidRPr="00B02F76">
              <w:rPr>
                <w:rFonts w:ascii="Arial" w:hAnsi="Arial" w:cs="Arial"/>
                <w:sz w:val="22"/>
                <w:szCs w:val="22"/>
              </w:rPr>
              <w:t>SİMGELER VE KISALTMALAR…………………………………………..……</w:t>
            </w:r>
            <w:r w:rsidR="0050244D">
              <w:rPr>
                <w:rFonts w:ascii="Arial" w:hAnsi="Arial" w:cs="Arial"/>
                <w:sz w:val="22"/>
                <w:szCs w:val="22"/>
              </w:rPr>
              <w:t>.............</w:t>
            </w:r>
          </w:p>
        </w:tc>
        <w:tc>
          <w:tcPr>
            <w:tcW w:w="1173" w:type="dxa"/>
            <w:gridSpan w:val="2"/>
            <w:tcBorders>
              <w:top w:val="nil"/>
              <w:left w:val="nil"/>
              <w:bottom w:val="nil"/>
              <w:right w:val="nil"/>
            </w:tcBorders>
            <w:shd w:val="clear" w:color="auto" w:fill="auto"/>
            <w:noWrap/>
            <w:vAlign w:val="bottom"/>
            <w:hideMark/>
          </w:tcPr>
          <w:p w:rsidR="00930C51" w:rsidRPr="00B02F76" w:rsidRDefault="00930C51" w:rsidP="00824250">
            <w:pPr>
              <w:spacing w:line="360" w:lineRule="auto"/>
              <w:rPr>
                <w:rFonts w:ascii="Arial" w:hAnsi="Arial" w:cs="Arial"/>
              </w:rPr>
            </w:pPr>
            <w:r w:rsidRPr="00B02F76">
              <w:rPr>
                <w:rFonts w:ascii="Arial" w:hAnsi="Arial" w:cs="Arial"/>
                <w:sz w:val="22"/>
                <w:szCs w:val="22"/>
              </w:rPr>
              <w:t>VII</w:t>
            </w:r>
          </w:p>
        </w:tc>
      </w:tr>
      <w:tr w:rsidR="00930C51"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930C51" w:rsidRPr="00B02F76" w:rsidRDefault="00930C51" w:rsidP="00824250">
            <w:pPr>
              <w:spacing w:line="360" w:lineRule="auto"/>
              <w:rPr>
                <w:rFonts w:ascii="Arial" w:hAnsi="Arial" w:cs="Arial"/>
              </w:rPr>
            </w:pPr>
            <w:r w:rsidRPr="00B02F76">
              <w:rPr>
                <w:rFonts w:ascii="Arial" w:hAnsi="Arial" w:cs="Arial"/>
                <w:sz w:val="22"/>
                <w:szCs w:val="22"/>
              </w:rPr>
              <w:t>TABLOLAR DİZİNİ……………………………………………….……………..</w:t>
            </w:r>
            <w:r w:rsidR="0050244D">
              <w:rPr>
                <w:rFonts w:ascii="Arial" w:hAnsi="Arial" w:cs="Arial"/>
                <w:sz w:val="22"/>
                <w:szCs w:val="22"/>
              </w:rPr>
              <w:t>...............</w:t>
            </w:r>
          </w:p>
        </w:tc>
        <w:tc>
          <w:tcPr>
            <w:tcW w:w="1173" w:type="dxa"/>
            <w:gridSpan w:val="2"/>
            <w:tcBorders>
              <w:top w:val="nil"/>
              <w:left w:val="nil"/>
              <w:bottom w:val="nil"/>
              <w:right w:val="nil"/>
            </w:tcBorders>
            <w:shd w:val="clear" w:color="auto" w:fill="auto"/>
            <w:noWrap/>
            <w:vAlign w:val="bottom"/>
            <w:hideMark/>
          </w:tcPr>
          <w:p w:rsidR="00930C51" w:rsidRPr="00B02F76" w:rsidRDefault="008B3E5E" w:rsidP="00824250">
            <w:pPr>
              <w:spacing w:line="360" w:lineRule="auto"/>
              <w:rPr>
                <w:rFonts w:ascii="Arial" w:hAnsi="Arial" w:cs="Arial"/>
              </w:rPr>
            </w:pPr>
            <w:r w:rsidRPr="00B02F76">
              <w:rPr>
                <w:rFonts w:ascii="Arial" w:hAnsi="Arial" w:cs="Arial"/>
                <w:sz w:val="22"/>
                <w:szCs w:val="22"/>
              </w:rPr>
              <w:t>I</w:t>
            </w:r>
            <w:r w:rsidR="00930C51" w:rsidRPr="00B02F76">
              <w:rPr>
                <w:rFonts w:ascii="Arial" w:hAnsi="Arial" w:cs="Arial"/>
                <w:sz w:val="22"/>
                <w:szCs w:val="22"/>
              </w:rPr>
              <w:t>X</w:t>
            </w:r>
          </w:p>
        </w:tc>
      </w:tr>
      <w:tr w:rsidR="008B3E5E"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8B3E5E" w:rsidRPr="00B02F76" w:rsidRDefault="008B3E5E" w:rsidP="008B3E5E">
            <w:pPr>
              <w:spacing w:line="360" w:lineRule="auto"/>
              <w:rPr>
                <w:rFonts w:ascii="Arial" w:hAnsi="Arial" w:cs="Arial"/>
              </w:rPr>
            </w:pPr>
            <w:r w:rsidRPr="00B02F76">
              <w:rPr>
                <w:rFonts w:ascii="Arial" w:hAnsi="Arial" w:cs="Arial"/>
                <w:sz w:val="22"/>
                <w:szCs w:val="22"/>
              </w:rPr>
              <w:t>ŞEKİLLER..................................................... ............................................</w:t>
            </w:r>
            <w:r w:rsidR="0050244D">
              <w:rPr>
                <w:rFonts w:ascii="Arial" w:hAnsi="Arial" w:cs="Arial"/>
                <w:sz w:val="22"/>
                <w:szCs w:val="22"/>
              </w:rPr>
              <w:t>................</w:t>
            </w:r>
          </w:p>
        </w:tc>
        <w:tc>
          <w:tcPr>
            <w:tcW w:w="1173" w:type="dxa"/>
            <w:gridSpan w:val="2"/>
            <w:tcBorders>
              <w:top w:val="nil"/>
              <w:left w:val="nil"/>
              <w:bottom w:val="nil"/>
              <w:right w:val="nil"/>
            </w:tcBorders>
            <w:shd w:val="clear" w:color="auto" w:fill="auto"/>
            <w:noWrap/>
            <w:vAlign w:val="bottom"/>
            <w:hideMark/>
          </w:tcPr>
          <w:p w:rsidR="008B3E5E" w:rsidRPr="00B02F76" w:rsidRDefault="008B3E5E" w:rsidP="00824250">
            <w:pPr>
              <w:spacing w:line="360" w:lineRule="auto"/>
              <w:rPr>
                <w:rFonts w:ascii="Arial" w:hAnsi="Arial" w:cs="Arial"/>
              </w:rPr>
            </w:pPr>
            <w:r w:rsidRPr="00B02F76">
              <w:rPr>
                <w:rFonts w:ascii="Arial" w:hAnsi="Arial" w:cs="Arial"/>
                <w:sz w:val="22"/>
                <w:szCs w:val="22"/>
              </w:rPr>
              <w:t>XII</w:t>
            </w:r>
          </w:p>
        </w:tc>
      </w:tr>
      <w:tr w:rsidR="00930C51"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930C51" w:rsidRPr="00B02F76" w:rsidRDefault="00930C51" w:rsidP="00824250">
            <w:pPr>
              <w:spacing w:line="360" w:lineRule="auto"/>
              <w:rPr>
                <w:rFonts w:ascii="Arial" w:hAnsi="Arial" w:cs="Arial"/>
              </w:rPr>
            </w:pPr>
            <w:r w:rsidRPr="00B02F76">
              <w:rPr>
                <w:rFonts w:ascii="Arial" w:hAnsi="Arial" w:cs="Arial"/>
                <w:sz w:val="22"/>
                <w:szCs w:val="22"/>
              </w:rPr>
              <w:t>ÖZET……………………………………………………….……………………..</w:t>
            </w:r>
            <w:r w:rsidR="0050244D">
              <w:rPr>
                <w:rFonts w:ascii="Arial" w:hAnsi="Arial" w:cs="Arial"/>
                <w:sz w:val="22"/>
                <w:szCs w:val="22"/>
              </w:rPr>
              <w:t>..............</w:t>
            </w:r>
          </w:p>
        </w:tc>
        <w:tc>
          <w:tcPr>
            <w:tcW w:w="1173" w:type="dxa"/>
            <w:gridSpan w:val="2"/>
            <w:tcBorders>
              <w:top w:val="nil"/>
              <w:left w:val="nil"/>
              <w:bottom w:val="nil"/>
              <w:right w:val="nil"/>
            </w:tcBorders>
            <w:shd w:val="clear" w:color="auto" w:fill="auto"/>
            <w:noWrap/>
            <w:vAlign w:val="bottom"/>
            <w:hideMark/>
          </w:tcPr>
          <w:p w:rsidR="00930C51" w:rsidRPr="00B02F76" w:rsidRDefault="00930C51" w:rsidP="00824250">
            <w:pPr>
              <w:spacing w:line="360" w:lineRule="auto"/>
              <w:rPr>
                <w:rFonts w:ascii="Arial" w:hAnsi="Arial" w:cs="Arial"/>
              </w:rPr>
            </w:pPr>
            <w:r w:rsidRPr="00B02F76">
              <w:rPr>
                <w:rFonts w:ascii="Arial" w:hAnsi="Arial" w:cs="Arial"/>
                <w:sz w:val="22"/>
                <w:szCs w:val="22"/>
              </w:rPr>
              <w:t>XII</w:t>
            </w:r>
            <w:r w:rsidR="008B3E5E" w:rsidRPr="00B02F76">
              <w:rPr>
                <w:rFonts w:ascii="Arial" w:hAnsi="Arial" w:cs="Arial"/>
                <w:sz w:val="22"/>
                <w:szCs w:val="22"/>
              </w:rPr>
              <w:t>I</w:t>
            </w:r>
          </w:p>
        </w:tc>
      </w:tr>
      <w:tr w:rsidR="00930C51"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930C51" w:rsidRPr="00B02F76" w:rsidRDefault="00930C51" w:rsidP="00824250">
            <w:pPr>
              <w:spacing w:line="360" w:lineRule="auto"/>
              <w:rPr>
                <w:rFonts w:ascii="Arial" w:hAnsi="Arial" w:cs="Arial"/>
              </w:rPr>
            </w:pPr>
            <w:r w:rsidRPr="00B02F76">
              <w:rPr>
                <w:rFonts w:ascii="Arial" w:hAnsi="Arial" w:cs="Arial"/>
                <w:sz w:val="22"/>
                <w:szCs w:val="22"/>
              </w:rPr>
              <w:t>İNGİLİZCE ÖZET…………………………………………………..…………….</w:t>
            </w:r>
            <w:r w:rsidR="0050244D">
              <w:rPr>
                <w:rFonts w:ascii="Arial" w:hAnsi="Arial" w:cs="Arial"/>
                <w:sz w:val="22"/>
                <w:szCs w:val="22"/>
              </w:rPr>
              <w:t>.............</w:t>
            </w:r>
          </w:p>
        </w:tc>
        <w:tc>
          <w:tcPr>
            <w:tcW w:w="1173" w:type="dxa"/>
            <w:gridSpan w:val="2"/>
            <w:tcBorders>
              <w:top w:val="nil"/>
              <w:left w:val="nil"/>
              <w:bottom w:val="nil"/>
              <w:right w:val="nil"/>
            </w:tcBorders>
            <w:shd w:val="clear" w:color="auto" w:fill="auto"/>
            <w:noWrap/>
            <w:vAlign w:val="bottom"/>
            <w:hideMark/>
          </w:tcPr>
          <w:p w:rsidR="00930C51" w:rsidRPr="00B02F76" w:rsidRDefault="00930C51" w:rsidP="008B3E5E">
            <w:pPr>
              <w:spacing w:line="360" w:lineRule="auto"/>
              <w:rPr>
                <w:rFonts w:ascii="Arial" w:hAnsi="Arial" w:cs="Arial"/>
              </w:rPr>
            </w:pPr>
            <w:r w:rsidRPr="00B02F76">
              <w:rPr>
                <w:rFonts w:ascii="Arial" w:hAnsi="Arial" w:cs="Arial"/>
                <w:sz w:val="22"/>
                <w:szCs w:val="22"/>
              </w:rPr>
              <w:t>X</w:t>
            </w:r>
            <w:r w:rsidR="008B3E5E" w:rsidRPr="00B02F76">
              <w:rPr>
                <w:rFonts w:ascii="Arial" w:hAnsi="Arial" w:cs="Arial"/>
                <w:sz w:val="22"/>
                <w:szCs w:val="22"/>
              </w:rPr>
              <w:t>IV</w:t>
            </w:r>
          </w:p>
        </w:tc>
      </w:tr>
      <w:tr w:rsidR="00930C51"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r w:rsidRPr="00541AC9">
              <w:rPr>
                <w:rFonts w:ascii="Arial" w:hAnsi="Arial" w:cs="Arial"/>
                <w:color w:val="000000"/>
                <w:sz w:val="22"/>
                <w:szCs w:val="22"/>
              </w:rPr>
              <w:t>GİRİŞ………………………………………………………………………………</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930C51" w:rsidRPr="00D30218" w:rsidRDefault="00930C51" w:rsidP="00824250">
            <w:pPr>
              <w:spacing w:line="360" w:lineRule="auto"/>
              <w:rPr>
                <w:rFonts w:ascii="Arial" w:hAnsi="Arial" w:cs="Arial"/>
                <w:color w:val="000000"/>
              </w:rPr>
            </w:pPr>
            <w:r w:rsidRPr="00D30218">
              <w:rPr>
                <w:rFonts w:ascii="Arial" w:hAnsi="Arial" w:cs="Arial"/>
                <w:color w:val="000000"/>
                <w:sz w:val="22"/>
                <w:szCs w:val="22"/>
              </w:rPr>
              <w:t>1</w:t>
            </w:r>
          </w:p>
        </w:tc>
      </w:tr>
      <w:tr w:rsidR="00930C51"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r w:rsidRPr="00541AC9">
              <w:rPr>
                <w:rFonts w:ascii="Arial" w:hAnsi="Arial" w:cs="Arial"/>
                <w:color w:val="000000"/>
                <w:sz w:val="22"/>
                <w:szCs w:val="22"/>
              </w:rPr>
              <w:t>GENEL BİLGİLER………………………………………………………………..</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930C51" w:rsidRPr="00D30218" w:rsidRDefault="00827D11" w:rsidP="00824250">
            <w:pPr>
              <w:spacing w:line="360" w:lineRule="auto"/>
              <w:rPr>
                <w:rFonts w:ascii="Arial" w:hAnsi="Arial" w:cs="Arial"/>
                <w:color w:val="000000"/>
              </w:rPr>
            </w:pPr>
            <w:r w:rsidRPr="00D30218">
              <w:rPr>
                <w:rFonts w:ascii="Arial" w:hAnsi="Arial" w:cs="Arial"/>
                <w:color w:val="000000"/>
                <w:sz w:val="22"/>
                <w:szCs w:val="22"/>
              </w:rPr>
              <w:t>2</w:t>
            </w:r>
          </w:p>
        </w:tc>
      </w:tr>
      <w:tr w:rsidR="00930C51"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8002" w:type="dxa"/>
            <w:gridSpan w:val="5"/>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r w:rsidRPr="00541AC9">
              <w:rPr>
                <w:rFonts w:ascii="Arial" w:hAnsi="Arial" w:cs="Arial"/>
                <w:color w:val="000000"/>
                <w:sz w:val="22"/>
                <w:szCs w:val="22"/>
              </w:rPr>
              <w:t xml:space="preserve">     DİKKAT EKSİKLİĞİ HİPERAKTİVİTE BOZUKLUĞU…………………..</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930C51" w:rsidRPr="00D30218" w:rsidRDefault="00827D11" w:rsidP="00824250">
            <w:pPr>
              <w:spacing w:line="360" w:lineRule="auto"/>
              <w:rPr>
                <w:rFonts w:ascii="Arial" w:hAnsi="Arial" w:cs="Arial"/>
                <w:color w:val="000000"/>
              </w:rPr>
            </w:pPr>
            <w:r w:rsidRPr="00D30218">
              <w:rPr>
                <w:rFonts w:ascii="Arial" w:hAnsi="Arial" w:cs="Arial"/>
                <w:color w:val="000000"/>
                <w:sz w:val="22"/>
                <w:szCs w:val="22"/>
              </w:rPr>
              <w:t>2</w:t>
            </w:r>
          </w:p>
        </w:tc>
      </w:tr>
      <w:tr w:rsidR="00930C51"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930C51" w:rsidRPr="00541AC9" w:rsidRDefault="00930C51" w:rsidP="00824250">
            <w:pPr>
              <w:spacing w:line="360" w:lineRule="auto"/>
              <w:rPr>
                <w:rFonts w:ascii="Arial" w:hAnsi="Arial" w:cs="Arial"/>
                <w:color w:val="000000"/>
              </w:rPr>
            </w:pPr>
          </w:p>
        </w:tc>
        <w:tc>
          <w:tcPr>
            <w:tcW w:w="8002" w:type="dxa"/>
            <w:gridSpan w:val="5"/>
            <w:tcBorders>
              <w:top w:val="nil"/>
              <w:left w:val="nil"/>
              <w:bottom w:val="nil"/>
              <w:right w:val="nil"/>
            </w:tcBorders>
            <w:shd w:val="clear" w:color="auto" w:fill="auto"/>
            <w:noWrap/>
            <w:vAlign w:val="bottom"/>
          </w:tcPr>
          <w:p w:rsidR="00930C51" w:rsidRPr="00541AC9" w:rsidRDefault="00930C51" w:rsidP="00824250">
            <w:pPr>
              <w:spacing w:line="360" w:lineRule="auto"/>
              <w:rPr>
                <w:rFonts w:ascii="Arial" w:hAnsi="Arial" w:cs="Arial"/>
                <w:color w:val="000000"/>
              </w:rPr>
            </w:pPr>
            <w:r w:rsidRPr="00541AC9">
              <w:rPr>
                <w:rFonts w:ascii="Arial" w:hAnsi="Arial" w:cs="Arial"/>
                <w:color w:val="000000"/>
                <w:sz w:val="22"/>
                <w:szCs w:val="22"/>
              </w:rPr>
              <w:t xml:space="preserve">        Tanı</w:t>
            </w:r>
            <w:r w:rsidR="0050244D">
              <w:rPr>
                <w:rFonts w:ascii="Arial" w:hAnsi="Arial" w:cs="Arial"/>
                <w:color w:val="000000"/>
                <w:sz w:val="22"/>
                <w:szCs w:val="22"/>
              </w:rPr>
              <w:t>m……………………………………………………………………….............</w:t>
            </w:r>
            <w:r w:rsidRPr="00541AC9">
              <w:rPr>
                <w:rFonts w:ascii="Arial" w:hAnsi="Arial" w:cs="Arial"/>
                <w:color w:val="000000"/>
                <w:sz w:val="22"/>
                <w:szCs w:val="22"/>
              </w:rPr>
              <w:t xml:space="preserve">      </w:t>
            </w:r>
          </w:p>
        </w:tc>
        <w:tc>
          <w:tcPr>
            <w:tcW w:w="1173" w:type="dxa"/>
            <w:gridSpan w:val="2"/>
            <w:tcBorders>
              <w:top w:val="nil"/>
              <w:left w:val="nil"/>
              <w:bottom w:val="nil"/>
              <w:right w:val="nil"/>
            </w:tcBorders>
            <w:shd w:val="clear" w:color="auto" w:fill="auto"/>
            <w:noWrap/>
            <w:vAlign w:val="bottom"/>
          </w:tcPr>
          <w:p w:rsidR="00930C51" w:rsidRPr="00D30218" w:rsidRDefault="00827D11" w:rsidP="00824250">
            <w:pPr>
              <w:spacing w:line="360" w:lineRule="auto"/>
              <w:rPr>
                <w:rFonts w:ascii="Arial" w:hAnsi="Arial" w:cs="Arial"/>
                <w:color w:val="000000"/>
              </w:rPr>
            </w:pPr>
            <w:r w:rsidRPr="00D30218">
              <w:rPr>
                <w:rFonts w:ascii="Arial" w:hAnsi="Arial" w:cs="Arial"/>
                <w:color w:val="000000"/>
                <w:sz w:val="22"/>
                <w:szCs w:val="22"/>
              </w:rPr>
              <w:t>2</w:t>
            </w:r>
          </w:p>
        </w:tc>
      </w:tr>
      <w:tr w:rsidR="00930C51"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930C51" w:rsidRPr="00541AC9" w:rsidRDefault="00930C51" w:rsidP="00824250">
            <w:pPr>
              <w:spacing w:line="360" w:lineRule="auto"/>
              <w:rPr>
                <w:rFonts w:ascii="Arial" w:hAnsi="Arial" w:cs="Arial"/>
                <w:color w:val="000000"/>
              </w:rPr>
            </w:pPr>
          </w:p>
        </w:tc>
        <w:tc>
          <w:tcPr>
            <w:tcW w:w="8002" w:type="dxa"/>
            <w:gridSpan w:val="5"/>
            <w:tcBorders>
              <w:top w:val="nil"/>
              <w:left w:val="nil"/>
              <w:bottom w:val="nil"/>
              <w:right w:val="nil"/>
            </w:tcBorders>
            <w:shd w:val="clear" w:color="auto" w:fill="auto"/>
            <w:noWrap/>
            <w:vAlign w:val="bottom"/>
          </w:tcPr>
          <w:p w:rsidR="00930C51" w:rsidRPr="00541AC9" w:rsidRDefault="00930C51" w:rsidP="00824250">
            <w:pPr>
              <w:spacing w:line="360" w:lineRule="auto"/>
              <w:rPr>
                <w:rFonts w:ascii="Arial" w:hAnsi="Arial" w:cs="Arial"/>
                <w:color w:val="000000"/>
              </w:rPr>
            </w:pPr>
            <w:r w:rsidRPr="00541AC9">
              <w:rPr>
                <w:rFonts w:ascii="Arial" w:hAnsi="Arial" w:cs="Arial"/>
                <w:color w:val="000000"/>
                <w:sz w:val="22"/>
                <w:szCs w:val="22"/>
              </w:rPr>
              <w:t xml:space="preserve">        Tarihçe……………………………………………………………………</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930C51" w:rsidRPr="00D30218" w:rsidRDefault="00827D11" w:rsidP="00824250">
            <w:pPr>
              <w:spacing w:line="360" w:lineRule="auto"/>
              <w:rPr>
                <w:rFonts w:ascii="Arial" w:hAnsi="Arial" w:cs="Arial"/>
                <w:color w:val="000000"/>
              </w:rPr>
            </w:pPr>
            <w:r w:rsidRPr="00D30218">
              <w:rPr>
                <w:rFonts w:ascii="Arial" w:hAnsi="Arial" w:cs="Arial"/>
                <w:color w:val="000000"/>
                <w:sz w:val="22"/>
                <w:szCs w:val="22"/>
              </w:rPr>
              <w:t>2</w:t>
            </w:r>
          </w:p>
        </w:tc>
      </w:tr>
      <w:tr w:rsidR="00930C51"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930C51" w:rsidRPr="00541AC9" w:rsidRDefault="00930C51" w:rsidP="00824250">
            <w:pPr>
              <w:spacing w:line="360" w:lineRule="auto"/>
              <w:rPr>
                <w:rFonts w:ascii="Arial" w:hAnsi="Arial" w:cs="Arial"/>
                <w:color w:val="000000"/>
              </w:rPr>
            </w:pPr>
          </w:p>
        </w:tc>
        <w:tc>
          <w:tcPr>
            <w:tcW w:w="8002" w:type="dxa"/>
            <w:gridSpan w:val="5"/>
            <w:tcBorders>
              <w:top w:val="nil"/>
              <w:left w:val="nil"/>
              <w:bottom w:val="nil"/>
              <w:right w:val="nil"/>
            </w:tcBorders>
            <w:shd w:val="clear" w:color="auto" w:fill="auto"/>
            <w:noWrap/>
            <w:vAlign w:val="bottom"/>
          </w:tcPr>
          <w:p w:rsidR="00930C51" w:rsidRPr="00541AC9" w:rsidRDefault="00930C51" w:rsidP="0050244D">
            <w:pPr>
              <w:spacing w:line="360" w:lineRule="auto"/>
              <w:rPr>
                <w:rFonts w:ascii="Arial" w:hAnsi="Arial" w:cs="Arial"/>
                <w:color w:val="000000"/>
              </w:rPr>
            </w:pPr>
            <w:r w:rsidRPr="00541AC9">
              <w:rPr>
                <w:rFonts w:ascii="Arial" w:hAnsi="Arial" w:cs="Arial"/>
                <w:color w:val="000000"/>
                <w:sz w:val="22"/>
                <w:szCs w:val="22"/>
              </w:rPr>
              <w:t xml:space="preserve">         Epidemiy</w:t>
            </w:r>
            <w:r w:rsidR="0050244D">
              <w:rPr>
                <w:rFonts w:ascii="Arial" w:hAnsi="Arial" w:cs="Arial"/>
                <w:color w:val="000000"/>
                <w:sz w:val="22"/>
                <w:szCs w:val="22"/>
              </w:rPr>
              <w:t>oloji……………………………………………………………...............</w:t>
            </w:r>
          </w:p>
        </w:tc>
        <w:tc>
          <w:tcPr>
            <w:tcW w:w="1173" w:type="dxa"/>
            <w:gridSpan w:val="2"/>
            <w:tcBorders>
              <w:top w:val="nil"/>
              <w:left w:val="nil"/>
              <w:bottom w:val="nil"/>
              <w:right w:val="nil"/>
            </w:tcBorders>
            <w:shd w:val="clear" w:color="auto" w:fill="auto"/>
            <w:noWrap/>
            <w:vAlign w:val="bottom"/>
          </w:tcPr>
          <w:p w:rsidR="00930C51" w:rsidRPr="00D30218" w:rsidRDefault="00827D11" w:rsidP="00824250">
            <w:pPr>
              <w:spacing w:line="360" w:lineRule="auto"/>
              <w:rPr>
                <w:rFonts w:ascii="Arial" w:hAnsi="Arial" w:cs="Arial"/>
                <w:color w:val="000000"/>
              </w:rPr>
            </w:pPr>
            <w:r w:rsidRPr="00D30218">
              <w:rPr>
                <w:rFonts w:ascii="Arial" w:hAnsi="Arial" w:cs="Arial"/>
                <w:color w:val="000000"/>
                <w:sz w:val="22"/>
                <w:szCs w:val="22"/>
              </w:rPr>
              <w:t>4</w:t>
            </w:r>
          </w:p>
        </w:tc>
      </w:tr>
      <w:tr w:rsidR="00930C51"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930C51" w:rsidRPr="00541AC9" w:rsidRDefault="00930C51" w:rsidP="00824250">
            <w:pPr>
              <w:spacing w:line="360" w:lineRule="auto"/>
              <w:rPr>
                <w:rFonts w:ascii="Arial" w:hAnsi="Arial" w:cs="Arial"/>
                <w:color w:val="000000"/>
              </w:rPr>
            </w:pPr>
          </w:p>
        </w:tc>
        <w:tc>
          <w:tcPr>
            <w:tcW w:w="8002" w:type="dxa"/>
            <w:gridSpan w:val="5"/>
            <w:tcBorders>
              <w:top w:val="nil"/>
              <w:left w:val="nil"/>
              <w:bottom w:val="nil"/>
              <w:right w:val="nil"/>
            </w:tcBorders>
            <w:shd w:val="clear" w:color="auto" w:fill="auto"/>
            <w:noWrap/>
            <w:vAlign w:val="bottom"/>
          </w:tcPr>
          <w:p w:rsidR="00930C51" w:rsidRPr="00541AC9" w:rsidRDefault="00930C51" w:rsidP="00824250">
            <w:pPr>
              <w:spacing w:line="360" w:lineRule="auto"/>
              <w:rPr>
                <w:rFonts w:ascii="Arial" w:hAnsi="Arial" w:cs="Arial"/>
                <w:color w:val="000000"/>
              </w:rPr>
            </w:pPr>
            <w:r w:rsidRPr="00541AC9">
              <w:rPr>
                <w:rFonts w:ascii="Arial" w:hAnsi="Arial" w:cs="Arial"/>
                <w:color w:val="000000"/>
                <w:sz w:val="22"/>
                <w:szCs w:val="22"/>
              </w:rPr>
              <w:t xml:space="preserve">         Etiyoloji……………………………………………………………………</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930C51" w:rsidRPr="00D30218" w:rsidRDefault="00827D11" w:rsidP="00824250">
            <w:pPr>
              <w:spacing w:line="360" w:lineRule="auto"/>
              <w:rPr>
                <w:rFonts w:ascii="Arial" w:hAnsi="Arial" w:cs="Arial"/>
                <w:color w:val="000000"/>
              </w:rPr>
            </w:pPr>
            <w:r w:rsidRPr="00D30218">
              <w:rPr>
                <w:rFonts w:ascii="Arial" w:hAnsi="Arial" w:cs="Arial"/>
                <w:color w:val="000000"/>
                <w:sz w:val="22"/>
                <w:szCs w:val="22"/>
              </w:rPr>
              <w:t>5</w:t>
            </w:r>
          </w:p>
        </w:tc>
      </w:tr>
      <w:tr w:rsidR="00930C51"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195" w:type="dxa"/>
            <w:gridSpan w:val="2"/>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7653" w:type="dxa"/>
            <w:tcBorders>
              <w:top w:val="nil"/>
              <w:left w:val="nil"/>
              <w:bottom w:val="nil"/>
              <w:right w:val="nil"/>
            </w:tcBorders>
            <w:shd w:val="clear" w:color="auto" w:fill="auto"/>
            <w:noWrap/>
            <w:vAlign w:val="bottom"/>
            <w:hideMark/>
          </w:tcPr>
          <w:p w:rsidR="00930C51" w:rsidRPr="006A30B9" w:rsidRDefault="00456824" w:rsidP="00E2355C">
            <w:pPr>
              <w:spacing w:line="360" w:lineRule="auto"/>
              <w:rPr>
                <w:rFonts w:ascii="Arial" w:hAnsi="Arial" w:cs="Arial"/>
                <w:color w:val="000000"/>
              </w:rPr>
            </w:pPr>
            <w:r w:rsidRPr="006A30B9">
              <w:rPr>
                <w:rFonts w:ascii="Arial" w:hAnsi="Arial" w:cs="Arial"/>
                <w:color w:val="000000"/>
                <w:sz w:val="22"/>
                <w:szCs w:val="22"/>
              </w:rPr>
              <w:t xml:space="preserve">              </w:t>
            </w:r>
            <w:r w:rsidR="00930C51" w:rsidRPr="006A30B9">
              <w:rPr>
                <w:rFonts w:ascii="Arial" w:hAnsi="Arial" w:cs="Arial"/>
                <w:color w:val="000000"/>
                <w:sz w:val="22"/>
                <w:szCs w:val="22"/>
              </w:rPr>
              <w:t>Genetik</w:t>
            </w:r>
            <w:r w:rsidR="00827D11" w:rsidRPr="006A30B9">
              <w:rPr>
                <w:rFonts w:ascii="Arial" w:hAnsi="Arial" w:cs="Arial"/>
                <w:color w:val="000000"/>
                <w:sz w:val="22"/>
                <w:szCs w:val="22"/>
              </w:rPr>
              <w:t>.............................. ...................................</w:t>
            </w:r>
            <w:r w:rsidR="00E2355C" w:rsidRPr="006A30B9">
              <w:rPr>
                <w:rFonts w:ascii="Arial" w:hAnsi="Arial" w:cs="Arial"/>
                <w:color w:val="000000"/>
                <w:sz w:val="22"/>
                <w:szCs w:val="22"/>
              </w:rPr>
              <w:t>......</w:t>
            </w:r>
            <w:r w:rsidR="00827D11" w:rsidRPr="006A30B9">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930C51" w:rsidRPr="00D30218" w:rsidRDefault="00827D11" w:rsidP="00824250">
            <w:pPr>
              <w:spacing w:line="360" w:lineRule="auto"/>
              <w:rPr>
                <w:rFonts w:ascii="Arial" w:hAnsi="Arial" w:cs="Arial"/>
                <w:color w:val="000000"/>
              </w:rPr>
            </w:pPr>
            <w:r w:rsidRPr="00D30218">
              <w:rPr>
                <w:rFonts w:ascii="Arial" w:hAnsi="Arial" w:cs="Arial"/>
                <w:color w:val="000000"/>
                <w:sz w:val="22"/>
                <w:szCs w:val="22"/>
              </w:rPr>
              <w:t>5</w:t>
            </w:r>
          </w:p>
        </w:tc>
      </w:tr>
      <w:tr w:rsidR="00930C51"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195" w:type="dxa"/>
            <w:gridSpan w:val="2"/>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7653" w:type="dxa"/>
            <w:tcBorders>
              <w:top w:val="nil"/>
              <w:left w:val="nil"/>
              <w:bottom w:val="nil"/>
              <w:right w:val="nil"/>
            </w:tcBorders>
            <w:shd w:val="clear" w:color="auto" w:fill="auto"/>
            <w:noWrap/>
            <w:vAlign w:val="bottom"/>
            <w:hideMark/>
          </w:tcPr>
          <w:p w:rsidR="00930C51" w:rsidRPr="006A30B9" w:rsidRDefault="00456824" w:rsidP="00456824">
            <w:pPr>
              <w:spacing w:line="360" w:lineRule="auto"/>
              <w:rPr>
                <w:rFonts w:ascii="Arial" w:hAnsi="Arial" w:cs="Arial"/>
                <w:color w:val="000000"/>
              </w:rPr>
            </w:pPr>
            <w:r w:rsidRPr="006A30B9">
              <w:rPr>
                <w:rFonts w:ascii="Arial" w:hAnsi="Arial" w:cs="Arial"/>
                <w:color w:val="000000"/>
                <w:sz w:val="22"/>
                <w:szCs w:val="22"/>
              </w:rPr>
              <w:t xml:space="preserve">              Beyin Yapısı</w:t>
            </w:r>
            <w:r w:rsidR="00930C51" w:rsidRPr="006A30B9">
              <w:rPr>
                <w:rFonts w:ascii="Arial" w:hAnsi="Arial" w:cs="Arial"/>
                <w:color w:val="000000"/>
                <w:sz w:val="22"/>
                <w:szCs w:val="22"/>
              </w:rPr>
              <w:t>………………..………………………………..</w:t>
            </w:r>
            <w:r w:rsidRPr="006A30B9">
              <w:rPr>
                <w:rFonts w:ascii="Arial" w:hAnsi="Arial" w:cs="Arial"/>
                <w:color w:val="000000"/>
                <w:sz w:val="22"/>
                <w:szCs w:val="22"/>
              </w:rPr>
              <w:t>.....</w:t>
            </w:r>
            <w:r w:rsidR="00930C51" w:rsidRPr="006A30B9">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930C51" w:rsidRPr="00D30218" w:rsidRDefault="00456824" w:rsidP="00824250">
            <w:pPr>
              <w:spacing w:line="360" w:lineRule="auto"/>
              <w:rPr>
                <w:rFonts w:ascii="Arial" w:hAnsi="Arial" w:cs="Arial"/>
                <w:color w:val="000000"/>
              </w:rPr>
            </w:pPr>
            <w:r w:rsidRPr="00D30218">
              <w:rPr>
                <w:rFonts w:ascii="Arial" w:hAnsi="Arial" w:cs="Arial"/>
                <w:color w:val="000000"/>
                <w:sz w:val="22"/>
                <w:szCs w:val="22"/>
              </w:rPr>
              <w:t>6</w:t>
            </w:r>
          </w:p>
        </w:tc>
      </w:tr>
      <w:tr w:rsidR="00930C51"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195" w:type="dxa"/>
            <w:gridSpan w:val="2"/>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7653" w:type="dxa"/>
            <w:tcBorders>
              <w:top w:val="nil"/>
              <w:left w:val="nil"/>
              <w:bottom w:val="nil"/>
              <w:right w:val="nil"/>
            </w:tcBorders>
            <w:shd w:val="clear" w:color="auto" w:fill="auto"/>
            <w:noWrap/>
            <w:vAlign w:val="bottom"/>
            <w:hideMark/>
          </w:tcPr>
          <w:p w:rsidR="00930C51" w:rsidRPr="006A30B9" w:rsidRDefault="00456824" w:rsidP="00456824">
            <w:pPr>
              <w:spacing w:line="360" w:lineRule="auto"/>
              <w:rPr>
                <w:rFonts w:ascii="Arial" w:hAnsi="Arial" w:cs="Arial"/>
                <w:color w:val="000000"/>
              </w:rPr>
            </w:pPr>
            <w:r w:rsidRPr="006A30B9">
              <w:rPr>
                <w:rFonts w:ascii="Arial" w:hAnsi="Arial" w:cs="Arial"/>
                <w:color w:val="000000"/>
                <w:sz w:val="22"/>
                <w:szCs w:val="22"/>
              </w:rPr>
              <w:t xml:space="preserve">              Prenatal Sigara Maruziyeti </w:t>
            </w:r>
            <w:r w:rsidR="00930C51" w:rsidRPr="006A30B9">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930C51" w:rsidRPr="00D30218" w:rsidRDefault="00456824" w:rsidP="00824250">
            <w:pPr>
              <w:spacing w:line="360" w:lineRule="auto"/>
              <w:rPr>
                <w:rFonts w:ascii="Arial" w:hAnsi="Arial" w:cs="Arial"/>
                <w:color w:val="000000"/>
              </w:rPr>
            </w:pPr>
            <w:r w:rsidRPr="00D30218">
              <w:rPr>
                <w:rFonts w:ascii="Arial" w:hAnsi="Arial" w:cs="Arial"/>
                <w:color w:val="000000"/>
                <w:sz w:val="22"/>
                <w:szCs w:val="22"/>
              </w:rPr>
              <w:t>6</w:t>
            </w:r>
          </w:p>
        </w:tc>
      </w:tr>
      <w:tr w:rsidR="00930C51"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195" w:type="dxa"/>
            <w:gridSpan w:val="2"/>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7653" w:type="dxa"/>
            <w:tcBorders>
              <w:top w:val="nil"/>
              <w:left w:val="nil"/>
              <w:bottom w:val="nil"/>
              <w:right w:val="nil"/>
            </w:tcBorders>
            <w:shd w:val="clear" w:color="auto" w:fill="auto"/>
            <w:noWrap/>
            <w:vAlign w:val="bottom"/>
            <w:hideMark/>
          </w:tcPr>
          <w:p w:rsidR="00930C51" w:rsidRPr="006A30B9" w:rsidRDefault="00930C51" w:rsidP="00456824">
            <w:pPr>
              <w:spacing w:line="360" w:lineRule="auto"/>
              <w:rPr>
                <w:rFonts w:ascii="Arial" w:hAnsi="Arial" w:cs="Arial"/>
                <w:color w:val="000000"/>
              </w:rPr>
            </w:pPr>
            <w:r w:rsidRPr="006A30B9">
              <w:rPr>
                <w:rFonts w:ascii="Arial" w:hAnsi="Arial" w:cs="Arial"/>
                <w:color w:val="000000"/>
                <w:sz w:val="22"/>
                <w:szCs w:val="22"/>
              </w:rPr>
              <w:t xml:space="preserve">              </w:t>
            </w:r>
            <w:r w:rsidR="00456824" w:rsidRPr="006A30B9">
              <w:rPr>
                <w:rFonts w:ascii="Arial" w:hAnsi="Arial" w:cs="Arial"/>
                <w:color w:val="000000"/>
                <w:sz w:val="22"/>
                <w:szCs w:val="22"/>
              </w:rPr>
              <w:t>Prematürite / Düşük Doğum Ağırlığı</w:t>
            </w:r>
            <w:r w:rsidRPr="006A30B9">
              <w:rPr>
                <w:rFonts w:ascii="Arial" w:hAnsi="Arial" w:cs="Arial"/>
                <w:color w:val="000000"/>
                <w:sz w:val="22"/>
                <w:szCs w:val="22"/>
              </w:rPr>
              <w:t xml:space="preserve"> ……………….</w:t>
            </w:r>
            <w:r w:rsidR="00456824" w:rsidRPr="006A30B9">
              <w:rPr>
                <w:rFonts w:ascii="Arial" w:hAnsi="Arial" w:cs="Arial"/>
                <w:color w:val="000000"/>
                <w:sz w:val="22"/>
                <w:szCs w:val="22"/>
              </w:rPr>
              <w:t>……….</w:t>
            </w:r>
            <w:r w:rsidRPr="006A30B9">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930C51" w:rsidRPr="00D30218" w:rsidRDefault="00456824" w:rsidP="00824250">
            <w:pPr>
              <w:spacing w:line="360" w:lineRule="auto"/>
              <w:rPr>
                <w:rFonts w:ascii="Arial" w:hAnsi="Arial" w:cs="Arial"/>
                <w:color w:val="000000"/>
              </w:rPr>
            </w:pPr>
            <w:r w:rsidRPr="00D30218">
              <w:rPr>
                <w:rFonts w:ascii="Arial" w:hAnsi="Arial" w:cs="Arial"/>
                <w:color w:val="000000"/>
                <w:sz w:val="22"/>
                <w:szCs w:val="22"/>
              </w:rPr>
              <w:t>7</w:t>
            </w:r>
          </w:p>
        </w:tc>
      </w:tr>
      <w:tr w:rsidR="00456824"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456824" w:rsidRPr="00541AC9" w:rsidRDefault="00456824"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456824" w:rsidRPr="00541AC9" w:rsidRDefault="00456824" w:rsidP="00824250">
            <w:pPr>
              <w:spacing w:line="360" w:lineRule="auto"/>
              <w:rPr>
                <w:rFonts w:ascii="Arial" w:hAnsi="Arial" w:cs="Arial"/>
                <w:color w:val="000000"/>
              </w:rPr>
            </w:pPr>
          </w:p>
        </w:tc>
        <w:tc>
          <w:tcPr>
            <w:tcW w:w="195" w:type="dxa"/>
            <w:gridSpan w:val="2"/>
            <w:tcBorders>
              <w:top w:val="nil"/>
              <w:left w:val="nil"/>
              <w:bottom w:val="nil"/>
              <w:right w:val="nil"/>
            </w:tcBorders>
            <w:shd w:val="clear" w:color="auto" w:fill="auto"/>
            <w:noWrap/>
            <w:vAlign w:val="bottom"/>
            <w:hideMark/>
          </w:tcPr>
          <w:p w:rsidR="00456824" w:rsidRPr="00541AC9" w:rsidRDefault="00456824" w:rsidP="00824250">
            <w:pPr>
              <w:spacing w:line="360" w:lineRule="auto"/>
              <w:rPr>
                <w:rFonts w:ascii="Arial" w:hAnsi="Arial" w:cs="Arial"/>
                <w:color w:val="000000"/>
              </w:rPr>
            </w:pPr>
          </w:p>
        </w:tc>
        <w:tc>
          <w:tcPr>
            <w:tcW w:w="7653" w:type="dxa"/>
            <w:tcBorders>
              <w:top w:val="nil"/>
              <w:left w:val="nil"/>
              <w:bottom w:val="nil"/>
              <w:right w:val="nil"/>
            </w:tcBorders>
            <w:shd w:val="clear" w:color="auto" w:fill="auto"/>
            <w:noWrap/>
            <w:vAlign w:val="bottom"/>
            <w:hideMark/>
          </w:tcPr>
          <w:p w:rsidR="00456824" w:rsidRPr="006A30B9" w:rsidRDefault="00456824" w:rsidP="00456824">
            <w:pPr>
              <w:spacing w:line="360" w:lineRule="auto"/>
              <w:rPr>
                <w:rFonts w:ascii="Arial" w:hAnsi="Arial" w:cs="Arial"/>
                <w:color w:val="000000"/>
              </w:rPr>
            </w:pPr>
            <w:r w:rsidRPr="006A30B9">
              <w:rPr>
                <w:rFonts w:ascii="Arial" w:hAnsi="Arial" w:cs="Arial"/>
                <w:color w:val="000000"/>
                <w:sz w:val="22"/>
                <w:szCs w:val="22"/>
              </w:rPr>
              <w:t xml:space="preserve">              Diyet.............................. ................................... .................</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456824" w:rsidRPr="00D30218" w:rsidRDefault="00456824" w:rsidP="00824250">
            <w:pPr>
              <w:spacing w:line="360" w:lineRule="auto"/>
              <w:rPr>
                <w:rFonts w:ascii="Arial" w:hAnsi="Arial" w:cs="Arial"/>
                <w:color w:val="000000"/>
              </w:rPr>
            </w:pPr>
            <w:r w:rsidRPr="00D30218">
              <w:rPr>
                <w:rFonts w:ascii="Arial" w:hAnsi="Arial" w:cs="Arial"/>
                <w:color w:val="000000"/>
                <w:sz w:val="22"/>
                <w:szCs w:val="22"/>
              </w:rPr>
              <w:t>7</w:t>
            </w:r>
          </w:p>
        </w:tc>
      </w:tr>
      <w:tr w:rsidR="00456824"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456824" w:rsidRPr="00541AC9" w:rsidRDefault="00456824"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456824" w:rsidRPr="00541AC9" w:rsidRDefault="00456824" w:rsidP="00824250">
            <w:pPr>
              <w:spacing w:line="360" w:lineRule="auto"/>
              <w:rPr>
                <w:rFonts w:ascii="Arial" w:hAnsi="Arial" w:cs="Arial"/>
                <w:color w:val="000000"/>
              </w:rPr>
            </w:pPr>
          </w:p>
        </w:tc>
        <w:tc>
          <w:tcPr>
            <w:tcW w:w="195" w:type="dxa"/>
            <w:gridSpan w:val="2"/>
            <w:tcBorders>
              <w:top w:val="nil"/>
              <w:left w:val="nil"/>
              <w:bottom w:val="nil"/>
              <w:right w:val="nil"/>
            </w:tcBorders>
            <w:shd w:val="clear" w:color="auto" w:fill="auto"/>
            <w:noWrap/>
            <w:vAlign w:val="bottom"/>
            <w:hideMark/>
          </w:tcPr>
          <w:p w:rsidR="00456824" w:rsidRPr="00541AC9" w:rsidRDefault="00456824" w:rsidP="00824250">
            <w:pPr>
              <w:spacing w:line="360" w:lineRule="auto"/>
              <w:rPr>
                <w:rFonts w:ascii="Arial" w:hAnsi="Arial" w:cs="Arial"/>
                <w:color w:val="000000"/>
              </w:rPr>
            </w:pPr>
          </w:p>
        </w:tc>
        <w:tc>
          <w:tcPr>
            <w:tcW w:w="7653" w:type="dxa"/>
            <w:tcBorders>
              <w:top w:val="nil"/>
              <w:left w:val="nil"/>
              <w:bottom w:val="nil"/>
              <w:right w:val="nil"/>
            </w:tcBorders>
            <w:shd w:val="clear" w:color="auto" w:fill="auto"/>
            <w:noWrap/>
            <w:vAlign w:val="bottom"/>
            <w:hideMark/>
          </w:tcPr>
          <w:p w:rsidR="00456824" w:rsidRPr="006A30B9" w:rsidRDefault="00456824" w:rsidP="00456824">
            <w:pPr>
              <w:spacing w:line="360" w:lineRule="auto"/>
              <w:rPr>
                <w:rFonts w:ascii="Arial" w:hAnsi="Arial" w:cs="Arial"/>
                <w:color w:val="000000"/>
              </w:rPr>
            </w:pPr>
            <w:r w:rsidRPr="006A30B9">
              <w:rPr>
                <w:rFonts w:ascii="Arial" w:hAnsi="Arial" w:cs="Arial"/>
                <w:color w:val="000000"/>
                <w:sz w:val="22"/>
                <w:szCs w:val="22"/>
              </w:rPr>
              <w:t xml:space="preserve">              Aile Ortamı / Ebeveynlik ................................... .................</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456824" w:rsidRPr="00D30218" w:rsidRDefault="00456824" w:rsidP="00824250">
            <w:pPr>
              <w:spacing w:line="360" w:lineRule="auto"/>
              <w:rPr>
                <w:rFonts w:ascii="Arial" w:hAnsi="Arial" w:cs="Arial"/>
                <w:color w:val="000000"/>
              </w:rPr>
            </w:pPr>
            <w:r w:rsidRPr="00D30218">
              <w:rPr>
                <w:rFonts w:ascii="Arial" w:hAnsi="Arial" w:cs="Arial"/>
                <w:color w:val="000000"/>
                <w:sz w:val="22"/>
                <w:szCs w:val="22"/>
              </w:rPr>
              <w:t>8</w:t>
            </w:r>
          </w:p>
        </w:tc>
      </w:tr>
      <w:tr w:rsidR="00456824"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456824" w:rsidRPr="00541AC9" w:rsidRDefault="00456824"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456824" w:rsidRPr="00541AC9" w:rsidRDefault="00456824" w:rsidP="00824250">
            <w:pPr>
              <w:spacing w:line="360" w:lineRule="auto"/>
              <w:rPr>
                <w:rFonts w:ascii="Arial" w:hAnsi="Arial" w:cs="Arial"/>
                <w:color w:val="000000"/>
              </w:rPr>
            </w:pPr>
          </w:p>
        </w:tc>
        <w:tc>
          <w:tcPr>
            <w:tcW w:w="195" w:type="dxa"/>
            <w:gridSpan w:val="2"/>
            <w:tcBorders>
              <w:top w:val="nil"/>
              <w:left w:val="nil"/>
              <w:bottom w:val="nil"/>
              <w:right w:val="nil"/>
            </w:tcBorders>
            <w:shd w:val="clear" w:color="auto" w:fill="auto"/>
            <w:noWrap/>
            <w:vAlign w:val="bottom"/>
            <w:hideMark/>
          </w:tcPr>
          <w:p w:rsidR="00456824" w:rsidRPr="00541AC9" w:rsidRDefault="00456824" w:rsidP="00824250">
            <w:pPr>
              <w:spacing w:line="360" w:lineRule="auto"/>
              <w:rPr>
                <w:rFonts w:ascii="Arial" w:hAnsi="Arial" w:cs="Arial"/>
                <w:color w:val="000000"/>
              </w:rPr>
            </w:pPr>
          </w:p>
        </w:tc>
        <w:tc>
          <w:tcPr>
            <w:tcW w:w="7653" w:type="dxa"/>
            <w:tcBorders>
              <w:top w:val="nil"/>
              <w:left w:val="nil"/>
              <w:bottom w:val="nil"/>
              <w:right w:val="nil"/>
            </w:tcBorders>
            <w:shd w:val="clear" w:color="auto" w:fill="auto"/>
            <w:noWrap/>
            <w:vAlign w:val="bottom"/>
            <w:hideMark/>
          </w:tcPr>
          <w:p w:rsidR="00456824" w:rsidRPr="006A30B9" w:rsidRDefault="00456824" w:rsidP="0050244D">
            <w:pPr>
              <w:spacing w:line="360" w:lineRule="auto"/>
              <w:rPr>
                <w:rFonts w:ascii="Arial" w:hAnsi="Arial" w:cs="Arial"/>
                <w:color w:val="000000"/>
              </w:rPr>
            </w:pPr>
            <w:r w:rsidRPr="006A30B9">
              <w:rPr>
                <w:rFonts w:ascii="Arial" w:hAnsi="Arial" w:cs="Arial"/>
                <w:color w:val="000000"/>
                <w:sz w:val="22"/>
                <w:szCs w:val="22"/>
              </w:rPr>
              <w:t xml:space="preserve">              Erken Yoksunluk / İhmal.............................. ........................</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456824" w:rsidRPr="00D30218" w:rsidRDefault="00456824" w:rsidP="00824250">
            <w:pPr>
              <w:spacing w:line="360" w:lineRule="auto"/>
              <w:rPr>
                <w:rFonts w:ascii="Arial" w:hAnsi="Arial" w:cs="Arial"/>
                <w:color w:val="000000"/>
              </w:rPr>
            </w:pPr>
            <w:r w:rsidRPr="00D30218">
              <w:rPr>
                <w:rFonts w:ascii="Arial" w:hAnsi="Arial" w:cs="Arial"/>
                <w:color w:val="000000"/>
                <w:sz w:val="22"/>
                <w:szCs w:val="22"/>
              </w:rPr>
              <w:t>8</w:t>
            </w:r>
          </w:p>
        </w:tc>
      </w:tr>
      <w:tr w:rsidR="00456824"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456824" w:rsidRPr="00541AC9" w:rsidRDefault="00456824"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456824" w:rsidRPr="00541AC9" w:rsidRDefault="00456824" w:rsidP="00824250">
            <w:pPr>
              <w:spacing w:line="360" w:lineRule="auto"/>
              <w:rPr>
                <w:rFonts w:ascii="Arial" w:hAnsi="Arial" w:cs="Arial"/>
                <w:color w:val="000000"/>
              </w:rPr>
            </w:pPr>
          </w:p>
        </w:tc>
        <w:tc>
          <w:tcPr>
            <w:tcW w:w="195" w:type="dxa"/>
            <w:gridSpan w:val="2"/>
            <w:tcBorders>
              <w:top w:val="nil"/>
              <w:left w:val="nil"/>
              <w:bottom w:val="nil"/>
              <w:right w:val="nil"/>
            </w:tcBorders>
            <w:shd w:val="clear" w:color="auto" w:fill="auto"/>
            <w:noWrap/>
            <w:vAlign w:val="bottom"/>
            <w:hideMark/>
          </w:tcPr>
          <w:p w:rsidR="00456824" w:rsidRPr="00541AC9" w:rsidRDefault="00456824" w:rsidP="00824250">
            <w:pPr>
              <w:spacing w:line="360" w:lineRule="auto"/>
              <w:rPr>
                <w:rFonts w:ascii="Arial" w:hAnsi="Arial" w:cs="Arial"/>
                <w:color w:val="000000"/>
              </w:rPr>
            </w:pPr>
          </w:p>
        </w:tc>
        <w:tc>
          <w:tcPr>
            <w:tcW w:w="7653" w:type="dxa"/>
            <w:tcBorders>
              <w:top w:val="nil"/>
              <w:left w:val="nil"/>
              <w:bottom w:val="nil"/>
              <w:right w:val="nil"/>
            </w:tcBorders>
            <w:shd w:val="clear" w:color="auto" w:fill="auto"/>
            <w:noWrap/>
            <w:vAlign w:val="bottom"/>
            <w:hideMark/>
          </w:tcPr>
          <w:p w:rsidR="00456824" w:rsidRPr="006A30B9" w:rsidRDefault="00456824" w:rsidP="00456824">
            <w:pPr>
              <w:spacing w:line="360" w:lineRule="auto"/>
              <w:rPr>
                <w:rFonts w:ascii="Arial" w:hAnsi="Arial" w:cs="Arial"/>
                <w:color w:val="000000"/>
              </w:rPr>
            </w:pPr>
            <w:r w:rsidRPr="006A30B9">
              <w:rPr>
                <w:rFonts w:ascii="Arial" w:hAnsi="Arial" w:cs="Arial"/>
                <w:color w:val="000000"/>
                <w:sz w:val="22"/>
                <w:szCs w:val="22"/>
              </w:rPr>
              <w:t xml:space="preserve">              Gen Çevre Etkileşimi............................. ..............................</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456824" w:rsidRPr="00D30218" w:rsidRDefault="00456824" w:rsidP="00824250">
            <w:pPr>
              <w:spacing w:line="360" w:lineRule="auto"/>
              <w:rPr>
                <w:rFonts w:ascii="Arial" w:hAnsi="Arial" w:cs="Arial"/>
                <w:color w:val="000000"/>
              </w:rPr>
            </w:pPr>
            <w:r w:rsidRPr="00D30218">
              <w:rPr>
                <w:rFonts w:ascii="Arial" w:hAnsi="Arial" w:cs="Arial"/>
                <w:color w:val="000000"/>
                <w:sz w:val="22"/>
                <w:szCs w:val="22"/>
              </w:rPr>
              <w:t>8</w:t>
            </w:r>
          </w:p>
        </w:tc>
      </w:tr>
      <w:tr w:rsidR="00930C51"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930C51" w:rsidRPr="00541AC9" w:rsidRDefault="00930C51" w:rsidP="00456824">
            <w:pPr>
              <w:spacing w:line="360" w:lineRule="auto"/>
              <w:rPr>
                <w:rFonts w:ascii="Arial" w:hAnsi="Arial" w:cs="Arial"/>
                <w:color w:val="000000"/>
              </w:rPr>
            </w:pPr>
            <w:r w:rsidRPr="00541AC9">
              <w:rPr>
                <w:rFonts w:ascii="Arial" w:hAnsi="Arial" w:cs="Arial"/>
                <w:color w:val="000000"/>
                <w:sz w:val="22"/>
                <w:szCs w:val="22"/>
              </w:rPr>
              <w:t xml:space="preserve">         </w:t>
            </w:r>
            <w:r w:rsidR="00456824">
              <w:rPr>
                <w:rFonts w:ascii="Arial" w:hAnsi="Arial" w:cs="Arial"/>
                <w:color w:val="000000"/>
                <w:sz w:val="22"/>
                <w:szCs w:val="22"/>
              </w:rPr>
              <w:t>Değerlendirme</w:t>
            </w:r>
            <w:r w:rsidRPr="00541AC9">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930C51" w:rsidRPr="00D30218" w:rsidRDefault="00456824" w:rsidP="00824250">
            <w:pPr>
              <w:spacing w:line="360" w:lineRule="auto"/>
              <w:rPr>
                <w:rFonts w:ascii="Arial" w:hAnsi="Arial" w:cs="Arial"/>
                <w:color w:val="000000"/>
              </w:rPr>
            </w:pPr>
            <w:r w:rsidRPr="00D30218">
              <w:rPr>
                <w:rFonts w:ascii="Arial" w:hAnsi="Arial" w:cs="Arial"/>
                <w:color w:val="000000"/>
                <w:sz w:val="22"/>
                <w:szCs w:val="22"/>
              </w:rPr>
              <w:t>9</w:t>
            </w:r>
          </w:p>
        </w:tc>
      </w:tr>
      <w:tr w:rsidR="00930C51"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930C51" w:rsidRPr="00541AC9" w:rsidRDefault="00930C51" w:rsidP="00456824">
            <w:pPr>
              <w:spacing w:line="360" w:lineRule="auto"/>
              <w:rPr>
                <w:rFonts w:ascii="Arial" w:hAnsi="Arial" w:cs="Arial"/>
                <w:color w:val="000000"/>
              </w:rPr>
            </w:pPr>
            <w:r w:rsidRPr="00541AC9">
              <w:rPr>
                <w:rFonts w:ascii="Arial" w:hAnsi="Arial" w:cs="Arial"/>
                <w:color w:val="000000"/>
                <w:sz w:val="22"/>
                <w:szCs w:val="22"/>
              </w:rPr>
              <w:t xml:space="preserve">         </w:t>
            </w:r>
            <w:r w:rsidR="00456824">
              <w:rPr>
                <w:rFonts w:ascii="Arial" w:hAnsi="Arial" w:cs="Arial"/>
                <w:color w:val="000000"/>
                <w:sz w:val="22"/>
                <w:szCs w:val="22"/>
              </w:rPr>
              <w:t xml:space="preserve">     </w:t>
            </w:r>
            <w:r w:rsidR="00DC6C02">
              <w:rPr>
                <w:rFonts w:ascii="Arial" w:hAnsi="Arial" w:cs="Arial"/>
                <w:color w:val="000000"/>
                <w:sz w:val="22"/>
                <w:szCs w:val="22"/>
              </w:rPr>
              <w:t xml:space="preserve">    </w:t>
            </w:r>
            <w:r w:rsidRPr="00541AC9">
              <w:rPr>
                <w:rFonts w:ascii="Arial" w:hAnsi="Arial" w:cs="Arial"/>
                <w:color w:val="000000"/>
                <w:sz w:val="22"/>
                <w:szCs w:val="22"/>
              </w:rPr>
              <w:t xml:space="preserve">Tanı </w:t>
            </w:r>
            <w:r w:rsidR="00DC6C02">
              <w:rPr>
                <w:rFonts w:ascii="Arial" w:hAnsi="Arial" w:cs="Arial"/>
                <w:color w:val="000000"/>
                <w:sz w:val="22"/>
                <w:szCs w:val="22"/>
              </w:rPr>
              <w:t>Ölçütleri…………………………….………………………</w:t>
            </w:r>
            <w:r w:rsidR="003C01CC">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930C51" w:rsidRPr="00D30218" w:rsidRDefault="00456824" w:rsidP="00824250">
            <w:pPr>
              <w:spacing w:line="360" w:lineRule="auto"/>
              <w:rPr>
                <w:rFonts w:ascii="Arial" w:hAnsi="Arial" w:cs="Arial"/>
                <w:color w:val="000000"/>
              </w:rPr>
            </w:pPr>
            <w:r w:rsidRPr="00D30218">
              <w:rPr>
                <w:rFonts w:ascii="Arial" w:hAnsi="Arial" w:cs="Arial"/>
                <w:color w:val="000000"/>
                <w:sz w:val="22"/>
                <w:szCs w:val="22"/>
              </w:rPr>
              <w:t>9</w:t>
            </w:r>
          </w:p>
        </w:tc>
      </w:tr>
      <w:tr w:rsidR="00930C51"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195" w:type="dxa"/>
            <w:gridSpan w:val="2"/>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7653" w:type="dxa"/>
            <w:tcBorders>
              <w:top w:val="nil"/>
              <w:left w:val="nil"/>
              <w:bottom w:val="nil"/>
              <w:right w:val="nil"/>
            </w:tcBorders>
            <w:shd w:val="clear" w:color="auto" w:fill="auto"/>
            <w:noWrap/>
            <w:vAlign w:val="bottom"/>
            <w:hideMark/>
          </w:tcPr>
          <w:p w:rsidR="00930C51" w:rsidRPr="00541AC9" w:rsidRDefault="003C01CC" w:rsidP="00824250">
            <w:pPr>
              <w:spacing w:line="360" w:lineRule="auto"/>
              <w:rPr>
                <w:rFonts w:ascii="Arial" w:hAnsi="Arial" w:cs="Arial"/>
                <w:i/>
                <w:color w:val="000000"/>
              </w:rPr>
            </w:pPr>
            <w:r>
              <w:rPr>
                <w:rFonts w:ascii="Arial" w:hAnsi="Arial" w:cs="Arial"/>
                <w:i/>
                <w:color w:val="000000"/>
                <w:sz w:val="22"/>
                <w:szCs w:val="22"/>
              </w:rPr>
              <w:t xml:space="preserve">               </w:t>
            </w:r>
            <w:r w:rsidR="00930C51" w:rsidRPr="00541AC9">
              <w:rPr>
                <w:rFonts w:ascii="Arial" w:hAnsi="Arial" w:cs="Arial"/>
                <w:i/>
                <w:color w:val="000000"/>
                <w:sz w:val="22"/>
                <w:szCs w:val="22"/>
              </w:rPr>
              <w:t>DSM 5’ e göre Dikkat Eksikliği Hiperaktivite Bozukluğu Tanı</w:t>
            </w:r>
          </w:p>
        </w:tc>
        <w:tc>
          <w:tcPr>
            <w:tcW w:w="1173" w:type="dxa"/>
            <w:gridSpan w:val="2"/>
            <w:tcBorders>
              <w:top w:val="nil"/>
              <w:left w:val="nil"/>
              <w:bottom w:val="nil"/>
              <w:right w:val="nil"/>
            </w:tcBorders>
            <w:shd w:val="clear" w:color="auto" w:fill="auto"/>
            <w:noWrap/>
            <w:vAlign w:val="bottom"/>
            <w:hideMark/>
          </w:tcPr>
          <w:p w:rsidR="00930C51" w:rsidRPr="00D30218" w:rsidRDefault="00930C51" w:rsidP="00456824">
            <w:pPr>
              <w:spacing w:line="360" w:lineRule="auto"/>
              <w:jc w:val="center"/>
              <w:rPr>
                <w:rFonts w:ascii="Arial" w:hAnsi="Arial" w:cs="Arial"/>
                <w:color w:val="000000"/>
              </w:rPr>
            </w:pPr>
          </w:p>
        </w:tc>
      </w:tr>
      <w:tr w:rsidR="00930C51"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195" w:type="dxa"/>
            <w:gridSpan w:val="2"/>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7653" w:type="dxa"/>
            <w:tcBorders>
              <w:top w:val="nil"/>
              <w:left w:val="nil"/>
              <w:bottom w:val="nil"/>
              <w:right w:val="nil"/>
            </w:tcBorders>
            <w:shd w:val="clear" w:color="auto" w:fill="auto"/>
            <w:noWrap/>
            <w:vAlign w:val="bottom"/>
            <w:hideMark/>
          </w:tcPr>
          <w:p w:rsidR="00930C51" w:rsidRPr="00541AC9" w:rsidRDefault="00B02F76" w:rsidP="00B02F76">
            <w:pPr>
              <w:spacing w:line="360" w:lineRule="auto"/>
              <w:rPr>
                <w:rFonts w:ascii="Arial" w:hAnsi="Arial" w:cs="Arial"/>
                <w:i/>
                <w:color w:val="000000"/>
              </w:rPr>
            </w:pPr>
            <w:r>
              <w:rPr>
                <w:rFonts w:ascii="Arial" w:hAnsi="Arial" w:cs="Arial"/>
                <w:i/>
                <w:color w:val="000000"/>
                <w:sz w:val="22"/>
                <w:szCs w:val="22"/>
              </w:rPr>
              <w:t xml:space="preserve">               </w:t>
            </w:r>
            <w:r w:rsidR="00930C51" w:rsidRPr="00541AC9">
              <w:rPr>
                <w:rFonts w:ascii="Arial" w:hAnsi="Arial" w:cs="Arial"/>
                <w:i/>
                <w:color w:val="000000"/>
                <w:sz w:val="22"/>
                <w:szCs w:val="22"/>
              </w:rPr>
              <w:t>Ölçütleri</w:t>
            </w:r>
            <w:r w:rsidR="00456824" w:rsidRPr="00541AC9">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930C51" w:rsidRPr="00D30218" w:rsidRDefault="00456824" w:rsidP="00824250">
            <w:pPr>
              <w:spacing w:line="360" w:lineRule="auto"/>
              <w:rPr>
                <w:rFonts w:ascii="Arial" w:hAnsi="Arial" w:cs="Arial"/>
                <w:color w:val="000000"/>
              </w:rPr>
            </w:pPr>
            <w:r w:rsidRPr="00D30218">
              <w:rPr>
                <w:rFonts w:ascii="Arial" w:hAnsi="Arial" w:cs="Arial"/>
                <w:color w:val="000000"/>
                <w:sz w:val="22"/>
                <w:szCs w:val="22"/>
              </w:rPr>
              <w:t>9</w:t>
            </w:r>
          </w:p>
        </w:tc>
      </w:tr>
      <w:tr w:rsidR="00930C51"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930C51" w:rsidRPr="00541AC9" w:rsidRDefault="00930C51"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tcPr>
          <w:p w:rsidR="00930C51" w:rsidRPr="00541AC9" w:rsidRDefault="00930C51" w:rsidP="00824250">
            <w:pPr>
              <w:spacing w:line="360" w:lineRule="auto"/>
              <w:rPr>
                <w:rFonts w:ascii="Arial" w:hAnsi="Arial" w:cs="Arial"/>
                <w:color w:val="000000"/>
              </w:rPr>
            </w:pPr>
          </w:p>
        </w:tc>
        <w:tc>
          <w:tcPr>
            <w:tcW w:w="195" w:type="dxa"/>
            <w:gridSpan w:val="2"/>
            <w:tcBorders>
              <w:top w:val="nil"/>
              <w:left w:val="nil"/>
              <w:bottom w:val="nil"/>
              <w:right w:val="nil"/>
            </w:tcBorders>
            <w:shd w:val="clear" w:color="auto" w:fill="auto"/>
            <w:noWrap/>
            <w:vAlign w:val="bottom"/>
          </w:tcPr>
          <w:p w:rsidR="00930C51" w:rsidRPr="00541AC9" w:rsidRDefault="00930C51" w:rsidP="00824250">
            <w:pPr>
              <w:spacing w:line="360" w:lineRule="auto"/>
              <w:rPr>
                <w:rFonts w:ascii="Arial" w:hAnsi="Arial" w:cs="Arial"/>
                <w:color w:val="000000"/>
              </w:rPr>
            </w:pPr>
          </w:p>
        </w:tc>
        <w:tc>
          <w:tcPr>
            <w:tcW w:w="7653" w:type="dxa"/>
            <w:tcBorders>
              <w:top w:val="nil"/>
              <w:left w:val="nil"/>
              <w:bottom w:val="nil"/>
              <w:right w:val="nil"/>
            </w:tcBorders>
            <w:shd w:val="clear" w:color="auto" w:fill="auto"/>
            <w:noWrap/>
            <w:vAlign w:val="bottom"/>
          </w:tcPr>
          <w:p w:rsidR="00930C51" w:rsidRPr="00541AC9" w:rsidRDefault="00930C51" w:rsidP="003C01CC">
            <w:pPr>
              <w:spacing w:line="360" w:lineRule="auto"/>
              <w:rPr>
                <w:rFonts w:ascii="Arial" w:hAnsi="Arial" w:cs="Arial"/>
                <w:i/>
                <w:color w:val="000000"/>
              </w:rPr>
            </w:pPr>
            <w:r w:rsidRPr="00541AC9">
              <w:rPr>
                <w:rFonts w:ascii="Arial" w:hAnsi="Arial" w:cs="Arial"/>
                <w:i/>
                <w:color w:val="000000"/>
                <w:sz w:val="22"/>
                <w:szCs w:val="22"/>
              </w:rPr>
              <w:t xml:space="preserve">              Hiperkinetik bozukluklar için ICD-10 Tanı Ölçütleri…………</w:t>
            </w:r>
            <w:r w:rsidR="003C01CC">
              <w:rPr>
                <w:rFonts w:ascii="Arial" w:hAnsi="Arial" w:cs="Arial"/>
                <w:i/>
                <w:color w:val="000000"/>
                <w:sz w:val="22"/>
                <w:szCs w:val="22"/>
              </w:rPr>
              <w:t>....</w:t>
            </w:r>
            <w:r w:rsidR="0050244D">
              <w:rPr>
                <w:rFonts w:ascii="Arial" w:hAnsi="Arial" w:cs="Arial"/>
                <w:i/>
                <w:color w:val="000000"/>
                <w:sz w:val="22"/>
                <w:szCs w:val="22"/>
              </w:rPr>
              <w:t>...........</w:t>
            </w:r>
          </w:p>
        </w:tc>
        <w:tc>
          <w:tcPr>
            <w:tcW w:w="1173" w:type="dxa"/>
            <w:gridSpan w:val="2"/>
            <w:tcBorders>
              <w:top w:val="nil"/>
              <w:left w:val="nil"/>
              <w:bottom w:val="nil"/>
              <w:right w:val="nil"/>
            </w:tcBorders>
            <w:shd w:val="clear" w:color="auto" w:fill="auto"/>
            <w:noWrap/>
            <w:vAlign w:val="bottom"/>
          </w:tcPr>
          <w:p w:rsidR="00930C51" w:rsidRPr="00D30218" w:rsidRDefault="00456824" w:rsidP="00824250">
            <w:pPr>
              <w:spacing w:line="360" w:lineRule="auto"/>
              <w:rPr>
                <w:rFonts w:ascii="Arial" w:hAnsi="Arial" w:cs="Arial"/>
                <w:color w:val="000000"/>
              </w:rPr>
            </w:pPr>
            <w:r w:rsidRPr="00D30218">
              <w:rPr>
                <w:rFonts w:ascii="Arial" w:hAnsi="Arial" w:cs="Arial"/>
                <w:color w:val="000000"/>
                <w:sz w:val="22"/>
                <w:szCs w:val="22"/>
              </w:rPr>
              <w:t>12</w:t>
            </w:r>
          </w:p>
        </w:tc>
      </w:tr>
      <w:tr w:rsidR="00930C51"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930C51" w:rsidRPr="00541AC9" w:rsidRDefault="00930C51"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tcPr>
          <w:p w:rsidR="00930C51" w:rsidRPr="00541AC9" w:rsidRDefault="00930C51" w:rsidP="00824250">
            <w:pPr>
              <w:spacing w:line="360" w:lineRule="auto"/>
              <w:rPr>
                <w:rFonts w:ascii="Arial" w:hAnsi="Arial" w:cs="Arial"/>
                <w:color w:val="000000"/>
              </w:rPr>
            </w:pPr>
          </w:p>
        </w:tc>
        <w:tc>
          <w:tcPr>
            <w:tcW w:w="195" w:type="dxa"/>
            <w:gridSpan w:val="2"/>
            <w:tcBorders>
              <w:top w:val="nil"/>
              <w:left w:val="nil"/>
              <w:bottom w:val="nil"/>
              <w:right w:val="nil"/>
            </w:tcBorders>
            <w:shd w:val="clear" w:color="auto" w:fill="auto"/>
            <w:noWrap/>
            <w:vAlign w:val="bottom"/>
          </w:tcPr>
          <w:p w:rsidR="00930C51" w:rsidRPr="00541AC9" w:rsidRDefault="00930C51" w:rsidP="00824250">
            <w:pPr>
              <w:spacing w:line="360" w:lineRule="auto"/>
              <w:rPr>
                <w:rFonts w:ascii="Arial" w:hAnsi="Arial" w:cs="Arial"/>
                <w:color w:val="000000"/>
              </w:rPr>
            </w:pPr>
          </w:p>
        </w:tc>
        <w:tc>
          <w:tcPr>
            <w:tcW w:w="7653" w:type="dxa"/>
            <w:tcBorders>
              <w:top w:val="nil"/>
              <w:left w:val="nil"/>
              <w:bottom w:val="nil"/>
              <w:right w:val="nil"/>
            </w:tcBorders>
            <w:shd w:val="clear" w:color="auto" w:fill="auto"/>
            <w:noWrap/>
            <w:vAlign w:val="bottom"/>
          </w:tcPr>
          <w:p w:rsidR="00930C51" w:rsidRPr="00541AC9" w:rsidRDefault="00930C51" w:rsidP="00456824">
            <w:pPr>
              <w:spacing w:line="360" w:lineRule="auto"/>
              <w:rPr>
                <w:rFonts w:ascii="Arial" w:hAnsi="Arial" w:cs="Arial"/>
                <w:color w:val="000000"/>
              </w:rPr>
            </w:pPr>
            <w:r w:rsidRPr="00541AC9">
              <w:rPr>
                <w:rFonts w:ascii="Arial" w:hAnsi="Arial" w:cs="Arial"/>
                <w:color w:val="000000"/>
                <w:sz w:val="22"/>
                <w:szCs w:val="22"/>
              </w:rPr>
              <w:t xml:space="preserve">      </w:t>
            </w:r>
            <w:r w:rsidR="00456824">
              <w:rPr>
                <w:rFonts w:ascii="Arial" w:hAnsi="Arial" w:cs="Arial"/>
                <w:color w:val="000000"/>
                <w:sz w:val="22"/>
                <w:szCs w:val="22"/>
              </w:rPr>
              <w:t xml:space="preserve">     </w:t>
            </w:r>
            <w:r w:rsidR="00B02F76">
              <w:rPr>
                <w:rFonts w:ascii="Arial" w:hAnsi="Arial" w:cs="Arial"/>
                <w:color w:val="000000"/>
                <w:sz w:val="22"/>
                <w:szCs w:val="22"/>
              </w:rPr>
              <w:t xml:space="preserve">   </w:t>
            </w:r>
            <w:r w:rsidR="00456824">
              <w:rPr>
                <w:rFonts w:ascii="Arial" w:hAnsi="Arial" w:cs="Arial"/>
                <w:color w:val="000000"/>
                <w:sz w:val="22"/>
                <w:szCs w:val="22"/>
              </w:rPr>
              <w:t>Test ve Ölçekler</w:t>
            </w:r>
            <w:r w:rsidRPr="00541AC9">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930C51" w:rsidRPr="00D30218" w:rsidRDefault="00456824" w:rsidP="00824250">
            <w:pPr>
              <w:spacing w:line="360" w:lineRule="auto"/>
              <w:rPr>
                <w:rFonts w:ascii="Arial" w:hAnsi="Arial" w:cs="Arial"/>
                <w:color w:val="000000"/>
              </w:rPr>
            </w:pPr>
            <w:r w:rsidRPr="00D30218">
              <w:rPr>
                <w:rFonts w:ascii="Arial" w:hAnsi="Arial" w:cs="Arial"/>
                <w:color w:val="000000"/>
                <w:sz w:val="22"/>
                <w:szCs w:val="22"/>
              </w:rPr>
              <w:t>13</w:t>
            </w:r>
          </w:p>
        </w:tc>
      </w:tr>
      <w:tr w:rsidR="00930C51"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930C51" w:rsidRPr="00541AC9" w:rsidRDefault="00930C51" w:rsidP="00456824">
            <w:pPr>
              <w:spacing w:line="360" w:lineRule="auto"/>
              <w:rPr>
                <w:rFonts w:ascii="Arial" w:hAnsi="Arial" w:cs="Arial"/>
                <w:color w:val="000000"/>
              </w:rPr>
            </w:pPr>
            <w:r w:rsidRPr="00541AC9">
              <w:rPr>
                <w:rFonts w:ascii="Arial" w:hAnsi="Arial" w:cs="Arial"/>
                <w:color w:val="000000"/>
                <w:sz w:val="22"/>
                <w:szCs w:val="22"/>
              </w:rPr>
              <w:t xml:space="preserve">         </w:t>
            </w:r>
            <w:r w:rsidR="00456824">
              <w:rPr>
                <w:rFonts w:ascii="Arial" w:hAnsi="Arial" w:cs="Arial"/>
                <w:color w:val="000000"/>
                <w:sz w:val="22"/>
                <w:szCs w:val="22"/>
              </w:rPr>
              <w:t>Eşlik Eden Hastalıklar ve İşlevsel Bozukluklar</w:t>
            </w:r>
            <w:r w:rsidRPr="00541AC9">
              <w:rPr>
                <w:rFonts w:ascii="Arial" w:hAnsi="Arial" w:cs="Arial"/>
                <w:color w:val="000000"/>
                <w:sz w:val="22"/>
                <w:szCs w:val="22"/>
              </w:rPr>
              <w:t xml:space="preserve"> ………………………</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930C51" w:rsidRPr="00D30218" w:rsidRDefault="00DC6C02" w:rsidP="00824250">
            <w:pPr>
              <w:spacing w:line="360" w:lineRule="auto"/>
              <w:rPr>
                <w:rFonts w:ascii="Arial" w:hAnsi="Arial" w:cs="Arial"/>
                <w:color w:val="000000"/>
              </w:rPr>
            </w:pPr>
            <w:r w:rsidRPr="00D30218">
              <w:rPr>
                <w:rFonts w:ascii="Arial" w:hAnsi="Arial" w:cs="Arial"/>
                <w:color w:val="000000"/>
                <w:sz w:val="22"/>
                <w:szCs w:val="22"/>
              </w:rPr>
              <w:t>14</w:t>
            </w:r>
          </w:p>
        </w:tc>
      </w:tr>
      <w:tr w:rsidR="00930C51"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930C51" w:rsidRPr="00541AC9" w:rsidRDefault="00930C51" w:rsidP="00DC6C02">
            <w:pPr>
              <w:spacing w:line="360" w:lineRule="auto"/>
              <w:rPr>
                <w:rFonts w:ascii="Arial" w:hAnsi="Arial" w:cs="Arial"/>
                <w:color w:val="000000"/>
              </w:rPr>
            </w:pPr>
            <w:r w:rsidRPr="00541AC9">
              <w:rPr>
                <w:rFonts w:ascii="Arial" w:hAnsi="Arial" w:cs="Arial"/>
                <w:color w:val="000000"/>
                <w:sz w:val="22"/>
                <w:szCs w:val="22"/>
              </w:rPr>
              <w:t xml:space="preserve">         </w:t>
            </w:r>
            <w:r w:rsidR="00B02F76">
              <w:rPr>
                <w:rFonts w:ascii="Arial" w:hAnsi="Arial" w:cs="Arial"/>
                <w:color w:val="000000"/>
                <w:sz w:val="22"/>
                <w:szCs w:val="22"/>
              </w:rPr>
              <w:t xml:space="preserve">        </w:t>
            </w:r>
            <w:r w:rsidR="00DC6C02">
              <w:rPr>
                <w:rFonts w:ascii="Arial" w:hAnsi="Arial" w:cs="Arial"/>
                <w:color w:val="000000"/>
                <w:sz w:val="22"/>
                <w:szCs w:val="22"/>
              </w:rPr>
              <w:t xml:space="preserve"> Nöropsikolojik İşlevler</w:t>
            </w:r>
            <w:r w:rsidRPr="00541AC9">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930C51" w:rsidRPr="00D30218" w:rsidRDefault="003C0280" w:rsidP="00DC6C02">
            <w:pPr>
              <w:spacing w:line="360" w:lineRule="auto"/>
              <w:rPr>
                <w:rFonts w:ascii="Arial" w:hAnsi="Arial" w:cs="Arial"/>
                <w:color w:val="000000"/>
              </w:rPr>
            </w:pPr>
            <w:r w:rsidRPr="00D30218">
              <w:rPr>
                <w:rFonts w:ascii="Arial" w:hAnsi="Arial" w:cs="Arial"/>
                <w:color w:val="000000"/>
                <w:sz w:val="22"/>
                <w:szCs w:val="22"/>
              </w:rPr>
              <w:t>1</w:t>
            </w:r>
            <w:r w:rsidR="00DC6C02" w:rsidRPr="00D30218">
              <w:rPr>
                <w:rFonts w:ascii="Arial" w:hAnsi="Arial" w:cs="Arial"/>
                <w:color w:val="000000"/>
                <w:sz w:val="22"/>
                <w:szCs w:val="22"/>
              </w:rPr>
              <w:t>4</w:t>
            </w:r>
          </w:p>
        </w:tc>
      </w:tr>
      <w:tr w:rsidR="00DC6C02"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DC6C02" w:rsidRPr="00541AC9" w:rsidRDefault="00DC6C02"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DC6C02" w:rsidRPr="00541AC9" w:rsidRDefault="00DC6C02"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DC6C02" w:rsidRPr="00541AC9" w:rsidRDefault="00DC6C02" w:rsidP="0050244D">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Duygusal İşlevsellik</w:t>
            </w:r>
            <w:r w:rsidRPr="00541AC9">
              <w:rPr>
                <w:rFonts w:ascii="Arial" w:hAnsi="Arial" w:cs="Arial"/>
                <w:color w:val="000000"/>
                <w:sz w:val="22"/>
                <w:szCs w:val="22"/>
              </w:rPr>
              <w:t>……………………………..……………</w:t>
            </w:r>
            <w:r>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DC6C02" w:rsidRPr="00D30218" w:rsidRDefault="00DC6C02" w:rsidP="00DC6C02">
            <w:pPr>
              <w:spacing w:line="360" w:lineRule="auto"/>
              <w:rPr>
                <w:rFonts w:ascii="Arial" w:hAnsi="Arial" w:cs="Arial"/>
                <w:color w:val="000000"/>
              </w:rPr>
            </w:pPr>
            <w:r w:rsidRPr="00D30218">
              <w:rPr>
                <w:rFonts w:ascii="Arial" w:hAnsi="Arial" w:cs="Arial"/>
                <w:color w:val="000000"/>
                <w:sz w:val="22"/>
                <w:szCs w:val="22"/>
              </w:rPr>
              <w:t>14</w:t>
            </w:r>
          </w:p>
        </w:tc>
      </w:tr>
      <w:tr w:rsidR="00930C51"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930C51" w:rsidRPr="00541AC9" w:rsidRDefault="00930C51"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tcPr>
          <w:p w:rsidR="00930C51" w:rsidRPr="00541AC9" w:rsidRDefault="00930C51"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tcPr>
          <w:p w:rsidR="00930C51" w:rsidRPr="00541AC9" w:rsidRDefault="00DC6C02" w:rsidP="0050244D">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Sosyal / Akran İşlevselliği</w:t>
            </w:r>
            <w:r w:rsidRPr="00541AC9">
              <w:rPr>
                <w:rFonts w:ascii="Arial" w:hAnsi="Arial" w:cs="Arial"/>
                <w:color w:val="000000"/>
                <w:sz w:val="22"/>
                <w:szCs w:val="22"/>
              </w:rPr>
              <w:t>……………………………..………</w:t>
            </w:r>
            <w:r>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930C51" w:rsidRPr="00D30218" w:rsidRDefault="003C0280" w:rsidP="00DC6C02">
            <w:pPr>
              <w:spacing w:line="360" w:lineRule="auto"/>
              <w:rPr>
                <w:rFonts w:ascii="Arial" w:hAnsi="Arial" w:cs="Arial"/>
                <w:color w:val="000000"/>
              </w:rPr>
            </w:pPr>
            <w:r w:rsidRPr="00D30218">
              <w:rPr>
                <w:rFonts w:ascii="Arial" w:hAnsi="Arial" w:cs="Arial"/>
                <w:color w:val="000000"/>
                <w:sz w:val="22"/>
                <w:szCs w:val="22"/>
              </w:rPr>
              <w:t>1</w:t>
            </w:r>
            <w:r w:rsidR="00DC6C02" w:rsidRPr="00D30218">
              <w:rPr>
                <w:rFonts w:ascii="Arial" w:hAnsi="Arial" w:cs="Arial"/>
                <w:color w:val="000000"/>
                <w:sz w:val="22"/>
                <w:szCs w:val="22"/>
              </w:rPr>
              <w:t>5</w:t>
            </w:r>
          </w:p>
        </w:tc>
      </w:tr>
      <w:tr w:rsidR="00930C51"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930C51" w:rsidRPr="00541AC9" w:rsidRDefault="00930C51"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930C51" w:rsidRPr="00541AC9" w:rsidRDefault="003C01CC" w:rsidP="0050244D">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Akademik İşlevsellik</w:t>
            </w:r>
            <w:r w:rsidR="00E2355C">
              <w:rPr>
                <w:rFonts w:ascii="Arial" w:hAnsi="Arial" w:cs="Arial"/>
                <w:color w:val="000000"/>
                <w:sz w:val="22"/>
                <w:szCs w:val="22"/>
              </w:rPr>
              <w:t>..……………………………………………</w:t>
            </w:r>
            <w:r w:rsidR="0050244D">
              <w:rPr>
                <w:rFonts w:ascii="Arial" w:hAnsi="Arial" w:cs="Arial"/>
                <w:color w:val="000000"/>
                <w:sz w:val="22"/>
                <w:szCs w:val="22"/>
              </w:rPr>
              <w:t>.</w:t>
            </w:r>
            <w:r w:rsidR="00930C51" w:rsidRPr="00541AC9">
              <w:rPr>
                <w:rFonts w:ascii="Arial" w:hAnsi="Arial" w:cs="Arial"/>
                <w:color w:val="000000"/>
                <w:sz w:val="22"/>
                <w:szCs w:val="22"/>
              </w:rPr>
              <w:t xml:space="preserve"> </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930C51" w:rsidRPr="00D30218" w:rsidRDefault="003C01CC" w:rsidP="00824250">
            <w:pPr>
              <w:spacing w:line="360" w:lineRule="auto"/>
              <w:rPr>
                <w:rFonts w:ascii="Arial" w:hAnsi="Arial" w:cs="Arial"/>
                <w:color w:val="000000"/>
              </w:rPr>
            </w:pPr>
            <w:r w:rsidRPr="00D30218">
              <w:rPr>
                <w:rFonts w:ascii="Arial" w:hAnsi="Arial" w:cs="Arial"/>
                <w:color w:val="000000"/>
                <w:sz w:val="22"/>
                <w:szCs w:val="22"/>
              </w:rPr>
              <w:t>15</w:t>
            </w:r>
          </w:p>
        </w:tc>
      </w:tr>
      <w:tr w:rsidR="003C01CC"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3C01CC" w:rsidRPr="00541AC9" w:rsidRDefault="003C01CC"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3C01CC" w:rsidRPr="00541AC9" w:rsidRDefault="003C01CC"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3C01CC" w:rsidRPr="00541AC9" w:rsidRDefault="003C01CC" w:rsidP="003C01CC">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Yıkıcı Davranış Bozuklukları..…………………………………</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3C01CC" w:rsidRPr="00D30218" w:rsidRDefault="003C01CC" w:rsidP="00824250">
            <w:pPr>
              <w:spacing w:line="360" w:lineRule="auto"/>
              <w:rPr>
                <w:rFonts w:ascii="Arial" w:hAnsi="Arial" w:cs="Arial"/>
                <w:color w:val="000000"/>
              </w:rPr>
            </w:pPr>
            <w:r w:rsidRPr="00D30218">
              <w:rPr>
                <w:rFonts w:ascii="Arial" w:hAnsi="Arial" w:cs="Arial"/>
                <w:color w:val="000000"/>
                <w:sz w:val="22"/>
                <w:szCs w:val="22"/>
              </w:rPr>
              <w:t>15</w:t>
            </w:r>
          </w:p>
        </w:tc>
      </w:tr>
      <w:tr w:rsidR="003C01CC"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3C01CC" w:rsidRPr="00541AC9" w:rsidRDefault="003C01CC"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3C01CC" w:rsidRPr="00541AC9" w:rsidRDefault="003C01CC"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3C01CC" w:rsidRPr="00541AC9" w:rsidRDefault="003C01CC" w:rsidP="003C01CC">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w:t>
            </w:r>
            <w:r w:rsidRPr="00541AC9">
              <w:rPr>
                <w:rFonts w:ascii="Arial" w:hAnsi="Arial" w:cs="Arial"/>
                <w:color w:val="000000"/>
                <w:sz w:val="22"/>
                <w:szCs w:val="22"/>
              </w:rPr>
              <w:t xml:space="preserve"> </w:t>
            </w:r>
            <w:r>
              <w:rPr>
                <w:rFonts w:ascii="Arial" w:hAnsi="Arial" w:cs="Arial"/>
                <w:color w:val="000000"/>
                <w:sz w:val="22"/>
                <w:szCs w:val="22"/>
              </w:rPr>
              <w:t>Duygudurum ve Anksiyete Bozuklukları</w:t>
            </w:r>
            <w:r w:rsidR="0050244D">
              <w:rPr>
                <w:rFonts w:ascii="Arial" w:hAnsi="Arial" w:cs="Arial"/>
                <w:color w:val="000000"/>
                <w:sz w:val="22"/>
                <w:szCs w:val="22"/>
              </w:rPr>
              <w:t>……………………….</w:t>
            </w:r>
            <w:r w:rsidRPr="00541AC9">
              <w:rPr>
                <w:rFonts w:ascii="Arial" w:hAnsi="Arial" w:cs="Arial"/>
                <w:color w:val="000000"/>
                <w:sz w:val="22"/>
                <w:szCs w:val="22"/>
              </w:rPr>
              <w:t xml:space="preserve"> </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3C01CC" w:rsidRPr="00D30218" w:rsidRDefault="003C01CC" w:rsidP="00824250">
            <w:pPr>
              <w:spacing w:line="360" w:lineRule="auto"/>
              <w:rPr>
                <w:rFonts w:ascii="Arial" w:hAnsi="Arial" w:cs="Arial"/>
                <w:color w:val="000000"/>
              </w:rPr>
            </w:pPr>
            <w:r w:rsidRPr="00D30218">
              <w:rPr>
                <w:rFonts w:ascii="Arial" w:hAnsi="Arial" w:cs="Arial"/>
                <w:color w:val="000000"/>
                <w:sz w:val="22"/>
                <w:szCs w:val="22"/>
              </w:rPr>
              <w:t>16</w:t>
            </w:r>
          </w:p>
        </w:tc>
      </w:tr>
      <w:tr w:rsidR="003C01CC"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3C01CC" w:rsidRPr="00541AC9" w:rsidRDefault="003C01CC"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3C01CC" w:rsidRPr="00541AC9" w:rsidRDefault="003C01CC"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3C01CC" w:rsidRPr="00541AC9" w:rsidRDefault="003C01CC" w:rsidP="0050244D">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Tik Bozuklukları</w:t>
            </w:r>
            <w:r w:rsidRPr="00541AC9">
              <w:rPr>
                <w:rFonts w:ascii="Arial" w:hAnsi="Arial" w:cs="Arial"/>
                <w:color w:val="000000"/>
                <w:sz w:val="22"/>
                <w:szCs w:val="22"/>
              </w:rPr>
              <w:t>..………………………………………………</w:t>
            </w:r>
            <w:r>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3C01CC" w:rsidRPr="00D30218" w:rsidRDefault="003C01CC" w:rsidP="00824250">
            <w:pPr>
              <w:spacing w:line="360" w:lineRule="auto"/>
              <w:rPr>
                <w:rFonts w:ascii="Arial" w:hAnsi="Arial" w:cs="Arial"/>
                <w:color w:val="000000"/>
              </w:rPr>
            </w:pPr>
            <w:r w:rsidRPr="00D30218">
              <w:rPr>
                <w:rFonts w:ascii="Arial" w:hAnsi="Arial" w:cs="Arial"/>
                <w:color w:val="000000"/>
                <w:sz w:val="22"/>
                <w:szCs w:val="22"/>
              </w:rPr>
              <w:t>16</w:t>
            </w:r>
          </w:p>
        </w:tc>
      </w:tr>
      <w:tr w:rsidR="003C01CC"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3C01CC" w:rsidRPr="00541AC9" w:rsidRDefault="003C01CC"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3C01CC" w:rsidRPr="00541AC9" w:rsidRDefault="003C01CC"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3C01CC" w:rsidRPr="00541AC9" w:rsidRDefault="003C01CC" w:rsidP="0050244D">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Madde Kötüye Kullanımı</w:t>
            </w:r>
            <w:r w:rsidRPr="00541AC9">
              <w:rPr>
                <w:rFonts w:ascii="Arial" w:hAnsi="Arial" w:cs="Arial"/>
                <w:color w:val="000000"/>
                <w:sz w:val="22"/>
                <w:szCs w:val="22"/>
              </w:rPr>
              <w:t>..………………………………………</w:t>
            </w:r>
            <w:r>
              <w:rPr>
                <w:rFonts w:ascii="Arial" w:hAnsi="Arial" w:cs="Arial"/>
                <w:color w:val="000000"/>
                <w:sz w:val="22"/>
                <w:szCs w:val="22"/>
              </w:rPr>
              <w:t>.</w:t>
            </w:r>
            <w:r w:rsidRPr="00541AC9">
              <w:rPr>
                <w:rFonts w:ascii="Arial" w:hAnsi="Arial" w:cs="Arial"/>
                <w:color w:val="000000"/>
                <w:sz w:val="22"/>
                <w:szCs w:val="22"/>
              </w:rPr>
              <w:t xml:space="preserve"> </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3C01CC" w:rsidRPr="00D30218" w:rsidRDefault="003C01CC" w:rsidP="00824250">
            <w:pPr>
              <w:spacing w:line="360" w:lineRule="auto"/>
              <w:rPr>
                <w:rFonts w:ascii="Arial" w:hAnsi="Arial" w:cs="Arial"/>
                <w:color w:val="000000"/>
              </w:rPr>
            </w:pPr>
            <w:r w:rsidRPr="00D30218">
              <w:rPr>
                <w:rFonts w:ascii="Arial" w:hAnsi="Arial" w:cs="Arial"/>
                <w:color w:val="000000"/>
                <w:sz w:val="22"/>
                <w:szCs w:val="22"/>
              </w:rPr>
              <w:t>16</w:t>
            </w:r>
          </w:p>
        </w:tc>
      </w:tr>
      <w:tr w:rsidR="003C01CC"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3C01CC" w:rsidRPr="00541AC9" w:rsidRDefault="003C01CC" w:rsidP="00824250">
            <w:pPr>
              <w:spacing w:line="360" w:lineRule="auto"/>
              <w:rPr>
                <w:rFonts w:ascii="Arial" w:hAnsi="Arial" w:cs="Arial"/>
                <w:color w:val="000000"/>
              </w:rPr>
            </w:pPr>
          </w:p>
        </w:tc>
        <w:tc>
          <w:tcPr>
            <w:tcW w:w="8002" w:type="dxa"/>
            <w:gridSpan w:val="5"/>
            <w:tcBorders>
              <w:top w:val="nil"/>
              <w:left w:val="nil"/>
              <w:bottom w:val="nil"/>
              <w:right w:val="nil"/>
            </w:tcBorders>
            <w:shd w:val="clear" w:color="auto" w:fill="auto"/>
            <w:noWrap/>
            <w:vAlign w:val="bottom"/>
            <w:hideMark/>
          </w:tcPr>
          <w:p w:rsidR="003C01CC" w:rsidRPr="00541AC9" w:rsidRDefault="003C01CC" w:rsidP="0050244D">
            <w:pPr>
              <w:spacing w:line="360" w:lineRule="auto"/>
              <w:rPr>
                <w:rFonts w:ascii="Arial" w:hAnsi="Arial" w:cs="Arial"/>
                <w:color w:val="000000"/>
              </w:rPr>
            </w:pPr>
            <w:r w:rsidRPr="00541AC9">
              <w:rPr>
                <w:rFonts w:ascii="Arial" w:hAnsi="Arial" w:cs="Arial"/>
                <w:color w:val="000000"/>
                <w:sz w:val="22"/>
                <w:szCs w:val="22"/>
              </w:rPr>
              <w:t xml:space="preserve">      </w:t>
            </w:r>
            <w:r w:rsidR="00807B2D">
              <w:rPr>
                <w:rFonts w:ascii="Arial" w:hAnsi="Arial" w:cs="Arial"/>
                <w:color w:val="000000"/>
                <w:sz w:val="22"/>
                <w:szCs w:val="22"/>
              </w:rPr>
              <w:t xml:space="preserve">  </w:t>
            </w:r>
            <w:r>
              <w:rPr>
                <w:rFonts w:ascii="Arial" w:hAnsi="Arial" w:cs="Arial"/>
                <w:color w:val="000000"/>
                <w:sz w:val="22"/>
                <w:szCs w:val="22"/>
              </w:rPr>
              <w:t>Tedavi..</w:t>
            </w:r>
            <w:r w:rsidRPr="00541AC9">
              <w:rPr>
                <w:rFonts w:ascii="Arial" w:hAnsi="Arial" w:cs="Arial"/>
                <w:color w:val="000000"/>
                <w:sz w:val="22"/>
                <w:szCs w:val="22"/>
              </w:rPr>
              <w:t xml:space="preserve"> ………………………</w:t>
            </w:r>
            <w:r>
              <w:rPr>
                <w:rFonts w:ascii="Arial" w:hAnsi="Arial" w:cs="Arial"/>
                <w:color w:val="000000"/>
                <w:sz w:val="22"/>
                <w:szCs w:val="22"/>
              </w:rPr>
              <w:t>.............................................................</w:t>
            </w:r>
            <w:r w:rsidR="001307CB">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3C01CC" w:rsidRPr="00D30218" w:rsidRDefault="003C01CC" w:rsidP="003C01CC">
            <w:pPr>
              <w:spacing w:line="360" w:lineRule="auto"/>
              <w:rPr>
                <w:rFonts w:ascii="Arial" w:hAnsi="Arial" w:cs="Arial"/>
                <w:color w:val="000000"/>
              </w:rPr>
            </w:pPr>
            <w:r w:rsidRPr="00D30218">
              <w:rPr>
                <w:rFonts w:ascii="Arial" w:hAnsi="Arial" w:cs="Arial"/>
                <w:color w:val="000000"/>
                <w:sz w:val="22"/>
                <w:szCs w:val="22"/>
              </w:rPr>
              <w:t>17</w:t>
            </w:r>
          </w:p>
        </w:tc>
      </w:tr>
      <w:tr w:rsidR="00807B2D"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807B2D" w:rsidRPr="00541AC9" w:rsidRDefault="00807B2D" w:rsidP="00824250">
            <w:pPr>
              <w:spacing w:line="360" w:lineRule="auto"/>
              <w:rPr>
                <w:rFonts w:ascii="Arial" w:hAnsi="Arial" w:cs="Arial"/>
                <w:color w:val="000000"/>
              </w:rPr>
            </w:pPr>
          </w:p>
        </w:tc>
        <w:tc>
          <w:tcPr>
            <w:tcW w:w="8002" w:type="dxa"/>
            <w:gridSpan w:val="5"/>
            <w:tcBorders>
              <w:top w:val="nil"/>
              <w:left w:val="nil"/>
              <w:bottom w:val="nil"/>
              <w:right w:val="nil"/>
            </w:tcBorders>
            <w:shd w:val="clear" w:color="auto" w:fill="auto"/>
            <w:noWrap/>
            <w:vAlign w:val="bottom"/>
            <w:hideMark/>
          </w:tcPr>
          <w:p w:rsidR="00807B2D" w:rsidRPr="00541AC9" w:rsidRDefault="00807B2D" w:rsidP="0050244D">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Farmakoterapi</w:t>
            </w:r>
            <w:r w:rsidRPr="00541AC9">
              <w:rPr>
                <w:rFonts w:ascii="Arial" w:hAnsi="Arial" w:cs="Arial"/>
                <w:color w:val="000000"/>
                <w:sz w:val="22"/>
                <w:szCs w:val="22"/>
              </w:rPr>
              <w:t>..………………………………………</w:t>
            </w:r>
            <w:r>
              <w:rPr>
                <w:rFonts w:ascii="Arial" w:hAnsi="Arial" w:cs="Arial"/>
                <w:color w:val="000000"/>
                <w:sz w:val="22"/>
                <w:szCs w:val="22"/>
              </w:rPr>
              <w:t>... ..............</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807B2D" w:rsidRPr="00D30218" w:rsidRDefault="001307CB" w:rsidP="001307CB">
            <w:pPr>
              <w:spacing w:line="360" w:lineRule="auto"/>
              <w:rPr>
                <w:rFonts w:ascii="Arial" w:hAnsi="Arial" w:cs="Arial"/>
                <w:color w:val="000000"/>
              </w:rPr>
            </w:pPr>
            <w:r w:rsidRPr="00D30218">
              <w:rPr>
                <w:rFonts w:ascii="Arial" w:hAnsi="Arial" w:cs="Arial"/>
                <w:color w:val="000000"/>
                <w:sz w:val="22"/>
                <w:szCs w:val="22"/>
              </w:rPr>
              <w:t>17</w:t>
            </w:r>
          </w:p>
        </w:tc>
      </w:tr>
      <w:tr w:rsidR="001307CB"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1307CB" w:rsidRPr="00541AC9" w:rsidRDefault="001307CB" w:rsidP="00824250">
            <w:pPr>
              <w:spacing w:line="360" w:lineRule="auto"/>
              <w:rPr>
                <w:rFonts w:ascii="Arial" w:hAnsi="Arial" w:cs="Arial"/>
                <w:color w:val="000000"/>
              </w:rPr>
            </w:pPr>
          </w:p>
        </w:tc>
        <w:tc>
          <w:tcPr>
            <w:tcW w:w="8002" w:type="dxa"/>
            <w:gridSpan w:val="5"/>
            <w:tcBorders>
              <w:top w:val="nil"/>
              <w:left w:val="nil"/>
              <w:bottom w:val="nil"/>
              <w:right w:val="nil"/>
            </w:tcBorders>
            <w:shd w:val="clear" w:color="auto" w:fill="auto"/>
            <w:noWrap/>
            <w:vAlign w:val="bottom"/>
          </w:tcPr>
          <w:p w:rsidR="001307CB" w:rsidRPr="00541AC9" w:rsidRDefault="001307CB" w:rsidP="0050244D">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Farmakolojik Olmayan Tedaviler..............................................</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1307CB" w:rsidRPr="00D30218" w:rsidRDefault="001307CB" w:rsidP="001307CB">
            <w:pPr>
              <w:spacing w:line="360" w:lineRule="auto"/>
              <w:rPr>
                <w:rFonts w:ascii="Arial" w:hAnsi="Arial" w:cs="Arial"/>
                <w:color w:val="000000"/>
              </w:rPr>
            </w:pPr>
            <w:r w:rsidRPr="00D30218">
              <w:rPr>
                <w:rFonts w:ascii="Arial" w:hAnsi="Arial" w:cs="Arial"/>
                <w:color w:val="000000"/>
                <w:sz w:val="22"/>
                <w:szCs w:val="22"/>
              </w:rPr>
              <w:t>17</w:t>
            </w:r>
          </w:p>
        </w:tc>
      </w:tr>
      <w:tr w:rsidR="00DA176E"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DA176E" w:rsidRPr="00541AC9" w:rsidRDefault="00DA176E" w:rsidP="00824250">
            <w:pPr>
              <w:spacing w:line="360" w:lineRule="auto"/>
              <w:rPr>
                <w:rFonts w:ascii="Arial" w:hAnsi="Arial" w:cs="Arial"/>
                <w:color w:val="000000"/>
              </w:rPr>
            </w:pPr>
          </w:p>
        </w:tc>
        <w:tc>
          <w:tcPr>
            <w:tcW w:w="8002" w:type="dxa"/>
            <w:gridSpan w:val="5"/>
            <w:tcBorders>
              <w:top w:val="nil"/>
              <w:left w:val="nil"/>
              <w:bottom w:val="nil"/>
              <w:right w:val="nil"/>
            </w:tcBorders>
            <w:shd w:val="clear" w:color="auto" w:fill="auto"/>
            <w:noWrap/>
            <w:vAlign w:val="bottom"/>
          </w:tcPr>
          <w:p w:rsidR="00DA176E" w:rsidRPr="00541AC9" w:rsidRDefault="00DA176E" w:rsidP="0050244D">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Ebeveynlik Müdahaleleri...........................................................</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DA176E" w:rsidRPr="00D30218" w:rsidRDefault="00DA176E" w:rsidP="00DA176E">
            <w:pPr>
              <w:spacing w:line="360" w:lineRule="auto"/>
              <w:rPr>
                <w:rFonts w:ascii="Arial" w:hAnsi="Arial" w:cs="Arial"/>
                <w:color w:val="000000"/>
              </w:rPr>
            </w:pPr>
            <w:r w:rsidRPr="00D30218">
              <w:rPr>
                <w:rFonts w:ascii="Arial" w:hAnsi="Arial" w:cs="Arial"/>
                <w:color w:val="000000"/>
                <w:sz w:val="22"/>
                <w:szCs w:val="22"/>
              </w:rPr>
              <w:t>18</w:t>
            </w:r>
          </w:p>
        </w:tc>
      </w:tr>
      <w:tr w:rsidR="00DA176E"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DA176E" w:rsidRPr="00541AC9" w:rsidRDefault="00DA176E" w:rsidP="00824250">
            <w:pPr>
              <w:spacing w:line="360" w:lineRule="auto"/>
              <w:rPr>
                <w:rFonts w:ascii="Arial" w:hAnsi="Arial" w:cs="Arial"/>
                <w:color w:val="000000"/>
              </w:rPr>
            </w:pPr>
          </w:p>
        </w:tc>
        <w:tc>
          <w:tcPr>
            <w:tcW w:w="8002" w:type="dxa"/>
            <w:gridSpan w:val="5"/>
            <w:tcBorders>
              <w:top w:val="nil"/>
              <w:left w:val="nil"/>
              <w:bottom w:val="nil"/>
              <w:right w:val="nil"/>
            </w:tcBorders>
            <w:shd w:val="clear" w:color="auto" w:fill="auto"/>
            <w:noWrap/>
            <w:vAlign w:val="bottom"/>
          </w:tcPr>
          <w:p w:rsidR="00DA176E" w:rsidRPr="00541AC9" w:rsidRDefault="00DA176E" w:rsidP="0050244D">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Sınıf Temelli Müdahaleler.........................................................</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DA176E" w:rsidRPr="00D30218" w:rsidRDefault="00DA176E" w:rsidP="00E828D6">
            <w:pPr>
              <w:spacing w:line="360" w:lineRule="auto"/>
              <w:rPr>
                <w:rFonts w:ascii="Arial" w:hAnsi="Arial" w:cs="Arial"/>
                <w:color w:val="000000"/>
              </w:rPr>
            </w:pPr>
            <w:r w:rsidRPr="00D30218">
              <w:rPr>
                <w:rFonts w:ascii="Arial" w:hAnsi="Arial" w:cs="Arial"/>
                <w:color w:val="000000"/>
                <w:sz w:val="22"/>
                <w:szCs w:val="22"/>
              </w:rPr>
              <w:t>18</w:t>
            </w:r>
          </w:p>
        </w:tc>
      </w:tr>
      <w:tr w:rsidR="00DA176E"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DA176E" w:rsidRPr="00541AC9" w:rsidRDefault="00DA176E" w:rsidP="00824250">
            <w:pPr>
              <w:spacing w:line="360" w:lineRule="auto"/>
              <w:rPr>
                <w:rFonts w:ascii="Arial" w:hAnsi="Arial" w:cs="Arial"/>
                <w:color w:val="000000"/>
              </w:rPr>
            </w:pPr>
          </w:p>
        </w:tc>
        <w:tc>
          <w:tcPr>
            <w:tcW w:w="8002" w:type="dxa"/>
            <w:gridSpan w:val="5"/>
            <w:tcBorders>
              <w:top w:val="nil"/>
              <w:left w:val="nil"/>
              <w:bottom w:val="nil"/>
              <w:right w:val="nil"/>
            </w:tcBorders>
            <w:shd w:val="clear" w:color="auto" w:fill="auto"/>
            <w:noWrap/>
            <w:vAlign w:val="bottom"/>
            <w:hideMark/>
          </w:tcPr>
          <w:p w:rsidR="00DA176E" w:rsidRPr="00541AC9" w:rsidRDefault="00DA176E" w:rsidP="0050244D">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Çocuk Psikolojisi Terapisi.........................................................</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DA176E" w:rsidRPr="00D30218" w:rsidRDefault="00DA176E" w:rsidP="00E828D6">
            <w:pPr>
              <w:spacing w:line="360" w:lineRule="auto"/>
              <w:rPr>
                <w:rFonts w:ascii="Arial" w:hAnsi="Arial" w:cs="Arial"/>
                <w:color w:val="000000"/>
              </w:rPr>
            </w:pPr>
            <w:r w:rsidRPr="00D30218">
              <w:rPr>
                <w:rFonts w:ascii="Arial" w:hAnsi="Arial" w:cs="Arial"/>
                <w:color w:val="000000"/>
                <w:sz w:val="22"/>
                <w:szCs w:val="22"/>
              </w:rPr>
              <w:t>18</w:t>
            </w:r>
          </w:p>
        </w:tc>
      </w:tr>
      <w:tr w:rsidR="00DA176E"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DA176E" w:rsidRPr="00541AC9" w:rsidRDefault="00DA176E"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DA176E" w:rsidRPr="00541AC9" w:rsidRDefault="00DA176E"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DA176E" w:rsidRPr="00541AC9" w:rsidRDefault="00DA176E" w:rsidP="0050244D">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Diyet........................................................................................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DA176E" w:rsidRPr="00D30218" w:rsidRDefault="00DA176E" w:rsidP="00E828D6">
            <w:pPr>
              <w:spacing w:line="360" w:lineRule="auto"/>
              <w:rPr>
                <w:rFonts w:ascii="Arial" w:hAnsi="Arial" w:cs="Arial"/>
                <w:color w:val="000000"/>
              </w:rPr>
            </w:pPr>
            <w:r w:rsidRPr="00D30218">
              <w:rPr>
                <w:rFonts w:ascii="Arial" w:hAnsi="Arial" w:cs="Arial"/>
                <w:color w:val="000000"/>
                <w:sz w:val="22"/>
                <w:szCs w:val="22"/>
              </w:rPr>
              <w:t>18</w:t>
            </w:r>
          </w:p>
        </w:tc>
      </w:tr>
      <w:tr w:rsidR="001307CB"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1307CB" w:rsidRPr="00541AC9" w:rsidRDefault="001307CB" w:rsidP="00824250">
            <w:pPr>
              <w:spacing w:line="360" w:lineRule="auto"/>
              <w:rPr>
                <w:rFonts w:ascii="Arial" w:hAnsi="Arial" w:cs="Arial"/>
                <w:color w:val="000000"/>
              </w:rPr>
            </w:pPr>
          </w:p>
        </w:tc>
        <w:tc>
          <w:tcPr>
            <w:tcW w:w="8002" w:type="dxa"/>
            <w:gridSpan w:val="5"/>
            <w:tcBorders>
              <w:top w:val="nil"/>
              <w:left w:val="nil"/>
              <w:bottom w:val="nil"/>
              <w:right w:val="nil"/>
            </w:tcBorders>
            <w:shd w:val="clear" w:color="auto" w:fill="auto"/>
            <w:noWrap/>
            <w:vAlign w:val="bottom"/>
          </w:tcPr>
          <w:p w:rsidR="001307CB" w:rsidRPr="00541AC9" w:rsidRDefault="001307CB" w:rsidP="0050244D">
            <w:pPr>
              <w:spacing w:line="360" w:lineRule="auto"/>
              <w:rPr>
                <w:rFonts w:ascii="Arial" w:hAnsi="Arial" w:cs="Arial"/>
                <w:color w:val="000000"/>
              </w:rPr>
            </w:pPr>
            <w:r w:rsidRPr="00541AC9">
              <w:rPr>
                <w:rFonts w:ascii="Arial" w:hAnsi="Arial" w:cs="Arial"/>
                <w:color w:val="000000"/>
                <w:sz w:val="22"/>
                <w:szCs w:val="22"/>
              </w:rPr>
              <w:t xml:space="preserve">      </w:t>
            </w:r>
            <w:r w:rsidR="00DA176E">
              <w:rPr>
                <w:rFonts w:ascii="Arial" w:hAnsi="Arial" w:cs="Arial"/>
                <w:color w:val="000000"/>
                <w:sz w:val="22"/>
                <w:szCs w:val="22"/>
              </w:rPr>
              <w:t>DEHB’NİN MOLEKÜLER GENETİK ÇALIŞMALARI</w:t>
            </w:r>
            <w:r w:rsidRPr="00541AC9">
              <w:rPr>
                <w:rFonts w:ascii="Arial" w:hAnsi="Arial" w:cs="Arial"/>
                <w:color w:val="000000"/>
                <w:sz w:val="22"/>
                <w:szCs w:val="22"/>
              </w:rPr>
              <w:t>………………</w:t>
            </w:r>
            <w:r w:rsidR="00DA176E">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1307CB" w:rsidRPr="00D30218" w:rsidRDefault="00DA176E" w:rsidP="00824250">
            <w:pPr>
              <w:spacing w:line="360" w:lineRule="auto"/>
              <w:rPr>
                <w:rFonts w:ascii="Arial" w:hAnsi="Arial" w:cs="Arial"/>
                <w:color w:val="000000"/>
              </w:rPr>
            </w:pPr>
            <w:r w:rsidRPr="00D30218">
              <w:rPr>
                <w:rFonts w:ascii="Arial" w:hAnsi="Arial" w:cs="Arial"/>
                <w:color w:val="000000"/>
                <w:sz w:val="22"/>
                <w:szCs w:val="22"/>
              </w:rPr>
              <w:t>19</w:t>
            </w:r>
          </w:p>
        </w:tc>
      </w:tr>
      <w:tr w:rsidR="001307CB"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1307CB" w:rsidRPr="00541AC9" w:rsidRDefault="001307CB"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1307CB" w:rsidRPr="00541AC9" w:rsidRDefault="001307CB"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1307CB" w:rsidRPr="00541AC9" w:rsidRDefault="001307CB" w:rsidP="0050244D">
            <w:pPr>
              <w:spacing w:line="360" w:lineRule="auto"/>
              <w:rPr>
                <w:rFonts w:ascii="Arial" w:hAnsi="Arial" w:cs="Arial"/>
                <w:color w:val="000000"/>
              </w:rPr>
            </w:pPr>
            <w:r w:rsidRPr="00541AC9">
              <w:rPr>
                <w:rFonts w:ascii="Arial" w:hAnsi="Arial" w:cs="Arial"/>
                <w:color w:val="000000"/>
                <w:sz w:val="22"/>
                <w:szCs w:val="22"/>
              </w:rPr>
              <w:t xml:space="preserve">      </w:t>
            </w:r>
            <w:r w:rsidR="00DA176E">
              <w:rPr>
                <w:rFonts w:ascii="Arial" w:hAnsi="Arial" w:cs="Arial"/>
                <w:color w:val="000000"/>
                <w:sz w:val="22"/>
                <w:szCs w:val="22"/>
              </w:rPr>
              <w:t>Genetik Bağlantı Çalışmaları</w:t>
            </w:r>
            <w:r w:rsidRPr="00541AC9">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1307CB" w:rsidRPr="00D30218" w:rsidRDefault="00DA176E" w:rsidP="00824250">
            <w:pPr>
              <w:spacing w:line="360" w:lineRule="auto"/>
              <w:rPr>
                <w:rFonts w:ascii="Arial" w:hAnsi="Arial" w:cs="Arial"/>
                <w:color w:val="000000"/>
              </w:rPr>
            </w:pPr>
            <w:r w:rsidRPr="00D30218">
              <w:rPr>
                <w:rFonts w:ascii="Arial" w:hAnsi="Arial" w:cs="Arial"/>
                <w:color w:val="000000"/>
                <w:sz w:val="22"/>
                <w:szCs w:val="22"/>
              </w:rPr>
              <w:t>19</w:t>
            </w:r>
          </w:p>
        </w:tc>
      </w:tr>
      <w:tr w:rsidR="00DA176E"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DA176E" w:rsidRPr="00541AC9" w:rsidRDefault="00DA176E"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DA176E" w:rsidRPr="00541AC9" w:rsidRDefault="00DA176E"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DA176E" w:rsidRPr="00541AC9" w:rsidRDefault="00DA176E" w:rsidP="00DA176E">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Aday Gen Bağlantı Çalışmaları</w:t>
            </w:r>
            <w:r w:rsidRPr="00541AC9">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DA176E" w:rsidRPr="00D30218" w:rsidRDefault="00DA176E" w:rsidP="00E828D6">
            <w:pPr>
              <w:spacing w:line="360" w:lineRule="auto"/>
              <w:rPr>
                <w:rFonts w:ascii="Arial" w:hAnsi="Arial" w:cs="Arial"/>
                <w:color w:val="000000"/>
              </w:rPr>
            </w:pPr>
            <w:r w:rsidRPr="00D30218">
              <w:rPr>
                <w:rFonts w:ascii="Arial" w:hAnsi="Arial" w:cs="Arial"/>
                <w:color w:val="000000"/>
                <w:sz w:val="22"/>
                <w:szCs w:val="22"/>
              </w:rPr>
              <w:t>19</w:t>
            </w:r>
          </w:p>
        </w:tc>
      </w:tr>
      <w:tr w:rsidR="00DA176E"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DA176E" w:rsidRPr="00541AC9" w:rsidRDefault="00DA176E"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DA176E" w:rsidRPr="00541AC9" w:rsidRDefault="00DA176E"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DA176E" w:rsidRPr="00541AC9" w:rsidRDefault="00DA176E" w:rsidP="00DA176E">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Dopamin D4 Reseptörü</w:t>
            </w:r>
            <w:r w:rsidRPr="00541AC9">
              <w:rPr>
                <w:rFonts w:ascii="Arial" w:hAnsi="Arial" w:cs="Arial"/>
                <w:color w:val="000000"/>
                <w:sz w:val="22"/>
                <w:szCs w:val="22"/>
              </w:rPr>
              <w:t>..………………………………………</w:t>
            </w:r>
            <w:r>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DA176E" w:rsidRPr="00D30218" w:rsidRDefault="00DA176E" w:rsidP="00E828D6">
            <w:pPr>
              <w:spacing w:line="360" w:lineRule="auto"/>
              <w:rPr>
                <w:rFonts w:ascii="Arial" w:hAnsi="Arial" w:cs="Arial"/>
                <w:color w:val="000000"/>
              </w:rPr>
            </w:pPr>
            <w:r w:rsidRPr="00D30218">
              <w:rPr>
                <w:rFonts w:ascii="Arial" w:hAnsi="Arial" w:cs="Arial"/>
                <w:color w:val="000000"/>
                <w:sz w:val="22"/>
                <w:szCs w:val="22"/>
              </w:rPr>
              <w:t>20</w:t>
            </w:r>
          </w:p>
        </w:tc>
      </w:tr>
      <w:tr w:rsidR="00DA176E"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DA176E" w:rsidRPr="00541AC9" w:rsidRDefault="00DA176E"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tcPr>
          <w:p w:rsidR="00DA176E" w:rsidRPr="00541AC9" w:rsidRDefault="00DA176E"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tcPr>
          <w:p w:rsidR="00DA176E" w:rsidRPr="00541AC9" w:rsidRDefault="00DA176E" w:rsidP="00DA176E">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Dopamin D5 Reseptörü</w:t>
            </w:r>
            <w:r w:rsidRPr="00541AC9">
              <w:rPr>
                <w:rFonts w:ascii="Arial" w:hAnsi="Arial" w:cs="Arial"/>
                <w:color w:val="000000"/>
                <w:sz w:val="22"/>
                <w:szCs w:val="22"/>
              </w:rPr>
              <w:t>..………………………………………</w:t>
            </w:r>
            <w:r>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DA176E" w:rsidRPr="00D30218" w:rsidRDefault="00DA176E" w:rsidP="00E828D6">
            <w:pPr>
              <w:spacing w:line="360" w:lineRule="auto"/>
              <w:rPr>
                <w:rFonts w:ascii="Arial" w:hAnsi="Arial" w:cs="Arial"/>
                <w:color w:val="000000"/>
              </w:rPr>
            </w:pPr>
            <w:r w:rsidRPr="00D30218">
              <w:rPr>
                <w:rFonts w:ascii="Arial" w:hAnsi="Arial" w:cs="Arial"/>
                <w:color w:val="000000"/>
                <w:sz w:val="22"/>
                <w:szCs w:val="22"/>
              </w:rPr>
              <w:t>20</w:t>
            </w:r>
          </w:p>
        </w:tc>
      </w:tr>
      <w:tr w:rsidR="00DA176E"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DA176E" w:rsidRPr="00541AC9" w:rsidRDefault="00DA176E"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tcPr>
          <w:p w:rsidR="00DA176E" w:rsidRPr="00541AC9" w:rsidRDefault="00DA176E"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tcPr>
          <w:p w:rsidR="00DA176E" w:rsidRPr="00541AC9" w:rsidRDefault="00DA176E" w:rsidP="00DA176E">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Dopamin Taşıyıcı Geni</w:t>
            </w:r>
            <w:r w:rsidRPr="00541AC9">
              <w:rPr>
                <w:rFonts w:ascii="Arial" w:hAnsi="Arial" w:cs="Arial"/>
                <w:color w:val="000000"/>
                <w:sz w:val="22"/>
                <w:szCs w:val="22"/>
              </w:rPr>
              <w:t>..………………………………………</w:t>
            </w:r>
            <w:r>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DA176E" w:rsidRPr="00D30218" w:rsidRDefault="00DA176E" w:rsidP="00E828D6">
            <w:pPr>
              <w:spacing w:line="360" w:lineRule="auto"/>
              <w:rPr>
                <w:rFonts w:ascii="Arial" w:hAnsi="Arial" w:cs="Arial"/>
                <w:color w:val="000000"/>
              </w:rPr>
            </w:pPr>
            <w:r w:rsidRPr="00D30218">
              <w:rPr>
                <w:rFonts w:ascii="Arial" w:hAnsi="Arial" w:cs="Arial"/>
                <w:color w:val="000000"/>
                <w:sz w:val="22"/>
                <w:szCs w:val="22"/>
              </w:rPr>
              <w:t>20</w:t>
            </w:r>
          </w:p>
        </w:tc>
      </w:tr>
      <w:tr w:rsidR="00E828D6"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E828D6" w:rsidRPr="00541AC9" w:rsidRDefault="00E828D6"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tcPr>
          <w:p w:rsidR="00E828D6" w:rsidRPr="00541AC9" w:rsidRDefault="00E828D6"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tcPr>
          <w:p w:rsidR="00E828D6" w:rsidRPr="00541AC9" w:rsidRDefault="00E828D6" w:rsidP="002E7968">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Dopamin Beta Hidroksilaz.</w:t>
            </w:r>
            <w:r w:rsidRPr="00541AC9">
              <w:rPr>
                <w:rFonts w:ascii="Arial" w:hAnsi="Arial" w:cs="Arial"/>
                <w:color w:val="000000"/>
                <w:sz w:val="22"/>
                <w:szCs w:val="22"/>
              </w:rPr>
              <w:t>……………………………</w:t>
            </w:r>
            <w:r>
              <w:rPr>
                <w:rFonts w:ascii="Arial" w:hAnsi="Arial" w:cs="Arial"/>
                <w:color w:val="000000"/>
                <w:sz w:val="22"/>
                <w:szCs w:val="22"/>
              </w:rPr>
              <w:t>.</w:t>
            </w:r>
            <w:r w:rsidR="003C1280">
              <w:rPr>
                <w:rFonts w:ascii="Arial" w:hAnsi="Arial" w:cs="Arial"/>
                <w:color w:val="000000"/>
                <w:sz w:val="22"/>
                <w:szCs w:val="22"/>
              </w:rPr>
              <w:t>..</w:t>
            </w:r>
            <w:r w:rsidR="002E7968">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E828D6" w:rsidRPr="00D30218" w:rsidRDefault="00E828D6" w:rsidP="00E828D6">
            <w:pPr>
              <w:spacing w:line="360" w:lineRule="auto"/>
              <w:rPr>
                <w:rFonts w:ascii="Arial" w:hAnsi="Arial" w:cs="Arial"/>
                <w:color w:val="000000"/>
              </w:rPr>
            </w:pPr>
            <w:r w:rsidRPr="00D30218">
              <w:rPr>
                <w:rFonts w:ascii="Arial" w:hAnsi="Arial" w:cs="Arial"/>
                <w:color w:val="000000"/>
                <w:sz w:val="22"/>
                <w:szCs w:val="22"/>
              </w:rPr>
              <w:t>20</w:t>
            </w:r>
          </w:p>
        </w:tc>
      </w:tr>
      <w:tr w:rsidR="003C1280"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tcPr>
          <w:p w:rsidR="003C1280" w:rsidRPr="00541AC9" w:rsidRDefault="003C1280" w:rsidP="003C1280">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Monoamin Oksidaz A</w:t>
            </w:r>
            <w:r w:rsidRPr="00541AC9">
              <w:rPr>
                <w:rFonts w:ascii="Arial" w:hAnsi="Arial" w:cs="Arial"/>
                <w:color w:val="000000"/>
                <w:sz w:val="22"/>
                <w:szCs w:val="22"/>
              </w:rPr>
              <w:t>..………………………………………</w:t>
            </w:r>
            <w:r>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3C1280" w:rsidRPr="00D30218" w:rsidRDefault="003C1280" w:rsidP="003C1280">
            <w:pPr>
              <w:spacing w:line="360" w:lineRule="auto"/>
              <w:rPr>
                <w:rFonts w:ascii="Arial" w:hAnsi="Arial" w:cs="Arial"/>
                <w:color w:val="000000"/>
              </w:rPr>
            </w:pPr>
            <w:r w:rsidRPr="00D30218">
              <w:rPr>
                <w:rFonts w:ascii="Arial" w:hAnsi="Arial" w:cs="Arial"/>
                <w:color w:val="000000"/>
                <w:sz w:val="22"/>
                <w:szCs w:val="22"/>
              </w:rPr>
              <w:t>21</w:t>
            </w:r>
          </w:p>
        </w:tc>
      </w:tr>
      <w:tr w:rsidR="003C1280"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tcPr>
          <w:p w:rsidR="003C1280" w:rsidRPr="00541AC9" w:rsidRDefault="003C1280" w:rsidP="003C1280">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Dopamin D2 Reseptörü</w:t>
            </w:r>
            <w:r w:rsidRPr="00541AC9">
              <w:rPr>
                <w:rFonts w:ascii="Arial" w:hAnsi="Arial" w:cs="Arial"/>
                <w:color w:val="000000"/>
                <w:sz w:val="22"/>
                <w:szCs w:val="22"/>
              </w:rPr>
              <w:t>..………………………………………</w:t>
            </w:r>
            <w:r>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3C1280" w:rsidRPr="00D30218" w:rsidRDefault="003C1280" w:rsidP="006A30B9">
            <w:pPr>
              <w:spacing w:line="360" w:lineRule="auto"/>
              <w:rPr>
                <w:rFonts w:ascii="Arial" w:hAnsi="Arial" w:cs="Arial"/>
                <w:color w:val="000000"/>
              </w:rPr>
            </w:pPr>
            <w:r w:rsidRPr="00D30218">
              <w:rPr>
                <w:rFonts w:ascii="Arial" w:hAnsi="Arial" w:cs="Arial"/>
                <w:color w:val="000000"/>
                <w:sz w:val="22"/>
                <w:szCs w:val="22"/>
              </w:rPr>
              <w:t>21</w:t>
            </w:r>
          </w:p>
        </w:tc>
      </w:tr>
      <w:tr w:rsidR="003C1280"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3C1280" w:rsidRPr="00541AC9" w:rsidRDefault="003C1280" w:rsidP="00824250">
            <w:pPr>
              <w:spacing w:line="360" w:lineRule="auto"/>
              <w:rPr>
                <w:rFonts w:ascii="Arial" w:hAnsi="Arial" w:cs="Arial"/>
                <w:color w:val="000000"/>
              </w:rPr>
            </w:pPr>
          </w:p>
        </w:tc>
        <w:tc>
          <w:tcPr>
            <w:tcW w:w="8002" w:type="dxa"/>
            <w:gridSpan w:val="5"/>
            <w:tcBorders>
              <w:top w:val="nil"/>
              <w:left w:val="nil"/>
              <w:bottom w:val="nil"/>
              <w:right w:val="nil"/>
            </w:tcBorders>
            <w:shd w:val="clear" w:color="auto" w:fill="auto"/>
            <w:noWrap/>
            <w:vAlign w:val="bottom"/>
          </w:tcPr>
          <w:p w:rsidR="003C1280" w:rsidRPr="00541AC9" w:rsidRDefault="003C1280" w:rsidP="003C1280">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Dopamin D3 Reseptörü</w:t>
            </w:r>
            <w:r w:rsidRPr="00541AC9">
              <w:rPr>
                <w:rFonts w:ascii="Arial" w:hAnsi="Arial" w:cs="Arial"/>
                <w:color w:val="000000"/>
                <w:sz w:val="22"/>
                <w:szCs w:val="22"/>
              </w:rPr>
              <w:t>..………………………………………</w:t>
            </w:r>
            <w:r>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3C1280" w:rsidRPr="00D30218" w:rsidRDefault="003C1280" w:rsidP="006A30B9">
            <w:pPr>
              <w:spacing w:line="360" w:lineRule="auto"/>
              <w:rPr>
                <w:rFonts w:ascii="Arial" w:hAnsi="Arial" w:cs="Arial"/>
                <w:color w:val="000000"/>
              </w:rPr>
            </w:pPr>
            <w:r w:rsidRPr="00D30218">
              <w:rPr>
                <w:rFonts w:ascii="Arial" w:hAnsi="Arial" w:cs="Arial"/>
                <w:color w:val="000000"/>
                <w:sz w:val="22"/>
                <w:szCs w:val="22"/>
              </w:rPr>
              <w:t>21</w:t>
            </w:r>
          </w:p>
        </w:tc>
      </w:tr>
      <w:tr w:rsidR="003C1280"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3C1280" w:rsidRPr="00541AC9" w:rsidRDefault="003C1280"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3C1280" w:rsidRPr="00541AC9" w:rsidRDefault="003C1280"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3C1280" w:rsidRPr="003C1280" w:rsidRDefault="003C1280" w:rsidP="003C1280">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 xml:space="preserve">       </w:t>
            </w:r>
            <w:r w:rsidRPr="003C1280">
              <w:rPr>
                <w:rFonts w:ascii="Arial" w:hAnsi="Arial" w:cs="Arial"/>
                <w:color w:val="000000"/>
                <w:sz w:val="22"/>
                <w:szCs w:val="22"/>
              </w:rPr>
              <w:t xml:space="preserve">         </w:t>
            </w:r>
            <w:r w:rsidRPr="003C1280">
              <w:rPr>
                <w:rFonts w:ascii="Arial" w:hAnsi="Arial" w:cs="Arial"/>
                <w:color w:val="212121"/>
                <w:sz w:val="22"/>
                <w:szCs w:val="22"/>
                <w:shd w:val="clear" w:color="auto" w:fill="FFFFFF"/>
              </w:rPr>
              <w:t xml:space="preserve">Katekol-O-metiltransferaz </w:t>
            </w:r>
            <w:r w:rsidRPr="003C1280">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3C1280" w:rsidRPr="00D30218" w:rsidRDefault="003C1280" w:rsidP="00824250">
            <w:pPr>
              <w:spacing w:line="360" w:lineRule="auto"/>
              <w:rPr>
                <w:rFonts w:ascii="Arial" w:hAnsi="Arial" w:cs="Arial"/>
                <w:color w:val="000000"/>
              </w:rPr>
            </w:pPr>
            <w:r w:rsidRPr="00D30218">
              <w:rPr>
                <w:rFonts w:ascii="Arial" w:hAnsi="Arial" w:cs="Arial"/>
                <w:color w:val="000000"/>
                <w:sz w:val="22"/>
                <w:szCs w:val="22"/>
              </w:rPr>
              <w:t>21</w:t>
            </w:r>
          </w:p>
        </w:tc>
      </w:tr>
      <w:tr w:rsidR="003C1280"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3C1280" w:rsidRPr="00541AC9" w:rsidRDefault="003C1280"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tcPr>
          <w:p w:rsidR="003C1280" w:rsidRPr="00541AC9" w:rsidRDefault="003C1280" w:rsidP="00824250">
            <w:pPr>
              <w:spacing w:line="360" w:lineRule="auto"/>
              <w:rPr>
                <w:rFonts w:ascii="Arial" w:hAnsi="Arial" w:cs="Arial"/>
                <w:color w:val="000000"/>
              </w:rPr>
            </w:pPr>
          </w:p>
        </w:tc>
        <w:tc>
          <w:tcPr>
            <w:tcW w:w="195" w:type="dxa"/>
            <w:gridSpan w:val="2"/>
            <w:tcBorders>
              <w:top w:val="nil"/>
              <w:left w:val="nil"/>
              <w:bottom w:val="nil"/>
              <w:right w:val="nil"/>
            </w:tcBorders>
            <w:shd w:val="clear" w:color="auto" w:fill="auto"/>
            <w:noWrap/>
            <w:vAlign w:val="bottom"/>
          </w:tcPr>
          <w:p w:rsidR="003C1280" w:rsidRPr="00541AC9" w:rsidRDefault="003C1280" w:rsidP="00824250">
            <w:pPr>
              <w:spacing w:line="360" w:lineRule="auto"/>
              <w:rPr>
                <w:rFonts w:ascii="Arial" w:hAnsi="Arial" w:cs="Arial"/>
                <w:color w:val="000000"/>
              </w:rPr>
            </w:pPr>
          </w:p>
        </w:tc>
        <w:tc>
          <w:tcPr>
            <w:tcW w:w="7653" w:type="dxa"/>
            <w:tcBorders>
              <w:top w:val="nil"/>
              <w:left w:val="nil"/>
              <w:bottom w:val="nil"/>
              <w:right w:val="nil"/>
            </w:tcBorders>
            <w:shd w:val="clear" w:color="auto" w:fill="auto"/>
            <w:noWrap/>
            <w:vAlign w:val="bottom"/>
          </w:tcPr>
          <w:p w:rsidR="003C1280" w:rsidRPr="003C1280" w:rsidRDefault="003C1280" w:rsidP="0050244D">
            <w:pPr>
              <w:spacing w:line="360" w:lineRule="auto"/>
              <w:rPr>
                <w:rFonts w:ascii="Arial" w:hAnsi="Arial" w:cs="Arial"/>
                <w:color w:val="000000"/>
              </w:rPr>
            </w:pPr>
            <w:r>
              <w:rPr>
                <w:rFonts w:ascii="Arial" w:hAnsi="Arial" w:cs="Arial"/>
                <w:color w:val="000000"/>
                <w:sz w:val="22"/>
                <w:szCs w:val="22"/>
              </w:rPr>
              <w:t xml:space="preserve"> </w:t>
            </w:r>
            <w:r w:rsidRPr="00541AC9">
              <w:rPr>
                <w:rFonts w:ascii="Arial" w:hAnsi="Arial" w:cs="Arial"/>
                <w:color w:val="000000"/>
                <w:sz w:val="22"/>
                <w:szCs w:val="22"/>
              </w:rPr>
              <w:t xml:space="preserve">  </w:t>
            </w:r>
            <w:r>
              <w:rPr>
                <w:rFonts w:ascii="Arial" w:hAnsi="Arial" w:cs="Arial"/>
                <w:color w:val="000000"/>
                <w:sz w:val="22"/>
                <w:szCs w:val="22"/>
              </w:rPr>
              <w:t xml:space="preserve">       </w:t>
            </w:r>
            <w:r w:rsidRPr="003C1280">
              <w:rPr>
                <w:rFonts w:ascii="Arial" w:hAnsi="Arial" w:cs="Arial"/>
                <w:color w:val="000000"/>
                <w:sz w:val="22"/>
                <w:szCs w:val="22"/>
              </w:rPr>
              <w:t xml:space="preserve">       </w:t>
            </w:r>
            <w:r>
              <w:rPr>
                <w:rFonts w:ascii="Arial" w:hAnsi="Arial" w:cs="Arial"/>
                <w:color w:val="000000"/>
                <w:sz w:val="22"/>
                <w:szCs w:val="22"/>
              </w:rPr>
              <w:t>Serotonin Reseptörü 1B</w:t>
            </w:r>
            <w:r w:rsidRPr="003C1280">
              <w:rPr>
                <w:rFonts w:ascii="Arial" w:hAnsi="Arial" w:cs="Arial"/>
                <w:color w:val="000000"/>
                <w:sz w:val="22"/>
                <w:szCs w:val="22"/>
              </w:rPr>
              <w:t>…………………………….…….....</w:t>
            </w:r>
            <w:r>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3C1280" w:rsidRPr="00D30218" w:rsidRDefault="003C1280" w:rsidP="003C1280">
            <w:pPr>
              <w:spacing w:line="360" w:lineRule="auto"/>
              <w:rPr>
                <w:rFonts w:ascii="Arial" w:hAnsi="Arial" w:cs="Arial"/>
                <w:color w:val="000000"/>
              </w:rPr>
            </w:pPr>
            <w:r w:rsidRPr="00D30218">
              <w:rPr>
                <w:rFonts w:ascii="Arial" w:hAnsi="Arial" w:cs="Arial"/>
                <w:color w:val="000000"/>
                <w:sz w:val="22"/>
                <w:szCs w:val="22"/>
              </w:rPr>
              <w:t>22</w:t>
            </w:r>
          </w:p>
        </w:tc>
      </w:tr>
      <w:tr w:rsidR="002E7968"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2E7968" w:rsidRPr="00541AC9" w:rsidRDefault="002E7968"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tcPr>
          <w:p w:rsidR="002E7968" w:rsidRPr="00541AC9" w:rsidRDefault="002E7968" w:rsidP="00824250">
            <w:pPr>
              <w:spacing w:line="360" w:lineRule="auto"/>
              <w:rPr>
                <w:rFonts w:ascii="Arial" w:hAnsi="Arial" w:cs="Arial"/>
                <w:color w:val="000000"/>
              </w:rPr>
            </w:pPr>
          </w:p>
        </w:tc>
        <w:tc>
          <w:tcPr>
            <w:tcW w:w="195" w:type="dxa"/>
            <w:gridSpan w:val="2"/>
            <w:tcBorders>
              <w:top w:val="nil"/>
              <w:left w:val="nil"/>
              <w:bottom w:val="nil"/>
              <w:right w:val="nil"/>
            </w:tcBorders>
            <w:shd w:val="clear" w:color="auto" w:fill="auto"/>
            <w:noWrap/>
            <w:vAlign w:val="bottom"/>
          </w:tcPr>
          <w:p w:rsidR="002E7968" w:rsidRPr="00541AC9" w:rsidRDefault="002E7968" w:rsidP="00824250">
            <w:pPr>
              <w:spacing w:line="360" w:lineRule="auto"/>
              <w:rPr>
                <w:rFonts w:ascii="Arial" w:hAnsi="Arial" w:cs="Arial"/>
                <w:color w:val="000000"/>
              </w:rPr>
            </w:pPr>
          </w:p>
        </w:tc>
        <w:tc>
          <w:tcPr>
            <w:tcW w:w="7653" w:type="dxa"/>
            <w:tcBorders>
              <w:top w:val="nil"/>
              <w:left w:val="nil"/>
              <w:bottom w:val="nil"/>
              <w:right w:val="nil"/>
            </w:tcBorders>
            <w:shd w:val="clear" w:color="auto" w:fill="auto"/>
            <w:noWrap/>
            <w:vAlign w:val="bottom"/>
          </w:tcPr>
          <w:p w:rsidR="002E7968" w:rsidRPr="003C1280" w:rsidRDefault="002E7968" w:rsidP="002E7968">
            <w:pPr>
              <w:spacing w:line="360" w:lineRule="auto"/>
              <w:rPr>
                <w:rFonts w:ascii="Arial" w:hAnsi="Arial" w:cs="Arial"/>
                <w:color w:val="000000"/>
              </w:rPr>
            </w:pPr>
            <w:r>
              <w:rPr>
                <w:rFonts w:ascii="Arial" w:hAnsi="Arial" w:cs="Arial"/>
                <w:color w:val="000000"/>
                <w:sz w:val="22"/>
                <w:szCs w:val="22"/>
              </w:rPr>
              <w:t xml:space="preserve"> </w:t>
            </w:r>
            <w:r w:rsidRPr="00541AC9">
              <w:rPr>
                <w:rFonts w:ascii="Arial" w:hAnsi="Arial" w:cs="Arial"/>
                <w:color w:val="000000"/>
                <w:sz w:val="22"/>
                <w:szCs w:val="22"/>
              </w:rPr>
              <w:t xml:space="preserve">  </w:t>
            </w:r>
            <w:r>
              <w:rPr>
                <w:rFonts w:ascii="Arial" w:hAnsi="Arial" w:cs="Arial"/>
                <w:color w:val="000000"/>
                <w:sz w:val="22"/>
                <w:szCs w:val="22"/>
              </w:rPr>
              <w:t xml:space="preserve">       </w:t>
            </w:r>
            <w:r w:rsidRPr="003C1280">
              <w:rPr>
                <w:rFonts w:ascii="Arial" w:hAnsi="Arial" w:cs="Arial"/>
                <w:color w:val="000000"/>
                <w:sz w:val="22"/>
                <w:szCs w:val="22"/>
              </w:rPr>
              <w:t xml:space="preserve">       </w:t>
            </w:r>
            <w:r>
              <w:rPr>
                <w:rFonts w:ascii="Arial" w:hAnsi="Arial" w:cs="Arial"/>
                <w:color w:val="000000"/>
                <w:sz w:val="22"/>
                <w:szCs w:val="22"/>
              </w:rPr>
              <w:t>Serotonin Transporter</w:t>
            </w:r>
            <w:r w:rsidRPr="003C1280">
              <w:rPr>
                <w:rFonts w:ascii="Arial" w:hAnsi="Arial" w:cs="Arial"/>
                <w:color w:val="000000"/>
                <w:sz w:val="22"/>
                <w:szCs w:val="22"/>
              </w:rPr>
              <w:t>…………………………….…….....</w:t>
            </w:r>
            <w:r>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2E7968" w:rsidRPr="00D30218" w:rsidRDefault="002E7968" w:rsidP="006A30B9">
            <w:pPr>
              <w:spacing w:line="360" w:lineRule="auto"/>
              <w:rPr>
                <w:rFonts w:ascii="Arial" w:hAnsi="Arial" w:cs="Arial"/>
                <w:color w:val="000000"/>
              </w:rPr>
            </w:pPr>
            <w:r w:rsidRPr="00D30218">
              <w:rPr>
                <w:rFonts w:ascii="Arial" w:hAnsi="Arial" w:cs="Arial"/>
                <w:color w:val="000000"/>
                <w:sz w:val="22"/>
                <w:szCs w:val="22"/>
              </w:rPr>
              <w:t>22</w:t>
            </w:r>
          </w:p>
        </w:tc>
      </w:tr>
      <w:tr w:rsidR="002E7968"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2E7968" w:rsidRPr="00541AC9" w:rsidRDefault="002E7968"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2E7968" w:rsidRPr="00541AC9" w:rsidRDefault="002E7968"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2E7968" w:rsidRPr="003C1280" w:rsidRDefault="002E7968" w:rsidP="002E7968">
            <w:pPr>
              <w:spacing w:line="360" w:lineRule="auto"/>
              <w:rPr>
                <w:rFonts w:ascii="Arial" w:hAnsi="Arial" w:cs="Arial"/>
                <w:color w:val="000000"/>
              </w:rPr>
            </w:pPr>
            <w:r>
              <w:rPr>
                <w:rFonts w:ascii="Arial" w:hAnsi="Arial" w:cs="Arial"/>
                <w:color w:val="000000"/>
                <w:sz w:val="22"/>
                <w:szCs w:val="22"/>
              </w:rPr>
              <w:t xml:space="preserve"> </w:t>
            </w:r>
            <w:r w:rsidRPr="00541AC9">
              <w:rPr>
                <w:rFonts w:ascii="Arial" w:hAnsi="Arial" w:cs="Arial"/>
                <w:color w:val="000000"/>
                <w:sz w:val="22"/>
                <w:szCs w:val="22"/>
              </w:rPr>
              <w:t xml:space="preserve">  </w:t>
            </w:r>
            <w:r>
              <w:rPr>
                <w:rFonts w:ascii="Arial" w:hAnsi="Arial" w:cs="Arial"/>
                <w:color w:val="000000"/>
                <w:sz w:val="22"/>
                <w:szCs w:val="22"/>
              </w:rPr>
              <w:t xml:space="preserve">       </w:t>
            </w:r>
            <w:r w:rsidRPr="003C1280">
              <w:rPr>
                <w:rFonts w:ascii="Arial" w:hAnsi="Arial" w:cs="Arial"/>
                <w:color w:val="000000"/>
                <w:sz w:val="22"/>
                <w:szCs w:val="22"/>
              </w:rPr>
              <w:t xml:space="preserve">     </w:t>
            </w:r>
            <w:r>
              <w:rPr>
                <w:rFonts w:ascii="Arial" w:hAnsi="Arial" w:cs="Arial"/>
                <w:color w:val="000000"/>
                <w:sz w:val="22"/>
                <w:szCs w:val="22"/>
              </w:rPr>
              <w:t xml:space="preserve"> </w:t>
            </w:r>
            <w:r w:rsidRPr="003C1280">
              <w:rPr>
                <w:rFonts w:ascii="Arial" w:hAnsi="Arial" w:cs="Arial"/>
                <w:color w:val="000000"/>
                <w:sz w:val="22"/>
                <w:szCs w:val="22"/>
              </w:rPr>
              <w:t xml:space="preserve"> </w:t>
            </w:r>
            <w:r>
              <w:rPr>
                <w:rFonts w:ascii="Arial" w:hAnsi="Arial" w:cs="Arial"/>
                <w:color w:val="000000"/>
                <w:sz w:val="22"/>
                <w:szCs w:val="22"/>
              </w:rPr>
              <w:t xml:space="preserve">  </w:t>
            </w:r>
            <w:r w:rsidRPr="003C1280">
              <w:rPr>
                <w:rFonts w:ascii="Arial" w:hAnsi="Arial" w:cs="Arial"/>
                <w:color w:val="000000"/>
                <w:sz w:val="22"/>
                <w:szCs w:val="22"/>
              </w:rPr>
              <w:t xml:space="preserve"> </w:t>
            </w:r>
            <w:r>
              <w:rPr>
                <w:rFonts w:ascii="Arial" w:hAnsi="Arial" w:cs="Arial"/>
                <w:color w:val="000000"/>
                <w:sz w:val="22"/>
                <w:szCs w:val="22"/>
              </w:rPr>
              <w:t>Sinaptozomal İlişkili Protein</w:t>
            </w:r>
            <w:r w:rsidRPr="003C1280">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2E7968" w:rsidRPr="00D30218" w:rsidRDefault="002E7968" w:rsidP="006A30B9">
            <w:pPr>
              <w:spacing w:line="360" w:lineRule="auto"/>
              <w:rPr>
                <w:rFonts w:ascii="Arial" w:hAnsi="Arial" w:cs="Arial"/>
                <w:color w:val="000000"/>
              </w:rPr>
            </w:pPr>
            <w:r w:rsidRPr="00D30218">
              <w:rPr>
                <w:rFonts w:ascii="Arial" w:hAnsi="Arial" w:cs="Arial"/>
                <w:color w:val="000000"/>
                <w:sz w:val="22"/>
                <w:szCs w:val="22"/>
              </w:rPr>
              <w:t>22</w:t>
            </w:r>
          </w:p>
        </w:tc>
      </w:tr>
      <w:tr w:rsidR="0054563A"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54563A" w:rsidRPr="00541AC9" w:rsidRDefault="0054563A"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tcPr>
          <w:p w:rsidR="0054563A" w:rsidRPr="00541AC9" w:rsidRDefault="0054563A" w:rsidP="00824250">
            <w:pPr>
              <w:spacing w:line="360" w:lineRule="auto"/>
              <w:rPr>
                <w:rFonts w:ascii="Arial" w:hAnsi="Arial" w:cs="Arial"/>
                <w:color w:val="000000"/>
              </w:rPr>
            </w:pPr>
          </w:p>
        </w:tc>
        <w:tc>
          <w:tcPr>
            <w:tcW w:w="195" w:type="dxa"/>
            <w:gridSpan w:val="2"/>
            <w:tcBorders>
              <w:top w:val="nil"/>
              <w:left w:val="nil"/>
              <w:bottom w:val="nil"/>
              <w:right w:val="nil"/>
            </w:tcBorders>
            <w:shd w:val="clear" w:color="auto" w:fill="auto"/>
            <w:noWrap/>
            <w:vAlign w:val="bottom"/>
          </w:tcPr>
          <w:p w:rsidR="0054563A" w:rsidRPr="00541AC9" w:rsidRDefault="0054563A" w:rsidP="00824250">
            <w:pPr>
              <w:spacing w:line="360" w:lineRule="auto"/>
              <w:rPr>
                <w:rFonts w:ascii="Arial" w:hAnsi="Arial" w:cs="Arial"/>
                <w:color w:val="000000"/>
              </w:rPr>
            </w:pPr>
          </w:p>
        </w:tc>
        <w:tc>
          <w:tcPr>
            <w:tcW w:w="7653" w:type="dxa"/>
            <w:tcBorders>
              <w:top w:val="nil"/>
              <w:left w:val="nil"/>
              <w:bottom w:val="nil"/>
              <w:right w:val="nil"/>
            </w:tcBorders>
            <w:shd w:val="clear" w:color="auto" w:fill="auto"/>
            <w:noWrap/>
            <w:vAlign w:val="bottom"/>
          </w:tcPr>
          <w:p w:rsidR="0054563A" w:rsidRPr="00541AC9" w:rsidRDefault="0054563A" w:rsidP="006A30B9">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Tüm Genomda İlişki Çalışmaları</w:t>
            </w:r>
            <w:r w:rsidRPr="00541AC9">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54563A" w:rsidRPr="00D30218" w:rsidRDefault="0054563A" w:rsidP="006A30B9">
            <w:pPr>
              <w:spacing w:line="360" w:lineRule="auto"/>
              <w:rPr>
                <w:rFonts w:ascii="Arial" w:hAnsi="Arial" w:cs="Arial"/>
                <w:color w:val="000000"/>
              </w:rPr>
            </w:pPr>
            <w:r w:rsidRPr="00D30218">
              <w:rPr>
                <w:rFonts w:ascii="Arial" w:hAnsi="Arial" w:cs="Arial"/>
                <w:color w:val="000000"/>
                <w:sz w:val="22"/>
                <w:szCs w:val="22"/>
              </w:rPr>
              <w:t>19</w:t>
            </w:r>
          </w:p>
        </w:tc>
      </w:tr>
      <w:tr w:rsidR="0054563A"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54563A" w:rsidRPr="00541AC9" w:rsidRDefault="0054563A"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tcPr>
          <w:p w:rsidR="0054563A" w:rsidRPr="00541AC9" w:rsidRDefault="0054563A" w:rsidP="00824250">
            <w:pPr>
              <w:spacing w:line="360" w:lineRule="auto"/>
              <w:rPr>
                <w:rFonts w:ascii="Arial" w:hAnsi="Arial" w:cs="Arial"/>
                <w:color w:val="000000"/>
              </w:rPr>
            </w:pPr>
          </w:p>
        </w:tc>
        <w:tc>
          <w:tcPr>
            <w:tcW w:w="195" w:type="dxa"/>
            <w:gridSpan w:val="2"/>
            <w:tcBorders>
              <w:top w:val="nil"/>
              <w:left w:val="nil"/>
              <w:bottom w:val="nil"/>
              <w:right w:val="nil"/>
            </w:tcBorders>
            <w:shd w:val="clear" w:color="auto" w:fill="auto"/>
            <w:noWrap/>
            <w:vAlign w:val="bottom"/>
          </w:tcPr>
          <w:p w:rsidR="0054563A" w:rsidRPr="00541AC9" w:rsidRDefault="0054563A" w:rsidP="00824250">
            <w:pPr>
              <w:spacing w:line="360" w:lineRule="auto"/>
              <w:rPr>
                <w:rFonts w:ascii="Arial" w:hAnsi="Arial" w:cs="Arial"/>
                <w:color w:val="000000"/>
              </w:rPr>
            </w:pPr>
          </w:p>
        </w:tc>
        <w:tc>
          <w:tcPr>
            <w:tcW w:w="7653" w:type="dxa"/>
            <w:tcBorders>
              <w:top w:val="nil"/>
              <w:left w:val="nil"/>
              <w:bottom w:val="nil"/>
              <w:right w:val="nil"/>
            </w:tcBorders>
            <w:shd w:val="clear" w:color="auto" w:fill="auto"/>
            <w:noWrap/>
            <w:vAlign w:val="bottom"/>
          </w:tcPr>
          <w:p w:rsidR="0054563A" w:rsidRPr="00541AC9" w:rsidRDefault="0054563A" w:rsidP="0050244D">
            <w:pPr>
              <w:spacing w:line="360" w:lineRule="auto"/>
              <w:rPr>
                <w:rFonts w:ascii="Arial" w:hAnsi="Arial" w:cs="Arial"/>
                <w:color w:val="000000"/>
              </w:rPr>
            </w:pPr>
            <w:r>
              <w:rPr>
                <w:rFonts w:ascii="Arial" w:hAnsi="Arial" w:cs="Arial"/>
                <w:color w:val="000000"/>
                <w:sz w:val="22"/>
                <w:szCs w:val="22"/>
              </w:rPr>
              <w:t>MİKRORNA’LAR VE DEHB’DEKİ ROLLERİ..................</w:t>
            </w:r>
            <w:r w:rsidRPr="00541AC9">
              <w:rPr>
                <w:rFonts w:ascii="Arial" w:hAnsi="Arial" w:cs="Arial"/>
                <w:color w:val="000000"/>
                <w:sz w:val="22"/>
                <w:szCs w:val="22"/>
              </w:rPr>
              <w:t>………………</w:t>
            </w:r>
            <w:r>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54563A" w:rsidRPr="00D30218" w:rsidRDefault="0054563A" w:rsidP="006A30B9">
            <w:pPr>
              <w:spacing w:line="360" w:lineRule="auto"/>
              <w:rPr>
                <w:rFonts w:ascii="Arial" w:hAnsi="Arial" w:cs="Arial"/>
                <w:color w:val="000000"/>
              </w:rPr>
            </w:pPr>
            <w:r w:rsidRPr="00D30218">
              <w:rPr>
                <w:rFonts w:ascii="Arial" w:hAnsi="Arial" w:cs="Arial"/>
                <w:color w:val="000000"/>
                <w:sz w:val="22"/>
                <w:szCs w:val="22"/>
              </w:rPr>
              <w:t>19</w:t>
            </w:r>
          </w:p>
        </w:tc>
      </w:tr>
      <w:tr w:rsidR="0054563A"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54563A" w:rsidRPr="00541AC9" w:rsidRDefault="0054563A" w:rsidP="00824250">
            <w:pPr>
              <w:spacing w:line="360" w:lineRule="auto"/>
              <w:rPr>
                <w:rFonts w:ascii="Arial" w:hAnsi="Arial" w:cs="Arial"/>
                <w:color w:val="000000"/>
              </w:rPr>
            </w:pPr>
          </w:p>
        </w:tc>
        <w:tc>
          <w:tcPr>
            <w:tcW w:w="8002" w:type="dxa"/>
            <w:gridSpan w:val="5"/>
            <w:tcBorders>
              <w:top w:val="nil"/>
              <w:left w:val="nil"/>
              <w:bottom w:val="nil"/>
              <w:right w:val="nil"/>
            </w:tcBorders>
            <w:shd w:val="clear" w:color="auto" w:fill="auto"/>
            <w:noWrap/>
            <w:vAlign w:val="bottom"/>
          </w:tcPr>
          <w:p w:rsidR="0054563A" w:rsidRPr="00541AC9" w:rsidRDefault="0054563A" w:rsidP="006A30B9">
            <w:pPr>
              <w:spacing w:line="360" w:lineRule="auto"/>
              <w:rPr>
                <w:rFonts w:ascii="Arial" w:hAnsi="Arial" w:cs="Arial"/>
                <w:color w:val="000000"/>
              </w:rPr>
            </w:pPr>
            <w:r>
              <w:rPr>
                <w:rFonts w:ascii="Arial" w:hAnsi="Arial" w:cs="Arial"/>
                <w:color w:val="000000"/>
                <w:sz w:val="22"/>
                <w:szCs w:val="22"/>
              </w:rPr>
              <w:t>GEREÇ VE YÖNTEM</w:t>
            </w:r>
            <w:r w:rsidR="00E2355C">
              <w:rPr>
                <w:rFonts w:ascii="Arial" w:hAnsi="Arial" w:cs="Arial"/>
                <w:color w:val="000000"/>
                <w:sz w:val="22"/>
                <w:szCs w:val="22"/>
              </w:rPr>
              <w:t>…………………………………………………………..</w:t>
            </w:r>
            <w:r w:rsidRPr="00541AC9">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54563A" w:rsidRPr="00D30218" w:rsidRDefault="0054563A" w:rsidP="006A30B9">
            <w:pPr>
              <w:spacing w:line="360" w:lineRule="auto"/>
              <w:rPr>
                <w:rFonts w:ascii="Arial" w:hAnsi="Arial" w:cs="Arial"/>
                <w:color w:val="000000"/>
              </w:rPr>
            </w:pPr>
            <w:r w:rsidRPr="00D30218">
              <w:rPr>
                <w:rFonts w:ascii="Arial" w:hAnsi="Arial" w:cs="Arial"/>
                <w:color w:val="000000"/>
                <w:sz w:val="22"/>
                <w:szCs w:val="22"/>
              </w:rPr>
              <w:t>28</w:t>
            </w:r>
          </w:p>
        </w:tc>
      </w:tr>
      <w:tr w:rsidR="0054563A"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54563A" w:rsidRPr="00541AC9" w:rsidRDefault="0054563A" w:rsidP="00824250">
            <w:pPr>
              <w:spacing w:line="360" w:lineRule="auto"/>
              <w:rPr>
                <w:rFonts w:ascii="Arial" w:hAnsi="Arial" w:cs="Arial"/>
                <w:color w:val="000000"/>
              </w:rPr>
            </w:pPr>
          </w:p>
        </w:tc>
        <w:tc>
          <w:tcPr>
            <w:tcW w:w="8002" w:type="dxa"/>
            <w:gridSpan w:val="5"/>
            <w:tcBorders>
              <w:top w:val="nil"/>
              <w:left w:val="nil"/>
              <w:bottom w:val="nil"/>
              <w:right w:val="nil"/>
            </w:tcBorders>
            <w:shd w:val="clear" w:color="auto" w:fill="auto"/>
            <w:noWrap/>
            <w:vAlign w:val="bottom"/>
          </w:tcPr>
          <w:p w:rsidR="0054563A" w:rsidRPr="00541AC9" w:rsidRDefault="0054563A" w:rsidP="0050244D">
            <w:pPr>
              <w:spacing w:line="360" w:lineRule="auto"/>
              <w:rPr>
                <w:rFonts w:ascii="Arial" w:hAnsi="Arial" w:cs="Arial"/>
                <w:color w:val="000000"/>
              </w:rPr>
            </w:pPr>
            <w:r w:rsidRPr="00541AC9">
              <w:rPr>
                <w:rFonts w:ascii="Arial" w:hAnsi="Arial" w:cs="Arial"/>
                <w:color w:val="000000"/>
                <w:sz w:val="22"/>
                <w:szCs w:val="22"/>
              </w:rPr>
              <w:t xml:space="preserve">      </w:t>
            </w:r>
            <w:r>
              <w:rPr>
                <w:rFonts w:ascii="Arial" w:hAnsi="Arial" w:cs="Arial"/>
                <w:color w:val="000000"/>
                <w:sz w:val="22"/>
                <w:szCs w:val="22"/>
              </w:rPr>
              <w:t>Amaç................................................................................</w:t>
            </w:r>
            <w:r w:rsidRPr="00541AC9">
              <w:rPr>
                <w:rFonts w:ascii="Arial" w:hAnsi="Arial" w:cs="Arial"/>
                <w:color w:val="000000"/>
                <w:sz w:val="22"/>
                <w:szCs w:val="22"/>
              </w:rPr>
              <w:t>………………</w:t>
            </w:r>
            <w:r>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54563A" w:rsidRPr="00D30218" w:rsidRDefault="0054563A" w:rsidP="006A30B9">
            <w:pPr>
              <w:spacing w:line="360" w:lineRule="auto"/>
              <w:rPr>
                <w:rFonts w:ascii="Arial" w:hAnsi="Arial" w:cs="Arial"/>
                <w:color w:val="000000"/>
              </w:rPr>
            </w:pPr>
            <w:r w:rsidRPr="00D30218">
              <w:rPr>
                <w:rFonts w:ascii="Arial" w:hAnsi="Arial" w:cs="Arial"/>
                <w:color w:val="000000"/>
                <w:sz w:val="22"/>
                <w:szCs w:val="22"/>
              </w:rPr>
              <w:t>28</w:t>
            </w:r>
          </w:p>
        </w:tc>
      </w:tr>
      <w:tr w:rsidR="0054563A"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54563A" w:rsidRPr="00541AC9" w:rsidRDefault="0054563A"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54563A" w:rsidRPr="00541AC9" w:rsidRDefault="0054563A"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54563A" w:rsidRPr="00541AC9" w:rsidRDefault="0054563A" w:rsidP="0050244D">
            <w:pPr>
              <w:spacing w:line="360" w:lineRule="auto"/>
              <w:rPr>
                <w:rFonts w:ascii="Arial" w:hAnsi="Arial" w:cs="Arial"/>
                <w:color w:val="000000"/>
              </w:rPr>
            </w:pPr>
            <w:r>
              <w:rPr>
                <w:rFonts w:ascii="Arial" w:hAnsi="Arial" w:cs="Arial"/>
                <w:color w:val="000000"/>
                <w:sz w:val="22"/>
                <w:szCs w:val="22"/>
              </w:rPr>
              <w:t xml:space="preserve">   Varsayımlar................................................................................</w:t>
            </w:r>
            <w:r w:rsidRPr="00541AC9">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54563A" w:rsidRPr="00D30218" w:rsidRDefault="0054563A" w:rsidP="006A30B9">
            <w:pPr>
              <w:spacing w:line="360" w:lineRule="auto"/>
              <w:rPr>
                <w:rFonts w:ascii="Arial" w:hAnsi="Arial" w:cs="Arial"/>
                <w:color w:val="000000"/>
              </w:rPr>
            </w:pPr>
            <w:r w:rsidRPr="00D30218">
              <w:rPr>
                <w:rFonts w:ascii="Arial" w:hAnsi="Arial" w:cs="Arial"/>
                <w:color w:val="000000"/>
                <w:sz w:val="22"/>
                <w:szCs w:val="22"/>
              </w:rPr>
              <w:t>28</w:t>
            </w:r>
          </w:p>
        </w:tc>
      </w:tr>
      <w:tr w:rsidR="006A3052"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6A3052" w:rsidRPr="00541AC9" w:rsidRDefault="006A3052"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6A3052" w:rsidRPr="00541AC9" w:rsidRDefault="006A3052"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6A3052" w:rsidRPr="00541AC9" w:rsidRDefault="006A3052" w:rsidP="0050244D">
            <w:pPr>
              <w:spacing w:line="360" w:lineRule="auto"/>
              <w:rPr>
                <w:rFonts w:ascii="Arial" w:hAnsi="Arial" w:cs="Arial"/>
                <w:color w:val="000000"/>
              </w:rPr>
            </w:pPr>
            <w:r>
              <w:rPr>
                <w:rFonts w:ascii="Arial" w:hAnsi="Arial" w:cs="Arial"/>
                <w:color w:val="000000"/>
                <w:sz w:val="22"/>
                <w:szCs w:val="22"/>
              </w:rPr>
              <w:t xml:space="preserve">   Araştırma Tipi................................................................................</w:t>
            </w:r>
            <w:r w:rsidRPr="00541AC9">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6A3052" w:rsidRPr="00D30218" w:rsidRDefault="006A3052" w:rsidP="0096478A">
            <w:pPr>
              <w:spacing w:line="360" w:lineRule="auto"/>
              <w:rPr>
                <w:rFonts w:ascii="Arial" w:hAnsi="Arial" w:cs="Arial"/>
                <w:color w:val="000000"/>
              </w:rPr>
            </w:pPr>
            <w:r w:rsidRPr="00D30218">
              <w:rPr>
                <w:rFonts w:ascii="Arial" w:hAnsi="Arial" w:cs="Arial"/>
                <w:color w:val="000000"/>
                <w:sz w:val="22"/>
                <w:szCs w:val="22"/>
              </w:rPr>
              <w:t>2</w:t>
            </w:r>
            <w:r w:rsidR="0096478A">
              <w:rPr>
                <w:rFonts w:ascii="Arial" w:hAnsi="Arial" w:cs="Arial"/>
                <w:color w:val="000000"/>
                <w:sz w:val="22"/>
                <w:szCs w:val="22"/>
              </w:rPr>
              <w:t>9</w:t>
            </w:r>
          </w:p>
        </w:tc>
      </w:tr>
      <w:tr w:rsidR="006A3052"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6A3052" w:rsidRPr="00541AC9" w:rsidRDefault="006A3052"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tcPr>
          <w:p w:rsidR="006A3052" w:rsidRPr="00541AC9" w:rsidRDefault="006A3052"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tcPr>
          <w:p w:rsidR="006A3052" w:rsidRPr="00541AC9" w:rsidRDefault="006A3052" w:rsidP="00E2355C">
            <w:pPr>
              <w:spacing w:line="360" w:lineRule="auto"/>
              <w:rPr>
                <w:rFonts w:ascii="Arial" w:hAnsi="Arial" w:cs="Arial"/>
                <w:color w:val="000000"/>
              </w:rPr>
            </w:pPr>
            <w:r>
              <w:rPr>
                <w:rFonts w:ascii="Arial" w:hAnsi="Arial" w:cs="Arial"/>
                <w:color w:val="000000"/>
                <w:sz w:val="22"/>
                <w:szCs w:val="22"/>
              </w:rPr>
              <w:t xml:space="preserve">  </w:t>
            </w:r>
            <w:r w:rsidR="00E2355C">
              <w:rPr>
                <w:rFonts w:ascii="Arial" w:hAnsi="Arial" w:cs="Arial"/>
                <w:color w:val="000000"/>
                <w:sz w:val="22"/>
                <w:szCs w:val="22"/>
              </w:rPr>
              <w:t xml:space="preserve"> </w:t>
            </w:r>
            <w:r>
              <w:rPr>
                <w:rFonts w:ascii="Arial" w:hAnsi="Arial" w:cs="Arial"/>
                <w:color w:val="000000"/>
                <w:sz w:val="22"/>
                <w:szCs w:val="22"/>
              </w:rPr>
              <w:t xml:space="preserve"> Araştırmanın Yapıldığı Yer ............................</w:t>
            </w:r>
            <w:r w:rsidRPr="00541AC9">
              <w:rPr>
                <w:rFonts w:ascii="Arial" w:hAnsi="Arial" w:cs="Arial"/>
                <w:color w:val="000000"/>
                <w:sz w:val="22"/>
                <w:szCs w:val="22"/>
              </w:rPr>
              <w:t>……………</w:t>
            </w:r>
            <w:r>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6A3052" w:rsidRPr="00D30218" w:rsidRDefault="006A3052" w:rsidP="006A3052">
            <w:pPr>
              <w:spacing w:line="360" w:lineRule="auto"/>
              <w:rPr>
                <w:rFonts w:ascii="Arial" w:hAnsi="Arial" w:cs="Arial"/>
                <w:color w:val="000000"/>
              </w:rPr>
            </w:pPr>
            <w:r w:rsidRPr="00D30218">
              <w:rPr>
                <w:rFonts w:ascii="Arial" w:hAnsi="Arial" w:cs="Arial"/>
                <w:color w:val="000000"/>
                <w:sz w:val="22"/>
                <w:szCs w:val="22"/>
              </w:rPr>
              <w:t>29</w:t>
            </w:r>
          </w:p>
        </w:tc>
      </w:tr>
      <w:tr w:rsidR="00E2355C"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E2355C" w:rsidRPr="00541AC9" w:rsidRDefault="00E2355C"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E2355C" w:rsidRPr="00541AC9" w:rsidRDefault="00E2355C"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E2355C" w:rsidRPr="00541AC9" w:rsidRDefault="00E2355C" w:rsidP="00E2355C">
            <w:pPr>
              <w:spacing w:line="360" w:lineRule="auto"/>
              <w:rPr>
                <w:rFonts w:ascii="Arial" w:hAnsi="Arial" w:cs="Arial"/>
                <w:color w:val="000000"/>
              </w:rPr>
            </w:pPr>
            <w:r>
              <w:rPr>
                <w:rFonts w:ascii="Arial" w:hAnsi="Arial" w:cs="Arial"/>
                <w:color w:val="000000"/>
                <w:sz w:val="22"/>
                <w:szCs w:val="22"/>
              </w:rPr>
              <w:t xml:space="preserve">    Araştırmanın Evreni ............................</w:t>
            </w:r>
            <w:r w:rsidRPr="00541AC9">
              <w:rPr>
                <w:rFonts w:ascii="Arial" w:hAnsi="Arial" w:cs="Arial"/>
                <w:color w:val="000000"/>
                <w:sz w:val="22"/>
                <w:szCs w:val="22"/>
              </w:rPr>
              <w:t>……………</w:t>
            </w:r>
            <w:r>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E2355C" w:rsidRPr="00D30218" w:rsidRDefault="00E2355C" w:rsidP="006A30B9">
            <w:pPr>
              <w:spacing w:line="360" w:lineRule="auto"/>
              <w:rPr>
                <w:rFonts w:ascii="Arial" w:hAnsi="Arial" w:cs="Arial"/>
                <w:color w:val="000000"/>
              </w:rPr>
            </w:pPr>
            <w:r w:rsidRPr="00D30218">
              <w:rPr>
                <w:rFonts w:ascii="Arial" w:hAnsi="Arial" w:cs="Arial"/>
                <w:color w:val="000000"/>
                <w:sz w:val="22"/>
                <w:szCs w:val="22"/>
              </w:rPr>
              <w:t>29</w:t>
            </w:r>
          </w:p>
        </w:tc>
      </w:tr>
      <w:tr w:rsidR="00E2355C" w:rsidRPr="00E205CB" w:rsidTr="00D30218">
        <w:trPr>
          <w:gridAfter w:val="1"/>
          <w:wAfter w:w="15" w:type="dxa"/>
          <w:trHeight w:val="300"/>
        </w:trPr>
        <w:tc>
          <w:tcPr>
            <w:tcW w:w="158" w:type="dxa"/>
            <w:tcBorders>
              <w:top w:val="nil"/>
              <w:left w:val="nil"/>
              <w:bottom w:val="nil"/>
              <w:right w:val="nil"/>
            </w:tcBorders>
            <w:shd w:val="clear" w:color="auto" w:fill="auto"/>
            <w:noWrap/>
            <w:vAlign w:val="bottom"/>
          </w:tcPr>
          <w:p w:rsidR="00E2355C" w:rsidRPr="00541AC9" w:rsidRDefault="00E2355C"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tcPr>
          <w:p w:rsidR="00E2355C" w:rsidRPr="00541AC9" w:rsidRDefault="00E2355C"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tcPr>
          <w:p w:rsidR="00E2355C" w:rsidRPr="00541AC9" w:rsidRDefault="00E2355C" w:rsidP="00E2355C">
            <w:pPr>
              <w:spacing w:line="360" w:lineRule="auto"/>
              <w:rPr>
                <w:rFonts w:ascii="Arial" w:hAnsi="Arial" w:cs="Arial"/>
                <w:color w:val="000000"/>
              </w:rPr>
            </w:pPr>
            <w:r>
              <w:rPr>
                <w:rFonts w:ascii="Arial" w:hAnsi="Arial" w:cs="Arial"/>
                <w:color w:val="000000"/>
                <w:sz w:val="22"/>
                <w:szCs w:val="22"/>
              </w:rPr>
              <w:t xml:space="preserve">    Araştırmaya Dahil Edilme ve Dışlanma Ölçütleri.......................................</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E2355C" w:rsidRPr="00D30218" w:rsidRDefault="00E2355C" w:rsidP="006A30B9">
            <w:pPr>
              <w:spacing w:line="360" w:lineRule="auto"/>
              <w:rPr>
                <w:rFonts w:ascii="Arial" w:hAnsi="Arial" w:cs="Arial"/>
                <w:color w:val="000000"/>
              </w:rPr>
            </w:pPr>
            <w:r w:rsidRPr="00D30218">
              <w:rPr>
                <w:rFonts w:ascii="Arial" w:hAnsi="Arial" w:cs="Arial"/>
                <w:color w:val="000000"/>
                <w:sz w:val="22"/>
                <w:szCs w:val="22"/>
              </w:rPr>
              <w:t>29</w:t>
            </w:r>
          </w:p>
        </w:tc>
      </w:tr>
      <w:tr w:rsidR="00E2355C"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E2355C" w:rsidRPr="00541AC9" w:rsidRDefault="00E2355C"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E2355C" w:rsidRPr="00541AC9" w:rsidRDefault="00E2355C"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E2355C" w:rsidRPr="00541AC9" w:rsidRDefault="00E2355C" w:rsidP="00E2355C">
            <w:pPr>
              <w:spacing w:line="360" w:lineRule="auto"/>
              <w:rPr>
                <w:rFonts w:ascii="Arial" w:hAnsi="Arial" w:cs="Arial"/>
                <w:color w:val="000000"/>
              </w:rPr>
            </w:pPr>
            <w:r>
              <w:rPr>
                <w:rFonts w:ascii="Arial" w:hAnsi="Arial" w:cs="Arial"/>
                <w:color w:val="000000"/>
                <w:sz w:val="22"/>
                <w:szCs w:val="22"/>
              </w:rPr>
              <w:t xml:space="preserve">    Araştırmanın Yürütülmesi ............................</w:t>
            </w:r>
            <w:r w:rsidRPr="00541AC9">
              <w:rPr>
                <w:rFonts w:ascii="Arial" w:hAnsi="Arial" w:cs="Arial"/>
                <w:color w:val="000000"/>
                <w:sz w:val="22"/>
                <w:szCs w:val="22"/>
              </w:rPr>
              <w:t>……………</w:t>
            </w:r>
            <w:r>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E2355C" w:rsidRPr="00D30218" w:rsidRDefault="00752D0B" w:rsidP="006A30B9">
            <w:pPr>
              <w:spacing w:line="360" w:lineRule="auto"/>
              <w:rPr>
                <w:rFonts w:ascii="Arial" w:hAnsi="Arial" w:cs="Arial"/>
                <w:color w:val="000000"/>
              </w:rPr>
            </w:pPr>
            <w:r>
              <w:rPr>
                <w:rFonts w:ascii="Arial" w:hAnsi="Arial" w:cs="Arial"/>
                <w:color w:val="000000"/>
                <w:sz w:val="22"/>
                <w:szCs w:val="22"/>
              </w:rPr>
              <w:t>30</w:t>
            </w:r>
          </w:p>
        </w:tc>
      </w:tr>
      <w:tr w:rsidR="00E2355C" w:rsidRPr="00E205CB" w:rsidTr="00D30218">
        <w:trPr>
          <w:gridAfter w:val="1"/>
          <w:wAfter w:w="15" w:type="dxa"/>
          <w:trHeight w:val="300"/>
        </w:trPr>
        <w:tc>
          <w:tcPr>
            <w:tcW w:w="158" w:type="dxa"/>
            <w:tcBorders>
              <w:top w:val="nil"/>
              <w:left w:val="nil"/>
              <w:bottom w:val="nil"/>
              <w:right w:val="nil"/>
            </w:tcBorders>
            <w:shd w:val="clear" w:color="auto" w:fill="auto"/>
            <w:noWrap/>
            <w:vAlign w:val="bottom"/>
            <w:hideMark/>
          </w:tcPr>
          <w:p w:rsidR="00E2355C" w:rsidRPr="00541AC9" w:rsidRDefault="00E2355C" w:rsidP="00824250">
            <w:pPr>
              <w:spacing w:line="360" w:lineRule="auto"/>
              <w:rPr>
                <w:rFonts w:ascii="Arial" w:hAnsi="Arial" w:cs="Arial"/>
                <w:color w:val="000000"/>
              </w:rPr>
            </w:pPr>
          </w:p>
        </w:tc>
        <w:tc>
          <w:tcPr>
            <w:tcW w:w="154" w:type="dxa"/>
            <w:gridSpan w:val="2"/>
            <w:tcBorders>
              <w:top w:val="nil"/>
              <w:left w:val="nil"/>
              <w:bottom w:val="nil"/>
              <w:right w:val="nil"/>
            </w:tcBorders>
            <w:shd w:val="clear" w:color="auto" w:fill="auto"/>
            <w:noWrap/>
            <w:vAlign w:val="bottom"/>
            <w:hideMark/>
          </w:tcPr>
          <w:p w:rsidR="00E2355C" w:rsidRPr="00541AC9" w:rsidRDefault="00E2355C"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E2355C" w:rsidRPr="00541AC9" w:rsidRDefault="00E2355C" w:rsidP="00E2355C">
            <w:pPr>
              <w:spacing w:line="360" w:lineRule="auto"/>
              <w:rPr>
                <w:rFonts w:ascii="Arial" w:hAnsi="Arial" w:cs="Arial"/>
                <w:color w:val="000000"/>
              </w:rPr>
            </w:pPr>
            <w:r>
              <w:rPr>
                <w:rFonts w:ascii="Arial" w:hAnsi="Arial" w:cs="Arial"/>
                <w:color w:val="000000"/>
                <w:sz w:val="22"/>
                <w:szCs w:val="22"/>
              </w:rPr>
              <w:t xml:space="preserve">    Veri Toplama Araçları ............................</w:t>
            </w:r>
            <w:r w:rsidRPr="00541AC9">
              <w:rPr>
                <w:rFonts w:ascii="Arial" w:hAnsi="Arial" w:cs="Arial"/>
                <w:color w:val="000000"/>
                <w:sz w:val="22"/>
                <w:szCs w:val="22"/>
              </w:rPr>
              <w:t>……………</w:t>
            </w:r>
            <w:r>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E2355C" w:rsidRPr="00D30218" w:rsidRDefault="00E2355C" w:rsidP="006A30B9">
            <w:pPr>
              <w:spacing w:line="360" w:lineRule="auto"/>
              <w:rPr>
                <w:rFonts w:ascii="Arial" w:hAnsi="Arial" w:cs="Arial"/>
                <w:color w:val="000000"/>
              </w:rPr>
            </w:pPr>
            <w:r w:rsidRPr="00D30218">
              <w:rPr>
                <w:rFonts w:ascii="Arial" w:hAnsi="Arial" w:cs="Arial"/>
                <w:color w:val="000000"/>
                <w:sz w:val="22"/>
                <w:szCs w:val="22"/>
              </w:rPr>
              <w:t>30</w:t>
            </w:r>
          </w:p>
        </w:tc>
      </w:tr>
      <w:tr w:rsidR="00E2355C"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E2355C" w:rsidRPr="003C1280" w:rsidRDefault="00E2355C" w:rsidP="00E2355C">
            <w:pPr>
              <w:spacing w:line="360" w:lineRule="auto"/>
              <w:rPr>
                <w:rFonts w:ascii="Arial" w:hAnsi="Arial" w:cs="Arial"/>
                <w:color w:val="000000"/>
              </w:rPr>
            </w:pPr>
            <w:r>
              <w:rPr>
                <w:rFonts w:ascii="Arial" w:hAnsi="Arial" w:cs="Arial"/>
                <w:color w:val="000000"/>
                <w:sz w:val="22"/>
                <w:szCs w:val="22"/>
              </w:rPr>
              <w:t xml:space="preserve"> </w:t>
            </w:r>
            <w:r w:rsidRPr="00541AC9">
              <w:rPr>
                <w:rFonts w:ascii="Arial" w:hAnsi="Arial" w:cs="Arial"/>
                <w:color w:val="000000"/>
                <w:sz w:val="22"/>
                <w:szCs w:val="22"/>
              </w:rPr>
              <w:t xml:space="preserve">  </w:t>
            </w:r>
            <w:r>
              <w:rPr>
                <w:rFonts w:ascii="Arial" w:hAnsi="Arial" w:cs="Arial"/>
                <w:color w:val="000000"/>
                <w:sz w:val="22"/>
                <w:szCs w:val="22"/>
              </w:rPr>
              <w:t xml:space="preserve">       </w:t>
            </w:r>
            <w:r w:rsidRPr="003C1280">
              <w:rPr>
                <w:rFonts w:ascii="Arial" w:hAnsi="Arial" w:cs="Arial"/>
                <w:color w:val="000000"/>
                <w:sz w:val="22"/>
                <w:szCs w:val="22"/>
              </w:rPr>
              <w:t xml:space="preserve">     </w:t>
            </w:r>
            <w:r>
              <w:rPr>
                <w:rFonts w:ascii="Arial" w:hAnsi="Arial" w:cs="Arial"/>
                <w:color w:val="000000"/>
                <w:sz w:val="22"/>
                <w:szCs w:val="22"/>
              </w:rPr>
              <w:t xml:space="preserve"> </w:t>
            </w:r>
            <w:r w:rsidRPr="003C1280">
              <w:rPr>
                <w:rFonts w:ascii="Arial" w:hAnsi="Arial" w:cs="Arial"/>
                <w:color w:val="000000"/>
                <w:sz w:val="22"/>
                <w:szCs w:val="22"/>
              </w:rPr>
              <w:t xml:space="preserve"> </w:t>
            </w:r>
            <w:r>
              <w:rPr>
                <w:rFonts w:ascii="Arial" w:hAnsi="Arial" w:cs="Arial"/>
                <w:color w:val="000000"/>
                <w:sz w:val="22"/>
                <w:szCs w:val="22"/>
              </w:rPr>
              <w:t xml:space="preserve">  </w:t>
            </w:r>
            <w:r w:rsidRPr="003C1280">
              <w:rPr>
                <w:rFonts w:ascii="Arial" w:hAnsi="Arial" w:cs="Arial"/>
                <w:color w:val="000000"/>
                <w:sz w:val="22"/>
                <w:szCs w:val="22"/>
              </w:rPr>
              <w:t xml:space="preserve"> </w:t>
            </w:r>
            <w:r>
              <w:rPr>
                <w:rFonts w:ascii="Arial" w:hAnsi="Arial" w:cs="Arial"/>
                <w:color w:val="000000"/>
                <w:sz w:val="22"/>
                <w:szCs w:val="22"/>
              </w:rPr>
              <w:t>Sosyodemografik ve Klinik Veri Formu</w:t>
            </w:r>
            <w:r w:rsidRPr="003C1280">
              <w:rPr>
                <w:rFonts w:ascii="Arial" w:hAnsi="Arial" w:cs="Arial"/>
                <w:color w:val="000000"/>
                <w:sz w:val="22"/>
                <w:szCs w:val="22"/>
              </w:rPr>
              <w:t>……………………</w:t>
            </w:r>
            <w:r>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E2355C" w:rsidRPr="00D30218" w:rsidRDefault="00E2355C" w:rsidP="006A30B9">
            <w:pPr>
              <w:spacing w:line="360" w:lineRule="auto"/>
              <w:rPr>
                <w:rFonts w:ascii="Arial" w:hAnsi="Arial" w:cs="Arial"/>
                <w:color w:val="000000"/>
              </w:rPr>
            </w:pPr>
            <w:r w:rsidRPr="00D30218">
              <w:rPr>
                <w:rFonts w:ascii="Arial" w:hAnsi="Arial" w:cs="Arial"/>
                <w:color w:val="000000"/>
                <w:sz w:val="22"/>
                <w:szCs w:val="22"/>
              </w:rPr>
              <w:t>30</w:t>
            </w:r>
          </w:p>
        </w:tc>
      </w:tr>
      <w:tr w:rsidR="00E2355C" w:rsidRPr="00E205CB" w:rsidTr="00D30218">
        <w:trPr>
          <w:gridAfter w:val="1"/>
          <w:wAfter w:w="15" w:type="dxa"/>
          <w:trHeight w:val="315"/>
        </w:trPr>
        <w:tc>
          <w:tcPr>
            <w:tcW w:w="164" w:type="dxa"/>
            <w:gridSpan w:val="2"/>
            <w:tcBorders>
              <w:top w:val="nil"/>
              <w:left w:val="nil"/>
              <w:bottom w:val="nil"/>
              <w:right w:val="nil"/>
            </w:tcBorders>
            <w:shd w:val="clear" w:color="auto" w:fill="auto"/>
            <w:noWrap/>
            <w:vAlign w:val="bottom"/>
            <w:hideMark/>
          </w:tcPr>
          <w:p w:rsidR="00E2355C" w:rsidRPr="00541AC9" w:rsidRDefault="00E2355C" w:rsidP="00824250">
            <w:pPr>
              <w:spacing w:line="360" w:lineRule="auto"/>
              <w:rPr>
                <w:rFonts w:ascii="Arial" w:hAnsi="Arial" w:cs="Arial"/>
                <w:color w:val="000000"/>
              </w:rPr>
            </w:pPr>
          </w:p>
        </w:tc>
        <w:tc>
          <w:tcPr>
            <w:tcW w:w="7996" w:type="dxa"/>
            <w:gridSpan w:val="4"/>
            <w:tcBorders>
              <w:top w:val="nil"/>
              <w:left w:val="nil"/>
              <w:bottom w:val="nil"/>
              <w:right w:val="nil"/>
            </w:tcBorders>
            <w:shd w:val="clear" w:color="auto" w:fill="auto"/>
            <w:noWrap/>
            <w:vAlign w:val="bottom"/>
            <w:hideMark/>
          </w:tcPr>
          <w:p w:rsidR="00B02F76" w:rsidRDefault="00E2355C" w:rsidP="00B02F76">
            <w:pPr>
              <w:spacing w:line="360" w:lineRule="auto"/>
              <w:ind w:firstLine="567"/>
              <w:rPr>
                <w:rFonts w:ascii="Arial" w:hAnsi="Arial" w:cs="Arial"/>
              </w:rPr>
            </w:pPr>
            <w:r>
              <w:rPr>
                <w:rFonts w:ascii="Arial" w:hAnsi="Arial" w:cs="Arial"/>
                <w:color w:val="000000"/>
                <w:sz w:val="22"/>
                <w:szCs w:val="22"/>
              </w:rPr>
              <w:t xml:space="preserve"> </w:t>
            </w:r>
            <w:r w:rsidRPr="00541AC9">
              <w:rPr>
                <w:rFonts w:ascii="Arial" w:hAnsi="Arial" w:cs="Arial"/>
                <w:color w:val="000000"/>
                <w:sz w:val="22"/>
                <w:szCs w:val="22"/>
              </w:rPr>
              <w:t xml:space="preserve">  </w:t>
            </w:r>
            <w:r>
              <w:rPr>
                <w:rFonts w:ascii="Arial" w:hAnsi="Arial" w:cs="Arial"/>
                <w:color w:val="000000"/>
                <w:sz w:val="22"/>
                <w:szCs w:val="22"/>
              </w:rPr>
              <w:t xml:space="preserve">     </w:t>
            </w:r>
            <w:r w:rsidRPr="00E2355C">
              <w:rPr>
                <w:rFonts w:ascii="Arial" w:hAnsi="Arial" w:cs="Arial"/>
                <w:sz w:val="22"/>
                <w:szCs w:val="22"/>
              </w:rPr>
              <w:t xml:space="preserve">Çocuk ve Ergenlerde Yıkıcı Davranım Bozuklukları İçin DSM-IV’e </w:t>
            </w:r>
            <w:r w:rsidR="00B02F76">
              <w:rPr>
                <w:rFonts w:ascii="Arial" w:hAnsi="Arial" w:cs="Arial"/>
                <w:sz w:val="22"/>
                <w:szCs w:val="22"/>
              </w:rPr>
              <w:t xml:space="preserve">         </w:t>
            </w:r>
          </w:p>
          <w:p w:rsidR="00E2355C" w:rsidRPr="00E2355C" w:rsidRDefault="00B02F76" w:rsidP="00B02F76">
            <w:pPr>
              <w:spacing w:line="360" w:lineRule="auto"/>
              <w:ind w:firstLine="567"/>
              <w:rPr>
                <w:rFonts w:ascii="Arial" w:hAnsi="Arial" w:cs="Arial"/>
              </w:rPr>
            </w:pPr>
            <w:r>
              <w:rPr>
                <w:rFonts w:ascii="Arial" w:hAnsi="Arial" w:cs="Arial"/>
                <w:sz w:val="22"/>
                <w:szCs w:val="22"/>
              </w:rPr>
              <w:t xml:space="preserve">       Dayalı Tarama Ölçeği........................................................................</w:t>
            </w:r>
            <w:r w:rsidR="0050244D">
              <w:rPr>
                <w:rFonts w:ascii="Arial" w:hAnsi="Arial" w:cs="Arial"/>
                <w:sz w:val="22"/>
                <w:szCs w:val="22"/>
              </w:rPr>
              <w:t>.....</w:t>
            </w:r>
          </w:p>
        </w:tc>
        <w:tc>
          <w:tcPr>
            <w:tcW w:w="1173" w:type="dxa"/>
            <w:gridSpan w:val="2"/>
            <w:tcBorders>
              <w:top w:val="nil"/>
              <w:left w:val="nil"/>
              <w:bottom w:val="nil"/>
              <w:right w:val="nil"/>
            </w:tcBorders>
            <w:shd w:val="clear" w:color="auto" w:fill="auto"/>
            <w:noWrap/>
            <w:vAlign w:val="bottom"/>
            <w:hideMark/>
          </w:tcPr>
          <w:p w:rsidR="00E2355C" w:rsidRPr="00D30218" w:rsidRDefault="00E2355C" w:rsidP="006A30B9">
            <w:pPr>
              <w:spacing w:line="360" w:lineRule="auto"/>
              <w:rPr>
                <w:rFonts w:ascii="Arial" w:hAnsi="Arial" w:cs="Arial"/>
                <w:color w:val="000000"/>
              </w:rPr>
            </w:pPr>
            <w:r w:rsidRPr="00D30218">
              <w:rPr>
                <w:rFonts w:ascii="Arial" w:hAnsi="Arial" w:cs="Arial"/>
                <w:color w:val="000000"/>
                <w:sz w:val="22"/>
                <w:szCs w:val="22"/>
              </w:rPr>
              <w:t>30</w:t>
            </w:r>
          </w:p>
        </w:tc>
      </w:tr>
      <w:tr w:rsidR="006A3052" w:rsidRPr="00E205CB" w:rsidTr="00D30218">
        <w:trPr>
          <w:trHeight w:val="261"/>
        </w:trPr>
        <w:tc>
          <w:tcPr>
            <w:tcW w:w="164" w:type="dxa"/>
            <w:gridSpan w:val="2"/>
            <w:tcBorders>
              <w:top w:val="nil"/>
              <w:left w:val="nil"/>
              <w:bottom w:val="nil"/>
              <w:right w:val="nil"/>
            </w:tcBorders>
            <w:shd w:val="clear" w:color="auto" w:fill="auto"/>
            <w:noWrap/>
            <w:vAlign w:val="bottom"/>
            <w:hideMark/>
          </w:tcPr>
          <w:p w:rsidR="006A3052" w:rsidRPr="00541AC9" w:rsidRDefault="006A3052"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hideMark/>
          </w:tcPr>
          <w:p w:rsidR="006A3052" w:rsidRPr="00541AC9" w:rsidRDefault="006A3052"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6A3052" w:rsidRPr="00D30218" w:rsidRDefault="006A3052" w:rsidP="00E2355C">
            <w:pPr>
              <w:spacing w:line="360" w:lineRule="auto"/>
              <w:rPr>
                <w:rFonts w:ascii="Arial" w:hAnsi="Arial" w:cs="Arial"/>
                <w:color w:val="000000"/>
              </w:rPr>
            </w:pPr>
            <w:r w:rsidRPr="00D30218">
              <w:rPr>
                <w:rFonts w:ascii="Arial" w:hAnsi="Arial" w:cs="Arial"/>
                <w:color w:val="000000"/>
                <w:sz w:val="22"/>
                <w:szCs w:val="22"/>
              </w:rPr>
              <w:t xml:space="preserve">      </w:t>
            </w:r>
            <w:r w:rsidR="00E2355C" w:rsidRPr="00D30218">
              <w:rPr>
                <w:rFonts w:ascii="Arial" w:hAnsi="Arial" w:cs="Arial"/>
                <w:color w:val="000000"/>
                <w:sz w:val="22"/>
                <w:szCs w:val="22"/>
              </w:rPr>
              <w:t xml:space="preserve">         </w:t>
            </w:r>
            <w:r w:rsidR="00E2355C" w:rsidRPr="00D30218">
              <w:rPr>
                <w:rFonts w:ascii="Arial" w:hAnsi="Arial" w:cs="Arial"/>
                <w:sz w:val="22"/>
                <w:szCs w:val="22"/>
              </w:rPr>
              <w:t>DEHB Çocuk Değerlendirme (ACE) Uygulamas</w:t>
            </w:r>
            <w:r w:rsidRPr="00D30218">
              <w:rPr>
                <w:rFonts w:ascii="Arial" w:hAnsi="Arial" w:cs="Arial"/>
                <w:color w:val="000000"/>
                <w:sz w:val="22"/>
                <w:szCs w:val="22"/>
              </w:rPr>
              <w:t>…………</w:t>
            </w:r>
            <w:r w:rsidR="006A30B9" w:rsidRPr="00D30218">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6A3052" w:rsidRPr="00D30218" w:rsidRDefault="00E2355C" w:rsidP="00824250">
            <w:pPr>
              <w:spacing w:line="360" w:lineRule="auto"/>
              <w:rPr>
                <w:rFonts w:ascii="Arial" w:hAnsi="Arial" w:cs="Arial"/>
                <w:color w:val="000000"/>
              </w:rPr>
            </w:pPr>
            <w:r w:rsidRPr="00D30218">
              <w:rPr>
                <w:rFonts w:ascii="Arial" w:hAnsi="Arial" w:cs="Arial"/>
                <w:color w:val="000000"/>
                <w:sz w:val="22"/>
                <w:szCs w:val="22"/>
              </w:rPr>
              <w:t>30</w:t>
            </w:r>
          </w:p>
        </w:tc>
      </w:tr>
      <w:tr w:rsidR="006A3052" w:rsidRPr="00E205CB" w:rsidTr="00D30218">
        <w:trPr>
          <w:trHeight w:val="486"/>
        </w:trPr>
        <w:tc>
          <w:tcPr>
            <w:tcW w:w="164" w:type="dxa"/>
            <w:gridSpan w:val="2"/>
            <w:tcBorders>
              <w:top w:val="nil"/>
              <w:left w:val="nil"/>
              <w:bottom w:val="nil"/>
              <w:right w:val="nil"/>
            </w:tcBorders>
            <w:shd w:val="clear" w:color="auto" w:fill="auto"/>
            <w:noWrap/>
            <w:vAlign w:val="bottom"/>
            <w:hideMark/>
          </w:tcPr>
          <w:p w:rsidR="006A3052" w:rsidRPr="00541AC9" w:rsidRDefault="006A3052"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hideMark/>
          </w:tcPr>
          <w:p w:rsidR="006A3052" w:rsidRPr="00541AC9" w:rsidRDefault="006A3052"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center"/>
            <w:hideMark/>
          </w:tcPr>
          <w:p w:rsidR="006A30B9" w:rsidRPr="00D30218" w:rsidRDefault="006A30B9" w:rsidP="006A30B9">
            <w:pPr>
              <w:rPr>
                <w:rFonts w:ascii="Arial" w:hAnsi="Arial" w:cs="Arial"/>
              </w:rPr>
            </w:pPr>
            <w:r w:rsidRPr="00D30218">
              <w:rPr>
                <w:rFonts w:ascii="Arial" w:hAnsi="Arial" w:cs="Arial"/>
                <w:sz w:val="22"/>
                <w:szCs w:val="22"/>
              </w:rPr>
              <w:t xml:space="preserve">     miRNA Ekspresyon Seviyelerinin Ölçümü ..................</w:t>
            </w:r>
            <w:r w:rsidR="0050244D">
              <w:rPr>
                <w:rFonts w:ascii="Arial" w:hAnsi="Arial" w:cs="Arial"/>
                <w:sz w:val="22"/>
                <w:szCs w:val="22"/>
              </w:rPr>
              <w:t>....................................</w:t>
            </w:r>
          </w:p>
        </w:tc>
        <w:tc>
          <w:tcPr>
            <w:tcW w:w="1173" w:type="dxa"/>
            <w:gridSpan w:val="2"/>
            <w:tcBorders>
              <w:top w:val="nil"/>
              <w:left w:val="nil"/>
              <w:bottom w:val="nil"/>
              <w:right w:val="nil"/>
            </w:tcBorders>
            <w:shd w:val="clear" w:color="auto" w:fill="auto"/>
            <w:noWrap/>
            <w:vAlign w:val="center"/>
            <w:hideMark/>
          </w:tcPr>
          <w:p w:rsidR="006A3052" w:rsidRPr="00D30218" w:rsidRDefault="006A30B9" w:rsidP="006A30B9">
            <w:pPr>
              <w:rPr>
                <w:rFonts w:ascii="Arial" w:hAnsi="Arial" w:cs="Arial"/>
              </w:rPr>
            </w:pPr>
            <w:r w:rsidRPr="00D30218">
              <w:rPr>
                <w:rFonts w:ascii="Arial" w:hAnsi="Arial" w:cs="Arial"/>
                <w:sz w:val="22"/>
                <w:szCs w:val="22"/>
              </w:rPr>
              <w:t>31</w:t>
            </w:r>
          </w:p>
        </w:tc>
      </w:tr>
      <w:tr w:rsidR="006A3052" w:rsidRPr="00E205CB" w:rsidTr="00D30218">
        <w:trPr>
          <w:trHeight w:val="300"/>
        </w:trPr>
        <w:tc>
          <w:tcPr>
            <w:tcW w:w="164" w:type="dxa"/>
            <w:gridSpan w:val="2"/>
            <w:tcBorders>
              <w:top w:val="nil"/>
              <w:left w:val="nil"/>
              <w:bottom w:val="nil"/>
              <w:right w:val="nil"/>
            </w:tcBorders>
            <w:shd w:val="clear" w:color="auto" w:fill="auto"/>
            <w:noWrap/>
            <w:vAlign w:val="bottom"/>
            <w:hideMark/>
          </w:tcPr>
          <w:p w:rsidR="006A3052" w:rsidRPr="00541AC9" w:rsidRDefault="006A3052"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hideMark/>
          </w:tcPr>
          <w:p w:rsidR="006A3052" w:rsidRPr="00541AC9" w:rsidRDefault="006A3052"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6A3052" w:rsidRPr="00D30218" w:rsidRDefault="006A3052" w:rsidP="006A30B9">
            <w:pPr>
              <w:spacing w:line="360" w:lineRule="auto"/>
              <w:rPr>
                <w:rFonts w:ascii="Arial" w:hAnsi="Arial" w:cs="Arial"/>
                <w:color w:val="000000"/>
              </w:rPr>
            </w:pPr>
            <w:r w:rsidRPr="00D30218">
              <w:rPr>
                <w:rFonts w:ascii="Arial" w:hAnsi="Arial" w:cs="Arial"/>
                <w:color w:val="000000"/>
                <w:sz w:val="22"/>
                <w:szCs w:val="22"/>
              </w:rPr>
              <w:t xml:space="preserve">      </w:t>
            </w:r>
            <w:r w:rsidR="006A30B9" w:rsidRPr="00D30218">
              <w:rPr>
                <w:rFonts w:ascii="Arial" w:hAnsi="Arial" w:cs="Arial"/>
                <w:sz w:val="22"/>
                <w:szCs w:val="22"/>
              </w:rPr>
              <w:t xml:space="preserve">         miRNA  İzolasyonu</w:t>
            </w:r>
            <w:r w:rsidRPr="00D30218">
              <w:rPr>
                <w:rFonts w:ascii="Arial" w:hAnsi="Arial" w:cs="Arial"/>
                <w:color w:val="000000"/>
                <w:sz w:val="22"/>
                <w:szCs w:val="22"/>
              </w:rPr>
              <w:t>………………………………………..</w:t>
            </w:r>
            <w:r w:rsidR="006A30B9" w:rsidRPr="00D30218">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6A3052" w:rsidRPr="00D30218" w:rsidRDefault="006A3052" w:rsidP="00824250">
            <w:pPr>
              <w:spacing w:line="360" w:lineRule="auto"/>
              <w:rPr>
                <w:rFonts w:ascii="Arial" w:hAnsi="Arial" w:cs="Arial"/>
                <w:color w:val="000000"/>
              </w:rPr>
            </w:pPr>
            <w:r w:rsidRPr="00D30218">
              <w:rPr>
                <w:rFonts w:ascii="Arial" w:hAnsi="Arial" w:cs="Arial"/>
                <w:color w:val="000000"/>
                <w:sz w:val="22"/>
                <w:szCs w:val="22"/>
              </w:rPr>
              <w:t>3</w:t>
            </w:r>
            <w:r w:rsidR="006A30B9" w:rsidRPr="00D30218">
              <w:rPr>
                <w:rFonts w:ascii="Arial" w:hAnsi="Arial" w:cs="Arial"/>
                <w:color w:val="000000"/>
                <w:sz w:val="22"/>
                <w:szCs w:val="22"/>
              </w:rPr>
              <w:t>1</w:t>
            </w:r>
          </w:p>
        </w:tc>
      </w:tr>
      <w:tr w:rsidR="00F43B66" w:rsidRPr="00E205CB" w:rsidTr="00D30218">
        <w:trPr>
          <w:trHeight w:val="300"/>
        </w:trPr>
        <w:tc>
          <w:tcPr>
            <w:tcW w:w="164" w:type="dxa"/>
            <w:gridSpan w:val="2"/>
            <w:tcBorders>
              <w:top w:val="nil"/>
              <w:left w:val="nil"/>
              <w:bottom w:val="nil"/>
              <w:right w:val="nil"/>
            </w:tcBorders>
            <w:shd w:val="clear" w:color="auto" w:fill="auto"/>
            <w:noWrap/>
            <w:vAlign w:val="bottom"/>
            <w:hideMark/>
          </w:tcPr>
          <w:p w:rsidR="00F43B66" w:rsidRPr="00541AC9" w:rsidRDefault="00F43B66"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hideMark/>
          </w:tcPr>
          <w:p w:rsidR="00F43B66" w:rsidRPr="00541AC9" w:rsidRDefault="00F43B66"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F43B66" w:rsidRPr="00D30218" w:rsidRDefault="00F43B66" w:rsidP="00F43B66">
            <w:pPr>
              <w:spacing w:line="360" w:lineRule="auto"/>
              <w:rPr>
                <w:rFonts w:ascii="Arial" w:hAnsi="Arial" w:cs="Arial"/>
                <w:color w:val="000000"/>
              </w:rPr>
            </w:pPr>
            <w:r w:rsidRPr="00D30218">
              <w:rPr>
                <w:rFonts w:ascii="Arial" w:hAnsi="Arial" w:cs="Arial"/>
                <w:color w:val="000000"/>
                <w:sz w:val="22"/>
                <w:szCs w:val="22"/>
              </w:rPr>
              <w:t xml:space="preserve">      </w:t>
            </w:r>
            <w:r w:rsidRPr="00D30218">
              <w:rPr>
                <w:rFonts w:ascii="Arial" w:hAnsi="Arial" w:cs="Arial"/>
                <w:sz w:val="22"/>
                <w:szCs w:val="22"/>
              </w:rPr>
              <w:t xml:space="preserve">         cDNA eldesi</w:t>
            </w:r>
            <w:r w:rsidRPr="00D30218">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F43B66" w:rsidRPr="00D30218" w:rsidRDefault="00F43B66" w:rsidP="005161B1">
            <w:pPr>
              <w:spacing w:line="360" w:lineRule="auto"/>
              <w:rPr>
                <w:rFonts w:ascii="Arial" w:hAnsi="Arial" w:cs="Arial"/>
                <w:color w:val="000000"/>
              </w:rPr>
            </w:pPr>
            <w:r w:rsidRPr="00D30218">
              <w:rPr>
                <w:rFonts w:ascii="Arial" w:hAnsi="Arial" w:cs="Arial"/>
                <w:color w:val="000000"/>
                <w:sz w:val="22"/>
                <w:szCs w:val="22"/>
              </w:rPr>
              <w:t>32</w:t>
            </w:r>
          </w:p>
        </w:tc>
      </w:tr>
      <w:tr w:rsidR="006A3052" w:rsidRPr="00E205CB" w:rsidTr="0050244D">
        <w:trPr>
          <w:trHeight w:val="306"/>
        </w:trPr>
        <w:tc>
          <w:tcPr>
            <w:tcW w:w="164" w:type="dxa"/>
            <w:gridSpan w:val="2"/>
            <w:tcBorders>
              <w:top w:val="nil"/>
              <w:left w:val="nil"/>
              <w:bottom w:val="nil"/>
              <w:right w:val="nil"/>
            </w:tcBorders>
            <w:shd w:val="clear" w:color="auto" w:fill="auto"/>
            <w:noWrap/>
            <w:vAlign w:val="bottom"/>
            <w:hideMark/>
          </w:tcPr>
          <w:p w:rsidR="006A3052" w:rsidRPr="00541AC9" w:rsidRDefault="006A3052"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hideMark/>
          </w:tcPr>
          <w:p w:rsidR="006A3052" w:rsidRPr="00541AC9" w:rsidRDefault="006A3052"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6A3052" w:rsidRPr="00D30218" w:rsidRDefault="00F43B66" w:rsidP="00F43B66">
            <w:pPr>
              <w:spacing w:line="360" w:lineRule="auto"/>
              <w:ind w:firstLine="567"/>
              <w:rPr>
                <w:rFonts w:ascii="Arial" w:hAnsi="Arial" w:cs="Arial"/>
              </w:rPr>
            </w:pPr>
            <w:r w:rsidRPr="00D30218">
              <w:rPr>
                <w:rFonts w:ascii="Arial" w:hAnsi="Arial" w:cs="Arial"/>
                <w:sz w:val="22"/>
                <w:szCs w:val="22"/>
              </w:rPr>
              <w:t xml:space="preserve">      Kantitatif Real-Time Polimeraz Zincir Reaksiyonu (qRT-PCR) </w:t>
            </w:r>
            <w:r w:rsidR="006A3052" w:rsidRPr="00D30218">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6A3052" w:rsidRPr="00D30218" w:rsidRDefault="00F43B66" w:rsidP="00824250">
            <w:pPr>
              <w:spacing w:line="360" w:lineRule="auto"/>
              <w:rPr>
                <w:rFonts w:ascii="Arial" w:hAnsi="Arial" w:cs="Arial"/>
                <w:color w:val="000000"/>
              </w:rPr>
            </w:pPr>
            <w:r w:rsidRPr="00D30218">
              <w:rPr>
                <w:rFonts w:ascii="Arial" w:hAnsi="Arial" w:cs="Arial"/>
                <w:color w:val="000000"/>
                <w:sz w:val="22"/>
                <w:szCs w:val="22"/>
              </w:rPr>
              <w:t>32</w:t>
            </w:r>
          </w:p>
        </w:tc>
      </w:tr>
      <w:tr w:rsidR="00F43B66" w:rsidRPr="00E205CB" w:rsidTr="0050244D">
        <w:trPr>
          <w:trHeight w:val="468"/>
        </w:trPr>
        <w:tc>
          <w:tcPr>
            <w:tcW w:w="164" w:type="dxa"/>
            <w:gridSpan w:val="2"/>
            <w:tcBorders>
              <w:top w:val="nil"/>
              <w:left w:val="nil"/>
              <w:bottom w:val="nil"/>
              <w:right w:val="nil"/>
            </w:tcBorders>
            <w:shd w:val="clear" w:color="auto" w:fill="auto"/>
            <w:noWrap/>
            <w:vAlign w:val="bottom"/>
            <w:hideMark/>
          </w:tcPr>
          <w:p w:rsidR="00F43B66" w:rsidRPr="00541AC9" w:rsidRDefault="00F43B66"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hideMark/>
          </w:tcPr>
          <w:p w:rsidR="00F43B66" w:rsidRPr="00541AC9" w:rsidRDefault="00F43B66"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center"/>
            <w:hideMark/>
          </w:tcPr>
          <w:p w:rsidR="00F43B66" w:rsidRPr="00D30218" w:rsidRDefault="00F43B66" w:rsidP="00F43B66">
            <w:pPr>
              <w:rPr>
                <w:rFonts w:ascii="Arial" w:hAnsi="Arial" w:cs="Arial"/>
              </w:rPr>
            </w:pPr>
            <w:r w:rsidRPr="00D30218">
              <w:rPr>
                <w:rFonts w:ascii="Arial" w:hAnsi="Arial" w:cs="Arial"/>
                <w:sz w:val="22"/>
                <w:szCs w:val="22"/>
              </w:rPr>
              <w:t xml:space="preserve">     İstatistiksel Değerlendirme......................................................................... </w:t>
            </w:r>
            <w:r w:rsidR="0050244D">
              <w:rPr>
                <w:rFonts w:ascii="Arial" w:hAnsi="Arial" w:cs="Arial"/>
                <w:sz w:val="22"/>
                <w:szCs w:val="22"/>
              </w:rPr>
              <w:t>....</w:t>
            </w:r>
          </w:p>
        </w:tc>
        <w:tc>
          <w:tcPr>
            <w:tcW w:w="1173" w:type="dxa"/>
            <w:gridSpan w:val="2"/>
            <w:tcBorders>
              <w:top w:val="nil"/>
              <w:left w:val="nil"/>
              <w:bottom w:val="nil"/>
              <w:right w:val="nil"/>
            </w:tcBorders>
            <w:shd w:val="clear" w:color="auto" w:fill="auto"/>
            <w:noWrap/>
            <w:vAlign w:val="center"/>
            <w:hideMark/>
          </w:tcPr>
          <w:p w:rsidR="00F43B66" w:rsidRPr="00D30218" w:rsidRDefault="005161B1" w:rsidP="00F43B66">
            <w:pPr>
              <w:rPr>
                <w:rFonts w:ascii="Arial" w:hAnsi="Arial" w:cs="Arial"/>
              </w:rPr>
            </w:pPr>
            <w:r w:rsidRPr="00D30218">
              <w:rPr>
                <w:rFonts w:ascii="Arial" w:hAnsi="Arial" w:cs="Arial"/>
                <w:sz w:val="22"/>
                <w:szCs w:val="22"/>
              </w:rPr>
              <w:t>33</w:t>
            </w:r>
          </w:p>
        </w:tc>
      </w:tr>
      <w:tr w:rsidR="005161B1" w:rsidRPr="00E205CB" w:rsidTr="00D30218">
        <w:trPr>
          <w:trHeight w:val="300"/>
        </w:trPr>
        <w:tc>
          <w:tcPr>
            <w:tcW w:w="164" w:type="dxa"/>
            <w:gridSpan w:val="2"/>
            <w:tcBorders>
              <w:top w:val="nil"/>
              <w:left w:val="nil"/>
              <w:bottom w:val="nil"/>
              <w:right w:val="nil"/>
            </w:tcBorders>
            <w:shd w:val="clear" w:color="auto" w:fill="auto"/>
            <w:noWrap/>
            <w:vAlign w:val="bottom"/>
            <w:hideMark/>
          </w:tcPr>
          <w:p w:rsidR="005161B1" w:rsidRPr="00541AC9" w:rsidRDefault="005161B1"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hideMark/>
          </w:tcPr>
          <w:p w:rsidR="005161B1" w:rsidRPr="00541AC9" w:rsidRDefault="005161B1"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5161B1" w:rsidRPr="00D30218" w:rsidRDefault="005161B1" w:rsidP="005161B1">
            <w:pPr>
              <w:spacing w:line="360" w:lineRule="auto"/>
              <w:rPr>
                <w:rFonts w:ascii="Arial" w:hAnsi="Arial" w:cs="Arial"/>
                <w:color w:val="000000"/>
              </w:rPr>
            </w:pPr>
            <w:r w:rsidRPr="00D30218">
              <w:rPr>
                <w:rFonts w:ascii="Arial" w:hAnsi="Arial" w:cs="Arial"/>
                <w:color w:val="000000"/>
                <w:sz w:val="22"/>
                <w:szCs w:val="22"/>
              </w:rPr>
              <w:t>BULGULAR………………………………………………………….......................</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5161B1" w:rsidRPr="00D30218" w:rsidRDefault="005161B1" w:rsidP="005161B1">
            <w:pPr>
              <w:spacing w:line="360" w:lineRule="auto"/>
              <w:rPr>
                <w:rFonts w:ascii="Arial" w:hAnsi="Arial" w:cs="Arial"/>
                <w:color w:val="000000"/>
              </w:rPr>
            </w:pPr>
            <w:r w:rsidRPr="00D30218">
              <w:rPr>
                <w:rFonts w:ascii="Arial" w:hAnsi="Arial" w:cs="Arial"/>
                <w:color w:val="000000"/>
                <w:sz w:val="22"/>
                <w:szCs w:val="22"/>
              </w:rPr>
              <w:t>34</w:t>
            </w:r>
          </w:p>
        </w:tc>
      </w:tr>
      <w:tr w:rsidR="005161B1" w:rsidRPr="00E205CB" w:rsidTr="00D30218">
        <w:trPr>
          <w:trHeight w:val="300"/>
        </w:trPr>
        <w:tc>
          <w:tcPr>
            <w:tcW w:w="164" w:type="dxa"/>
            <w:gridSpan w:val="2"/>
            <w:tcBorders>
              <w:top w:val="nil"/>
              <w:left w:val="nil"/>
              <w:bottom w:val="nil"/>
              <w:right w:val="nil"/>
            </w:tcBorders>
            <w:shd w:val="clear" w:color="auto" w:fill="auto"/>
            <w:noWrap/>
            <w:vAlign w:val="bottom"/>
            <w:hideMark/>
          </w:tcPr>
          <w:p w:rsidR="005161B1" w:rsidRPr="00541AC9" w:rsidRDefault="005161B1"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hideMark/>
          </w:tcPr>
          <w:p w:rsidR="005161B1" w:rsidRPr="00541AC9" w:rsidRDefault="005161B1"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5161B1" w:rsidRPr="00D30218" w:rsidRDefault="005161B1" w:rsidP="005161B1">
            <w:pPr>
              <w:spacing w:line="360" w:lineRule="auto"/>
              <w:rPr>
                <w:rFonts w:ascii="Arial" w:hAnsi="Arial" w:cs="Arial"/>
                <w:color w:val="000000"/>
              </w:rPr>
            </w:pPr>
            <w:r w:rsidRPr="00D30218">
              <w:rPr>
                <w:rFonts w:ascii="Arial" w:hAnsi="Arial" w:cs="Arial"/>
                <w:color w:val="000000"/>
                <w:sz w:val="22"/>
                <w:szCs w:val="22"/>
              </w:rPr>
              <w:t xml:space="preserve">     KATILIMCILARIN DEMOGRAFİK VERİLERİ………………………………</w:t>
            </w:r>
            <w:r w:rsidR="0050244D">
              <w:rPr>
                <w:rFonts w:ascii="Arial" w:hAnsi="Arial" w:cs="Arial"/>
                <w:color w:val="000000"/>
                <w:sz w:val="22"/>
                <w:szCs w:val="22"/>
              </w:rPr>
              <w:t>....</w:t>
            </w:r>
            <w:r w:rsidRPr="00D30218">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5161B1" w:rsidRPr="00D30218" w:rsidRDefault="005161B1" w:rsidP="005161B1">
            <w:pPr>
              <w:spacing w:line="360" w:lineRule="auto"/>
              <w:rPr>
                <w:rFonts w:ascii="Arial" w:hAnsi="Arial" w:cs="Arial"/>
                <w:color w:val="000000"/>
              </w:rPr>
            </w:pPr>
            <w:r w:rsidRPr="00D30218">
              <w:rPr>
                <w:rFonts w:ascii="Arial" w:hAnsi="Arial" w:cs="Arial"/>
                <w:color w:val="000000"/>
                <w:sz w:val="22"/>
                <w:szCs w:val="22"/>
              </w:rPr>
              <w:t>34</w:t>
            </w:r>
          </w:p>
        </w:tc>
      </w:tr>
      <w:tr w:rsidR="006A3052" w:rsidRPr="00E205CB" w:rsidTr="00D30218">
        <w:trPr>
          <w:trHeight w:val="300"/>
        </w:trPr>
        <w:tc>
          <w:tcPr>
            <w:tcW w:w="164" w:type="dxa"/>
            <w:gridSpan w:val="2"/>
            <w:tcBorders>
              <w:top w:val="nil"/>
              <w:left w:val="nil"/>
              <w:bottom w:val="nil"/>
              <w:right w:val="nil"/>
            </w:tcBorders>
            <w:shd w:val="clear" w:color="auto" w:fill="auto"/>
            <w:noWrap/>
            <w:vAlign w:val="bottom"/>
            <w:hideMark/>
          </w:tcPr>
          <w:p w:rsidR="006A3052" w:rsidRPr="00541AC9" w:rsidRDefault="006A3052"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hideMark/>
          </w:tcPr>
          <w:p w:rsidR="006A3052" w:rsidRPr="00541AC9" w:rsidRDefault="006A3052"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6A3052" w:rsidRPr="00D30218" w:rsidRDefault="006A3052" w:rsidP="005161B1">
            <w:pPr>
              <w:spacing w:line="360" w:lineRule="auto"/>
              <w:rPr>
                <w:rFonts w:ascii="Arial" w:hAnsi="Arial" w:cs="Arial"/>
                <w:color w:val="000000"/>
              </w:rPr>
            </w:pPr>
            <w:r w:rsidRPr="00D30218">
              <w:rPr>
                <w:rFonts w:ascii="Arial" w:hAnsi="Arial" w:cs="Arial"/>
                <w:color w:val="000000"/>
                <w:sz w:val="22"/>
                <w:szCs w:val="22"/>
              </w:rPr>
              <w:t xml:space="preserve">      </w:t>
            </w:r>
            <w:r w:rsidR="005161B1" w:rsidRPr="00D30218">
              <w:rPr>
                <w:rFonts w:ascii="Arial" w:hAnsi="Arial" w:cs="Arial"/>
                <w:color w:val="000000"/>
                <w:sz w:val="22"/>
                <w:szCs w:val="22"/>
              </w:rPr>
              <w:t>Yaş</w:t>
            </w:r>
            <w:r w:rsidRPr="00D30218">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6A3052" w:rsidRPr="00D30218" w:rsidRDefault="005161B1" w:rsidP="00824250">
            <w:pPr>
              <w:spacing w:line="360" w:lineRule="auto"/>
              <w:rPr>
                <w:rFonts w:ascii="Arial" w:hAnsi="Arial" w:cs="Arial"/>
                <w:color w:val="000000"/>
              </w:rPr>
            </w:pPr>
            <w:r w:rsidRPr="00D30218">
              <w:rPr>
                <w:rFonts w:ascii="Arial" w:hAnsi="Arial" w:cs="Arial"/>
                <w:color w:val="000000"/>
                <w:sz w:val="22"/>
                <w:szCs w:val="22"/>
              </w:rPr>
              <w:t>34</w:t>
            </w:r>
          </w:p>
        </w:tc>
      </w:tr>
      <w:tr w:rsidR="006A3052" w:rsidRPr="00E205CB" w:rsidTr="00D30218">
        <w:trPr>
          <w:trHeight w:val="300"/>
        </w:trPr>
        <w:tc>
          <w:tcPr>
            <w:tcW w:w="164" w:type="dxa"/>
            <w:gridSpan w:val="2"/>
            <w:tcBorders>
              <w:top w:val="nil"/>
              <w:left w:val="nil"/>
              <w:bottom w:val="nil"/>
              <w:right w:val="nil"/>
            </w:tcBorders>
            <w:shd w:val="clear" w:color="auto" w:fill="auto"/>
            <w:noWrap/>
            <w:vAlign w:val="bottom"/>
            <w:hideMark/>
          </w:tcPr>
          <w:p w:rsidR="006A3052" w:rsidRPr="00541AC9" w:rsidRDefault="006A3052"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hideMark/>
          </w:tcPr>
          <w:p w:rsidR="006A3052" w:rsidRPr="00541AC9" w:rsidRDefault="006A3052"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6A3052" w:rsidRPr="00D30218" w:rsidRDefault="006A3052" w:rsidP="005161B1">
            <w:pPr>
              <w:spacing w:line="360" w:lineRule="auto"/>
              <w:rPr>
                <w:rFonts w:ascii="Arial" w:hAnsi="Arial" w:cs="Arial"/>
                <w:color w:val="000000"/>
              </w:rPr>
            </w:pPr>
            <w:r w:rsidRPr="00D30218">
              <w:rPr>
                <w:rFonts w:ascii="Arial" w:hAnsi="Arial" w:cs="Arial"/>
                <w:color w:val="000000"/>
                <w:sz w:val="22"/>
                <w:szCs w:val="22"/>
              </w:rPr>
              <w:t xml:space="preserve">      </w:t>
            </w:r>
            <w:r w:rsidR="005161B1" w:rsidRPr="00D30218">
              <w:rPr>
                <w:rFonts w:ascii="Arial" w:hAnsi="Arial" w:cs="Arial"/>
                <w:color w:val="000000"/>
                <w:sz w:val="22"/>
                <w:szCs w:val="22"/>
              </w:rPr>
              <w:t>Cinsiyet</w:t>
            </w:r>
            <w:r w:rsidRPr="00D30218">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6A3052" w:rsidRPr="00D30218" w:rsidRDefault="005161B1" w:rsidP="00824250">
            <w:pPr>
              <w:spacing w:line="360" w:lineRule="auto"/>
              <w:rPr>
                <w:rFonts w:ascii="Arial" w:hAnsi="Arial" w:cs="Arial"/>
                <w:color w:val="000000"/>
              </w:rPr>
            </w:pPr>
            <w:r w:rsidRPr="00D30218">
              <w:rPr>
                <w:rFonts w:ascii="Arial" w:hAnsi="Arial" w:cs="Arial"/>
                <w:color w:val="000000"/>
                <w:sz w:val="22"/>
                <w:szCs w:val="22"/>
              </w:rPr>
              <w:t>34</w:t>
            </w:r>
          </w:p>
        </w:tc>
      </w:tr>
      <w:tr w:rsidR="006A3052" w:rsidRPr="00E205CB" w:rsidTr="00D30218">
        <w:trPr>
          <w:trHeight w:val="300"/>
        </w:trPr>
        <w:tc>
          <w:tcPr>
            <w:tcW w:w="164" w:type="dxa"/>
            <w:gridSpan w:val="2"/>
            <w:tcBorders>
              <w:top w:val="nil"/>
              <w:left w:val="nil"/>
              <w:bottom w:val="nil"/>
              <w:right w:val="nil"/>
            </w:tcBorders>
            <w:shd w:val="clear" w:color="auto" w:fill="auto"/>
            <w:noWrap/>
            <w:vAlign w:val="bottom"/>
            <w:hideMark/>
          </w:tcPr>
          <w:p w:rsidR="006A3052" w:rsidRPr="00541AC9" w:rsidRDefault="006A3052"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hideMark/>
          </w:tcPr>
          <w:p w:rsidR="006A3052" w:rsidRPr="00541AC9" w:rsidRDefault="006A3052"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6A3052" w:rsidRPr="00D30218" w:rsidRDefault="005161B1" w:rsidP="005161B1">
            <w:pPr>
              <w:spacing w:line="360" w:lineRule="auto"/>
              <w:contextualSpacing/>
              <w:jc w:val="both"/>
              <w:rPr>
                <w:rFonts w:ascii="Arial" w:hAnsi="Arial" w:cs="Arial"/>
                <w:color w:val="000000"/>
              </w:rPr>
            </w:pPr>
            <w:r w:rsidRPr="00D30218">
              <w:rPr>
                <w:rFonts w:ascii="Arial" w:hAnsi="Arial" w:cs="Arial"/>
                <w:sz w:val="22"/>
                <w:szCs w:val="22"/>
                <w:shd w:val="clear" w:color="auto" w:fill="FFFFFF"/>
              </w:rPr>
              <w:t xml:space="preserve">      Anne ve Babaların Eğitim Düzeyleri</w:t>
            </w:r>
            <w:r w:rsidRPr="00D30218">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hideMark/>
          </w:tcPr>
          <w:p w:rsidR="006A3052" w:rsidRPr="00D30218" w:rsidRDefault="005161B1" w:rsidP="00824250">
            <w:pPr>
              <w:spacing w:line="360" w:lineRule="auto"/>
              <w:rPr>
                <w:rFonts w:ascii="Arial" w:hAnsi="Arial" w:cs="Arial"/>
                <w:color w:val="000000"/>
              </w:rPr>
            </w:pPr>
            <w:r w:rsidRPr="00D30218">
              <w:rPr>
                <w:rFonts w:ascii="Arial" w:hAnsi="Arial" w:cs="Arial"/>
                <w:color w:val="000000"/>
                <w:sz w:val="22"/>
                <w:szCs w:val="22"/>
              </w:rPr>
              <w:t>35</w:t>
            </w:r>
          </w:p>
        </w:tc>
      </w:tr>
      <w:tr w:rsidR="005161B1" w:rsidRPr="00E205CB" w:rsidTr="00D30218">
        <w:trPr>
          <w:trHeight w:val="300"/>
        </w:trPr>
        <w:tc>
          <w:tcPr>
            <w:tcW w:w="164" w:type="dxa"/>
            <w:gridSpan w:val="2"/>
            <w:tcBorders>
              <w:top w:val="nil"/>
              <w:left w:val="nil"/>
              <w:bottom w:val="nil"/>
              <w:right w:val="nil"/>
            </w:tcBorders>
            <w:shd w:val="clear" w:color="auto" w:fill="auto"/>
            <w:noWrap/>
            <w:vAlign w:val="bottom"/>
            <w:hideMark/>
          </w:tcPr>
          <w:p w:rsidR="005161B1" w:rsidRPr="00541AC9" w:rsidRDefault="005161B1"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hideMark/>
          </w:tcPr>
          <w:p w:rsidR="005161B1" w:rsidRPr="00541AC9" w:rsidRDefault="005161B1"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hideMark/>
          </w:tcPr>
          <w:p w:rsidR="005161B1" w:rsidRPr="00D30218" w:rsidRDefault="005161B1" w:rsidP="005161B1">
            <w:pPr>
              <w:spacing w:line="360" w:lineRule="auto"/>
              <w:contextualSpacing/>
              <w:jc w:val="both"/>
              <w:rPr>
                <w:rFonts w:ascii="Arial" w:hAnsi="Arial" w:cs="Arial"/>
                <w:color w:val="000000"/>
              </w:rPr>
            </w:pPr>
            <w:r w:rsidRPr="00D30218">
              <w:rPr>
                <w:rFonts w:ascii="Arial" w:hAnsi="Arial" w:cs="Arial"/>
                <w:sz w:val="22"/>
                <w:szCs w:val="22"/>
                <w:shd w:val="clear" w:color="auto" w:fill="FFFFFF"/>
              </w:rPr>
              <w:t xml:space="preserve">      Anne ve Babaların Çalışma Durumları</w:t>
            </w:r>
            <w:r w:rsidRPr="00D30218">
              <w:rPr>
                <w:rFonts w:ascii="Arial" w:hAnsi="Arial" w:cs="Arial"/>
                <w:color w:val="000000"/>
                <w:sz w:val="22"/>
                <w:szCs w:val="22"/>
              </w:rPr>
              <w:t>.....................................................</w:t>
            </w:r>
            <w:r w:rsidR="0050244D">
              <w:rPr>
                <w:rFonts w:ascii="Arial" w:hAnsi="Arial" w:cs="Arial"/>
                <w:color w:val="000000"/>
                <w:sz w:val="22"/>
                <w:szCs w:val="22"/>
              </w:rPr>
              <w:t>....</w:t>
            </w:r>
            <w:r w:rsidRPr="00D30218">
              <w:rPr>
                <w:rFonts w:ascii="Arial" w:hAnsi="Arial" w:cs="Arial"/>
                <w:color w:val="000000"/>
                <w:sz w:val="22"/>
                <w:szCs w:val="22"/>
              </w:rPr>
              <w:t xml:space="preserve"> </w:t>
            </w:r>
          </w:p>
        </w:tc>
        <w:tc>
          <w:tcPr>
            <w:tcW w:w="1173" w:type="dxa"/>
            <w:gridSpan w:val="2"/>
            <w:tcBorders>
              <w:top w:val="nil"/>
              <w:left w:val="nil"/>
              <w:bottom w:val="nil"/>
              <w:right w:val="nil"/>
            </w:tcBorders>
            <w:shd w:val="clear" w:color="auto" w:fill="auto"/>
            <w:noWrap/>
            <w:vAlign w:val="bottom"/>
            <w:hideMark/>
          </w:tcPr>
          <w:p w:rsidR="005161B1" w:rsidRPr="00D30218" w:rsidRDefault="005161B1" w:rsidP="005161B1">
            <w:pPr>
              <w:spacing w:line="360" w:lineRule="auto"/>
              <w:rPr>
                <w:rFonts w:ascii="Arial" w:hAnsi="Arial" w:cs="Arial"/>
                <w:color w:val="000000"/>
              </w:rPr>
            </w:pPr>
            <w:r w:rsidRPr="00D30218">
              <w:rPr>
                <w:rFonts w:ascii="Arial" w:hAnsi="Arial" w:cs="Arial"/>
                <w:color w:val="000000"/>
                <w:sz w:val="22"/>
                <w:szCs w:val="22"/>
              </w:rPr>
              <w:t>36</w:t>
            </w:r>
          </w:p>
        </w:tc>
      </w:tr>
      <w:tr w:rsidR="005161B1" w:rsidRPr="00E205CB" w:rsidTr="00D30218">
        <w:trPr>
          <w:trHeight w:val="300"/>
        </w:trPr>
        <w:tc>
          <w:tcPr>
            <w:tcW w:w="164" w:type="dxa"/>
            <w:gridSpan w:val="2"/>
            <w:tcBorders>
              <w:top w:val="nil"/>
              <w:left w:val="nil"/>
              <w:bottom w:val="nil"/>
              <w:right w:val="nil"/>
            </w:tcBorders>
            <w:shd w:val="clear" w:color="auto" w:fill="auto"/>
            <w:noWrap/>
            <w:vAlign w:val="bottom"/>
          </w:tcPr>
          <w:p w:rsidR="005161B1" w:rsidRPr="00541AC9" w:rsidRDefault="005161B1" w:rsidP="00824250">
            <w:pPr>
              <w:spacing w:line="360" w:lineRule="auto"/>
              <w:rPr>
                <w:rFonts w:ascii="Arial" w:hAnsi="Arial" w:cs="Arial"/>
                <w:color w:val="000000"/>
              </w:rPr>
            </w:pPr>
          </w:p>
        </w:tc>
        <w:tc>
          <w:tcPr>
            <w:tcW w:w="8011" w:type="dxa"/>
            <w:gridSpan w:val="5"/>
            <w:tcBorders>
              <w:top w:val="nil"/>
              <w:left w:val="nil"/>
              <w:bottom w:val="nil"/>
              <w:right w:val="nil"/>
            </w:tcBorders>
            <w:shd w:val="clear" w:color="auto" w:fill="auto"/>
            <w:noWrap/>
            <w:vAlign w:val="bottom"/>
          </w:tcPr>
          <w:p w:rsidR="005161B1" w:rsidRPr="00D30218" w:rsidRDefault="005161B1" w:rsidP="0050244D">
            <w:pPr>
              <w:spacing w:line="360" w:lineRule="auto"/>
              <w:contextualSpacing/>
              <w:jc w:val="both"/>
              <w:rPr>
                <w:rFonts w:ascii="Arial" w:hAnsi="Arial" w:cs="Arial"/>
                <w:color w:val="000000"/>
              </w:rPr>
            </w:pPr>
            <w:r w:rsidRPr="00D30218">
              <w:rPr>
                <w:rFonts w:ascii="Arial" w:hAnsi="Arial" w:cs="Arial"/>
                <w:sz w:val="22"/>
                <w:szCs w:val="22"/>
                <w:shd w:val="clear" w:color="auto" w:fill="FFFFFF"/>
              </w:rPr>
              <w:t xml:space="preserve">         Ailedeki Toplam Çocuk Sayısı</w:t>
            </w:r>
            <w:r w:rsidRPr="00D30218">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5161B1" w:rsidRPr="00D30218" w:rsidRDefault="005161B1" w:rsidP="005161B1">
            <w:pPr>
              <w:spacing w:line="360" w:lineRule="auto"/>
              <w:rPr>
                <w:rFonts w:ascii="Arial" w:hAnsi="Arial" w:cs="Arial"/>
                <w:color w:val="000000"/>
              </w:rPr>
            </w:pPr>
            <w:r w:rsidRPr="00D30218">
              <w:rPr>
                <w:rFonts w:ascii="Arial" w:hAnsi="Arial" w:cs="Arial"/>
                <w:color w:val="000000"/>
                <w:sz w:val="22"/>
                <w:szCs w:val="22"/>
              </w:rPr>
              <w:t>36</w:t>
            </w:r>
          </w:p>
        </w:tc>
      </w:tr>
      <w:tr w:rsidR="005161B1" w:rsidRPr="00E205CB" w:rsidTr="00D30218">
        <w:trPr>
          <w:trHeight w:val="300"/>
        </w:trPr>
        <w:tc>
          <w:tcPr>
            <w:tcW w:w="164" w:type="dxa"/>
            <w:gridSpan w:val="2"/>
            <w:tcBorders>
              <w:top w:val="nil"/>
              <w:left w:val="nil"/>
              <w:bottom w:val="nil"/>
              <w:right w:val="nil"/>
            </w:tcBorders>
            <w:shd w:val="clear" w:color="auto" w:fill="auto"/>
            <w:noWrap/>
            <w:vAlign w:val="bottom"/>
          </w:tcPr>
          <w:p w:rsidR="005161B1" w:rsidRPr="00541AC9" w:rsidRDefault="005161B1"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tcPr>
          <w:p w:rsidR="005161B1" w:rsidRPr="00541AC9" w:rsidRDefault="005161B1"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tcPr>
          <w:p w:rsidR="005161B1" w:rsidRPr="00D30218" w:rsidRDefault="005161B1" w:rsidP="005161B1">
            <w:pPr>
              <w:spacing w:line="360" w:lineRule="auto"/>
              <w:contextualSpacing/>
              <w:jc w:val="both"/>
              <w:rPr>
                <w:rFonts w:ascii="Arial" w:hAnsi="Arial" w:cs="Arial"/>
                <w:color w:val="000000"/>
              </w:rPr>
            </w:pPr>
            <w:r w:rsidRPr="00D30218">
              <w:rPr>
                <w:rFonts w:ascii="Arial" w:hAnsi="Arial" w:cs="Arial"/>
                <w:sz w:val="22"/>
                <w:szCs w:val="22"/>
                <w:shd w:val="clear" w:color="auto" w:fill="FFFFFF"/>
              </w:rPr>
              <w:t xml:space="preserve">      Aile Yapısı..................................................................................................</w:t>
            </w:r>
            <w:r w:rsidR="0050244D">
              <w:rPr>
                <w:rFonts w:ascii="Arial" w:hAnsi="Arial" w:cs="Arial"/>
                <w:sz w:val="22"/>
                <w:szCs w:val="22"/>
                <w:shd w:val="clear" w:color="auto" w:fill="FFFFFF"/>
              </w:rPr>
              <w:t>..</w:t>
            </w:r>
            <w:r w:rsidRPr="00D30218">
              <w:rPr>
                <w:rFonts w:ascii="Arial" w:hAnsi="Arial" w:cs="Arial"/>
                <w:color w:val="000000"/>
                <w:sz w:val="22"/>
                <w:szCs w:val="22"/>
              </w:rPr>
              <w:t xml:space="preserve"> </w:t>
            </w:r>
          </w:p>
        </w:tc>
        <w:tc>
          <w:tcPr>
            <w:tcW w:w="1173" w:type="dxa"/>
            <w:gridSpan w:val="2"/>
            <w:tcBorders>
              <w:top w:val="nil"/>
              <w:left w:val="nil"/>
              <w:bottom w:val="nil"/>
              <w:right w:val="nil"/>
            </w:tcBorders>
            <w:shd w:val="clear" w:color="auto" w:fill="auto"/>
            <w:noWrap/>
            <w:vAlign w:val="bottom"/>
          </w:tcPr>
          <w:p w:rsidR="005161B1" w:rsidRPr="00D30218" w:rsidRDefault="005161B1" w:rsidP="005161B1">
            <w:pPr>
              <w:spacing w:line="360" w:lineRule="auto"/>
              <w:rPr>
                <w:rFonts w:ascii="Arial" w:hAnsi="Arial" w:cs="Arial"/>
                <w:color w:val="000000"/>
              </w:rPr>
            </w:pPr>
            <w:r w:rsidRPr="00D30218">
              <w:rPr>
                <w:rFonts w:ascii="Arial" w:hAnsi="Arial" w:cs="Arial"/>
                <w:color w:val="000000"/>
                <w:sz w:val="22"/>
                <w:szCs w:val="22"/>
              </w:rPr>
              <w:t>37</w:t>
            </w:r>
          </w:p>
        </w:tc>
      </w:tr>
      <w:tr w:rsidR="005161B1" w:rsidRPr="00E205CB" w:rsidTr="00D30218">
        <w:trPr>
          <w:trHeight w:val="300"/>
        </w:trPr>
        <w:tc>
          <w:tcPr>
            <w:tcW w:w="164" w:type="dxa"/>
            <w:gridSpan w:val="2"/>
            <w:tcBorders>
              <w:top w:val="nil"/>
              <w:left w:val="nil"/>
              <w:bottom w:val="nil"/>
              <w:right w:val="nil"/>
            </w:tcBorders>
            <w:shd w:val="clear" w:color="auto" w:fill="auto"/>
            <w:noWrap/>
            <w:vAlign w:val="bottom"/>
          </w:tcPr>
          <w:p w:rsidR="005161B1" w:rsidRPr="00541AC9" w:rsidRDefault="005161B1"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tcPr>
          <w:p w:rsidR="005161B1" w:rsidRPr="00541AC9" w:rsidRDefault="005161B1"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tcPr>
          <w:p w:rsidR="005161B1" w:rsidRPr="00D30218" w:rsidRDefault="005161B1" w:rsidP="005161B1">
            <w:pPr>
              <w:spacing w:line="360" w:lineRule="auto"/>
              <w:contextualSpacing/>
              <w:jc w:val="both"/>
              <w:rPr>
                <w:rFonts w:ascii="Arial" w:hAnsi="Arial" w:cs="Arial"/>
                <w:color w:val="000000"/>
              </w:rPr>
            </w:pPr>
            <w:r w:rsidRPr="00D30218">
              <w:rPr>
                <w:rFonts w:ascii="Arial" w:hAnsi="Arial" w:cs="Arial"/>
                <w:sz w:val="22"/>
                <w:szCs w:val="22"/>
                <w:shd w:val="clear" w:color="auto" w:fill="FFFFFF"/>
              </w:rPr>
              <w:t xml:space="preserve">      Ailenin Gelir Düzeyi...................................................................................</w:t>
            </w:r>
            <w:r w:rsidR="0050244D">
              <w:rPr>
                <w:rFonts w:ascii="Arial" w:hAnsi="Arial" w:cs="Arial"/>
                <w:sz w:val="22"/>
                <w:szCs w:val="22"/>
                <w:shd w:val="clear" w:color="auto" w:fill="FFFFFF"/>
              </w:rPr>
              <w:t>....</w:t>
            </w:r>
            <w:r w:rsidRPr="00D30218">
              <w:rPr>
                <w:rFonts w:ascii="Arial" w:hAnsi="Arial" w:cs="Arial"/>
                <w:color w:val="000000"/>
                <w:sz w:val="22"/>
                <w:szCs w:val="22"/>
              </w:rPr>
              <w:t xml:space="preserve"> </w:t>
            </w:r>
          </w:p>
        </w:tc>
        <w:tc>
          <w:tcPr>
            <w:tcW w:w="1173" w:type="dxa"/>
            <w:gridSpan w:val="2"/>
            <w:tcBorders>
              <w:top w:val="nil"/>
              <w:left w:val="nil"/>
              <w:bottom w:val="nil"/>
              <w:right w:val="nil"/>
            </w:tcBorders>
            <w:shd w:val="clear" w:color="auto" w:fill="auto"/>
            <w:noWrap/>
            <w:vAlign w:val="bottom"/>
          </w:tcPr>
          <w:p w:rsidR="005161B1" w:rsidRPr="00D30218" w:rsidRDefault="005161B1" w:rsidP="005161B1">
            <w:pPr>
              <w:spacing w:line="360" w:lineRule="auto"/>
              <w:rPr>
                <w:rFonts w:ascii="Arial" w:hAnsi="Arial" w:cs="Arial"/>
                <w:color w:val="000000"/>
              </w:rPr>
            </w:pPr>
            <w:r w:rsidRPr="00D30218">
              <w:rPr>
                <w:rFonts w:ascii="Arial" w:hAnsi="Arial" w:cs="Arial"/>
                <w:color w:val="000000"/>
                <w:sz w:val="22"/>
                <w:szCs w:val="22"/>
              </w:rPr>
              <w:t>37</w:t>
            </w:r>
          </w:p>
        </w:tc>
      </w:tr>
      <w:tr w:rsidR="005161B1" w:rsidRPr="00E205CB" w:rsidTr="00D30218">
        <w:trPr>
          <w:trHeight w:val="300"/>
        </w:trPr>
        <w:tc>
          <w:tcPr>
            <w:tcW w:w="164" w:type="dxa"/>
            <w:gridSpan w:val="2"/>
            <w:tcBorders>
              <w:top w:val="nil"/>
              <w:left w:val="nil"/>
              <w:bottom w:val="nil"/>
              <w:right w:val="nil"/>
            </w:tcBorders>
            <w:shd w:val="clear" w:color="auto" w:fill="auto"/>
            <w:noWrap/>
            <w:vAlign w:val="bottom"/>
          </w:tcPr>
          <w:p w:rsidR="005161B1" w:rsidRPr="00541AC9" w:rsidRDefault="005161B1"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tcPr>
          <w:p w:rsidR="005161B1" w:rsidRPr="00541AC9" w:rsidRDefault="005161B1"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tcPr>
          <w:p w:rsidR="005161B1" w:rsidRPr="00D30218" w:rsidRDefault="00B02F76" w:rsidP="005161B1">
            <w:pPr>
              <w:spacing w:line="360" w:lineRule="auto"/>
              <w:contextualSpacing/>
              <w:jc w:val="both"/>
              <w:rPr>
                <w:rFonts w:ascii="Arial" w:hAnsi="Arial" w:cs="Arial"/>
                <w:color w:val="000000"/>
              </w:rPr>
            </w:pPr>
            <w:r>
              <w:rPr>
                <w:rFonts w:ascii="Arial" w:hAnsi="Arial" w:cs="Arial"/>
                <w:sz w:val="22"/>
                <w:szCs w:val="22"/>
                <w:shd w:val="clear" w:color="auto" w:fill="FFFFFF"/>
              </w:rPr>
              <w:t xml:space="preserve">    </w:t>
            </w:r>
            <w:r w:rsidR="0050244D">
              <w:rPr>
                <w:rFonts w:ascii="Arial" w:hAnsi="Arial" w:cs="Arial"/>
                <w:sz w:val="22"/>
                <w:szCs w:val="22"/>
                <w:shd w:val="clear" w:color="auto" w:fill="FFFFFF"/>
              </w:rPr>
              <w:t xml:space="preserve"> </w:t>
            </w:r>
            <w:r>
              <w:rPr>
                <w:rFonts w:ascii="Arial" w:hAnsi="Arial" w:cs="Arial"/>
                <w:sz w:val="22"/>
                <w:szCs w:val="22"/>
                <w:shd w:val="clear" w:color="auto" w:fill="FFFFFF"/>
              </w:rPr>
              <w:t xml:space="preserve"> </w:t>
            </w:r>
            <w:r w:rsidR="005161B1" w:rsidRPr="00D30218">
              <w:rPr>
                <w:rFonts w:ascii="Arial" w:hAnsi="Arial" w:cs="Arial"/>
                <w:sz w:val="22"/>
                <w:szCs w:val="22"/>
                <w:shd w:val="clear" w:color="auto" w:fill="FFFFFF"/>
              </w:rPr>
              <w:t>Ailelerin Fiziksel ya da Ruhsal Hastalık Öyküsü........................................</w:t>
            </w:r>
            <w:r w:rsidR="0050244D">
              <w:rPr>
                <w:rFonts w:ascii="Arial" w:hAnsi="Arial" w:cs="Arial"/>
                <w:sz w:val="22"/>
                <w:szCs w:val="22"/>
                <w:shd w:val="clear" w:color="auto" w:fill="FFFFFF"/>
              </w:rPr>
              <w:t>...</w:t>
            </w:r>
            <w:r w:rsidR="005161B1" w:rsidRPr="00D30218">
              <w:rPr>
                <w:rFonts w:ascii="Arial" w:hAnsi="Arial" w:cs="Arial"/>
                <w:color w:val="000000"/>
                <w:sz w:val="22"/>
                <w:szCs w:val="22"/>
              </w:rPr>
              <w:t xml:space="preserve"> </w:t>
            </w:r>
          </w:p>
        </w:tc>
        <w:tc>
          <w:tcPr>
            <w:tcW w:w="1173" w:type="dxa"/>
            <w:gridSpan w:val="2"/>
            <w:tcBorders>
              <w:top w:val="nil"/>
              <w:left w:val="nil"/>
              <w:bottom w:val="nil"/>
              <w:right w:val="nil"/>
            </w:tcBorders>
            <w:shd w:val="clear" w:color="auto" w:fill="auto"/>
            <w:noWrap/>
            <w:vAlign w:val="bottom"/>
          </w:tcPr>
          <w:p w:rsidR="005161B1" w:rsidRPr="00D30218" w:rsidRDefault="005161B1" w:rsidP="005161B1">
            <w:pPr>
              <w:spacing w:line="360" w:lineRule="auto"/>
              <w:rPr>
                <w:rFonts w:ascii="Arial" w:hAnsi="Arial" w:cs="Arial"/>
                <w:color w:val="000000"/>
              </w:rPr>
            </w:pPr>
            <w:r w:rsidRPr="00D30218">
              <w:rPr>
                <w:rFonts w:ascii="Arial" w:hAnsi="Arial" w:cs="Arial"/>
                <w:color w:val="000000"/>
                <w:sz w:val="22"/>
                <w:szCs w:val="22"/>
              </w:rPr>
              <w:t>38</w:t>
            </w:r>
          </w:p>
        </w:tc>
      </w:tr>
      <w:tr w:rsidR="005161B1" w:rsidRPr="00E205CB" w:rsidTr="00D30218">
        <w:trPr>
          <w:trHeight w:val="300"/>
        </w:trPr>
        <w:tc>
          <w:tcPr>
            <w:tcW w:w="164" w:type="dxa"/>
            <w:gridSpan w:val="2"/>
            <w:tcBorders>
              <w:top w:val="nil"/>
              <w:left w:val="nil"/>
              <w:bottom w:val="nil"/>
              <w:right w:val="nil"/>
            </w:tcBorders>
            <w:shd w:val="clear" w:color="auto" w:fill="auto"/>
            <w:noWrap/>
            <w:vAlign w:val="bottom"/>
          </w:tcPr>
          <w:p w:rsidR="005161B1" w:rsidRPr="00541AC9" w:rsidRDefault="005161B1"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tcPr>
          <w:p w:rsidR="005161B1" w:rsidRPr="00541AC9" w:rsidRDefault="005161B1"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tcPr>
          <w:p w:rsidR="005161B1" w:rsidRPr="00D30218" w:rsidRDefault="005161B1" w:rsidP="005161B1">
            <w:pPr>
              <w:spacing w:line="360" w:lineRule="auto"/>
              <w:contextualSpacing/>
              <w:jc w:val="both"/>
              <w:rPr>
                <w:rFonts w:ascii="Arial" w:hAnsi="Arial" w:cs="Arial"/>
                <w:color w:val="000000"/>
              </w:rPr>
            </w:pPr>
            <w:r w:rsidRPr="00D30218">
              <w:rPr>
                <w:rFonts w:ascii="Arial" w:hAnsi="Arial" w:cs="Arial"/>
                <w:sz w:val="22"/>
                <w:szCs w:val="22"/>
                <w:shd w:val="clear" w:color="auto" w:fill="FFFFFF"/>
              </w:rPr>
              <w:t xml:space="preserve">      Çocukların Doğum Şekli.............................................................................</w:t>
            </w:r>
            <w:r w:rsidR="0050244D">
              <w:rPr>
                <w:rFonts w:ascii="Arial" w:hAnsi="Arial" w:cs="Arial"/>
                <w:sz w:val="22"/>
                <w:szCs w:val="22"/>
                <w:shd w:val="clear" w:color="auto" w:fill="FFFFFF"/>
              </w:rPr>
              <w:t>..</w:t>
            </w:r>
            <w:r w:rsidRPr="00D30218">
              <w:rPr>
                <w:rFonts w:ascii="Arial" w:hAnsi="Arial" w:cs="Arial"/>
                <w:color w:val="000000"/>
                <w:sz w:val="22"/>
                <w:szCs w:val="22"/>
              </w:rPr>
              <w:t xml:space="preserve"> </w:t>
            </w:r>
          </w:p>
        </w:tc>
        <w:tc>
          <w:tcPr>
            <w:tcW w:w="1173" w:type="dxa"/>
            <w:gridSpan w:val="2"/>
            <w:tcBorders>
              <w:top w:val="nil"/>
              <w:left w:val="nil"/>
              <w:bottom w:val="nil"/>
              <w:right w:val="nil"/>
            </w:tcBorders>
            <w:shd w:val="clear" w:color="auto" w:fill="auto"/>
            <w:noWrap/>
            <w:vAlign w:val="bottom"/>
          </w:tcPr>
          <w:p w:rsidR="005161B1" w:rsidRPr="00D30218" w:rsidRDefault="005161B1" w:rsidP="005161B1">
            <w:pPr>
              <w:spacing w:line="360" w:lineRule="auto"/>
              <w:rPr>
                <w:rFonts w:ascii="Arial" w:hAnsi="Arial" w:cs="Arial"/>
                <w:color w:val="000000"/>
              </w:rPr>
            </w:pPr>
            <w:r w:rsidRPr="00D30218">
              <w:rPr>
                <w:rFonts w:ascii="Arial" w:hAnsi="Arial" w:cs="Arial"/>
                <w:color w:val="000000"/>
                <w:sz w:val="22"/>
                <w:szCs w:val="22"/>
              </w:rPr>
              <w:t>39</w:t>
            </w:r>
          </w:p>
        </w:tc>
      </w:tr>
      <w:tr w:rsidR="005161B1" w:rsidRPr="00E205CB" w:rsidTr="00D30218">
        <w:trPr>
          <w:gridAfter w:val="1"/>
          <w:wAfter w:w="15" w:type="dxa"/>
          <w:trHeight w:val="300"/>
        </w:trPr>
        <w:tc>
          <w:tcPr>
            <w:tcW w:w="164" w:type="dxa"/>
            <w:gridSpan w:val="2"/>
            <w:tcBorders>
              <w:top w:val="nil"/>
              <w:left w:val="nil"/>
              <w:bottom w:val="nil"/>
              <w:right w:val="nil"/>
            </w:tcBorders>
            <w:shd w:val="clear" w:color="auto" w:fill="auto"/>
            <w:noWrap/>
            <w:vAlign w:val="bottom"/>
            <w:hideMark/>
          </w:tcPr>
          <w:p w:rsidR="005161B1" w:rsidRPr="00541AC9" w:rsidRDefault="005161B1" w:rsidP="00824250">
            <w:pPr>
              <w:spacing w:line="360" w:lineRule="auto"/>
              <w:rPr>
                <w:rFonts w:ascii="Arial" w:hAnsi="Arial" w:cs="Arial"/>
                <w:color w:val="000000"/>
              </w:rPr>
            </w:pPr>
          </w:p>
        </w:tc>
        <w:tc>
          <w:tcPr>
            <w:tcW w:w="7996" w:type="dxa"/>
            <w:gridSpan w:val="4"/>
            <w:tcBorders>
              <w:top w:val="nil"/>
              <w:left w:val="nil"/>
              <w:bottom w:val="nil"/>
              <w:right w:val="nil"/>
            </w:tcBorders>
            <w:shd w:val="clear" w:color="auto" w:fill="auto"/>
            <w:noWrap/>
            <w:vAlign w:val="bottom"/>
            <w:hideMark/>
          </w:tcPr>
          <w:p w:rsidR="005161B1" w:rsidRPr="00541AC9" w:rsidRDefault="005161B1" w:rsidP="005161B1">
            <w:pPr>
              <w:spacing w:line="360" w:lineRule="auto"/>
              <w:contextualSpacing/>
              <w:jc w:val="both"/>
              <w:rPr>
                <w:rFonts w:ascii="Arial" w:hAnsi="Arial" w:cs="Arial"/>
                <w:color w:val="000000"/>
              </w:rPr>
            </w:pPr>
            <w:r>
              <w:rPr>
                <w:rFonts w:ascii="Arial" w:hAnsi="Arial" w:cs="Arial"/>
                <w:sz w:val="22"/>
                <w:szCs w:val="22"/>
                <w:shd w:val="clear" w:color="auto" w:fill="FFFFFF"/>
              </w:rPr>
              <w:t xml:space="preserve">        Çocukların Doğum Haftaları........................................................................</w:t>
            </w:r>
            <w:r w:rsidR="0050244D">
              <w:rPr>
                <w:rFonts w:ascii="Arial" w:hAnsi="Arial" w:cs="Arial"/>
                <w:sz w:val="22"/>
                <w:szCs w:val="22"/>
                <w:shd w:val="clear" w:color="auto" w:fill="FFFFFF"/>
              </w:rPr>
              <w:t>.</w:t>
            </w:r>
          </w:p>
        </w:tc>
        <w:tc>
          <w:tcPr>
            <w:tcW w:w="1173" w:type="dxa"/>
            <w:gridSpan w:val="2"/>
            <w:tcBorders>
              <w:top w:val="nil"/>
              <w:left w:val="nil"/>
              <w:bottom w:val="nil"/>
              <w:right w:val="nil"/>
            </w:tcBorders>
            <w:shd w:val="clear" w:color="auto" w:fill="auto"/>
            <w:noWrap/>
            <w:vAlign w:val="bottom"/>
            <w:hideMark/>
          </w:tcPr>
          <w:p w:rsidR="005161B1" w:rsidRPr="00D30218" w:rsidRDefault="005161B1" w:rsidP="005161B1">
            <w:pPr>
              <w:spacing w:line="360" w:lineRule="auto"/>
              <w:rPr>
                <w:rFonts w:ascii="Arial" w:hAnsi="Arial" w:cs="Arial"/>
                <w:color w:val="000000"/>
              </w:rPr>
            </w:pPr>
            <w:r w:rsidRPr="00D30218">
              <w:rPr>
                <w:rFonts w:ascii="Arial" w:hAnsi="Arial" w:cs="Arial"/>
                <w:color w:val="000000"/>
                <w:sz w:val="22"/>
                <w:szCs w:val="22"/>
              </w:rPr>
              <w:t>39</w:t>
            </w:r>
          </w:p>
        </w:tc>
      </w:tr>
      <w:tr w:rsidR="005161B1" w:rsidRPr="00E205CB" w:rsidTr="00D30218">
        <w:trPr>
          <w:gridAfter w:val="1"/>
          <w:wAfter w:w="15" w:type="dxa"/>
          <w:trHeight w:val="153"/>
        </w:trPr>
        <w:tc>
          <w:tcPr>
            <w:tcW w:w="164" w:type="dxa"/>
            <w:gridSpan w:val="2"/>
            <w:tcBorders>
              <w:top w:val="nil"/>
              <w:left w:val="nil"/>
              <w:bottom w:val="nil"/>
              <w:right w:val="nil"/>
            </w:tcBorders>
            <w:shd w:val="clear" w:color="auto" w:fill="auto"/>
            <w:noWrap/>
            <w:vAlign w:val="bottom"/>
          </w:tcPr>
          <w:p w:rsidR="005161B1" w:rsidRPr="00541AC9" w:rsidRDefault="005161B1" w:rsidP="00824250">
            <w:pPr>
              <w:spacing w:line="360" w:lineRule="auto"/>
              <w:rPr>
                <w:rFonts w:ascii="Arial" w:hAnsi="Arial" w:cs="Arial"/>
                <w:color w:val="000000"/>
              </w:rPr>
            </w:pPr>
          </w:p>
        </w:tc>
        <w:tc>
          <w:tcPr>
            <w:tcW w:w="7996" w:type="dxa"/>
            <w:gridSpan w:val="4"/>
            <w:tcBorders>
              <w:top w:val="nil"/>
              <w:left w:val="nil"/>
              <w:bottom w:val="nil"/>
              <w:right w:val="nil"/>
            </w:tcBorders>
            <w:shd w:val="clear" w:color="auto" w:fill="auto"/>
            <w:noWrap/>
            <w:vAlign w:val="bottom"/>
          </w:tcPr>
          <w:p w:rsidR="005161B1" w:rsidRPr="00541AC9" w:rsidRDefault="005161B1" w:rsidP="005161B1">
            <w:pPr>
              <w:spacing w:line="360" w:lineRule="auto"/>
              <w:contextualSpacing/>
              <w:jc w:val="both"/>
              <w:rPr>
                <w:rFonts w:ascii="Arial" w:hAnsi="Arial" w:cs="Arial"/>
                <w:color w:val="000000"/>
              </w:rPr>
            </w:pPr>
            <w:r>
              <w:rPr>
                <w:rFonts w:ascii="Arial" w:hAnsi="Arial" w:cs="Arial"/>
                <w:sz w:val="22"/>
                <w:szCs w:val="22"/>
                <w:shd w:val="clear" w:color="auto" w:fill="FFFFFF"/>
              </w:rPr>
              <w:t xml:space="preserve">        Çocukların Doğum Kiloları........................................................................</w:t>
            </w:r>
            <w:r w:rsidR="0050244D">
              <w:rPr>
                <w:rFonts w:ascii="Arial" w:hAnsi="Arial" w:cs="Arial"/>
                <w:sz w:val="22"/>
                <w:szCs w:val="22"/>
                <w:shd w:val="clear" w:color="auto" w:fill="FFFFFF"/>
              </w:rPr>
              <w:t>.....</w:t>
            </w:r>
          </w:p>
        </w:tc>
        <w:tc>
          <w:tcPr>
            <w:tcW w:w="1173" w:type="dxa"/>
            <w:gridSpan w:val="2"/>
            <w:tcBorders>
              <w:top w:val="nil"/>
              <w:left w:val="nil"/>
              <w:bottom w:val="nil"/>
              <w:right w:val="nil"/>
            </w:tcBorders>
            <w:shd w:val="clear" w:color="auto" w:fill="auto"/>
            <w:noWrap/>
            <w:vAlign w:val="bottom"/>
          </w:tcPr>
          <w:p w:rsidR="005161B1" w:rsidRPr="00D30218" w:rsidRDefault="005161B1" w:rsidP="005161B1">
            <w:pPr>
              <w:spacing w:line="360" w:lineRule="auto"/>
              <w:rPr>
                <w:rFonts w:ascii="Arial" w:hAnsi="Arial" w:cs="Arial"/>
                <w:color w:val="000000"/>
              </w:rPr>
            </w:pPr>
            <w:r w:rsidRPr="00D30218">
              <w:rPr>
                <w:rFonts w:ascii="Arial" w:hAnsi="Arial" w:cs="Arial"/>
                <w:color w:val="000000"/>
                <w:sz w:val="22"/>
                <w:szCs w:val="22"/>
              </w:rPr>
              <w:t>40</w:t>
            </w:r>
          </w:p>
        </w:tc>
      </w:tr>
      <w:tr w:rsidR="006A3052" w:rsidRPr="00E205CB" w:rsidTr="00D30218">
        <w:trPr>
          <w:trHeight w:val="95"/>
        </w:trPr>
        <w:tc>
          <w:tcPr>
            <w:tcW w:w="164" w:type="dxa"/>
            <w:gridSpan w:val="2"/>
            <w:tcBorders>
              <w:top w:val="nil"/>
              <w:left w:val="nil"/>
              <w:bottom w:val="nil"/>
              <w:right w:val="nil"/>
            </w:tcBorders>
            <w:shd w:val="clear" w:color="auto" w:fill="auto"/>
            <w:noWrap/>
            <w:vAlign w:val="bottom"/>
            <w:hideMark/>
          </w:tcPr>
          <w:p w:rsidR="006A3052" w:rsidRPr="00541AC9" w:rsidRDefault="006A3052"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hideMark/>
          </w:tcPr>
          <w:p w:rsidR="006A3052" w:rsidRPr="00541AC9" w:rsidRDefault="006A3052"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center"/>
            <w:hideMark/>
          </w:tcPr>
          <w:p w:rsidR="006A3052" w:rsidRPr="00D30218" w:rsidRDefault="006A3052" w:rsidP="005161B1">
            <w:pPr>
              <w:rPr>
                <w:rFonts w:ascii="Arial" w:hAnsi="Arial" w:cs="Arial"/>
              </w:rPr>
            </w:pPr>
            <w:r w:rsidRPr="00D30218">
              <w:rPr>
                <w:rFonts w:ascii="Arial" w:hAnsi="Arial" w:cs="Arial"/>
                <w:sz w:val="22"/>
                <w:szCs w:val="22"/>
              </w:rPr>
              <w:t xml:space="preserve">      </w:t>
            </w:r>
            <w:r w:rsidR="005161B1" w:rsidRPr="00D30218">
              <w:rPr>
                <w:rFonts w:ascii="Arial" w:hAnsi="Arial" w:cs="Arial"/>
                <w:sz w:val="22"/>
                <w:szCs w:val="22"/>
              </w:rPr>
              <w:t>Intrauterin(IU) Maternal Sigara Maruziyeti</w:t>
            </w:r>
            <w:r w:rsidR="005161B1" w:rsidRPr="00D30218">
              <w:rPr>
                <w:rFonts w:ascii="Arial" w:hAnsi="Arial" w:cs="Arial"/>
                <w:sz w:val="22"/>
                <w:szCs w:val="22"/>
                <w:shd w:val="clear" w:color="auto" w:fill="FFFFFF"/>
              </w:rPr>
              <w:t>...............................................</w:t>
            </w:r>
            <w:r w:rsidR="0050244D">
              <w:rPr>
                <w:rFonts w:ascii="Arial" w:hAnsi="Arial" w:cs="Arial"/>
                <w:sz w:val="22"/>
                <w:szCs w:val="22"/>
                <w:shd w:val="clear" w:color="auto" w:fill="FFFFFF"/>
              </w:rPr>
              <w:t>.......</w:t>
            </w:r>
          </w:p>
        </w:tc>
        <w:tc>
          <w:tcPr>
            <w:tcW w:w="1173" w:type="dxa"/>
            <w:gridSpan w:val="2"/>
            <w:tcBorders>
              <w:top w:val="nil"/>
              <w:left w:val="nil"/>
              <w:bottom w:val="nil"/>
              <w:right w:val="nil"/>
            </w:tcBorders>
            <w:shd w:val="clear" w:color="auto" w:fill="auto"/>
            <w:noWrap/>
            <w:vAlign w:val="center"/>
            <w:hideMark/>
          </w:tcPr>
          <w:p w:rsidR="006A3052" w:rsidRPr="00D30218" w:rsidRDefault="00BD455E" w:rsidP="005161B1">
            <w:pPr>
              <w:spacing w:line="360" w:lineRule="auto"/>
              <w:rPr>
                <w:rFonts w:ascii="Arial" w:hAnsi="Arial" w:cs="Arial"/>
                <w:color w:val="000000"/>
              </w:rPr>
            </w:pPr>
            <w:r w:rsidRPr="00D30218">
              <w:rPr>
                <w:rFonts w:ascii="Arial" w:hAnsi="Arial" w:cs="Arial"/>
                <w:color w:val="000000"/>
                <w:sz w:val="22"/>
                <w:szCs w:val="22"/>
              </w:rPr>
              <w:t>40</w:t>
            </w:r>
          </w:p>
        </w:tc>
      </w:tr>
      <w:tr w:rsidR="006A3052" w:rsidRPr="00E205CB" w:rsidTr="00D30218">
        <w:trPr>
          <w:trHeight w:val="300"/>
        </w:trPr>
        <w:tc>
          <w:tcPr>
            <w:tcW w:w="164" w:type="dxa"/>
            <w:gridSpan w:val="2"/>
            <w:tcBorders>
              <w:top w:val="nil"/>
              <w:left w:val="nil"/>
              <w:bottom w:val="nil"/>
              <w:right w:val="nil"/>
            </w:tcBorders>
            <w:shd w:val="clear" w:color="auto" w:fill="auto"/>
            <w:noWrap/>
            <w:vAlign w:val="bottom"/>
          </w:tcPr>
          <w:p w:rsidR="006A3052" w:rsidRPr="00541AC9" w:rsidRDefault="006A3052"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tcPr>
          <w:p w:rsidR="006A3052" w:rsidRPr="00541AC9" w:rsidRDefault="006A3052"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tcPr>
          <w:p w:rsidR="006A3052" w:rsidRPr="00D30218" w:rsidRDefault="006A3052" w:rsidP="00BD455E">
            <w:pPr>
              <w:spacing w:line="360" w:lineRule="auto"/>
              <w:rPr>
                <w:rFonts w:ascii="Arial" w:hAnsi="Arial" w:cs="Arial"/>
                <w:color w:val="000000"/>
              </w:rPr>
            </w:pPr>
            <w:r w:rsidRPr="00D30218">
              <w:rPr>
                <w:rFonts w:ascii="Arial" w:hAnsi="Arial" w:cs="Arial"/>
                <w:color w:val="000000"/>
                <w:sz w:val="22"/>
                <w:szCs w:val="22"/>
              </w:rPr>
              <w:t xml:space="preserve">      </w:t>
            </w:r>
            <w:r w:rsidR="00BD455E" w:rsidRPr="00D30218">
              <w:rPr>
                <w:rFonts w:ascii="Arial" w:hAnsi="Arial" w:cs="Arial"/>
                <w:color w:val="000000"/>
                <w:sz w:val="22"/>
                <w:szCs w:val="22"/>
              </w:rPr>
              <w:t>Gebelikte Annenin Geçirdiği Hastalık....................</w:t>
            </w:r>
            <w:r w:rsidRPr="00D30218">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6A3052" w:rsidRPr="00D30218" w:rsidRDefault="00BD455E" w:rsidP="00824250">
            <w:pPr>
              <w:spacing w:line="360" w:lineRule="auto"/>
              <w:rPr>
                <w:rFonts w:ascii="Arial" w:hAnsi="Arial" w:cs="Arial"/>
                <w:color w:val="000000"/>
              </w:rPr>
            </w:pPr>
            <w:r w:rsidRPr="00D30218">
              <w:rPr>
                <w:rFonts w:ascii="Arial" w:hAnsi="Arial" w:cs="Arial"/>
                <w:color w:val="000000"/>
                <w:sz w:val="22"/>
                <w:szCs w:val="22"/>
              </w:rPr>
              <w:t>41</w:t>
            </w:r>
          </w:p>
        </w:tc>
      </w:tr>
      <w:tr w:rsidR="00BD455E" w:rsidRPr="00E205CB" w:rsidTr="00D30218">
        <w:trPr>
          <w:trHeight w:val="300"/>
        </w:trPr>
        <w:tc>
          <w:tcPr>
            <w:tcW w:w="8175" w:type="dxa"/>
            <w:gridSpan w:val="7"/>
            <w:tcBorders>
              <w:top w:val="nil"/>
              <w:left w:val="nil"/>
              <w:bottom w:val="nil"/>
              <w:right w:val="nil"/>
            </w:tcBorders>
            <w:shd w:val="clear" w:color="auto" w:fill="auto"/>
            <w:noWrap/>
            <w:vAlign w:val="bottom"/>
          </w:tcPr>
          <w:p w:rsidR="00BD455E" w:rsidRPr="00D30218" w:rsidRDefault="00BD455E" w:rsidP="0096478A">
            <w:pPr>
              <w:spacing w:line="360" w:lineRule="auto"/>
              <w:rPr>
                <w:rFonts w:ascii="Arial" w:hAnsi="Arial" w:cs="Arial"/>
                <w:color w:val="000000"/>
              </w:rPr>
            </w:pPr>
            <w:r w:rsidRPr="00D30218">
              <w:rPr>
                <w:rFonts w:ascii="Arial" w:hAnsi="Arial" w:cs="Arial"/>
                <w:color w:val="000000"/>
                <w:sz w:val="22"/>
                <w:szCs w:val="22"/>
              </w:rPr>
              <w:t xml:space="preserve">           Ders Başarısı....................…………………...…..</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BD455E" w:rsidRPr="00D30218" w:rsidRDefault="00BD455E" w:rsidP="0096478A">
            <w:pPr>
              <w:spacing w:line="360" w:lineRule="auto"/>
              <w:rPr>
                <w:rFonts w:ascii="Arial" w:hAnsi="Arial" w:cs="Arial"/>
                <w:color w:val="000000"/>
              </w:rPr>
            </w:pPr>
            <w:r w:rsidRPr="00D30218">
              <w:rPr>
                <w:rFonts w:ascii="Arial" w:hAnsi="Arial" w:cs="Arial"/>
                <w:color w:val="000000"/>
                <w:sz w:val="22"/>
                <w:szCs w:val="22"/>
              </w:rPr>
              <w:t>41</w:t>
            </w:r>
          </w:p>
        </w:tc>
      </w:tr>
      <w:tr w:rsidR="00BD455E" w:rsidRPr="00E205CB" w:rsidTr="00D30218">
        <w:trPr>
          <w:trHeight w:val="300"/>
        </w:trPr>
        <w:tc>
          <w:tcPr>
            <w:tcW w:w="164" w:type="dxa"/>
            <w:gridSpan w:val="2"/>
            <w:tcBorders>
              <w:top w:val="nil"/>
              <w:left w:val="nil"/>
              <w:bottom w:val="nil"/>
              <w:right w:val="nil"/>
            </w:tcBorders>
            <w:shd w:val="clear" w:color="auto" w:fill="auto"/>
            <w:noWrap/>
            <w:vAlign w:val="bottom"/>
          </w:tcPr>
          <w:p w:rsidR="00BD455E" w:rsidRPr="00541AC9" w:rsidRDefault="00BD455E" w:rsidP="00824250">
            <w:pPr>
              <w:spacing w:line="360" w:lineRule="auto"/>
              <w:rPr>
                <w:rFonts w:ascii="Arial" w:hAnsi="Arial" w:cs="Arial"/>
                <w:color w:val="000000"/>
              </w:rPr>
            </w:pPr>
          </w:p>
        </w:tc>
        <w:tc>
          <w:tcPr>
            <w:tcW w:w="8011" w:type="dxa"/>
            <w:gridSpan w:val="5"/>
            <w:tcBorders>
              <w:top w:val="nil"/>
              <w:left w:val="nil"/>
              <w:bottom w:val="nil"/>
              <w:right w:val="nil"/>
            </w:tcBorders>
            <w:shd w:val="clear" w:color="auto" w:fill="auto"/>
            <w:noWrap/>
            <w:vAlign w:val="bottom"/>
          </w:tcPr>
          <w:p w:rsidR="00BD455E" w:rsidRPr="00D30218" w:rsidRDefault="00BD455E" w:rsidP="00BD455E">
            <w:pPr>
              <w:spacing w:line="360" w:lineRule="auto"/>
              <w:rPr>
                <w:rFonts w:ascii="Arial" w:hAnsi="Arial" w:cs="Arial"/>
                <w:color w:val="000000"/>
              </w:rPr>
            </w:pPr>
            <w:r w:rsidRPr="00D30218">
              <w:rPr>
                <w:rFonts w:ascii="Arial" w:hAnsi="Arial" w:cs="Arial"/>
                <w:color w:val="000000"/>
                <w:sz w:val="22"/>
                <w:szCs w:val="22"/>
              </w:rPr>
              <w:t xml:space="preserve">        Okul Ödevlerini Yapabilme Durumları....................…………………...…..</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BD455E" w:rsidRPr="00D30218" w:rsidRDefault="00BD455E" w:rsidP="00BD455E">
            <w:pPr>
              <w:spacing w:line="360" w:lineRule="auto"/>
              <w:rPr>
                <w:rFonts w:ascii="Arial" w:hAnsi="Arial" w:cs="Arial"/>
                <w:color w:val="000000"/>
              </w:rPr>
            </w:pPr>
            <w:r w:rsidRPr="00D30218">
              <w:rPr>
                <w:rFonts w:ascii="Arial" w:hAnsi="Arial" w:cs="Arial"/>
                <w:color w:val="000000"/>
                <w:sz w:val="22"/>
                <w:szCs w:val="22"/>
              </w:rPr>
              <w:t>42</w:t>
            </w:r>
          </w:p>
        </w:tc>
      </w:tr>
      <w:tr w:rsidR="00BD455E" w:rsidRPr="00E205CB" w:rsidTr="00D30218">
        <w:trPr>
          <w:trHeight w:val="300"/>
        </w:trPr>
        <w:tc>
          <w:tcPr>
            <w:tcW w:w="164" w:type="dxa"/>
            <w:gridSpan w:val="2"/>
            <w:tcBorders>
              <w:top w:val="nil"/>
              <w:left w:val="nil"/>
              <w:bottom w:val="nil"/>
              <w:right w:val="nil"/>
            </w:tcBorders>
            <w:shd w:val="clear" w:color="auto" w:fill="auto"/>
            <w:noWrap/>
            <w:vAlign w:val="bottom"/>
          </w:tcPr>
          <w:p w:rsidR="00BD455E" w:rsidRPr="00541AC9" w:rsidRDefault="00BD455E" w:rsidP="00824250">
            <w:pPr>
              <w:spacing w:line="360" w:lineRule="auto"/>
              <w:rPr>
                <w:rFonts w:ascii="Arial" w:hAnsi="Arial" w:cs="Arial"/>
                <w:color w:val="000000"/>
              </w:rPr>
            </w:pPr>
          </w:p>
        </w:tc>
        <w:tc>
          <w:tcPr>
            <w:tcW w:w="8011" w:type="dxa"/>
            <w:gridSpan w:val="5"/>
            <w:tcBorders>
              <w:top w:val="nil"/>
              <w:left w:val="nil"/>
              <w:bottom w:val="nil"/>
              <w:right w:val="nil"/>
            </w:tcBorders>
            <w:shd w:val="clear" w:color="auto" w:fill="auto"/>
            <w:noWrap/>
            <w:vAlign w:val="bottom"/>
          </w:tcPr>
          <w:p w:rsidR="00BD455E" w:rsidRPr="00D30218" w:rsidRDefault="00BD455E" w:rsidP="00BD455E">
            <w:pPr>
              <w:spacing w:line="360" w:lineRule="auto"/>
              <w:rPr>
                <w:rFonts w:ascii="Arial" w:hAnsi="Arial" w:cs="Arial"/>
                <w:color w:val="000000"/>
              </w:rPr>
            </w:pPr>
            <w:r w:rsidRPr="00D30218">
              <w:rPr>
                <w:rFonts w:ascii="Arial" w:hAnsi="Arial" w:cs="Arial"/>
                <w:color w:val="000000"/>
                <w:sz w:val="22"/>
                <w:szCs w:val="22"/>
              </w:rPr>
              <w:t xml:space="preserve">        Akran İlişkileri....................…………………...…..</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BD455E" w:rsidRPr="00D30218" w:rsidRDefault="00BD455E" w:rsidP="009601F6">
            <w:pPr>
              <w:spacing w:line="360" w:lineRule="auto"/>
              <w:rPr>
                <w:rFonts w:ascii="Arial" w:hAnsi="Arial" w:cs="Arial"/>
                <w:color w:val="000000"/>
              </w:rPr>
            </w:pPr>
            <w:r w:rsidRPr="00D30218">
              <w:rPr>
                <w:rFonts w:ascii="Arial" w:hAnsi="Arial" w:cs="Arial"/>
                <w:color w:val="000000"/>
                <w:sz w:val="22"/>
                <w:szCs w:val="22"/>
              </w:rPr>
              <w:t>4</w:t>
            </w:r>
            <w:r w:rsidR="009601F6" w:rsidRPr="00D30218">
              <w:rPr>
                <w:rFonts w:ascii="Arial" w:hAnsi="Arial" w:cs="Arial"/>
                <w:color w:val="000000"/>
                <w:sz w:val="22"/>
                <w:szCs w:val="22"/>
              </w:rPr>
              <w:t>3</w:t>
            </w:r>
          </w:p>
        </w:tc>
      </w:tr>
      <w:tr w:rsidR="00BD455E" w:rsidRPr="00E205CB" w:rsidTr="00D30218">
        <w:trPr>
          <w:trHeight w:val="300"/>
        </w:trPr>
        <w:tc>
          <w:tcPr>
            <w:tcW w:w="164" w:type="dxa"/>
            <w:gridSpan w:val="2"/>
            <w:tcBorders>
              <w:top w:val="nil"/>
              <w:left w:val="nil"/>
              <w:bottom w:val="nil"/>
              <w:right w:val="nil"/>
            </w:tcBorders>
            <w:shd w:val="clear" w:color="auto" w:fill="auto"/>
            <w:noWrap/>
            <w:vAlign w:val="bottom"/>
          </w:tcPr>
          <w:p w:rsidR="00BD455E" w:rsidRPr="00541AC9" w:rsidRDefault="00BD455E"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tcPr>
          <w:p w:rsidR="00BD455E" w:rsidRPr="00541AC9" w:rsidRDefault="00BD455E"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tcPr>
          <w:p w:rsidR="00BD455E" w:rsidRPr="00D30218" w:rsidRDefault="009601F6" w:rsidP="0096478A">
            <w:pPr>
              <w:spacing w:line="360" w:lineRule="auto"/>
              <w:rPr>
                <w:rFonts w:ascii="Arial" w:hAnsi="Arial" w:cs="Arial"/>
                <w:color w:val="000000"/>
              </w:rPr>
            </w:pPr>
            <w:r w:rsidRPr="00D30218">
              <w:rPr>
                <w:rFonts w:ascii="Arial" w:hAnsi="Arial" w:cs="Arial"/>
                <w:color w:val="000000"/>
                <w:sz w:val="22"/>
                <w:szCs w:val="22"/>
              </w:rPr>
              <w:t xml:space="preserve">     Kardeş İlişkileri</w:t>
            </w:r>
            <w:r w:rsidR="00BD455E" w:rsidRPr="00D30218">
              <w:rPr>
                <w:rFonts w:ascii="Arial" w:hAnsi="Arial" w:cs="Arial"/>
                <w:color w:val="000000"/>
                <w:sz w:val="22"/>
                <w:szCs w:val="22"/>
              </w:rPr>
              <w:t>...................…………………...…..</w:t>
            </w:r>
            <w:r w:rsidR="0050244D">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BD455E" w:rsidRPr="00D30218" w:rsidRDefault="00BD455E" w:rsidP="009601F6">
            <w:pPr>
              <w:spacing w:line="360" w:lineRule="auto"/>
              <w:rPr>
                <w:rFonts w:ascii="Arial" w:hAnsi="Arial" w:cs="Arial"/>
                <w:color w:val="000000"/>
              </w:rPr>
            </w:pPr>
            <w:r w:rsidRPr="00D30218">
              <w:rPr>
                <w:rFonts w:ascii="Arial" w:hAnsi="Arial" w:cs="Arial"/>
                <w:color w:val="000000"/>
                <w:sz w:val="22"/>
                <w:szCs w:val="22"/>
              </w:rPr>
              <w:t>4</w:t>
            </w:r>
            <w:r w:rsidR="009601F6" w:rsidRPr="00D30218">
              <w:rPr>
                <w:rFonts w:ascii="Arial" w:hAnsi="Arial" w:cs="Arial"/>
                <w:color w:val="000000"/>
                <w:sz w:val="22"/>
                <w:szCs w:val="22"/>
              </w:rPr>
              <w:t>3</w:t>
            </w:r>
          </w:p>
        </w:tc>
      </w:tr>
      <w:tr w:rsidR="00D950D7" w:rsidRPr="00E205CB" w:rsidTr="00D30218">
        <w:trPr>
          <w:trHeight w:val="300"/>
        </w:trPr>
        <w:tc>
          <w:tcPr>
            <w:tcW w:w="164" w:type="dxa"/>
            <w:gridSpan w:val="2"/>
            <w:tcBorders>
              <w:top w:val="nil"/>
              <w:left w:val="nil"/>
              <w:bottom w:val="nil"/>
              <w:right w:val="nil"/>
            </w:tcBorders>
            <w:shd w:val="clear" w:color="auto" w:fill="auto"/>
            <w:noWrap/>
            <w:vAlign w:val="bottom"/>
          </w:tcPr>
          <w:p w:rsidR="00D950D7" w:rsidRPr="00541AC9" w:rsidRDefault="00D950D7"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tcPr>
          <w:p w:rsidR="00D950D7" w:rsidRPr="00541AC9" w:rsidRDefault="00D950D7"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tcPr>
          <w:p w:rsidR="00D950D7" w:rsidRPr="00D30218" w:rsidRDefault="00D950D7" w:rsidP="00D950D7">
            <w:pPr>
              <w:spacing w:line="360" w:lineRule="auto"/>
              <w:rPr>
                <w:rFonts w:ascii="Arial" w:hAnsi="Arial" w:cs="Arial"/>
                <w:color w:val="000000"/>
              </w:rPr>
            </w:pPr>
            <w:r w:rsidRPr="00D30218">
              <w:rPr>
                <w:rFonts w:ascii="Arial" w:hAnsi="Arial" w:cs="Arial"/>
                <w:color w:val="000000"/>
                <w:sz w:val="22"/>
                <w:szCs w:val="22"/>
              </w:rPr>
              <w:t xml:space="preserve">     Evdeki Genel Durum...................…………………...…..</w:t>
            </w:r>
            <w:r w:rsidR="0050244D">
              <w:rPr>
                <w:rFonts w:ascii="Arial" w:hAnsi="Arial" w:cs="Arial"/>
                <w:color w:val="000000"/>
                <w:sz w:val="22"/>
                <w:szCs w:val="22"/>
              </w:rPr>
              <w:t>...</w:t>
            </w:r>
            <w:r w:rsidR="00B005C6">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D950D7" w:rsidRPr="00D30218" w:rsidRDefault="00D950D7" w:rsidP="0096478A">
            <w:pPr>
              <w:spacing w:line="360" w:lineRule="auto"/>
              <w:rPr>
                <w:rFonts w:ascii="Arial" w:hAnsi="Arial" w:cs="Arial"/>
                <w:color w:val="000000"/>
              </w:rPr>
            </w:pPr>
            <w:r w:rsidRPr="00D30218">
              <w:rPr>
                <w:rFonts w:ascii="Arial" w:hAnsi="Arial" w:cs="Arial"/>
                <w:color w:val="000000"/>
                <w:sz w:val="22"/>
                <w:szCs w:val="22"/>
              </w:rPr>
              <w:t>44</w:t>
            </w:r>
          </w:p>
        </w:tc>
      </w:tr>
      <w:tr w:rsidR="00D950D7" w:rsidRPr="00E205CB" w:rsidTr="00D30218">
        <w:trPr>
          <w:trHeight w:val="300"/>
        </w:trPr>
        <w:tc>
          <w:tcPr>
            <w:tcW w:w="164" w:type="dxa"/>
            <w:gridSpan w:val="2"/>
            <w:tcBorders>
              <w:top w:val="nil"/>
              <w:left w:val="nil"/>
              <w:bottom w:val="nil"/>
              <w:right w:val="nil"/>
            </w:tcBorders>
            <w:shd w:val="clear" w:color="auto" w:fill="auto"/>
            <w:noWrap/>
            <w:vAlign w:val="bottom"/>
          </w:tcPr>
          <w:p w:rsidR="00D950D7" w:rsidRPr="00541AC9" w:rsidRDefault="00D950D7" w:rsidP="00824250">
            <w:pPr>
              <w:spacing w:line="360" w:lineRule="auto"/>
              <w:rPr>
                <w:rFonts w:ascii="Arial" w:hAnsi="Arial" w:cs="Arial"/>
                <w:color w:val="000000"/>
              </w:rPr>
            </w:pPr>
          </w:p>
        </w:tc>
        <w:tc>
          <w:tcPr>
            <w:tcW w:w="163" w:type="dxa"/>
            <w:gridSpan w:val="2"/>
            <w:tcBorders>
              <w:top w:val="nil"/>
              <w:left w:val="nil"/>
              <w:bottom w:val="nil"/>
              <w:right w:val="nil"/>
            </w:tcBorders>
            <w:shd w:val="clear" w:color="auto" w:fill="auto"/>
            <w:noWrap/>
            <w:vAlign w:val="bottom"/>
          </w:tcPr>
          <w:p w:rsidR="00D950D7" w:rsidRPr="00541AC9" w:rsidRDefault="00D950D7" w:rsidP="00824250">
            <w:pPr>
              <w:spacing w:line="360" w:lineRule="auto"/>
              <w:rPr>
                <w:rFonts w:ascii="Arial" w:hAnsi="Arial" w:cs="Arial"/>
                <w:color w:val="000000"/>
              </w:rPr>
            </w:pPr>
          </w:p>
        </w:tc>
        <w:tc>
          <w:tcPr>
            <w:tcW w:w="7848" w:type="dxa"/>
            <w:gridSpan w:val="3"/>
            <w:tcBorders>
              <w:top w:val="nil"/>
              <w:left w:val="nil"/>
              <w:bottom w:val="nil"/>
              <w:right w:val="nil"/>
            </w:tcBorders>
            <w:shd w:val="clear" w:color="auto" w:fill="auto"/>
            <w:noWrap/>
            <w:vAlign w:val="bottom"/>
          </w:tcPr>
          <w:p w:rsidR="00D950D7" w:rsidRPr="00D30218" w:rsidRDefault="00D950D7" w:rsidP="00D950D7">
            <w:pPr>
              <w:spacing w:line="360" w:lineRule="auto"/>
              <w:rPr>
                <w:rFonts w:ascii="Arial" w:hAnsi="Arial" w:cs="Arial"/>
                <w:color w:val="000000"/>
              </w:rPr>
            </w:pPr>
            <w:r w:rsidRPr="00D30218">
              <w:rPr>
                <w:rFonts w:ascii="Arial" w:hAnsi="Arial" w:cs="Arial"/>
                <w:color w:val="000000"/>
                <w:sz w:val="22"/>
                <w:szCs w:val="22"/>
              </w:rPr>
              <w:t>KATILIMCILARIN KLİNİK ÖZELLİKLERİ……………………………….</w:t>
            </w:r>
            <w:r w:rsidR="00B005C6">
              <w:rPr>
                <w:rFonts w:ascii="Arial" w:hAnsi="Arial" w:cs="Arial"/>
                <w:color w:val="000000"/>
                <w:sz w:val="22"/>
                <w:szCs w:val="22"/>
              </w:rPr>
              <w:t>.................</w:t>
            </w:r>
          </w:p>
        </w:tc>
        <w:tc>
          <w:tcPr>
            <w:tcW w:w="1173" w:type="dxa"/>
            <w:gridSpan w:val="2"/>
            <w:tcBorders>
              <w:top w:val="nil"/>
              <w:left w:val="nil"/>
              <w:bottom w:val="nil"/>
              <w:right w:val="nil"/>
            </w:tcBorders>
            <w:shd w:val="clear" w:color="auto" w:fill="auto"/>
            <w:noWrap/>
            <w:vAlign w:val="bottom"/>
          </w:tcPr>
          <w:p w:rsidR="00D950D7" w:rsidRPr="00D30218" w:rsidRDefault="005849AC" w:rsidP="0096478A">
            <w:pPr>
              <w:spacing w:line="360" w:lineRule="auto"/>
              <w:rPr>
                <w:rFonts w:ascii="Arial" w:hAnsi="Arial" w:cs="Arial"/>
                <w:color w:val="000000"/>
              </w:rPr>
            </w:pPr>
            <w:r>
              <w:rPr>
                <w:rFonts w:ascii="Arial" w:hAnsi="Arial" w:cs="Arial"/>
                <w:color w:val="000000"/>
              </w:rPr>
              <w:t>45</w:t>
            </w:r>
          </w:p>
        </w:tc>
      </w:tr>
      <w:tr w:rsidR="006A3052"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B005C6" w:rsidRDefault="00D950D7" w:rsidP="00D950D7">
            <w:pPr>
              <w:spacing w:line="360" w:lineRule="auto"/>
              <w:ind w:firstLine="567"/>
              <w:rPr>
                <w:rFonts w:ascii="Arial" w:hAnsi="Arial" w:cs="Arial"/>
              </w:rPr>
            </w:pPr>
            <w:r w:rsidRPr="00D950D7">
              <w:rPr>
                <w:rFonts w:ascii="Arial" w:hAnsi="Arial" w:cs="Arial"/>
                <w:sz w:val="22"/>
                <w:szCs w:val="22"/>
              </w:rPr>
              <w:t xml:space="preserve">Olgu Grubunun Çocuk ve Ergenlerde Yıkıcı Davranım Bozuklukları İçin </w:t>
            </w:r>
          </w:p>
          <w:p w:rsidR="00B005C6" w:rsidRDefault="00B005C6" w:rsidP="00B005C6">
            <w:pPr>
              <w:spacing w:line="360" w:lineRule="auto"/>
              <w:ind w:firstLine="567"/>
              <w:rPr>
                <w:rFonts w:ascii="Arial" w:hAnsi="Arial" w:cs="Arial"/>
              </w:rPr>
            </w:pPr>
            <w:r>
              <w:rPr>
                <w:rFonts w:ascii="Arial" w:hAnsi="Arial" w:cs="Arial"/>
                <w:sz w:val="22"/>
                <w:szCs w:val="22"/>
              </w:rPr>
              <w:t>D</w:t>
            </w:r>
            <w:r w:rsidR="00D950D7" w:rsidRPr="00D950D7">
              <w:rPr>
                <w:rFonts w:ascii="Arial" w:hAnsi="Arial" w:cs="Arial"/>
                <w:sz w:val="22"/>
                <w:szCs w:val="22"/>
              </w:rPr>
              <w:t xml:space="preserve">SM-IV'e Dayalı Tarama ve Değerlendirme Ölçeği Açısından </w:t>
            </w:r>
          </w:p>
          <w:p w:rsidR="006A3052" w:rsidRPr="00D950D7" w:rsidRDefault="00B005C6" w:rsidP="00B005C6">
            <w:pPr>
              <w:spacing w:line="360" w:lineRule="auto"/>
              <w:ind w:firstLine="567"/>
              <w:rPr>
                <w:rFonts w:ascii="Arial" w:hAnsi="Arial" w:cs="Arial"/>
              </w:rPr>
            </w:pPr>
            <w:r>
              <w:rPr>
                <w:rFonts w:ascii="Arial" w:hAnsi="Arial" w:cs="Arial"/>
                <w:sz w:val="22"/>
                <w:szCs w:val="22"/>
              </w:rPr>
              <w:t>D</w:t>
            </w:r>
            <w:r w:rsidR="00D950D7" w:rsidRPr="00D950D7">
              <w:rPr>
                <w:rFonts w:ascii="Arial" w:hAnsi="Arial" w:cs="Arial"/>
                <w:sz w:val="22"/>
                <w:szCs w:val="22"/>
              </w:rPr>
              <w:t>eğerlendirilmesi</w:t>
            </w:r>
            <w:r w:rsidR="00D950D7">
              <w:rPr>
                <w:rFonts w:ascii="Arial" w:hAnsi="Arial" w:cs="Arial"/>
                <w:sz w:val="22"/>
                <w:szCs w:val="22"/>
              </w:rPr>
              <w:t>..</w:t>
            </w:r>
            <w:r>
              <w:rPr>
                <w:rFonts w:ascii="Arial" w:hAnsi="Arial" w:cs="Arial"/>
                <w:sz w:val="22"/>
                <w:szCs w:val="22"/>
              </w:rPr>
              <w:t>............................................................................................</w:t>
            </w:r>
          </w:p>
        </w:tc>
        <w:tc>
          <w:tcPr>
            <w:tcW w:w="1173" w:type="dxa"/>
            <w:gridSpan w:val="2"/>
            <w:tcBorders>
              <w:top w:val="nil"/>
              <w:left w:val="nil"/>
              <w:bottom w:val="nil"/>
              <w:right w:val="nil"/>
            </w:tcBorders>
            <w:shd w:val="clear" w:color="auto" w:fill="auto"/>
            <w:noWrap/>
            <w:vAlign w:val="bottom"/>
            <w:hideMark/>
          </w:tcPr>
          <w:p w:rsidR="006A3052" w:rsidRPr="00D30218" w:rsidRDefault="00D950D7" w:rsidP="00824250">
            <w:pPr>
              <w:spacing w:line="360" w:lineRule="auto"/>
              <w:rPr>
                <w:rFonts w:ascii="Arial" w:hAnsi="Arial" w:cs="Arial"/>
                <w:color w:val="000000"/>
              </w:rPr>
            </w:pPr>
            <w:r w:rsidRPr="00D30218">
              <w:rPr>
                <w:rFonts w:ascii="Arial" w:hAnsi="Arial" w:cs="Arial"/>
                <w:color w:val="000000"/>
                <w:sz w:val="22"/>
                <w:szCs w:val="22"/>
              </w:rPr>
              <w:t>45</w:t>
            </w:r>
          </w:p>
        </w:tc>
      </w:tr>
      <w:tr w:rsidR="006A3052"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6A3052" w:rsidRPr="00D950D7" w:rsidRDefault="00D950D7" w:rsidP="00D950D7">
            <w:pPr>
              <w:spacing w:line="360" w:lineRule="auto"/>
              <w:ind w:firstLine="567"/>
              <w:contextualSpacing/>
              <w:jc w:val="both"/>
              <w:rPr>
                <w:rFonts w:ascii="Arial" w:hAnsi="Arial" w:cs="Arial"/>
                <w:shd w:val="clear" w:color="auto" w:fill="FFFFFF"/>
              </w:rPr>
            </w:pPr>
            <w:r w:rsidRPr="00D950D7">
              <w:rPr>
                <w:rFonts w:ascii="Arial" w:hAnsi="Arial" w:cs="Arial"/>
                <w:sz w:val="22"/>
                <w:szCs w:val="22"/>
                <w:shd w:val="clear" w:color="auto" w:fill="FFFFFF"/>
              </w:rPr>
              <w:t xml:space="preserve">Olgu Grubunun </w:t>
            </w:r>
            <w:r w:rsidRPr="00D950D7">
              <w:rPr>
                <w:rFonts w:ascii="Arial" w:hAnsi="Arial" w:cs="Arial"/>
                <w:sz w:val="22"/>
                <w:szCs w:val="22"/>
              </w:rPr>
              <w:t>ACE Uygulaması</w:t>
            </w:r>
            <w:r w:rsidRPr="00D950D7">
              <w:rPr>
                <w:rFonts w:ascii="Arial" w:hAnsi="Arial" w:cs="Arial"/>
                <w:sz w:val="22"/>
                <w:szCs w:val="22"/>
                <w:shd w:val="clear" w:color="auto" w:fill="FFFFFF"/>
              </w:rPr>
              <w:t xml:space="preserve"> Açısından Değerlendirilmesi</w:t>
            </w:r>
            <w:r>
              <w:rPr>
                <w:rFonts w:ascii="Arial" w:hAnsi="Arial" w:cs="Arial"/>
                <w:sz w:val="22"/>
                <w:szCs w:val="22"/>
                <w:shd w:val="clear" w:color="auto" w:fill="FFFFFF"/>
              </w:rPr>
              <w:t>................</w:t>
            </w:r>
            <w:r w:rsidR="00B005C6">
              <w:rPr>
                <w:rFonts w:ascii="Arial" w:hAnsi="Arial" w:cs="Arial"/>
                <w:sz w:val="22"/>
                <w:szCs w:val="22"/>
                <w:shd w:val="clear" w:color="auto" w:fill="FFFFFF"/>
              </w:rPr>
              <w:t>....</w:t>
            </w:r>
          </w:p>
        </w:tc>
        <w:tc>
          <w:tcPr>
            <w:tcW w:w="1173" w:type="dxa"/>
            <w:gridSpan w:val="2"/>
            <w:tcBorders>
              <w:top w:val="nil"/>
              <w:left w:val="nil"/>
              <w:bottom w:val="nil"/>
              <w:right w:val="nil"/>
            </w:tcBorders>
            <w:shd w:val="clear" w:color="auto" w:fill="auto"/>
            <w:noWrap/>
            <w:vAlign w:val="bottom"/>
            <w:hideMark/>
          </w:tcPr>
          <w:p w:rsidR="006A3052" w:rsidRPr="00D30218" w:rsidRDefault="00D950D7" w:rsidP="00824250">
            <w:pPr>
              <w:spacing w:line="360" w:lineRule="auto"/>
              <w:rPr>
                <w:rFonts w:ascii="Arial" w:hAnsi="Arial" w:cs="Arial"/>
                <w:color w:val="000000"/>
              </w:rPr>
            </w:pPr>
            <w:r w:rsidRPr="00D30218">
              <w:rPr>
                <w:rFonts w:ascii="Arial" w:hAnsi="Arial" w:cs="Arial"/>
                <w:color w:val="000000"/>
                <w:sz w:val="22"/>
                <w:szCs w:val="22"/>
              </w:rPr>
              <w:t>45</w:t>
            </w:r>
          </w:p>
        </w:tc>
      </w:tr>
      <w:tr w:rsidR="006A3052"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B005C6" w:rsidRDefault="00DE0450" w:rsidP="00DE0450">
            <w:pPr>
              <w:spacing w:line="360" w:lineRule="auto"/>
              <w:ind w:firstLine="567"/>
              <w:contextualSpacing/>
              <w:jc w:val="both"/>
              <w:rPr>
                <w:rFonts w:ascii="Arial" w:hAnsi="Arial" w:cs="Arial"/>
              </w:rPr>
            </w:pPr>
            <w:r w:rsidRPr="00DE0450">
              <w:rPr>
                <w:rFonts w:ascii="Arial" w:hAnsi="Arial" w:cs="Arial"/>
                <w:sz w:val="22"/>
                <w:szCs w:val="22"/>
              </w:rPr>
              <w:t xml:space="preserve">Katılımcılardan Elde Edilen Örneklerin Total RNA konsantrasyonları ve </w:t>
            </w:r>
          </w:p>
          <w:p w:rsidR="006A3052" w:rsidRPr="00DE0450" w:rsidRDefault="00B005C6" w:rsidP="00B005C6">
            <w:pPr>
              <w:spacing w:line="360" w:lineRule="auto"/>
              <w:ind w:firstLine="567"/>
              <w:contextualSpacing/>
              <w:jc w:val="both"/>
              <w:rPr>
                <w:rFonts w:ascii="Arial" w:hAnsi="Arial" w:cs="Arial"/>
              </w:rPr>
            </w:pPr>
            <w:r>
              <w:rPr>
                <w:rFonts w:ascii="Arial" w:hAnsi="Arial" w:cs="Arial"/>
                <w:sz w:val="22"/>
                <w:szCs w:val="22"/>
              </w:rPr>
              <w:t>A</w:t>
            </w:r>
            <w:r w:rsidR="00DE0450" w:rsidRPr="00DE0450">
              <w:rPr>
                <w:rFonts w:ascii="Arial" w:hAnsi="Arial" w:cs="Arial"/>
                <w:sz w:val="22"/>
                <w:szCs w:val="22"/>
              </w:rPr>
              <w:t>260 / A 280 oranları</w:t>
            </w:r>
            <w:r w:rsidR="00DE0450">
              <w:rPr>
                <w:rFonts w:ascii="Arial" w:hAnsi="Arial" w:cs="Arial"/>
                <w:sz w:val="22"/>
                <w:szCs w:val="22"/>
              </w:rPr>
              <w:t>.................................................................</w:t>
            </w:r>
            <w:r>
              <w:rPr>
                <w:rFonts w:ascii="Arial" w:hAnsi="Arial" w:cs="Arial"/>
                <w:sz w:val="22"/>
                <w:szCs w:val="22"/>
              </w:rPr>
              <w:t>.....................</w:t>
            </w:r>
          </w:p>
        </w:tc>
        <w:tc>
          <w:tcPr>
            <w:tcW w:w="1173" w:type="dxa"/>
            <w:gridSpan w:val="2"/>
            <w:tcBorders>
              <w:top w:val="nil"/>
              <w:left w:val="nil"/>
              <w:bottom w:val="nil"/>
              <w:right w:val="nil"/>
            </w:tcBorders>
            <w:shd w:val="clear" w:color="auto" w:fill="auto"/>
            <w:noWrap/>
            <w:vAlign w:val="bottom"/>
            <w:hideMark/>
          </w:tcPr>
          <w:p w:rsidR="006A3052" w:rsidRPr="00D30218" w:rsidRDefault="00DE0450" w:rsidP="00824250">
            <w:pPr>
              <w:spacing w:line="360" w:lineRule="auto"/>
              <w:rPr>
                <w:rFonts w:ascii="Arial" w:hAnsi="Arial" w:cs="Arial"/>
                <w:color w:val="000000"/>
              </w:rPr>
            </w:pPr>
            <w:r w:rsidRPr="00D30218">
              <w:rPr>
                <w:rFonts w:ascii="Arial" w:hAnsi="Arial" w:cs="Arial"/>
                <w:color w:val="000000"/>
                <w:sz w:val="22"/>
                <w:szCs w:val="22"/>
              </w:rPr>
              <w:t>46</w:t>
            </w:r>
          </w:p>
        </w:tc>
      </w:tr>
      <w:tr w:rsidR="00D30218"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B02F76" w:rsidRDefault="00D30218" w:rsidP="00D30218">
            <w:pPr>
              <w:spacing w:line="360" w:lineRule="auto"/>
              <w:contextualSpacing/>
              <w:jc w:val="both"/>
              <w:rPr>
                <w:rFonts w:ascii="Arial" w:hAnsi="Arial" w:cs="Arial"/>
                <w:shd w:val="clear" w:color="auto" w:fill="FFFFFF"/>
              </w:rPr>
            </w:pPr>
            <w:r>
              <w:rPr>
                <w:rFonts w:ascii="Arial" w:hAnsi="Arial" w:cs="Arial"/>
                <w:sz w:val="22"/>
                <w:szCs w:val="22"/>
                <w:shd w:val="clear" w:color="auto" w:fill="FFFFFF"/>
              </w:rPr>
              <w:t xml:space="preserve">     </w:t>
            </w:r>
            <w:r w:rsidRPr="00D30218">
              <w:rPr>
                <w:rFonts w:ascii="Arial" w:hAnsi="Arial" w:cs="Arial"/>
                <w:sz w:val="22"/>
                <w:szCs w:val="22"/>
                <w:shd w:val="clear" w:color="auto" w:fill="FFFFFF"/>
              </w:rPr>
              <w:t xml:space="preserve">PERİFERİK KAN miR-5692b, miR-let-7d, miR-124-3p, miR-107, miR-4447’nin </w:t>
            </w:r>
            <w:r w:rsidR="00B02F76">
              <w:rPr>
                <w:rFonts w:ascii="Arial" w:hAnsi="Arial" w:cs="Arial"/>
                <w:sz w:val="22"/>
                <w:szCs w:val="22"/>
                <w:shd w:val="clear" w:color="auto" w:fill="FFFFFF"/>
              </w:rPr>
              <w:t xml:space="preserve"> </w:t>
            </w:r>
          </w:p>
          <w:p w:rsidR="00D30218" w:rsidRPr="00D30218" w:rsidRDefault="00B02F76" w:rsidP="00B02F76">
            <w:pPr>
              <w:spacing w:line="360" w:lineRule="auto"/>
              <w:contextualSpacing/>
              <w:jc w:val="both"/>
              <w:rPr>
                <w:rFonts w:ascii="Arial" w:hAnsi="Arial" w:cs="Arial"/>
                <w:shd w:val="clear" w:color="auto" w:fill="FFFFFF"/>
              </w:rPr>
            </w:pPr>
            <w:r>
              <w:rPr>
                <w:rFonts w:ascii="Arial" w:hAnsi="Arial" w:cs="Arial"/>
                <w:sz w:val="22"/>
                <w:szCs w:val="22"/>
                <w:shd w:val="clear" w:color="auto" w:fill="FFFFFF"/>
              </w:rPr>
              <w:t xml:space="preserve">     </w:t>
            </w:r>
            <w:r w:rsidR="00D30218" w:rsidRPr="00D30218">
              <w:rPr>
                <w:rFonts w:ascii="Arial" w:hAnsi="Arial" w:cs="Arial"/>
                <w:sz w:val="22"/>
                <w:szCs w:val="22"/>
                <w:shd w:val="clear" w:color="auto" w:fill="FFFFFF"/>
              </w:rPr>
              <w:t>RELATİF KANTİTASYON DEĞERLERİNE GÖRE BULGULAR</w:t>
            </w:r>
            <w:r>
              <w:rPr>
                <w:rFonts w:ascii="Arial" w:hAnsi="Arial" w:cs="Arial"/>
                <w:sz w:val="22"/>
                <w:szCs w:val="22"/>
                <w:shd w:val="clear" w:color="auto" w:fill="FFFFFF"/>
              </w:rPr>
              <w:t>.....................</w:t>
            </w:r>
            <w:r w:rsidR="00B005C6">
              <w:rPr>
                <w:rFonts w:ascii="Arial" w:hAnsi="Arial" w:cs="Arial"/>
                <w:sz w:val="22"/>
                <w:szCs w:val="22"/>
                <w:shd w:val="clear" w:color="auto" w:fill="FFFFFF"/>
              </w:rPr>
              <w:t>...</w:t>
            </w:r>
          </w:p>
        </w:tc>
        <w:tc>
          <w:tcPr>
            <w:tcW w:w="1173" w:type="dxa"/>
            <w:gridSpan w:val="2"/>
            <w:tcBorders>
              <w:top w:val="nil"/>
              <w:left w:val="nil"/>
              <w:bottom w:val="nil"/>
              <w:right w:val="nil"/>
            </w:tcBorders>
            <w:shd w:val="clear" w:color="auto" w:fill="auto"/>
            <w:noWrap/>
            <w:vAlign w:val="bottom"/>
            <w:hideMark/>
          </w:tcPr>
          <w:p w:rsidR="00D30218" w:rsidRPr="00D30218" w:rsidRDefault="00D30218" w:rsidP="00824250">
            <w:pPr>
              <w:spacing w:line="360" w:lineRule="auto"/>
              <w:rPr>
                <w:rFonts w:ascii="Arial" w:hAnsi="Arial" w:cs="Arial"/>
                <w:color w:val="000000"/>
              </w:rPr>
            </w:pPr>
            <w:r w:rsidRPr="00D30218">
              <w:rPr>
                <w:rFonts w:ascii="Arial" w:hAnsi="Arial" w:cs="Arial"/>
                <w:color w:val="000000"/>
                <w:sz w:val="22"/>
                <w:szCs w:val="22"/>
              </w:rPr>
              <w:t>49</w:t>
            </w:r>
          </w:p>
        </w:tc>
      </w:tr>
      <w:tr w:rsidR="00D30218" w:rsidRPr="00E205CB" w:rsidTr="00D30218">
        <w:trPr>
          <w:gridAfter w:val="1"/>
          <w:wAfter w:w="15" w:type="dxa"/>
          <w:trHeight w:val="657"/>
        </w:trPr>
        <w:tc>
          <w:tcPr>
            <w:tcW w:w="8160" w:type="dxa"/>
            <w:gridSpan w:val="6"/>
            <w:tcBorders>
              <w:top w:val="nil"/>
              <w:left w:val="nil"/>
              <w:bottom w:val="nil"/>
              <w:right w:val="nil"/>
            </w:tcBorders>
            <w:shd w:val="clear" w:color="auto" w:fill="auto"/>
            <w:noWrap/>
            <w:vAlign w:val="bottom"/>
            <w:hideMark/>
          </w:tcPr>
          <w:p w:rsidR="00B02F76" w:rsidRDefault="00D30218" w:rsidP="00B02F76">
            <w:pPr>
              <w:spacing w:line="360" w:lineRule="auto"/>
              <w:ind w:firstLine="567"/>
              <w:contextualSpacing/>
              <w:jc w:val="both"/>
              <w:rPr>
                <w:rFonts w:ascii="Arial" w:hAnsi="Arial" w:cs="Arial"/>
                <w:shd w:val="clear" w:color="auto" w:fill="FFFFFF"/>
              </w:rPr>
            </w:pPr>
            <w:r w:rsidRPr="00D30218">
              <w:rPr>
                <w:rFonts w:ascii="Arial" w:hAnsi="Arial" w:cs="Arial"/>
                <w:sz w:val="22"/>
                <w:szCs w:val="22"/>
              </w:rPr>
              <w:t>Periferik Kan m</w:t>
            </w:r>
            <w:r w:rsidRPr="00D30218">
              <w:rPr>
                <w:rFonts w:ascii="Arial" w:hAnsi="Arial" w:cs="Arial"/>
                <w:sz w:val="22"/>
                <w:szCs w:val="22"/>
                <w:shd w:val="clear" w:color="auto" w:fill="FFFFFF"/>
              </w:rPr>
              <w:t xml:space="preserve">iR-5692b, miR-let-7d, miR-124-3p, miR-107, miR-4447’nin </w:t>
            </w:r>
          </w:p>
          <w:p w:rsidR="00D30218" w:rsidRDefault="00D30218" w:rsidP="00B02F76">
            <w:pPr>
              <w:spacing w:line="360" w:lineRule="auto"/>
              <w:ind w:firstLine="567"/>
              <w:contextualSpacing/>
              <w:jc w:val="both"/>
              <w:rPr>
                <w:rFonts w:ascii="Arial" w:hAnsi="Arial" w:cs="Arial"/>
                <w:shd w:val="clear" w:color="auto" w:fill="FFFFFF"/>
              </w:rPr>
            </w:pPr>
            <w:r w:rsidRPr="00D30218">
              <w:rPr>
                <w:rFonts w:ascii="Arial" w:hAnsi="Arial" w:cs="Arial"/>
                <w:sz w:val="22"/>
                <w:szCs w:val="22"/>
                <w:shd w:val="clear" w:color="auto" w:fill="FFFFFF"/>
              </w:rPr>
              <w:t>Relatif Kantitasyon Değerlerinin Yaş ve Cinsiyetle İlişkisi</w:t>
            </w:r>
            <w:r>
              <w:rPr>
                <w:rFonts w:ascii="Arial" w:hAnsi="Arial" w:cs="Arial"/>
                <w:sz w:val="22"/>
                <w:szCs w:val="22"/>
                <w:shd w:val="clear" w:color="auto" w:fill="FFFFFF"/>
              </w:rPr>
              <w:t>.............</w:t>
            </w:r>
            <w:r w:rsidR="00B02F76">
              <w:rPr>
                <w:rFonts w:ascii="Arial" w:hAnsi="Arial" w:cs="Arial"/>
                <w:sz w:val="22"/>
                <w:szCs w:val="22"/>
                <w:shd w:val="clear" w:color="auto" w:fill="FFFFFF"/>
              </w:rPr>
              <w:t>...............</w:t>
            </w:r>
            <w:r w:rsidR="00B005C6">
              <w:rPr>
                <w:rFonts w:ascii="Arial" w:hAnsi="Arial" w:cs="Arial"/>
                <w:sz w:val="22"/>
                <w:szCs w:val="22"/>
                <w:shd w:val="clear" w:color="auto" w:fill="FFFFFF"/>
              </w:rPr>
              <w:t>..</w:t>
            </w:r>
          </w:p>
        </w:tc>
        <w:tc>
          <w:tcPr>
            <w:tcW w:w="1173" w:type="dxa"/>
            <w:gridSpan w:val="2"/>
            <w:tcBorders>
              <w:top w:val="nil"/>
              <w:left w:val="nil"/>
              <w:bottom w:val="nil"/>
              <w:right w:val="nil"/>
            </w:tcBorders>
            <w:shd w:val="clear" w:color="auto" w:fill="auto"/>
            <w:noWrap/>
            <w:vAlign w:val="bottom"/>
            <w:hideMark/>
          </w:tcPr>
          <w:p w:rsidR="00D30218" w:rsidRPr="00D30218" w:rsidRDefault="00D30218" w:rsidP="00824250">
            <w:pPr>
              <w:spacing w:line="360" w:lineRule="auto"/>
              <w:rPr>
                <w:rFonts w:ascii="Arial" w:hAnsi="Arial" w:cs="Arial"/>
                <w:color w:val="000000"/>
              </w:rPr>
            </w:pPr>
            <w:r w:rsidRPr="00D30218">
              <w:rPr>
                <w:rFonts w:ascii="Arial" w:hAnsi="Arial" w:cs="Arial"/>
                <w:color w:val="000000"/>
                <w:sz w:val="22"/>
                <w:szCs w:val="22"/>
              </w:rPr>
              <w:t>51</w:t>
            </w:r>
          </w:p>
        </w:tc>
      </w:tr>
      <w:tr w:rsidR="00D30218"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B02F76" w:rsidRDefault="00D30218" w:rsidP="00D30218">
            <w:pPr>
              <w:spacing w:line="360" w:lineRule="auto"/>
              <w:ind w:firstLine="567"/>
              <w:rPr>
                <w:rFonts w:ascii="Arial" w:hAnsi="Arial" w:cs="Arial"/>
                <w:shd w:val="clear" w:color="auto" w:fill="FFFFFF"/>
              </w:rPr>
            </w:pPr>
            <w:r w:rsidRPr="00D30218">
              <w:rPr>
                <w:rFonts w:ascii="Arial" w:hAnsi="Arial" w:cs="Arial"/>
                <w:sz w:val="22"/>
                <w:szCs w:val="22"/>
              </w:rPr>
              <w:t>Periferik Kan m</w:t>
            </w:r>
            <w:r w:rsidRPr="00D30218">
              <w:rPr>
                <w:rFonts w:ascii="Arial" w:hAnsi="Arial" w:cs="Arial"/>
                <w:sz w:val="22"/>
                <w:szCs w:val="22"/>
                <w:shd w:val="clear" w:color="auto" w:fill="FFFFFF"/>
              </w:rPr>
              <w:t xml:space="preserve">iR-5692b, miR-let-7d, miR-124-3p, miR-107, miR-4447’nin </w:t>
            </w:r>
          </w:p>
          <w:p w:rsidR="00B02F76" w:rsidRDefault="00D30218" w:rsidP="00D30218">
            <w:pPr>
              <w:spacing w:line="360" w:lineRule="auto"/>
              <w:ind w:firstLine="567"/>
              <w:rPr>
                <w:rFonts w:ascii="Arial" w:hAnsi="Arial" w:cs="Arial"/>
              </w:rPr>
            </w:pPr>
            <w:r w:rsidRPr="00D30218">
              <w:rPr>
                <w:rFonts w:ascii="Arial" w:hAnsi="Arial" w:cs="Arial"/>
                <w:sz w:val="22"/>
                <w:szCs w:val="22"/>
                <w:shd w:val="clear" w:color="auto" w:fill="FFFFFF"/>
              </w:rPr>
              <w:t xml:space="preserve">Relatif Kantitasyon Değerlerinin </w:t>
            </w:r>
            <w:r w:rsidRPr="00D30218">
              <w:rPr>
                <w:rFonts w:ascii="Arial" w:hAnsi="Arial" w:cs="Arial"/>
                <w:sz w:val="22"/>
                <w:szCs w:val="22"/>
              </w:rPr>
              <w:t xml:space="preserve">Çocuk ve Ergenlerde Yıkıcı Davranım </w:t>
            </w:r>
          </w:p>
          <w:p w:rsidR="00B02F76" w:rsidRDefault="00D30218" w:rsidP="00B02F76">
            <w:pPr>
              <w:spacing w:line="360" w:lineRule="auto"/>
              <w:ind w:firstLine="567"/>
              <w:rPr>
                <w:rFonts w:ascii="Arial" w:hAnsi="Arial" w:cs="Arial"/>
              </w:rPr>
            </w:pPr>
            <w:r w:rsidRPr="00D30218">
              <w:rPr>
                <w:rFonts w:ascii="Arial" w:hAnsi="Arial" w:cs="Arial"/>
                <w:sz w:val="22"/>
                <w:szCs w:val="22"/>
              </w:rPr>
              <w:t>Bozuklukları İçin DSM-IV'e Dayalı Tarama ve Değ</w:t>
            </w:r>
            <w:r w:rsidR="00B02F76">
              <w:rPr>
                <w:rFonts w:ascii="Arial" w:hAnsi="Arial" w:cs="Arial"/>
                <w:sz w:val="22"/>
                <w:szCs w:val="22"/>
              </w:rPr>
              <w:t xml:space="preserve">erlendirme Ölçeği </w:t>
            </w:r>
          </w:p>
          <w:p w:rsidR="00D30218" w:rsidRPr="00D30218" w:rsidRDefault="00B02F76" w:rsidP="00B02F76">
            <w:pPr>
              <w:spacing w:line="360" w:lineRule="auto"/>
              <w:ind w:firstLine="567"/>
              <w:rPr>
                <w:rFonts w:ascii="Arial" w:hAnsi="Arial" w:cs="Arial"/>
              </w:rPr>
            </w:pPr>
            <w:r>
              <w:rPr>
                <w:rFonts w:ascii="Arial" w:hAnsi="Arial" w:cs="Arial"/>
                <w:sz w:val="22"/>
                <w:szCs w:val="22"/>
              </w:rPr>
              <w:t xml:space="preserve">Puanları ile </w:t>
            </w:r>
            <w:r w:rsidR="00D30218" w:rsidRPr="00D30218">
              <w:rPr>
                <w:rFonts w:ascii="Arial" w:hAnsi="Arial" w:cs="Arial"/>
                <w:sz w:val="22"/>
                <w:szCs w:val="22"/>
              </w:rPr>
              <w:t>lişkisi........................................................................................</w:t>
            </w:r>
            <w:r w:rsidR="00B005C6">
              <w:rPr>
                <w:rFonts w:ascii="Arial" w:hAnsi="Arial" w:cs="Arial"/>
                <w:sz w:val="22"/>
                <w:szCs w:val="22"/>
              </w:rPr>
              <w:t>......</w:t>
            </w:r>
          </w:p>
        </w:tc>
        <w:tc>
          <w:tcPr>
            <w:tcW w:w="1173" w:type="dxa"/>
            <w:gridSpan w:val="2"/>
            <w:tcBorders>
              <w:top w:val="nil"/>
              <w:left w:val="nil"/>
              <w:bottom w:val="nil"/>
              <w:right w:val="nil"/>
            </w:tcBorders>
            <w:shd w:val="clear" w:color="auto" w:fill="auto"/>
            <w:noWrap/>
            <w:vAlign w:val="bottom"/>
            <w:hideMark/>
          </w:tcPr>
          <w:p w:rsidR="00D30218" w:rsidRPr="00D30218" w:rsidRDefault="00D30218" w:rsidP="00824250">
            <w:pPr>
              <w:spacing w:line="360" w:lineRule="auto"/>
              <w:rPr>
                <w:rFonts w:ascii="Arial" w:hAnsi="Arial" w:cs="Arial"/>
                <w:color w:val="000000"/>
              </w:rPr>
            </w:pPr>
            <w:r w:rsidRPr="00D30218">
              <w:rPr>
                <w:rFonts w:ascii="Arial" w:hAnsi="Arial" w:cs="Arial"/>
                <w:color w:val="000000"/>
                <w:sz w:val="22"/>
                <w:szCs w:val="22"/>
              </w:rPr>
              <w:t>54</w:t>
            </w:r>
          </w:p>
        </w:tc>
      </w:tr>
      <w:tr w:rsidR="00D30218"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B02F76" w:rsidRDefault="00D30218" w:rsidP="00D30218">
            <w:pPr>
              <w:spacing w:line="360" w:lineRule="auto"/>
              <w:ind w:firstLine="567"/>
              <w:contextualSpacing/>
              <w:jc w:val="both"/>
              <w:rPr>
                <w:rFonts w:ascii="Arial" w:hAnsi="Arial" w:cs="Arial"/>
                <w:shd w:val="clear" w:color="auto" w:fill="FFFFFF"/>
              </w:rPr>
            </w:pPr>
            <w:r w:rsidRPr="00D30218">
              <w:rPr>
                <w:rFonts w:ascii="Arial" w:hAnsi="Arial" w:cs="Arial"/>
                <w:sz w:val="22"/>
                <w:szCs w:val="22"/>
              </w:rPr>
              <w:t>Periferik Kan m</w:t>
            </w:r>
            <w:r w:rsidRPr="00D30218">
              <w:rPr>
                <w:rFonts w:ascii="Arial" w:hAnsi="Arial" w:cs="Arial"/>
                <w:sz w:val="22"/>
                <w:szCs w:val="22"/>
                <w:shd w:val="clear" w:color="auto" w:fill="FFFFFF"/>
              </w:rPr>
              <w:t xml:space="preserve">iR-5692b, miR-let-7d, miR-124-3p, miR-107, miR-4447’nin </w:t>
            </w:r>
          </w:p>
          <w:p w:rsidR="00D30218" w:rsidRPr="00D30218" w:rsidRDefault="00D30218" w:rsidP="00B02F76">
            <w:pPr>
              <w:spacing w:line="360" w:lineRule="auto"/>
              <w:ind w:firstLine="567"/>
              <w:contextualSpacing/>
              <w:jc w:val="both"/>
              <w:rPr>
                <w:rFonts w:ascii="Arial" w:hAnsi="Arial" w:cs="Arial"/>
              </w:rPr>
            </w:pPr>
            <w:r w:rsidRPr="00D30218">
              <w:rPr>
                <w:rFonts w:ascii="Arial" w:hAnsi="Arial" w:cs="Arial"/>
                <w:sz w:val="22"/>
                <w:szCs w:val="22"/>
                <w:shd w:val="clear" w:color="auto" w:fill="FFFFFF"/>
              </w:rPr>
              <w:t xml:space="preserve">Relatif Kantitasyon Değerlerinin </w:t>
            </w:r>
            <w:r w:rsidRPr="00D30218">
              <w:rPr>
                <w:rFonts w:ascii="Arial" w:hAnsi="Arial" w:cs="Arial"/>
                <w:sz w:val="22"/>
                <w:szCs w:val="22"/>
              </w:rPr>
              <w:t>ACE Uygulaması Puanları ile İlişkisi.....</w:t>
            </w:r>
            <w:r w:rsidR="00B005C6">
              <w:rPr>
                <w:rFonts w:ascii="Arial" w:hAnsi="Arial" w:cs="Arial"/>
                <w:sz w:val="22"/>
                <w:szCs w:val="22"/>
              </w:rPr>
              <w:t>......</w:t>
            </w:r>
            <w:r w:rsidRPr="00D30218">
              <w:rPr>
                <w:rFonts w:ascii="Arial" w:hAnsi="Arial" w:cs="Arial"/>
                <w:sz w:val="22"/>
                <w:szCs w:val="22"/>
              </w:rPr>
              <w:t xml:space="preserve"> </w:t>
            </w:r>
          </w:p>
        </w:tc>
        <w:tc>
          <w:tcPr>
            <w:tcW w:w="1173" w:type="dxa"/>
            <w:gridSpan w:val="2"/>
            <w:tcBorders>
              <w:top w:val="nil"/>
              <w:left w:val="nil"/>
              <w:bottom w:val="nil"/>
              <w:right w:val="nil"/>
            </w:tcBorders>
            <w:shd w:val="clear" w:color="auto" w:fill="auto"/>
            <w:noWrap/>
            <w:vAlign w:val="bottom"/>
            <w:hideMark/>
          </w:tcPr>
          <w:p w:rsidR="00D30218" w:rsidRPr="00D30218" w:rsidRDefault="00D30218" w:rsidP="00824250">
            <w:pPr>
              <w:spacing w:line="360" w:lineRule="auto"/>
              <w:rPr>
                <w:rFonts w:ascii="Arial" w:hAnsi="Arial" w:cs="Arial"/>
                <w:color w:val="000000"/>
              </w:rPr>
            </w:pPr>
            <w:r w:rsidRPr="00D30218">
              <w:rPr>
                <w:rFonts w:ascii="Arial" w:hAnsi="Arial" w:cs="Arial"/>
                <w:color w:val="000000"/>
                <w:sz w:val="22"/>
                <w:szCs w:val="22"/>
              </w:rPr>
              <w:t>56</w:t>
            </w:r>
          </w:p>
        </w:tc>
      </w:tr>
      <w:tr w:rsidR="00D30218"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D30218" w:rsidRPr="00D30218" w:rsidRDefault="00D30218" w:rsidP="00D30218">
            <w:pPr>
              <w:spacing w:line="360" w:lineRule="auto"/>
              <w:contextualSpacing/>
              <w:jc w:val="both"/>
              <w:rPr>
                <w:rFonts w:ascii="Arial" w:hAnsi="Arial" w:cs="Arial"/>
              </w:rPr>
            </w:pPr>
            <w:r w:rsidRPr="00D30218">
              <w:rPr>
                <w:rFonts w:ascii="Arial" w:hAnsi="Arial" w:cs="Arial"/>
                <w:sz w:val="22"/>
                <w:szCs w:val="22"/>
              </w:rPr>
              <w:t>TARTIŞMA.................................................................................................................</w:t>
            </w:r>
          </w:p>
        </w:tc>
        <w:tc>
          <w:tcPr>
            <w:tcW w:w="1173" w:type="dxa"/>
            <w:gridSpan w:val="2"/>
            <w:tcBorders>
              <w:top w:val="nil"/>
              <w:left w:val="nil"/>
              <w:bottom w:val="nil"/>
              <w:right w:val="nil"/>
            </w:tcBorders>
            <w:shd w:val="clear" w:color="auto" w:fill="auto"/>
            <w:noWrap/>
            <w:vAlign w:val="bottom"/>
            <w:hideMark/>
          </w:tcPr>
          <w:p w:rsidR="00D30218" w:rsidRPr="00D30218" w:rsidRDefault="00D30218" w:rsidP="00824250">
            <w:pPr>
              <w:spacing w:line="360" w:lineRule="auto"/>
              <w:rPr>
                <w:rFonts w:ascii="Arial" w:hAnsi="Arial" w:cs="Arial"/>
                <w:color w:val="000000"/>
              </w:rPr>
            </w:pPr>
            <w:r w:rsidRPr="00D30218">
              <w:rPr>
                <w:rFonts w:ascii="Arial" w:hAnsi="Arial" w:cs="Arial"/>
                <w:color w:val="000000"/>
                <w:sz w:val="22"/>
                <w:szCs w:val="22"/>
              </w:rPr>
              <w:t>57</w:t>
            </w:r>
          </w:p>
        </w:tc>
      </w:tr>
      <w:tr w:rsidR="00D30218"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D30218" w:rsidRPr="00D30218" w:rsidRDefault="00D30218" w:rsidP="00D30218">
            <w:pPr>
              <w:spacing w:line="360" w:lineRule="auto"/>
              <w:ind w:firstLine="567"/>
              <w:contextualSpacing/>
              <w:jc w:val="both"/>
              <w:rPr>
                <w:rFonts w:ascii="Arial" w:hAnsi="Arial" w:cs="Arial"/>
                <w:shd w:val="clear" w:color="auto" w:fill="FFFFFF"/>
              </w:rPr>
            </w:pPr>
            <w:r w:rsidRPr="00D30218">
              <w:rPr>
                <w:rFonts w:ascii="Arial" w:hAnsi="Arial" w:cs="Arial"/>
                <w:sz w:val="22"/>
                <w:szCs w:val="22"/>
              </w:rPr>
              <w:t>Sosyodemografik Verilere İlişkin Bulgular</w:t>
            </w:r>
            <w:r w:rsidRPr="00D30218">
              <w:rPr>
                <w:rFonts w:ascii="Arial" w:hAnsi="Arial" w:cs="Arial"/>
                <w:sz w:val="22"/>
                <w:szCs w:val="22"/>
                <w:shd w:val="clear" w:color="auto" w:fill="FFFFFF"/>
              </w:rPr>
              <w:t>................</w:t>
            </w:r>
            <w:r>
              <w:rPr>
                <w:rFonts w:ascii="Arial" w:hAnsi="Arial" w:cs="Arial"/>
                <w:sz w:val="22"/>
                <w:szCs w:val="22"/>
                <w:shd w:val="clear" w:color="auto" w:fill="FFFFFF"/>
              </w:rPr>
              <w:t>.......................................</w:t>
            </w:r>
          </w:p>
        </w:tc>
        <w:tc>
          <w:tcPr>
            <w:tcW w:w="1173" w:type="dxa"/>
            <w:gridSpan w:val="2"/>
            <w:tcBorders>
              <w:top w:val="nil"/>
              <w:left w:val="nil"/>
              <w:bottom w:val="nil"/>
              <w:right w:val="nil"/>
            </w:tcBorders>
            <w:shd w:val="clear" w:color="auto" w:fill="auto"/>
            <w:noWrap/>
            <w:vAlign w:val="bottom"/>
            <w:hideMark/>
          </w:tcPr>
          <w:p w:rsidR="00D30218" w:rsidRPr="00D30218" w:rsidRDefault="00D30218" w:rsidP="00D30218">
            <w:pPr>
              <w:spacing w:line="360" w:lineRule="auto"/>
              <w:rPr>
                <w:rFonts w:ascii="Arial" w:hAnsi="Arial" w:cs="Arial"/>
                <w:color w:val="000000"/>
              </w:rPr>
            </w:pPr>
            <w:r>
              <w:rPr>
                <w:rFonts w:ascii="Arial" w:hAnsi="Arial" w:cs="Arial"/>
                <w:color w:val="000000"/>
                <w:sz w:val="22"/>
                <w:szCs w:val="22"/>
              </w:rPr>
              <w:t>57</w:t>
            </w:r>
          </w:p>
        </w:tc>
      </w:tr>
      <w:tr w:rsidR="00D30218"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B02F76" w:rsidRDefault="00D30218" w:rsidP="00B02F76">
            <w:pPr>
              <w:spacing w:line="360" w:lineRule="auto"/>
              <w:ind w:firstLine="567"/>
              <w:contextualSpacing/>
              <w:jc w:val="both"/>
              <w:rPr>
                <w:rFonts w:ascii="Arial" w:hAnsi="Arial" w:cs="Arial"/>
              </w:rPr>
            </w:pPr>
            <w:r w:rsidRPr="00D30218">
              <w:rPr>
                <w:rFonts w:ascii="Arial" w:hAnsi="Arial" w:cs="Arial"/>
                <w:sz w:val="22"/>
                <w:szCs w:val="22"/>
              </w:rPr>
              <w:t xml:space="preserve">miR-5692b, miR-let-7d, miR-124-3p, miR-107 ve miR-4447 Ekspresyon </w:t>
            </w:r>
          </w:p>
          <w:p w:rsidR="00D30218" w:rsidRPr="00D30218" w:rsidRDefault="00D30218" w:rsidP="00B02F76">
            <w:pPr>
              <w:spacing w:line="360" w:lineRule="auto"/>
              <w:ind w:firstLine="567"/>
              <w:contextualSpacing/>
              <w:jc w:val="both"/>
              <w:rPr>
                <w:rFonts w:ascii="Arial" w:hAnsi="Arial" w:cs="Arial"/>
              </w:rPr>
            </w:pPr>
            <w:r w:rsidRPr="00D30218">
              <w:rPr>
                <w:rFonts w:ascii="Arial" w:hAnsi="Arial" w:cs="Arial"/>
                <w:sz w:val="22"/>
                <w:szCs w:val="22"/>
              </w:rPr>
              <w:t>Profillerine İlişkin Bulgular</w:t>
            </w:r>
            <w:r>
              <w:rPr>
                <w:rFonts w:ascii="Arial" w:hAnsi="Arial" w:cs="Arial"/>
                <w:sz w:val="22"/>
                <w:szCs w:val="22"/>
              </w:rPr>
              <w:t>.....................................</w:t>
            </w:r>
            <w:r w:rsidR="00B02F76">
              <w:rPr>
                <w:rFonts w:ascii="Arial" w:hAnsi="Arial" w:cs="Arial"/>
                <w:sz w:val="22"/>
                <w:szCs w:val="22"/>
              </w:rPr>
              <w:t>...................................</w:t>
            </w:r>
            <w:r w:rsidR="00B005C6">
              <w:rPr>
                <w:rFonts w:ascii="Arial" w:hAnsi="Arial" w:cs="Arial"/>
                <w:sz w:val="22"/>
                <w:szCs w:val="22"/>
              </w:rPr>
              <w:t>.......</w:t>
            </w:r>
          </w:p>
        </w:tc>
        <w:tc>
          <w:tcPr>
            <w:tcW w:w="1173" w:type="dxa"/>
            <w:gridSpan w:val="2"/>
            <w:tcBorders>
              <w:top w:val="nil"/>
              <w:left w:val="nil"/>
              <w:bottom w:val="nil"/>
              <w:right w:val="nil"/>
            </w:tcBorders>
            <w:shd w:val="clear" w:color="auto" w:fill="auto"/>
            <w:noWrap/>
            <w:vAlign w:val="bottom"/>
            <w:hideMark/>
          </w:tcPr>
          <w:p w:rsidR="00D30218" w:rsidRDefault="00D30218" w:rsidP="003B12C8">
            <w:pPr>
              <w:spacing w:line="360" w:lineRule="auto"/>
              <w:rPr>
                <w:rFonts w:ascii="Arial" w:hAnsi="Arial" w:cs="Arial"/>
                <w:color w:val="000000"/>
              </w:rPr>
            </w:pPr>
            <w:r>
              <w:rPr>
                <w:rFonts w:ascii="Arial" w:hAnsi="Arial" w:cs="Arial"/>
                <w:color w:val="000000"/>
                <w:sz w:val="22"/>
                <w:szCs w:val="22"/>
              </w:rPr>
              <w:t>6</w:t>
            </w:r>
            <w:r w:rsidR="003B12C8">
              <w:rPr>
                <w:rFonts w:ascii="Arial" w:hAnsi="Arial" w:cs="Arial"/>
                <w:color w:val="000000"/>
                <w:sz w:val="22"/>
                <w:szCs w:val="22"/>
              </w:rPr>
              <w:t>1</w:t>
            </w:r>
          </w:p>
        </w:tc>
      </w:tr>
      <w:tr w:rsidR="00D30218"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D30218" w:rsidRPr="00D30218" w:rsidRDefault="00D30218" w:rsidP="00D30218">
            <w:pPr>
              <w:spacing w:line="360" w:lineRule="auto"/>
              <w:ind w:firstLine="567"/>
              <w:contextualSpacing/>
              <w:jc w:val="both"/>
              <w:rPr>
                <w:rFonts w:ascii="Arial" w:hAnsi="Arial" w:cs="Arial"/>
              </w:rPr>
            </w:pPr>
            <w:r>
              <w:rPr>
                <w:rFonts w:ascii="Arial" w:hAnsi="Arial" w:cs="Arial"/>
                <w:sz w:val="22"/>
                <w:szCs w:val="22"/>
              </w:rPr>
              <w:t xml:space="preserve">        </w:t>
            </w:r>
            <w:r w:rsidRPr="00D30218">
              <w:rPr>
                <w:rFonts w:ascii="Arial" w:hAnsi="Arial" w:cs="Arial"/>
                <w:sz w:val="22"/>
                <w:szCs w:val="22"/>
              </w:rPr>
              <w:t>miR-5692b</w:t>
            </w:r>
            <w:r>
              <w:rPr>
                <w:rFonts w:ascii="Arial" w:hAnsi="Arial" w:cs="Arial"/>
                <w:sz w:val="22"/>
                <w:szCs w:val="22"/>
              </w:rPr>
              <w:t>................................................................................................</w:t>
            </w:r>
          </w:p>
        </w:tc>
        <w:tc>
          <w:tcPr>
            <w:tcW w:w="1173" w:type="dxa"/>
            <w:gridSpan w:val="2"/>
            <w:tcBorders>
              <w:top w:val="nil"/>
              <w:left w:val="nil"/>
              <w:bottom w:val="nil"/>
              <w:right w:val="nil"/>
            </w:tcBorders>
            <w:shd w:val="clear" w:color="auto" w:fill="auto"/>
            <w:noWrap/>
            <w:vAlign w:val="bottom"/>
            <w:hideMark/>
          </w:tcPr>
          <w:p w:rsidR="00D30218" w:rsidRDefault="00D30218" w:rsidP="003B12C8">
            <w:pPr>
              <w:spacing w:line="360" w:lineRule="auto"/>
              <w:rPr>
                <w:rFonts w:ascii="Arial" w:hAnsi="Arial" w:cs="Arial"/>
                <w:color w:val="000000"/>
              </w:rPr>
            </w:pPr>
            <w:r>
              <w:rPr>
                <w:rFonts w:ascii="Arial" w:hAnsi="Arial" w:cs="Arial"/>
                <w:color w:val="000000"/>
                <w:sz w:val="22"/>
                <w:szCs w:val="22"/>
              </w:rPr>
              <w:t>6</w:t>
            </w:r>
            <w:r w:rsidR="003B12C8">
              <w:rPr>
                <w:rFonts w:ascii="Arial" w:hAnsi="Arial" w:cs="Arial"/>
                <w:color w:val="000000"/>
                <w:sz w:val="22"/>
                <w:szCs w:val="22"/>
              </w:rPr>
              <w:t>1</w:t>
            </w:r>
          </w:p>
        </w:tc>
      </w:tr>
      <w:tr w:rsidR="00D30218"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D30218" w:rsidRPr="00D30218" w:rsidRDefault="00D30218" w:rsidP="00D30218">
            <w:pPr>
              <w:spacing w:line="360" w:lineRule="auto"/>
              <w:ind w:firstLine="567"/>
              <w:contextualSpacing/>
              <w:jc w:val="both"/>
              <w:rPr>
                <w:rFonts w:ascii="Arial" w:hAnsi="Arial" w:cs="Arial"/>
              </w:rPr>
            </w:pPr>
            <w:r>
              <w:rPr>
                <w:rFonts w:ascii="Arial" w:hAnsi="Arial" w:cs="Arial"/>
                <w:sz w:val="22"/>
                <w:szCs w:val="22"/>
              </w:rPr>
              <w:t xml:space="preserve">        </w:t>
            </w:r>
            <w:r w:rsidRPr="00D30218">
              <w:rPr>
                <w:rFonts w:ascii="Arial" w:hAnsi="Arial" w:cs="Arial"/>
                <w:sz w:val="22"/>
                <w:szCs w:val="22"/>
              </w:rPr>
              <w:t>miR-</w:t>
            </w:r>
            <w:r>
              <w:rPr>
                <w:rFonts w:ascii="Arial" w:hAnsi="Arial" w:cs="Arial"/>
                <w:sz w:val="22"/>
                <w:szCs w:val="22"/>
              </w:rPr>
              <w:t>let-7d................................................................................................</w:t>
            </w:r>
          </w:p>
        </w:tc>
        <w:tc>
          <w:tcPr>
            <w:tcW w:w="1173" w:type="dxa"/>
            <w:gridSpan w:val="2"/>
            <w:tcBorders>
              <w:top w:val="nil"/>
              <w:left w:val="nil"/>
              <w:bottom w:val="nil"/>
              <w:right w:val="nil"/>
            </w:tcBorders>
            <w:shd w:val="clear" w:color="auto" w:fill="auto"/>
            <w:noWrap/>
            <w:vAlign w:val="bottom"/>
            <w:hideMark/>
          </w:tcPr>
          <w:p w:rsidR="00D30218" w:rsidRDefault="00D30218" w:rsidP="003B12C8">
            <w:pPr>
              <w:spacing w:line="360" w:lineRule="auto"/>
              <w:rPr>
                <w:rFonts w:ascii="Arial" w:hAnsi="Arial" w:cs="Arial"/>
                <w:color w:val="000000"/>
              </w:rPr>
            </w:pPr>
            <w:r>
              <w:rPr>
                <w:rFonts w:ascii="Arial" w:hAnsi="Arial" w:cs="Arial"/>
                <w:color w:val="000000"/>
                <w:sz w:val="22"/>
                <w:szCs w:val="22"/>
              </w:rPr>
              <w:t>6</w:t>
            </w:r>
            <w:r w:rsidR="003B12C8">
              <w:rPr>
                <w:rFonts w:ascii="Arial" w:hAnsi="Arial" w:cs="Arial"/>
                <w:color w:val="000000"/>
                <w:sz w:val="22"/>
                <w:szCs w:val="22"/>
              </w:rPr>
              <w:t>3</w:t>
            </w:r>
          </w:p>
        </w:tc>
      </w:tr>
      <w:tr w:rsidR="00D30218"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D30218" w:rsidRPr="00D30218" w:rsidRDefault="00D30218" w:rsidP="00D30218">
            <w:pPr>
              <w:spacing w:line="360" w:lineRule="auto"/>
              <w:ind w:firstLine="567"/>
              <w:contextualSpacing/>
              <w:jc w:val="both"/>
              <w:rPr>
                <w:rFonts w:ascii="Arial" w:hAnsi="Arial" w:cs="Arial"/>
              </w:rPr>
            </w:pPr>
            <w:r>
              <w:rPr>
                <w:rFonts w:ascii="Arial" w:hAnsi="Arial" w:cs="Arial"/>
                <w:sz w:val="22"/>
                <w:szCs w:val="22"/>
              </w:rPr>
              <w:t xml:space="preserve">        </w:t>
            </w:r>
            <w:r w:rsidRPr="00D30218">
              <w:rPr>
                <w:rFonts w:ascii="Arial" w:hAnsi="Arial" w:cs="Arial"/>
                <w:sz w:val="22"/>
                <w:szCs w:val="22"/>
              </w:rPr>
              <w:t>miR-</w:t>
            </w:r>
            <w:r>
              <w:rPr>
                <w:rFonts w:ascii="Arial" w:hAnsi="Arial" w:cs="Arial"/>
                <w:sz w:val="22"/>
                <w:szCs w:val="22"/>
              </w:rPr>
              <w:t>124-3p.............................................................................................</w:t>
            </w:r>
          </w:p>
        </w:tc>
        <w:tc>
          <w:tcPr>
            <w:tcW w:w="1173" w:type="dxa"/>
            <w:gridSpan w:val="2"/>
            <w:tcBorders>
              <w:top w:val="nil"/>
              <w:left w:val="nil"/>
              <w:bottom w:val="nil"/>
              <w:right w:val="nil"/>
            </w:tcBorders>
            <w:shd w:val="clear" w:color="auto" w:fill="auto"/>
            <w:noWrap/>
            <w:vAlign w:val="bottom"/>
            <w:hideMark/>
          </w:tcPr>
          <w:p w:rsidR="00D30218" w:rsidRDefault="00D30218" w:rsidP="003B12C8">
            <w:pPr>
              <w:spacing w:line="360" w:lineRule="auto"/>
              <w:rPr>
                <w:rFonts w:ascii="Arial" w:hAnsi="Arial" w:cs="Arial"/>
                <w:color w:val="000000"/>
              </w:rPr>
            </w:pPr>
            <w:r>
              <w:rPr>
                <w:rFonts w:ascii="Arial" w:hAnsi="Arial" w:cs="Arial"/>
                <w:color w:val="000000"/>
                <w:sz w:val="22"/>
                <w:szCs w:val="22"/>
              </w:rPr>
              <w:t>6</w:t>
            </w:r>
            <w:r w:rsidR="003B12C8">
              <w:rPr>
                <w:rFonts w:ascii="Arial" w:hAnsi="Arial" w:cs="Arial"/>
                <w:color w:val="000000"/>
                <w:sz w:val="22"/>
                <w:szCs w:val="22"/>
              </w:rPr>
              <w:t>4</w:t>
            </w:r>
          </w:p>
        </w:tc>
      </w:tr>
      <w:tr w:rsidR="00D30218"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D30218" w:rsidRPr="00D30218" w:rsidRDefault="00D30218" w:rsidP="00D30218">
            <w:pPr>
              <w:spacing w:line="360" w:lineRule="auto"/>
              <w:ind w:firstLine="567"/>
              <w:contextualSpacing/>
              <w:jc w:val="both"/>
              <w:rPr>
                <w:rFonts w:ascii="Arial" w:hAnsi="Arial" w:cs="Arial"/>
              </w:rPr>
            </w:pPr>
            <w:r>
              <w:rPr>
                <w:rFonts w:ascii="Arial" w:hAnsi="Arial" w:cs="Arial"/>
                <w:sz w:val="22"/>
                <w:szCs w:val="22"/>
              </w:rPr>
              <w:t xml:space="preserve">        </w:t>
            </w:r>
            <w:r w:rsidRPr="00D30218">
              <w:rPr>
                <w:rFonts w:ascii="Arial" w:hAnsi="Arial" w:cs="Arial"/>
                <w:sz w:val="22"/>
                <w:szCs w:val="22"/>
              </w:rPr>
              <w:t>miR-</w:t>
            </w:r>
            <w:r>
              <w:rPr>
                <w:rFonts w:ascii="Arial" w:hAnsi="Arial" w:cs="Arial"/>
                <w:sz w:val="22"/>
                <w:szCs w:val="22"/>
              </w:rPr>
              <w:t>107................................................................................................</w:t>
            </w:r>
            <w:r w:rsidR="00B005C6">
              <w:rPr>
                <w:rFonts w:ascii="Arial" w:hAnsi="Arial" w:cs="Arial"/>
                <w:sz w:val="22"/>
                <w:szCs w:val="22"/>
              </w:rPr>
              <w:t>.</w:t>
            </w:r>
          </w:p>
        </w:tc>
        <w:tc>
          <w:tcPr>
            <w:tcW w:w="1173" w:type="dxa"/>
            <w:gridSpan w:val="2"/>
            <w:tcBorders>
              <w:top w:val="nil"/>
              <w:left w:val="nil"/>
              <w:bottom w:val="nil"/>
              <w:right w:val="nil"/>
            </w:tcBorders>
            <w:shd w:val="clear" w:color="auto" w:fill="auto"/>
            <w:noWrap/>
            <w:vAlign w:val="bottom"/>
            <w:hideMark/>
          </w:tcPr>
          <w:p w:rsidR="00D30218" w:rsidRDefault="00D30218" w:rsidP="003B12C8">
            <w:pPr>
              <w:spacing w:line="360" w:lineRule="auto"/>
              <w:rPr>
                <w:rFonts w:ascii="Arial" w:hAnsi="Arial" w:cs="Arial"/>
                <w:color w:val="000000"/>
              </w:rPr>
            </w:pPr>
            <w:r>
              <w:rPr>
                <w:rFonts w:ascii="Arial" w:hAnsi="Arial" w:cs="Arial"/>
                <w:color w:val="000000"/>
                <w:sz w:val="22"/>
                <w:szCs w:val="22"/>
              </w:rPr>
              <w:t>6</w:t>
            </w:r>
            <w:r w:rsidR="003B12C8">
              <w:rPr>
                <w:rFonts w:ascii="Arial" w:hAnsi="Arial" w:cs="Arial"/>
                <w:color w:val="000000"/>
                <w:sz w:val="22"/>
                <w:szCs w:val="22"/>
              </w:rPr>
              <w:t>7</w:t>
            </w:r>
          </w:p>
        </w:tc>
      </w:tr>
      <w:tr w:rsidR="00D30218"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D30218" w:rsidRPr="00D30218" w:rsidRDefault="00D30218" w:rsidP="00D30218">
            <w:pPr>
              <w:spacing w:line="360" w:lineRule="auto"/>
              <w:ind w:firstLine="567"/>
              <w:contextualSpacing/>
              <w:jc w:val="both"/>
              <w:rPr>
                <w:rFonts w:ascii="Arial" w:hAnsi="Arial" w:cs="Arial"/>
              </w:rPr>
            </w:pPr>
            <w:r>
              <w:rPr>
                <w:rFonts w:ascii="Arial" w:hAnsi="Arial" w:cs="Arial"/>
                <w:sz w:val="22"/>
                <w:szCs w:val="22"/>
              </w:rPr>
              <w:t xml:space="preserve">        </w:t>
            </w:r>
            <w:r w:rsidRPr="00D30218">
              <w:rPr>
                <w:rFonts w:ascii="Arial" w:hAnsi="Arial" w:cs="Arial"/>
                <w:sz w:val="22"/>
                <w:szCs w:val="22"/>
              </w:rPr>
              <w:t>miR-</w:t>
            </w:r>
            <w:r>
              <w:rPr>
                <w:rFonts w:ascii="Arial" w:hAnsi="Arial" w:cs="Arial"/>
                <w:sz w:val="22"/>
                <w:szCs w:val="22"/>
              </w:rPr>
              <w:t>4447................................................................................................</w:t>
            </w:r>
          </w:p>
        </w:tc>
        <w:tc>
          <w:tcPr>
            <w:tcW w:w="1173" w:type="dxa"/>
            <w:gridSpan w:val="2"/>
            <w:tcBorders>
              <w:top w:val="nil"/>
              <w:left w:val="nil"/>
              <w:bottom w:val="nil"/>
              <w:right w:val="nil"/>
            </w:tcBorders>
            <w:shd w:val="clear" w:color="auto" w:fill="auto"/>
            <w:noWrap/>
            <w:vAlign w:val="bottom"/>
            <w:hideMark/>
          </w:tcPr>
          <w:p w:rsidR="00D30218" w:rsidRDefault="003B12C8" w:rsidP="0096478A">
            <w:pPr>
              <w:spacing w:line="360" w:lineRule="auto"/>
              <w:rPr>
                <w:rFonts w:ascii="Arial" w:hAnsi="Arial" w:cs="Arial"/>
                <w:color w:val="000000"/>
              </w:rPr>
            </w:pPr>
            <w:r>
              <w:rPr>
                <w:rFonts w:ascii="Arial" w:hAnsi="Arial" w:cs="Arial"/>
                <w:color w:val="000000"/>
                <w:sz w:val="22"/>
                <w:szCs w:val="22"/>
              </w:rPr>
              <w:t>69</w:t>
            </w:r>
          </w:p>
        </w:tc>
      </w:tr>
      <w:tr w:rsidR="00D30218" w:rsidRPr="00E205CB" w:rsidTr="0096478A">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D30218" w:rsidRPr="00D30218" w:rsidRDefault="00D30218" w:rsidP="00D30218">
            <w:pPr>
              <w:spacing w:line="360" w:lineRule="auto"/>
              <w:contextualSpacing/>
              <w:jc w:val="both"/>
              <w:rPr>
                <w:rFonts w:ascii="Arial" w:hAnsi="Arial" w:cs="Arial"/>
              </w:rPr>
            </w:pPr>
            <w:r>
              <w:rPr>
                <w:rFonts w:ascii="Arial" w:hAnsi="Arial" w:cs="Arial"/>
                <w:sz w:val="22"/>
                <w:szCs w:val="22"/>
              </w:rPr>
              <w:t>SONUÇLAR</w:t>
            </w:r>
            <w:r w:rsidRPr="00D30218">
              <w:rPr>
                <w:rFonts w:ascii="Arial" w:hAnsi="Arial" w:cs="Arial"/>
                <w:sz w:val="22"/>
                <w:szCs w:val="22"/>
              </w:rPr>
              <w:t>.............................................................................................................</w:t>
            </w:r>
          </w:p>
        </w:tc>
        <w:tc>
          <w:tcPr>
            <w:tcW w:w="1173" w:type="dxa"/>
            <w:gridSpan w:val="2"/>
            <w:tcBorders>
              <w:top w:val="nil"/>
              <w:left w:val="nil"/>
              <w:bottom w:val="nil"/>
              <w:right w:val="nil"/>
            </w:tcBorders>
            <w:shd w:val="clear" w:color="auto" w:fill="auto"/>
            <w:noWrap/>
            <w:vAlign w:val="bottom"/>
            <w:hideMark/>
          </w:tcPr>
          <w:p w:rsidR="00D30218" w:rsidRPr="00D30218" w:rsidRDefault="00D30218" w:rsidP="003B12C8">
            <w:pPr>
              <w:spacing w:line="360" w:lineRule="auto"/>
              <w:rPr>
                <w:rFonts w:ascii="Arial" w:hAnsi="Arial" w:cs="Arial"/>
                <w:color w:val="000000"/>
              </w:rPr>
            </w:pPr>
            <w:r>
              <w:rPr>
                <w:rFonts w:ascii="Arial" w:hAnsi="Arial" w:cs="Arial"/>
                <w:color w:val="000000"/>
                <w:sz w:val="22"/>
                <w:szCs w:val="22"/>
              </w:rPr>
              <w:t>7</w:t>
            </w:r>
            <w:r w:rsidR="003B12C8">
              <w:rPr>
                <w:rFonts w:ascii="Arial" w:hAnsi="Arial" w:cs="Arial"/>
                <w:color w:val="000000"/>
                <w:sz w:val="22"/>
                <w:szCs w:val="22"/>
              </w:rPr>
              <w:t>1</w:t>
            </w:r>
          </w:p>
        </w:tc>
      </w:tr>
      <w:tr w:rsidR="00D30218" w:rsidRPr="00E205CB" w:rsidTr="0096478A">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D30218" w:rsidRPr="00D30218" w:rsidRDefault="00D30218" w:rsidP="00D30218">
            <w:pPr>
              <w:spacing w:line="360" w:lineRule="auto"/>
              <w:contextualSpacing/>
              <w:jc w:val="both"/>
              <w:rPr>
                <w:rFonts w:ascii="Arial" w:hAnsi="Arial" w:cs="Arial"/>
              </w:rPr>
            </w:pPr>
            <w:r>
              <w:rPr>
                <w:rFonts w:ascii="Arial" w:hAnsi="Arial" w:cs="Arial"/>
                <w:sz w:val="22"/>
                <w:szCs w:val="22"/>
              </w:rPr>
              <w:t>KAYNAKLAR</w:t>
            </w:r>
            <w:r w:rsidRPr="00D30218">
              <w:rPr>
                <w:rFonts w:ascii="Arial" w:hAnsi="Arial" w:cs="Arial"/>
                <w:sz w:val="22"/>
                <w:szCs w:val="22"/>
              </w:rPr>
              <w:t>...........................................................................................................</w:t>
            </w:r>
          </w:p>
        </w:tc>
        <w:tc>
          <w:tcPr>
            <w:tcW w:w="1173" w:type="dxa"/>
            <w:gridSpan w:val="2"/>
            <w:tcBorders>
              <w:top w:val="nil"/>
              <w:left w:val="nil"/>
              <w:bottom w:val="nil"/>
              <w:right w:val="nil"/>
            </w:tcBorders>
            <w:shd w:val="clear" w:color="auto" w:fill="auto"/>
            <w:noWrap/>
            <w:vAlign w:val="bottom"/>
            <w:hideMark/>
          </w:tcPr>
          <w:p w:rsidR="00D30218" w:rsidRPr="00D30218" w:rsidRDefault="00D30218" w:rsidP="003B12C8">
            <w:pPr>
              <w:spacing w:line="360" w:lineRule="auto"/>
              <w:rPr>
                <w:rFonts w:ascii="Arial" w:hAnsi="Arial" w:cs="Arial"/>
                <w:color w:val="000000"/>
              </w:rPr>
            </w:pPr>
            <w:r>
              <w:rPr>
                <w:rFonts w:ascii="Arial" w:hAnsi="Arial" w:cs="Arial"/>
                <w:color w:val="000000"/>
                <w:sz w:val="22"/>
                <w:szCs w:val="22"/>
              </w:rPr>
              <w:t>7</w:t>
            </w:r>
            <w:r w:rsidR="003B12C8">
              <w:rPr>
                <w:rFonts w:ascii="Arial" w:hAnsi="Arial" w:cs="Arial"/>
                <w:color w:val="000000"/>
                <w:sz w:val="22"/>
                <w:szCs w:val="22"/>
              </w:rPr>
              <w:t>3</w:t>
            </w:r>
          </w:p>
        </w:tc>
      </w:tr>
      <w:tr w:rsidR="00D30218" w:rsidRPr="00E205CB" w:rsidTr="0096478A">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D30218" w:rsidRDefault="00D30218" w:rsidP="00D30218">
            <w:pPr>
              <w:spacing w:line="360" w:lineRule="auto"/>
              <w:contextualSpacing/>
              <w:jc w:val="both"/>
              <w:rPr>
                <w:rFonts w:ascii="Arial" w:hAnsi="Arial" w:cs="Arial"/>
              </w:rPr>
            </w:pPr>
            <w:r>
              <w:rPr>
                <w:rFonts w:ascii="Arial" w:hAnsi="Arial" w:cs="Arial"/>
                <w:sz w:val="22"/>
                <w:szCs w:val="22"/>
              </w:rPr>
              <w:t>EK</w:t>
            </w:r>
            <w:r w:rsidRPr="00D30218">
              <w:rPr>
                <w:rFonts w:ascii="Arial" w:hAnsi="Arial" w:cs="Arial"/>
                <w:sz w:val="22"/>
                <w:szCs w:val="22"/>
              </w:rPr>
              <w:t>.........................................................................................................</w:t>
            </w:r>
            <w:r>
              <w:rPr>
                <w:rFonts w:ascii="Arial" w:hAnsi="Arial" w:cs="Arial"/>
                <w:sz w:val="22"/>
                <w:szCs w:val="22"/>
              </w:rPr>
              <w:t>....................</w:t>
            </w:r>
          </w:p>
        </w:tc>
        <w:tc>
          <w:tcPr>
            <w:tcW w:w="1173" w:type="dxa"/>
            <w:gridSpan w:val="2"/>
            <w:tcBorders>
              <w:top w:val="nil"/>
              <w:left w:val="nil"/>
              <w:bottom w:val="nil"/>
              <w:right w:val="nil"/>
            </w:tcBorders>
            <w:shd w:val="clear" w:color="auto" w:fill="auto"/>
            <w:noWrap/>
            <w:vAlign w:val="bottom"/>
            <w:hideMark/>
          </w:tcPr>
          <w:p w:rsidR="00D30218" w:rsidRDefault="003B12C8" w:rsidP="00B9025E">
            <w:pPr>
              <w:spacing w:line="360" w:lineRule="auto"/>
              <w:rPr>
                <w:rFonts w:ascii="Arial" w:hAnsi="Arial" w:cs="Arial"/>
                <w:color w:val="000000"/>
              </w:rPr>
            </w:pPr>
            <w:r>
              <w:rPr>
                <w:rFonts w:ascii="Arial" w:hAnsi="Arial" w:cs="Arial"/>
                <w:color w:val="000000"/>
                <w:sz w:val="22"/>
                <w:szCs w:val="22"/>
              </w:rPr>
              <w:t>9</w:t>
            </w:r>
            <w:r w:rsidR="00B9025E">
              <w:rPr>
                <w:rFonts w:ascii="Arial" w:hAnsi="Arial" w:cs="Arial"/>
                <w:color w:val="000000"/>
                <w:sz w:val="22"/>
                <w:szCs w:val="22"/>
              </w:rPr>
              <w:t>5</w:t>
            </w:r>
            <w:bookmarkStart w:id="0" w:name="_GoBack"/>
            <w:bookmarkEnd w:id="0"/>
          </w:p>
        </w:tc>
      </w:tr>
      <w:tr w:rsidR="00D30218"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hideMark/>
          </w:tcPr>
          <w:p w:rsidR="00D30218" w:rsidRDefault="00D30218" w:rsidP="00D30218">
            <w:pPr>
              <w:spacing w:line="360" w:lineRule="auto"/>
              <w:ind w:firstLine="567"/>
              <w:contextualSpacing/>
              <w:jc w:val="both"/>
              <w:rPr>
                <w:rFonts w:ascii="Arial" w:hAnsi="Arial" w:cs="Arial"/>
              </w:rPr>
            </w:pPr>
          </w:p>
        </w:tc>
        <w:tc>
          <w:tcPr>
            <w:tcW w:w="1173" w:type="dxa"/>
            <w:gridSpan w:val="2"/>
            <w:tcBorders>
              <w:top w:val="nil"/>
              <w:left w:val="nil"/>
              <w:bottom w:val="nil"/>
              <w:right w:val="nil"/>
            </w:tcBorders>
            <w:shd w:val="clear" w:color="auto" w:fill="auto"/>
            <w:noWrap/>
            <w:vAlign w:val="bottom"/>
            <w:hideMark/>
          </w:tcPr>
          <w:p w:rsidR="00D30218" w:rsidRDefault="00D30218" w:rsidP="0096478A">
            <w:pPr>
              <w:spacing w:line="360" w:lineRule="auto"/>
              <w:rPr>
                <w:rFonts w:ascii="Arial" w:hAnsi="Arial" w:cs="Arial"/>
                <w:color w:val="000000"/>
              </w:rPr>
            </w:pPr>
          </w:p>
        </w:tc>
      </w:tr>
      <w:tr w:rsidR="00D30218"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tcPr>
          <w:p w:rsidR="00D30218" w:rsidRDefault="00D30218" w:rsidP="00824250">
            <w:pPr>
              <w:spacing w:line="360" w:lineRule="auto"/>
              <w:rPr>
                <w:color w:val="000000"/>
                <w:highlight w:val="yellow"/>
              </w:rPr>
            </w:pPr>
          </w:p>
          <w:p w:rsidR="00D30218" w:rsidRDefault="00D30218" w:rsidP="00824250">
            <w:pPr>
              <w:spacing w:line="360" w:lineRule="auto"/>
              <w:rPr>
                <w:color w:val="000000"/>
                <w:highlight w:val="yellow"/>
              </w:rPr>
            </w:pPr>
          </w:p>
          <w:p w:rsidR="00D30218" w:rsidRPr="00757044" w:rsidRDefault="00D30218" w:rsidP="00824250">
            <w:pPr>
              <w:spacing w:line="360" w:lineRule="auto"/>
              <w:rPr>
                <w:color w:val="000000"/>
                <w:highlight w:val="yellow"/>
              </w:rPr>
            </w:pPr>
          </w:p>
        </w:tc>
        <w:tc>
          <w:tcPr>
            <w:tcW w:w="1173" w:type="dxa"/>
            <w:gridSpan w:val="2"/>
            <w:tcBorders>
              <w:top w:val="nil"/>
              <w:left w:val="nil"/>
              <w:bottom w:val="nil"/>
              <w:right w:val="nil"/>
            </w:tcBorders>
            <w:shd w:val="clear" w:color="auto" w:fill="auto"/>
            <w:noWrap/>
            <w:vAlign w:val="bottom"/>
          </w:tcPr>
          <w:p w:rsidR="00D30218" w:rsidRPr="00757044" w:rsidRDefault="00D30218" w:rsidP="00824250">
            <w:pPr>
              <w:spacing w:line="360" w:lineRule="auto"/>
              <w:rPr>
                <w:color w:val="000000"/>
                <w:highlight w:val="yellow"/>
              </w:rPr>
            </w:pPr>
          </w:p>
        </w:tc>
      </w:tr>
      <w:tr w:rsidR="00D30218" w:rsidRPr="00E205CB" w:rsidTr="00D30218">
        <w:trPr>
          <w:gridAfter w:val="1"/>
          <w:wAfter w:w="15" w:type="dxa"/>
          <w:trHeight w:val="300"/>
        </w:trPr>
        <w:tc>
          <w:tcPr>
            <w:tcW w:w="8160" w:type="dxa"/>
            <w:gridSpan w:val="6"/>
            <w:tcBorders>
              <w:top w:val="nil"/>
              <w:left w:val="nil"/>
              <w:bottom w:val="nil"/>
              <w:right w:val="nil"/>
            </w:tcBorders>
            <w:shd w:val="clear" w:color="auto" w:fill="auto"/>
            <w:noWrap/>
            <w:vAlign w:val="bottom"/>
          </w:tcPr>
          <w:p w:rsidR="00D30218" w:rsidRPr="00757044" w:rsidRDefault="00D30218" w:rsidP="00824250">
            <w:pPr>
              <w:spacing w:line="360" w:lineRule="auto"/>
              <w:rPr>
                <w:color w:val="000000"/>
                <w:highlight w:val="yellow"/>
              </w:rPr>
            </w:pPr>
          </w:p>
        </w:tc>
        <w:tc>
          <w:tcPr>
            <w:tcW w:w="1173" w:type="dxa"/>
            <w:gridSpan w:val="2"/>
            <w:tcBorders>
              <w:top w:val="nil"/>
              <w:left w:val="nil"/>
              <w:bottom w:val="nil"/>
              <w:right w:val="nil"/>
            </w:tcBorders>
            <w:shd w:val="clear" w:color="auto" w:fill="auto"/>
            <w:noWrap/>
            <w:vAlign w:val="bottom"/>
          </w:tcPr>
          <w:p w:rsidR="00D30218" w:rsidRPr="00757044" w:rsidRDefault="00D30218" w:rsidP="00824250">
            <w:pPr>
              <w:spacing w:line="360" w:lineRule="auto"/>
              <w:rPr>
                <w:color w:val="000000"/>
                <w:highlight w:val="yellow"/>
              </w:rPr>
            </w:pPr>
          </w:p>
        </w:tc>
      </w:tr>
    </w:tbl>
    <w:p w:rsidR="00930C51" w:rsidRPr="00E205CB" w:rsidRDefault="00930C51" w:rsidP="00930C51">
      <w:pPr>
        <w:spacing w:line="360" w:lineRule="auto"/>
      </w:pPr>
    </w:p>
    <w:tbl>
      <w:tblPr>
        <w:tblW w:w="9643" w:type="dxa"/>
        <w:tblInd w:w="93" w:type="dxa"/>
        <w:tblLook w:val="04A0" w:firstRow="1" w:lastRow="0" w:firstColumn="1" w:lastColumn="0" w:noHBand="0" w:noVBand="1"/>
      </w:tblPr>
      <w:tblGrid>
        <w:gridCol w:w="2121"/>
        <w:gridCol w:w="2288"/>
        <w:gridCol w:w="222"/>
        <w:gridCol w:w="222"/>
        <w:gridCol w:w="202"/>
        <w:gridCol w:w="180"/>
        <w:gridCol w:w="956"/>
        <w:gridCol w:w="394"/>
        <w:gridCol w:w="502"/>
        <w:gridCol w:w="852"/>
        <w:gridCol w:w="852"/>
        <w:gridCol w:w="852"/>
      </w:tblGrid>
      <w:tr w:rsidR="00405AD3" w:rsidRPr="00405AD3" w:rsidTr="00405AD3">
        <w:trPr>
          <w:trHeight w:val="300"/>
        </w:trPr>
        <w:tc>
          <w:tcPr>
            <w:tcW w:w="4853" w:type="dxa"/>
            <w:gridSpan w:val="4"/>
            <w:tcBorders>
              <w:top w:val="nil"/>
              <w:left w:val="nil"/>
              <w:bottom w:val="nil"/>
              <w:right w:val="nil"/>
            </w:tcBorders>
            <w:shd w:val="clear" w:color="auto" w:fill="auto"/>
            <w:noWrap/>
            <w:vAlign w:val="bottom"/>
            <w:hideMark/>
          </w:tcPr>
          <w:p w:rsidR="00405AD3" w:rsidRPr="00405AD3" w:rsidRDefault="00930C51" w:rsidP="00405AD3">
            <w:pPr>
              <w:spacing w:line="360" w:lineRule="auto"/>
              <w:jc w:val="center"/>
              <w:rPr>
                <w:rFonts w:ascii="Arial" w:hAnsi="Arial" w:cs="Arial"/>
                <w:b/>
                <w:bCs/>
                <w:color w:val="000000"/>
              </w:rPr>
            </w:pPr>
            <w:r>
              <w:br w:type="page"/>
            </w:r>
            <w:r w:rsidR="00405AD3" w:rsidRPr="00405AD3">
              <w:rPr>
                <w:rFonts w:ascii="Arial" w:hAnsi="Arial" w:cs="Arial"/>
                <w:b/>
                <w:bCs/>
                <w:color w:val="000000"/>
                <w:sz w:val="22"/>
                <w:szCs w:val="22"/>
              </w:rPr>
              <w:t>SİMGELER VE KISALTMALAR</w:t>
            </w:r>
          </w:p>
        </w:tc>
        <w:tc>
          <w:tcPr>
            <w:tcW w:w="1338" w:type="dxa"/>
            <w:gridSpan w:val="3"/>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2288"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22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22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1338" w:type="dxa"/>
            <w:gridSpan w:val="3"/>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5HTT</w:t>
            </w:r>
          </w:p>
        </w:tc>
        <w:tc>
          <w:tcPr>
            <w:tcW w:w="4070" w:type="dxa"/>
            <w:gridSpan w:val="6"/>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Serotonin Transporter, SLC6A4</w:t>
            </w: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5HTTLPR</w:t>
            </w:r>
          </w:p>
        </w:tc>
        <w:tc>
          <w:tcPr>
            <w:tcW w:w="4966" w:type="dxa"/>
            <w:gridSpan w:val="8"/>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SLC6A4 44-bp in/del Promoter Polimorfizmi</w:t>
            </w: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ACE</w:t>
            </w:r>
          </w:p>
        </w:tc>
        <w:tc>
          <w:tcPr>
            <w:tcW w:w="5818" w:type="dxa"/>
            <w:gridSpan w:val="9"/>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ADHD Child Evaluation, DEHB Çocuk Değerlendirme</w:t>
            </w: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ADHD</w:t>
            </w:r>
          </w:p>
        </w:tc>
        <w:tc>
          <w:tcPr>
            <w:tcW w:w="4070" w:type="dxa"/>
            <w:gridSpan w:val="6"/>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Attention Deficit Hyperactivity Disorder</w:t>
            </w: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BOS</w:t>
            </w:r>
          </w:p>
        </w:tc>
        <w:tc>
          <w:tcPr>
            <w:tcW w:w="2732"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Beyin Omurilik Sıvısı</w:t>
            </w:r>
          </w:p>
        </w:tc>
        <w:tc>
          <w:tcPr>
            <w:tcW w:w="1338"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COMT</w:t>
            </w:r>
          </w:p>
        </w:tc>
        <w:tc>
          <w:tcPr>
            <w:tcW w:w="2732"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Katekol-o-metil-ransferaz</w:t>
            </w:r>
          </w:p>
        </w:tc>
        <w:tc>
          <w:tcPr>
            <w:tcW w:w="1338"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CREB</w:t>
            </w:r>
          </w:p>
        </w:tc>
        <w:tc>
          <w:tcPr>
            <w:tcW w:w="4966" w:type="dxa"/>
            <w:gridSpan w:val="8"/>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CAMP Responsive Element Binding Protein</w:t>
            </w: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DAT1</w:t>
            </w:r>
          </w:p>
        </w:tc>
        <w:tc>
          <w:tcPr>
            <w:tcW w:w="4070" w:type="dxa"/>
            <w:gridSpan w:val="6"/>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Dopamin Taşıyıcısı 1, SLC6A3</w:t>
            </w: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DB</w:t>
            </w:r>
          </w:p>
        </w:tc>
        <w:tc>
          <w:tcPr>
            <w:tcW w:w="2732"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Davranış Bozukluğu</w:t>
            </w:r>
          </w:p>
        </w:tc>
        <w:tc>
          <w:tcPr>
            <w:tcW w:w="1338"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DBH</w:t>
            </w:r>
          </w:p>
        </w:tc>
        <w:tc>
          <w:tcPr>
            <w:tcW w:w="2732"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212121"/>
              </w:rPr>
            </w:pPr>
            <w:r w:rsidRPr="00405AD3">
              <w:rPr>
                <w:rFonts w:ascii="Arial" w:hAnsi="Arial" w:cs="Arial"/>
                <w:color w:val="212121"/>
                <w:sz w:val="22"/>
                <w:szCs w:val="22"/>
              </w:rPr>
              <w:t>Dopamin Beta-idroksilaz</w:t>
            </w:r>
          </w:p>
        </w:tc>
        <w:tc>
          <w:tcPr>
            <w:tcW w:w="1338"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DDA</w:t>
            </w:r>
          </w:p>
        </w:tc>
        <w:tc>
          <w:tcPr>
            <w:tcW w:w="2732"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Düşük Doğum Ağırlığı</w:t>
            </w:r>
          </w:p>
        </w:tc>
        <w:tc>
          <w:tcPr>
            <w:tcW w:w="1338"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DEB</w:t>
            </w:r>
          </w:p>
        </w:tc>
        <w:tc>
          <w:tcPr>
            <w:tcW w:w="2732"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Dikkat Eksikliği ozukluğu</w:t>
            </w:r>
          </w:p>
        </w:tc>
        <w:tc>
          <w:tcPr>
            <w:tcW w:w="1338"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DEHB</w:t>
            </w:r>
          </w:p>
        </w:tc>
        <w:tc>
          <w:tcPr>
            <w:tcW w:w="4070" w:type="dxa"/>
            <w:gridSpan w:val="6"/>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212121"/>
              </w:rPr>
            </w:pPr>
            <w:r w:rsidRPr="00405AD3">
              <w:rPr>
                <w:rFonts w:ascii="Arial" w:hAnsi="Arial" w:cs="Arial"/>
                <w:color w:val="212121"/>
                <w:sz w:val="22"/>
                <w:szCs w:val="22"/>
              </w:rPr>
              <w:t>Dikkat Eksikliği Hiperaktivite Bozukluğu</w:t>
            </w: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DGCR8</w:t>
            </w:r>
          </w:p>
        </w:tc>
        <w:tc>
          <w:tcPr>
            <w:tcW w:w="4070" w:type="dxa"/>
            <w:gridSpan w:val="6"/>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DiGeorge Sendromu Kritik Bölge 8</w:t>
            </w: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DLPFK</w:t>
            </w:r>
          </w:p>
        </w:tc>
        <w:tc>
          <w:tcPr>
            <w:tcW w:w="4070" w:type="dxa"/>
            <w:gridSpan w:val="6"/>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Dorsolateral Prefrontal Korteks</w:t>
            </w: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DRD2</w:t>
            </w:r>
          </w:p>
        </w:tc>
        <w:tc>
          <w:tcPr>
            <w:tcW w:w="2732"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Dopamin Reseptör D2</w:t>
            </w:r>
          </w:p>
        </w:tc>
        <w:tc>
          <w:tcPr>
            <w:tcW w:w="1338"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DRD3</w:t>
            </w:r>
          </w:p>
        </w:tc>
        <w:tc>
          <w:tcPr>
            <w:tcW w:w="2732"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Dopamin Reseptör D3</w:t>
            </w:r>
          </w:p>
        </w:tc>
        <w:tc>
          <w:tcPr>
            <w:tcW w:w="1338"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DRD4</w:t>
            </w:r>
          </w:p>
        </w:tc>
        <w:tc>
          <w:tcPr>
            <w:tcW w:w="2732"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Dopamin Reseptör D4</w:t>
            </w:r>
          </w:p>
        </w:tc>
        <w:tc>
          <w:tcPr>
            <w:tcW w:w="1338"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DRD5</w:t>
            </w:r>
          </w:p>
        </w:tc>
        <w:tc>
          <w:tcPr>
            <w:tcW w:w="2732"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Dopamin Reseptör D5</w:t>
            </w:r>
          </w:p>
        </w:tc>
        <w:tc>
          <w:tcPr>
            <w:tcW w:w="1338"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DSM</w:t>
            </w:r>
          </w:p>
        </w:tc>
        <w:tc>
          <w:tcPr>
            <w:tcW w:w="5818" w:type="dxa"/>
            <w:gridSpan w:val="9"/>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Diagnostic and Statistical Manuel of Mental Disorders</w:t>
            </w: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DSM-5</w:t>
            </w:r>
          </w:p>
        </w:tc>
        <w:tc>
          <w:tcPr>
            <w:tcW w:w="6670" w:type="dxa"/>
            <w:gridSpan w:val="10"/>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Diagnostic and Statistical Manuel of Mental Disorders 5th ed.</w:t>
            </w: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DSM-II</w:t>
            </w:r>
          </w:p>
        </w:tc>
        <w:tc>
          <w:tcPr>
            <w:tcW w:w="6670" w:type="dxa"/>
            <w:gridSpan w:val="10"/>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Diagnostic and Statistical Manuel of Mental Disorders 2nd ed.</w:t>
            </w: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DSM-III</w:t>
            </w:r>
          </w:p>
        </w:tc>
        <w:tc>
          <w:tcPr>
            <w:tcW w:w="6670" w:type="dxa"/>
            <w:gridSpan w:val="10"/>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Diagnostic and Statistical Manuel of Mental Disorders 3rd ed.</w:t>
            </w: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DSM-III-R</w:t>
            </w:r>
          </w:p>
        </w:tc>
        <w:tc>
          <w:tcPr>
            <w:tcW w:w="7522" w:type="dxa"/>
            <w:gridSpan w:val="11"/>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Diagnostic and Statistical Manuel of Mental Disorders 3rd ed., Revision</w:t>
            </w: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DSM-IV</w:t>
            </w:r>
          </w:p>
        </w:tc>
        <w:tc>
          <w:tcPr>
            <w:tcW w:w="6670" w:type="dxa"/>
            <w:gridSpan w:val="10"/>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Diagnostic and Statistical Manuel of Mental Disorders 4th ed.</w:t>
            </w: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DSM-IV-TR</w:t>
            </w:r>
          </w:p>
        </w:tc>
        <w:tc>
          <w:tcPr>
            <w:tcW w:w="7522" w:type="dxa"/>
            <w:gridSpan w:val="11"/>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Diagnostic and Statistical Manuel of Mental Disorders 4th ed., Text Revision</w:t>
            </w: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fMRI</w:t>
            </w:r>
          </w:p>
        </w:tc>
        <w:tc>
          <w:tcPr>
            <w:tcW w:w="4966" w:type="dxa"/>
            <w:gridSpan w:val="8"/>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Fonksiyonel Manyetik Rezonans Görüntüleme</w:t>
            </w: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GRN</w:t>
            </w:r>
          </w:p>
        </w:tc>
        <w:tc>
          <w:tcPr>
            <w:tcW w:w="2510"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Progranulin</w:t>
            </w:r>
          </w:p>
        </w:tc>
        <w:tc>
          <w:tcPr>
            <w:tcW w:w="222"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1338"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GWAS</w:t>
            </w:r>
          </w:p>
        </w:tc>
        <w:tc>
          <w:tcPr>
            <w:tcW w:w="6670" w:type="dxa"/>
            <w:gridSpan w:val="10"/>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Genome Wide Association Study, Genom Çapında Tarama</w:t>
            </w: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GWL</w:t>
            </w:r>
          </w:p>
        </w:tc>
        <w:tc>
          <w:tcPr>
            <w:tcW w:w="5818" w:type="dxa"/>
            <w:gridSpan w:val="9"/>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 xml:space="preserve">Genome Wide Linkage, </w:t>
            </w:r>
            <w:r w:rsidRPr="00405AD3">
              <w:rPr>
                <w:rFonts w:ascii="Arial" w:hAnsi="Arial" w:cs="Arial"/>
                <w:color w:val="212121"/>
                <w:sz w:val="22"/>
                <w:szCs w:val="22"/>
              </w:rPr>
              <w:t>Genom Çapında Bağlantı</w:t>
            </w: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GxE</w:t>
            </w:r>
          </w:p>
        </w:tc>
        <w:tc>
          <w:tcPr>
            <w:tcW w:w="2732"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Gen Çevre Etkileşimi</w:t>
            </w:r>
          </w:p>
        </w:tc>
        <w:tc>
          <w:tcPr>
            <w:tcW w:w="1338"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lastRenderedPageBreak/>
              <w:t>HTR1B</w:t>
            </w:r>
          </w:p>
        </w:tc>
        <w:tc>
          <w:tcPr>
            <w:tcW w:w="2732"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Serotonin 1B Reseptör</w:t>
            </w:r>
          </w:p>
        </w:tc>
        <w:tc>
          <w:tcPr>
            <w:tcW w:w="1338"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F71665" w:rsidRPr="00405AD3" w:rsidTr="00EF674A">
        <w:trPr>
          <w:trHeight w:val="300"/>
        </w:trPr>
        <w:tc>
          <w:tcPr>
            <w:tcW w:w="2121" w:type="dxa"/>
            <w:tcBorders>
              <w:top w:val="nil"/>
              <w:left w:val="nil"/>
              <w:bottom w:val="nil"/>
              <w:right w:val="nil"/>
            </w:tcBorders>
            <w:shd w:val="clear" w:color="auto" w:fill="auto"/>
            <w:noWrap/>
            <w:hideMark/>
          </w:tcPr>
          <w:p w:rsidR="00F71665" w:rsidRPr="00405AD3" w:rsidRDefault="00F71665" w:rsidP="00405AD3">
            <w:pPr>
              <w:spacing w:line="360" w:lineRule="auto"/>
              <w:rPr>
                <w:rFonts w:ascii="Arial" w:hAnsi="Arial" w:cs="Arial"/>
                <w:b/>
                <w:bCs/>
                <w:color w:val="000000"/>
              </w:rPr>
            </w:pPr>
            <w:r>
              <w:rPr>
                <w:rFonts w:ascii="Arial" w:hAnsi="Arial" w:cs="Arial"/>
                <w:b/>
                <w:bCs/>
                <w:color w:val="000000"/>
                <w:sz w:val="22"/>
                <w:szCs w:val="22"/>
              </w:rPr>
              <w:t>ICD - 10</w:t>
            </w:r>
          </w:p>
        </w:tc>
        <w:tc>
          <w:tcPr>
            <w:tcW w:w="5818" w:type="dxa"/>
            <w:gridSpan w:val="9"/>
            <w:tcBorders>
              <w:top w:val="nil"/>
              <w:left w:val="nil"/>
              <w:bottom w:val="nil"/>
              <w:right w:val="nil"/>
            </w:tcBorders>
            <w:shd w:val="clear" w:color="auto" w:fill="auto"/>
            <w:noWrap/>
            <w:hideMark/>
          </w:tcPr>
          <w:p w:rsidR="00F71665" w:rsidRPr="00405AD3" w:rsidRDefault="00F71665" w:rsidP="00405AD3">
            <w:pPr>
              <w:spacing w:line="360" w:lineRule="auto"/>
              <w:rPr>
                <w:rFonts w:ascii="Arial" w:hAnsi="Arial" w:cs="Arial"/>
                <w:color w:val="000000"/>
              </w:rPr>
            </w:pPr>
            <w:r w:rsidRPr="00F71665">
              <w:rPr>
                <w:rFonts w:ascii="Arial" w:hAnsi="Arial" w:cs="Arial"/>
                <w:sz w:val="22"/>
                <w:szCs w:val="22"/>
              </w:rPr>
              <w:t>International Classification of Diseases</w:t>
            </w:r>
          </w:p>
        </w:tc>
        <w:tc>
          <w:tcPr>
            <w:tcW w:w="852" w:type="dxa"/>
            <w:tcBorders>
              <w:top w:val="nil"/>
              <w:left w:val="nil"/>
              <w:bottom w:val="nil"/>
              <w:right w:val="nil"/>
            </w:tcBorders>
            <w:shd w:val="clear" w:color="auto" w:fill="auto"/>
            <w:noWrap/>
            <w:vAlign w:val="bottom"/>
            <w:hideMark/>
          </w:tcPr>
          <w:p w:rsidR="00F71665" w:rsidRPr="00405AD3" w:rsidRDefault="00F71665"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F71665" w:rsidRPr="00405AD3" w:rsidRDefault="00F71665"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212121"/>
              </w:rPr>
            </w:pPr>
            <w:r w:rsidRPr="00405AD3">
              <w:rPr>
                <w:rFonts w:ascii="Arial" w:hAnsi="Arial" w:cs="Arial"/>
                <w:b/>
                <w:bCs/>
                <w:color w:val="212121"/>
                <w:sz w:val="22"/>
                <w:szCs w:val="22"/>
              </w:rPr>
              <w:t>IMAGE</w:t>
            </w:r>
          </w:p>
        </w:tc>
        <w:tc>
          <w:tcPr>
            <w:tcW w:w="4966" w:type="dxa"/>
            <w:gridSpan w:val="8"/>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International Multisite ADHD Gene Project</w:t>
            </w: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KOKB</w:t>
            </w:r>
          </w:p>
        </w:tc>
        <w:tc>
          <w:tcPr>
            <w:tcW w:w="4070" w:type="dxa"/>
            <w:gridSpan w:val="6"/>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Karşıt Olma, Karşı Gelme Bozukluğu</w:t>
            </w: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LDX</w:t>
            </w:r>
          </w:p>
        </w:tc>
        <w:tc>
          <w:tcPr>
            <w:tcW w:w="3114" w:type="dxa"/>
            <w:gridSpan w:val="5"/>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Pr>
                <w:rFonts w:ascii="Arial" w:hAnsi="Arial" w:cs="Arial"/>
                <w:color w:val="000000"/>
                <w:sz w:val="22"/>
                <w:szCs w:val="22"/>
              </w:rPr>
              <w:t xml:space="preserve">Lisdexamfetamind </w:t>
            </w:r>
            <w:r w:rsidRPr="00405AD3">
              <w:rPr>
                <w:rFonts w:ascii="Arial" w:hAnsi="Arial" w:cs="Arial"/>
                <w:color w:val="000000"/>
                <w:sz w:val="22"/>
                <w:szCs w:val="22"/>
              </w:rPr>
              <w:t>imesylate</w:t>
            </w:r>
          </w:p>
        </w:tc>
        <w:tc>
          <w:tcPr>
            <w:tcW w:w="956"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LTP</w:t>
            </w:r>
          </w:p>
        </w:tc>
        <w:tc>
          <w:tcPr>
            <w:tcW w:w="4070" w:type="dxa"/>
            <w:gridSpan w:val="6"/>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Uzun Dönem Potensiyalizasyonu</w:t>
            </w: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MAOA</w:t>
            </w:r>
          </w:p>
        </w:tc>
        <w:tc>
          <w:tcPr>
            <w:tcW w:w="2732"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Monoamin Oksidaz A</w:t>
            </w:r>
          </w:p>
        </w:tc>
        <w:tc>
          <w:tcPr>
            <w:tcW w:w="1338"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577B4C" w:rsidRPr="00405AD3" w:rsidTr="00CA6018">
        <w:trPr>
          <w:trHeight w:val="300"/>
        </w:trPr>
        <w:tc>
          <w:tcPr>
            <w:tcW w:w="2121" w:type="dxa"/>
            <w:tcBorders>
              <w:top w:val="nil"/>
              <w:left w:val="nil"/>
              <w:bottom w:val="nil"/>
              <w:right w:val="nil"/>
            </w:tcBorders>
            <w:shd w:val="clear" w:color="auto" w:fill="auto"/>
            <w:noWrap/>
            <w:hideMark/>
          </w:tcPr>
          <w:p w:rsidR="00577B4C" w:rsidRPr="00405AD3" w:rsidRDefault="00577B4C" w:rsidP="00405AD3">
            <w:pPr>
              <w:spacing w:line="360" w:lineRule="auto"/>
              <w:rPr>
                <w:rFonts w:ascii="Arial" w:hAnsi="Arial" w:cs="Arial"/>
                <w:b/>
                <w:bCs/>
                <w:color w:val="000000"/>
              </w:rPr>
            </w:pPr>
            <w:r w:rsidRPr="00405AD3">
              <w:rPr>
                <w:rFonts w:ascii="Arial" w:hAnsi="Arial" w:cs="Arial"/>
                <w:b/>
                <w:bCs/>
                <w:color w:val="000000"/>
                <w:sz w:val="22"/>
                <w:szCs w:val="22"/>
              </w:rPr>
              <w:t>MBD</w:t>
            </w:r>
          </w:p>
        </w:tc>
        <w:tc>
          <w:tcPr>
            <w:tcW w:w="4966" w:type="dxa"/>
            <w:gridSpan w:val="8"/>
            <w:tcBorders>
              <w:top w:val="nil"/>
              <w:left w:val="nil"/>
              <w:bottom w:val="nil"/>
              <w:right w:val="nil"/>
            </w:tcBorders>
            <w:shd w:val="clear" w:color="auto" w:fill="auto"/>
            <w:noWrap/>
            <w:hideMark/>
          </w:tcPr>
          <w:p w:rsidR="00577B4C" w:rsidRPr="00405AD3" w:rsidRDefault="00577B4C" w:rsidP="00405AD3">
            <w:pPr>
              <w:spacing w:line="360" w:lineRule="auto"/>
              <w:rPr>
                <w:rFonts w:ascii="Arial" w:hAnsi="Arial" w:cs="Arial"/>
                <w:color w:val="000000"/>
              </w:rPr>
            </w:pPr>
            <w:r w:rsidRPr="00405AD3">
              <w:rPr>
                <w:rFonts w:ascii="Arial" w:hAnsi="Arial" w:cs="Arial"/>
                <w:color w:val="000000"/>
                <w:sz w:val="22"/>
                <w:szCs w:val="22"/>
              </w:rPr>
              <w:t>Minimal Beyin Disfonksiyonu</w:t>
            </w:r>
          </w:p>
        </w:tc>
        <w:tc>
          <w:tcPr>
            <w:tcW w:w="852" w:type="dxa"/>
            <w:tcBorders>
              <w:top w:val="nil"/>
              <w:left w:val="nil"/>
              <w:bottom w:val="nil"/>
              <w:right w:val="nil"/>
            </w:tcBorders>
            <w:shd w:val="clear" w:color="auto" w:fill="auto"/>
            <w:noWrap/>
            <w:vAlign w:val="bottom"/>
            <w:hideMark/>
          </w:tcPr>
          <w:p w:rsidR="00577B4C" w:rsidRPr="00405AD3" w:rsidRDefault="00577B4C"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577B4C" w:rsidRPr="00405AD3" w:rsidRDefault="00577B4C"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577B4C" w:rsidRPr="00405AD3" w:rsidRDefault="00577B4C" w:rsidP="00405AD3">
            <w:pPr>
              <w:spacing w:line="360" w:lineRule="auto"/>
              <w:rPr>
                <w:rFonts w:ascii="Arial" w:hAnsi="Arial" w:cs="Arial"/>
                <w:color w:val="000000"/>
              </w:rPr>
            </w:pPr>
          </w:p>
        </w:tc>
      </w:tr>
      <w:tr w:rsidR="00C61732" w:rsidRPr="00405AD3" w:rsidTr="00CA6018">
        <w:trPr>
          <w:trHeight w:val="300"/>
        </w:trPr>
        <w:tc>
          <w:tcPr>
            <w:tcW w:w="2121" w:type="dxa"/>
            <w:tcBorders>
              <w:top w:val="nil"/>
              <w:left w:val="nil"/>
              <w:bottom w:val="nil"/>
              <w:right w:val="nil"/>
            </w:tcBorders>
            <w:shd w:val="clear" w:color="auto" w:fill="auto"/>
            <w:noWrap/>
            <w:hideMark/>
          </w:tcPr>
          <w:p w:rsidR="00C61732" w:rsidRPr="00405AD3" w:rsidRDefault="00C61732" w:rsidP="00405AD3">
            <w:pPr>
              <w:spacing w:line="360" w:lineRule="auto"/>
              <w:rPr>
                <w:rFonts w:ascii="Arial" w:hAnsi="Arial" w:cs="Arial"/>
                <w:b/>
                <w:bCs/>
                <w:color w:val="000000"/>
              </w:rPr>
            </w:pPr>
            <w:r>
              <w:rPr>
                <w:rFonts w:ascii="Arial" w:hAnsi="Arial" w:cs="Arial"/>
                <w:b/>
                <w:bCs/>
                <w:color w:val="000000"/>
                <w:sz w:val="22"/>
                <w:szCs w:val="22"/>
              </w:rPr>
              <w:t>MDB</w:t>
            </w:r>
          </w:p>
        </w:tc>
        <w:tc>
          <w:tcPr>
            <w:tcW w:w="4966" w:type="dxa"/>
            <w:gridSpan w:val="8"/>
            <w:tcBorders>
              <w:top w:val="nil"/>
              <w:left w:val="nil"/>
              <w:bottom w:val="nil"/>
              <w:right w:val="nil"/>
            </w:tcBorders>
            <w:shd w:val="clear" w:color="auto" w:fill="auto"/>
            <w:noWrap/>
            <w:hideMark/>
          </w:tcPr>
          <w:p w:rsidR="00C61732" w:rsidRPr="00405AD3" w:rsidRDefault="00C61732" w:rsidP="00405AD3">
            <w:pPr>
              <w:spacing w:line="360" w:lineRule="auto"/>
              <w:rPr>
                <w:rFonts w:ascii="Arial" w:hAnsi="Arial" w:cs="Arial"/>
                <w:color w:val="000000"/>
              </w:rPr>
            </w:pPr>
            <w:r>
              <w:rPr>
                <w:rFonts w:ascii="Arial" w:hAnsi="Arial" w:cs="Arial"/>
                <w:color w:val="000000"/>
                <w:sz w:val="22"/>
                <w:szCs w:val="22"/>
              </w:rPr>
              <w:t>Major Depresif Bozukluk</w:t>
            </w:r>
          </w:p>
        </w:tc>
        <w:tc>
          <w:tcPr>
            <w:tcW w:w="852" w:type="dxa"/>
            <w:tcBorders>
              <w:top w:val="nil"/>
              <w:left w:val="nil"/>
              <w:bottom w:val="nil"/>
              <w:right w:val="nil"/>
            </w:tcBorders>
            <w:shd w:val="clear" w:color="auto" w:fill="auto"/>
            <w:noWrap/>
            <w:vAlign w:val="bottom"/>
            <w:hideMark/>
          </w:tcPr>
          <w:p w:rsidR="00C61732" w:rsidRPr="00405AD3" w:rsidRDefault="00C61732"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C61732" w:rsidRPr="00405AD3" w:rsidRDefault="00C61732"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C61732" w:rsidRPr="00405AD3" w:rsidRDefault="00C61732"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miRNA, miR</w:t>
            </w:r>
          </w:p>
        </w:tc>
        <w:tc>
          <w:tcPr>
            <w:tcW w:w="2510"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mikroRNA</w:t>
            </w:r>
          </w:p>
        </w:tc>
        <w:tc>
          <w:tcPr>
            <w:tcW w:w="222"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1338"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MPH</w:t>
            </w:r>
          </w:p>
        </w:tc>
        <w:tc>
          <w:tcPr>
            <w:tcW w:w="2510"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Metilfenidat</w:t>
            </w:r>
          </w:p>
        </w:tc>
        <w:tc>
          <w:tcPr>
            <w:tcW w:w="222"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1338"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MRG</w:t>
            </w:r>
          </w:p>
        </w:tc>
        <w:tc>
          <w:tcPr>
            <w:tcW w:w="4070" w:type="dxa"/>
            <w:gridSpan w:val="6"/>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Manyetik Rezonans Görüntüleme</w:t>
            </w: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n</w:t>
            </w:r>
          </w:p>
        </w:tc>
        <w:tc>
          <w:tcPr>
            <w:tcW w:w="2510"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Örneklem Sayısı</w:t>
            </w:r>
          </w:p>
        </w:tc>
        <w:tc>
          <w:tcPr>
            <w:tcW w:w="222"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1338" w:type="dxa"/>
            <w:gridSpan w:val="3"/>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NET</w:t>
            </w:r>
          </w:p>
        </w:tc>
        <w:tc>
          <w:tcPr>
            <w:tcW w:w="4070" w:type="dxa"/>
            <w:gridSpan w:val="6"/>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Norepinefrin taşıyıcı, SLC6A2</w:t>
            </w: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NR3C1</w:t>
            </w:r>
          </w:p>
        </w:tc>
        <w:tc>
          <w:tcPr>
            <w:tcW w:w="5818" w:type="dxa"/>
            <w:gridSpan w:val="9"/>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Nuclear Receptor Subfamily 3 Group C Member 1)</w:t>
            </w: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577B4C">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Ort</w:t>
            </w:r>
          </w:p>
        </w:tc>
        <w:tc>
          <w:tcPr>
            <w:tcW w:w="2510"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Ortalama</w:t>
            </w:r>
          </w:p>
        </w:tc>
        <w:tc>
          <w:tcPr>
            <w:tcW w:w="424"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113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577B4C">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PC12</w:t>
            </w:r>
          </w:p>
        </w:tc>
        <w:tc>
          <w:tcPr>
            <w:tcW w:w="2934" w:type="dxa"/>
            <w:gridSpan w:val="4"/>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 xml:space="preserve">Feokromasitoma </w:t>
            </w:r>
            <w:r w:rsidR="00577B4C">
              <w:rPr>
                <w:rFonts w:ascii="Arial" w:hAnsi="Arial" w:cs="Arial"/>
                <w:color w:val="000000"/>
                <w:sz w:val="22"/>
                <w:szCs w:val="22"/>
              </w:rPr>
              <w:t>H</w:t>
            </w:r>
            <w:r w:rsidRPr="00405AD3">
              <w:rPr>
                <w:rFonts w:ascii="Arial" w:hAnsi="Arial" w:cs="Arial"/>
                <w:color w:val="000000"/>
                <w:sz w:val="22"/>
                <w:szCs w:val="22"/>
              </w:rPr>
              <w:t>ücreleri</w:t>
            </w:r>
          </w:p>
        </w:tc>
        <w:tc>
          <w:tcPr>
            <w:tcW w:w="113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577B4C">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PFK</w:t>
            </w:r>
          </w:p>
        </w:tc>
        <w:tc>
          <w:tcPr>
            <w:tcW w:w="2510"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 xml:space="preserve">Prefrontal Korteks </w:t>
            </w:r>
          </w:p>
        </w:tc>
        <w:tc>
          <w:tcPr>
            <w:tcW w:w="424"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113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rGE</w:t>
            </w:r>
          </w:p>
        </w:tc>
        <w:tc>
          <w:tcPr>
            <w:tcW w:w="6670" w:type="dxa"/>
            <w:gridSpan w:val="10"/>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 xml:space="preserve">Gene - Enviroment Correlations, Gen – Çevre korelasyonları </w:t>
            </w: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RGS4</w:t>
            </w:r>
          </w:p>
        </w:tc>
        <w:tc>
          <w:tcPr>
            <w:tcW w:w="4070" w:type="dxa"/>
            <w:gridSpan w:val="6"/>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Regulator Of G Protein Signaling 4</w:t>
            </w:r>
          </w:p>
        </w:tc>
        <w:tc>
          <w:tcPr>
            <w:tcW w:w="896"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RISC</w:t>
            </w:r>
          </w:p>
        </w:tc>
        <w:tc>
          <w:tcPr>
            <w:tcW w:w="4966" w:type="dxa"/>
            <w:gridSpan w:val="8"/>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212121"/>
              </w:rPr>
            </w:pPr>
            <w:r w:rsidRPr="00405AD3">
              <w:rPr>
                <w:rFonts w:ascii="Arial" w:hAnsi="Arial" w:cs="Arial"/>
                <w:color w:val="212121"/>
                <w:sz w:val="22"/>
                <w:szCs w:val="22"/>
              </w:rPr>
              <w:t>RNA ile İndüklenen Susturma Kompleksi</w:t>
            </w: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577B4C">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RNA</w:t>
            </w:r>
          </w:p>
        </w:tc>
        <w:tc>
          <w:tcPr>
            <w:tcW w:w="2510" w:type="dxa"/>
            <w:gridSpan w:val="2"/>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Ribonükleik Asit</w:t>
            </w:r>
          </w:p>
        </w:tc>
        <w:tc>
          <w:tcPr>
            <w:tcW w:w="222"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1732" w:type="dxa"/>
            <w:gridSpan w:val="4"/>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502"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577B4C" w:rsidRPr="00405AD3" w:rsidTr="00CA6018">
        <w:trPr>
          <w:trHeight w:val="300"/>
        </w:trPr>
        <w:tc>
          <w:tcPr>
            <w:tcW w:w="2121" w:type="dxa"/>
            <w:tcBorders>
              <w:top w:val="nil"/>
              <w:left w:val="nil"/>
              <w:bottom w:val="nil"/>
              <w:right w:val="nil"/>
            </w:tcBorders>
            <w:shd w:val="clear" w:color="auto" w:fill="auto"/>
            <w:noWrap/>
            <w:hideMark/>
          </w:tcPr>
          <w:p w:rsidR="00577B4C" w:rsidRPr="00405AD3" w:rsidRDefault="00577B4C" w:rsidP="00405AD3">
            <w:pPr>
              <w:spacing w:line="360" w:lineRule="auto"/>
              <w:rPr>
                <w:rFonts w:ascii="Arial" w:hAnsi="Arial" w:cs="Arial"/>
                <w:b/>
                <w:bCs/>
                <w:color w:val="000000"/>
              </w:rPr>
            </w:pPr>
            <w:r w:rsidRPr="00405AD3">
              <w:rPr>
                <w:rFonts w:ascii="Arial" w:hAnsi="Arial" w:cs="Arial"/>
                <w:b/>
                <w:bCs/>
                <w:color w:val="000000"/>
                <w:sz w:val="22"/>
                <w:szCs w:val="22"/>
              </w:rPr>
              <w:t>SHR</w:t>
            </w:r>
          </w:p>
        </w:tc>
        <w:tc>
          <w:tcPr>
            <w:tcW w:w="4464" w:type="dxa"/>
            <w:gridSpan w:val="7"/>
            <w:tcBorders>
              <w:top w:val="nil"/>
              <w:left w:val="nil"/>
              <w:bottom w:val="nil"/>
              <w:right w:val="nil"/>
            </w:tcBorders>
            <w:shd w:val="clear" w:color="auto" w:fill="auto"/>
            <w:noWrap/>
            <w:hideMark/>
          </w:tcPr>
          <w:p w:rsidR="00577B4C" w:rsidRPr="00405AD3" w:rsidRDefault="00577B4C" w:rsidP="00405AD3">
            <w:pPr>
              <w:spacing w:line="360" w:lineRule="auto"/>
              <w:rPr>
                <w:rFonts w:ascii="Arial" w:hAnsi="Arial" w:cs="Arial"/>
                <w:color w:val="000000"/>
              </w:rPr>
            </w:pPr>
            <w:r w:rsidRPr="00405AD3">
              <w:rPr>
                <w:rFonts w:ascii="Arial" w:hAnsi="Arial" w:cs="Arial"/>
                <w:color w:val="000000"/>
                <w:sz w:val="22"/>
                <w:szCs w:val="22"/>
              </w:rPr>
              <w:t>Spontan Hipertansif Sıçan</w:t>
            </w:r>
          </w:p>
        </w:tc>
        <w:tc>
          <w:tcPr>
            <w:tcW w:w="502" w:type="dxa"/>
            <w:tcBorders>
              <w:top w:val="nil"/>
              <w:left w:val="nil"/>
              <w:bottom w:val="nil"/>
              <w:right w:val="nil"/>
            </w:tcBorders>
            <w:shd w:val="clear" w:color="auto" w:fill="auto"/>
            <w:noWrap/>
            <w:hideMark/>
          </w:tcPr>
          <w:p w:rsidR="00577B4C" w:rsidRPr="00405AD3" w:rsidRDefault="00577B4C"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577B4C" w:rsidRPr="00405AD3" w:rsidRDefault="00577B4C"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577B4C" w:rsidRPr="00405AD3" w:rsidRDefault="00577B4C"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577B4C" w:rsidRPr="00405AD3" w:rsidRDefault="00577B4C" w:rsidP="00405AD3">
            <w:pPr>
              <w:spacing w:line="360" w:lineRule="auto"/>
              <w:rPr>
                <w:rFonts w:ascii="Arial" w:hAnsi="Arial" w:cs="Arial"/>
                <w:color w:val="000000"/>
              </w:rPr>
            </w:pPr>
          </w:p>
        </w:tc>
      </w:tr>
      <w:tr w:rsidR="00577B4C" w:rsidRPr="00405AD3" w:rsidTr="00CA6018">
        <w:trPr>
          <w:trHeight w:val="300"/>
        </w:trPr>
        <w:tc>
          <w:tcPr>
            <w:tcW w:w="2121" w:type="dxa"/>
            <w:tcBorders>
              <w:top w:val="nil"/>
              <w:left w:val="nil"/>
              <w:bottom w:val="nil"/>
              <w:right w:val="nil"/>
            </w:tcBorders>
            <w:shd w:val="clear" w:color="auto" w:fill="auto"/>
            <w:noWrap/>
            <w:hideMark/>
          </w:tcPr>
          <w:p w:rsidR="00577B4C" w:rsidRPr="00405AD3" w:rsidRDefault="00577B4C" w:rsidP="00405AD3">
            <w:pPr>
              <w:spacing w:line="360" w:lineRule="auto"/>
              <w:rPr>
                <w:rFonts w:ascii="Arial" w:hAnsi="Arial" w:cs="Arial"/>
                <w:b/>
                <w:bCs/>
                <w:color w:val="000000"/>
              </w:rPr>
            </w:pPr>
            <w:r w:rsidRPr="00405AD3">
              <w:rPr>
                <w:rFonts w:ascii="Arial" w:hAnsi="Arial" w:cs="Arial"/>
                <w:b/>
                <w:bCs/>
                <w:color w:val="000000"/>
                <w:sz w:val="22"/>
                <w:szCs w:val="22"/>
              </w:rPr>
              <w:t>SLC6A2</w:t>
            </w:r>
          </w:p>
        </w:tc>
        <w:tc>
          <w:tcPr>
            <w:tcW w:w="5818" w:type="dxa"/>
            <w:gridSpan w:val="9"/>
            <w:tcBorders>
              <w:top w:val="nil"/>
              <w:left w:val="nil"/>
              <w:bottom w:val="nil"/>
              <w:right w:val="nil"/>
            </w:tcBorders>
            <w:shd w:val="clear" w:color="auto" w:fill="auto"/>
            <w:noWrap/>
            <w:hideMark/>
          </w:tcPr>
          <w:p w:rsidR="00577B4C" w:rsidRPr="00405AD3" w:rsidRDefault="00577B4C" w:rsidP="00405AD3">
            <w:pPr>
              <w:spacing w:line="360" w:lineRule="auto"/>
              <w:rPr>
                <w:rFonts w:ascii="Arial" w:hAnsi="Arial" w:cs="Arial"/>
                <w:color w:val="000000"/>
              </w:rPr>
            </w:pPr>
            <w:r w:rsidRPr="00405AD3">
              <w:rPr>
                <w:rFonts w:ascii="Arial" w:hAnsi="Arial" w:cs="Arial"/>
                <w:color w:val="000000"/>
                <w:sz w:val="22"/>
                <w:szCs w:val="22"/>
              </w:rPr>
              <w:t>Norepinefrin taşıyıcısı, NET</w:t>
            </w:r>
          </w:p>
        </w:tc>
        <w:tc>
          <w:tcPr>
            <w:tcW w:w="852" w:type="dxa"/>
            <w:tcBorders>
              <w:top w:val="nil"/>
              <w:left w:val="nil"/>
              <w:bottom w:val="nil"/>
              <w:right w:val="nil"/>
            </w:tcBorders>
            <w:shd w:val="clear" w:color="auto" w:fill="auto"/>
            <w:noWrap/>
            <w:vAlign w:val="bottom"/>
            <w:hideMark/>
          </w:tcPr>
          <w:p w:rsidR="00577B4C" w:rsidRPr="00405AD3" w:rsidRDefault="00577B4C"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577B4C" w:rsidRPr="00405AD3" w:rsidRDefault="00577B4C" w:rsidP="00405AD3">
            <w:pPr>
              <w:spacing w:line="360" w:lineRule="auto"/>
              <w:rPr>
                <w:rFonts w:ascii="Arial" w:hAnsi="Arial" w:cs="Arial"/>
                <w:color w:val="000000"/>
              </w:rPr>
            </w:pPr>
          </w:p>
        </w:tc>
      </w:tr>
      <w:tr w:rsidR="00577B4C" w:rsidRPr="00405AD3" w:rsidTr="00CA6018">
        <w:trPr>
          <w:trHeight w:val="300"/>
        </w:trPr>
        <w:tc>
          <w:tcPr>
            <w:tcW w:w="2121" w:type="dxa"/>
            <w:tcBorders>
              <w:top w:val="nil"/>
              <w:left w:val="nil"/>
              <w:bottom w:val="nil"/>
              <w:right w:val="nil"/>
            </w:tcBorders>
            <w:shd w:val="clear" w:color="auto" w:fill="auto"/>
            <w:noWrap/>
            <w:hideMark/>
          </w:tcPr>
          <w:p w:rsidR="00577B4C" w:rsidRPr="00405AD3" w:rsidRDefault="00577B4C" w:rsidP="00405AD3">
            <w:pPr>
              <w:spacing w:line="360" w:lineRule="auto"/>
              <w:rPr>
                <w:rFonts w:ascii="Arial" w:hAnsi="Arial" w:cs="Arial"/>
                <w:b/>
                <w:bCs/>
                <w:color w:val="000000"/>
              </w:rPr>
            </w:pPr>
            <w:r w:rsidRPr="00405AD3">
              <w:rPr>
                <w:rFonts w:ascii="Arial" w:hAnsi="Arial" w:cs="Arial"/>
                <w:b/>
                <w:bCs/>
                <w:color w:val="000000"/>
                <w:sz w:val="22"/>
                <w:szCs w:val="22"/>
              </w:rPr>
              <w:t>SLC6A3</w:t>
            </w:r>
          </w:p>
        </w:tc>
        <w:tc>
          <w:tcPr>
            <w:tcW w:w="5818" w:type="dxa"/>
            <w:gridSpan w:val="9"/>
            <w:tcBorders>
              <w:top w:val="nil"/>
              <w:left w:val="nil"/>
              <w:bottom w:val="nil"/>
              <w:right w:val="nil"/>
            </w:tcBorders>
            <w:shd w:val="clear" w:color="auto" w:fill="auto"/>
            <w:noWrap/>
            <w:hideMark/>
          </w:tcPr>
          <w:p w:rsidR="00577B4C" w:rsidRPr="00405AD3" w:rsidRDefault="00577B4C" w:rsidP="00405AD3">
            <w:pPr>
              <w:spacing w:line="360" w:lineRule="auto"/>
              <w:rPr>
                <w:rFonts w:ascii="Arial" w:hAnsi="Arial" w:cs="Arial"/>
                <w:color w:val="000000"/>
              </w:rPr>
            </w:pPr>
            <w:r w:rsidRPr="00405AD3">
              <w:rPr>
                <w:rFonts w:ascii="Arial" w:hAnsi="Arial" w:cs="Arial"/>
                <w:color w:val="000000"/>
                <w:sz w:val="22"/>
                <w:szCs w:val="22"/>
              </w:rPr>
              <w:t>Dopamin Taşıyıcısı 1,</w:t>
            </w:r>
            <w:r>
              <w:rPr>
                <w:rFonts w:ascii="Arial" w:hAnsi="Arial" w:cs="Arial"/>
                <w:color w:val="000000"/>
                <w:sz w:val="22"/>
                <w:szCs w:val="22"/>
              </w:rPr>
              <w:t xml:space="preserve"> </w:t>
            </w:r>
            <w:r w:rsidRPr="00405AD3">
              <w:rPr>
                <w:rFonts w:ascii="Arial" w:hAnsi="Arial" w:cs="Arial"/>
                <w:color w:val="000000"/>
                <w:sz w:val="22"/>
                <w:szCs w:val="22"/>
              </w:rPr>
              <w:t>DAT1</w:t>
            </w:r>
          </w:p>
        </w:tc>
        <w:tc>
          <w:tcPr>
            <w:tcW w:w="852" w:type="dxa"/>
            <w:tcBorders>
              <w:top w:val="nil"/>
              <w:left w:val="nil"/>
              <w:bottom w:val="nil"/>
              <w:right w:val="nil"/>
            </w:tcBorders>
            <w:shd w:val="clear" w:color="auto" w:fill="auto"/>
            <w:noWrap/>
            <w:vAlign w:val="bottom"/>
            <w:hideMark/>
          </w:tcPr>
          <w:p w:rsidR="00577B4C" w:rsidRPr="00405AD3" w:rsidRDefault="00577B4C"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577B4C" w:rsidRPr="00405AD3" w:rsidRDefault="00577B4C" w:rsidP="00405AD3">
            <w:pPr>
              <w:spacing w:line="360" w:lineRule="auto"/>
              <w:rPr>
                <w:rFonts w:ascii="Arial" w:hAnsi="Arial" w:cs="Arial"/>
                <w:color w:val="000000"/>
              </w:rPr>
            </w:pPr>
          </w:p>
        </w:tc>
      </w:tr>
      <w:tr w:rsidR="00577B4C" w:rsidRPr="00405AD3" w:rsidTr="00CA6018">
        <w:trPr>
          <w:trHeight w:val="300"/>
        </w:trPr>
        <w:tc>
          <w:tcPr>
            <w:tcW w:w="2121" w:type="dxa"/>
            <w:tcBorders>
              <w:top w:val="nil"/>
              <w:left w:val="nil"/>
              <w:bottom w:val="nil"/>
              <w:right w:val="nil"/>
            </w:tcBorders>
            <w:shd w:val="clear" w:color="auto" w:fill="auto"/>
            <w:noWrap/>
            <w:hideMark/>
          </w:tcPr>
          <w:p w:rsidR="00577B4C" w:rsidRPr="00405AD3" w:rsidRDefault="00577B4C" w:rsidP="00405AD3">
            <w:pPr>
              <w:spacing w:line="360" w:lineRule="auto"/>
              <w:rPr>
                <w:rFonts w:ascii="Arial" w:hAnsi="Arial" w:cs="Arial"/>
                <w:b/>
                <w:bCs/>
                <w:color w:val="000000"/>
              </w:rPr>
            </w:pPr>
            <w:r w:rsidRPr="00405AD3">
              <w:rPr>
                <w:rFonts w:ascii="Arial" w:hAnsi="Arial" w:cs="Arial"/>
                <w:b/>
                <w:bCs/>
                <w:color w:val="000000"/>
                <w:sz w:val="22"/>
                <w:szCs w:val="22"/>
              </w:rPr>
              <w:t>SLC6A4</w:t>
            </w:r>
          </w:p>
        </w:tc>
        <w:tc>
          <w:tcPr>
            <w:tcW w:w="4966" w:type="dxa"/>
            <w:gridSpan w:val="8"/>
            <w:tcBorders>
              <w:top w:val="nil"/>
              <w:left w:val="nil"/>
              <w:bottom w:val="nil"/>
              <w:right w:val="nil"/>
            </w:tcBorders>
            <w:shd w:val="clear" w:color="auto" w:fill="auto"/>
            <w:noWrap/>
            <w:hideMark/>
          </w:tcPr>
          <w:p w:rsidR="00577B4C" w:rsidRPr="00405AD3" w:rsidRDefault="00577B4C" w:rsidP="00405AD3">
            <w:pPr>
              <w:spacing w:line="360" w:lineRule="auto"/>
              <w:rPr>
                <w:rFonts w:ascii="Arial" w:hAnsi="Arial" w:cs="Arial"/>
                <w:color w:val="000000"/>
              </w:rPr>
            </w:pPr>
            <w:r w:rsidRPr="00405AD3">
              <w:rPr>
                <w:rFonts w:ascii="Arial" w:hAnsi="Arial" w:cs="Arial"/>
                <w:color w:val="000000"/>
                <w:sz w:val="22"/>
                <w:szCs w:val="22"/>
              </w:rPr>
              <w:t>Serotonin Transporter, 5HTT</w:t>
            </w:r>
          </w:p>
        </w:tc>
        <w:tc>
          <w:tcPr>
            <w:tcW w:w="852" w:type="dxa"/>
            <w:tcBorders>
              <w:top w:val="nil"/>
              <w:left w:val="nil"/>
              <w:bottom w:val="nil"/>
              <w:right w:val="nil"/>
            </w:tcBorders>
            <w:shd w:val="clear" w:color="auto" w:fill="auto"/>
            <w:noWrap/>
            <w:vAlign w:val="bottom"/>
            <w:hideMark/>
          </w:tcPr>
          <w:p w:rsidR="00577B4C" w:rsidRPr="00405AD3" w:rsidRDefault="00577B4C"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577B4C" w:rsidRPr="00405AD3" w:rsidRDefault="00577B4C"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577B4C" w:rsidRPr="00405AD3" w:rsidRDefault="00577B4C" w:rsidP="00405AD3">
            <w:pPr>
              <w:spacing w:line="360" w:lineRule="auto"/>
              <w:rPr>
                <w:rFonts w:ascii="Arial" w:hAnsi="Arial" w:cs="Arial"/>
                <w:color w:val="000000"/>
              </w:rPr>
            </w:pPr>
          </w:p>
        </w:tc>
      </w:tr>
      <w:tr w:rsidR="00405AD3" w:rsidRPr="00405AD3" w:rsidTr="00577B4C">
        <w:trPr>
          <w:trHeight w:val="300"/>
        </w:trPr>
        <w:tc>
          <w:tcPr>
            <w:tcW w:w="2121"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SNAP-25</w:t>
            </w:r>
          </w:p>
        </w:tc>
        <w:tc>
          <w:tcPr>
            <w:tcW w:w="4464" w:type="dxa"/>
            <w:gridSpan w:val="7"/>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Sinaptozomal İlişkili Protein-25</w:t>
            </w:r>
          </w:p>
        </w:tc>
        <w:tc>
          <w:tcPr>
            <w:tcW w:w="502" w:type="dxa"/>
            <w:tcBorders>
              <w:top w:val="nil"/>
              <w:left w:val="nil"/>
              <w:bottom w:val="nil"/>
              <w:right w:val="nil"/>
            </w:tcBorders>
            <w:shd w:val="clear" w:color="auto" w:fill="auto"/>
            <w:noWrap/>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577B4C" w:rsidRPr="00405AD3" w:rsidTr="00CA6018">
        <w:trPr>
          <w:trHeight w:val="300"/>
        </w:trPr>
        <w:tc>
          <w:tcPr>
            <w:tcW w:w="2121" w:type="dxa"/>
            <w:tcBorders>
              <w:top w:val="nil"/>
              <w:left w:val="nil"/>
              <w:bottom w:val="nil"/>
              <w:right w:val="nil"/>
            </w:tcBorders>
            <w:shd w:val="clear" w:color="auto" w:fill="auto"/>
            <w:noWrap/>
            <w:hideMark/>
          </w:tcPr>
          <w:p w:rsidR="00577B4C" w:rsidRPr="00405AD3" w:rsidRDefault="00577B4C" w:rsidP="00405AD3">
            <w:pPr>
              <w:spacing w:line="360" w:lineRule="auto"/>
              <w:rPr>
                <w:rFonts w:ascii="Arial" w:hAnsi="Arial" w:cs="Arial"/>
                <w:b/>
                <w:bCs/>
                <w:color w:val="000000"/>
              </w:rPr>
            </w:pPr>
            <w:r w:rsidRPr="00405AD3">
              <w:rPr>
                <w:rFonts w:ascii="Arial" w:hAnsi="Arial" w:cs="Arial"/>
                <w:b/>
                <w:bCs/>
                <w:color w:val="000000"/>
                <w:sz w:val="22"/>
                <w:szCs w:val="22"/>
              </w:rPr>
              <w:t>SNP</w:t>
            </w:r>
          </w:p>
        </w:tc>
        <w:tc>
          <w:tcPr>
            <w:tcW w:w="4464" w:type="dxa"/>
            <w:gridSpan w:val="7"/>
            <w:tcBorders>
              <w:top w:val="nil"/>
              <w:left w:val="nil"/>
              <w:bottom w:val="nil"/>
              <w:right w:val="nil"/>
            </w:tcBorders>
            <w:shd w:val="clear" w:color="auto" w:fill="auto"/>
            <w:noWrap/>
            <w:hideMark/>
          </w:tcPr>
          <w:p w:rsidR="00577B4C" w:rsidRPr="00405AD3" w:rsidRDefault="00577B4C" w:rsidP="00405AD3">
            <w:pPr>
              <w:spacing w:line="360" w:lineRule="auto"/>
              <w:rPr>
                <w:rFonts w:ascii="Arial" w:hAnsi="Arial" w:cs="Arial"/>
                <w:color w:val="000000"/>
              </w:rPr>
            </w:pPr>
            <w:r w:rsidRPr="00405AD3">
              <w:rPr>
                <w:rFonts w:ascii="Arial" w:hAnsi="Arial" w:cs="Arial"/>
                <w:color w:val="000000"/>
                <w:sz w:val="22"/>
                <w:szCs w:val="22"/>
              </w:rPr>
              <w:t>Tek Nükleotid Polimorfizmi</w:t>
            </w:r>
          </w:p>
        </w:tc>
        <w:tc>
          <w:tcPr>
            <w:tcW w:w="502" w:type="dxa"/>
            <w:tcBorders>
              <w:top w:val="nil"/>
              <w:left w:val="nil"/>
              <w:bottom w:val="nil"/>
              <w:right w:val="nil"/>
            </w:tcBorders>
            <w:shd w:val="clear" w:color="auto" w:fill="auto"/>
            <w:noWrap/>
            <w:hideMark/>
          </w:tcPr>
          <w:p w:rsidR="00577B4C" w:rsidRPr="00405AD3" w:rsidRDefault="00577B4C"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577B4C" w:rsidRPr="00405AD3" w:rsidRDefault="00577B4C"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577B4C" w:rsidRPr="00405AD3" w:rsidRDefault="00577B4C"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577B4C" w:rsidRPr="00405AD3" w:rsidRDefault="00577B4C"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SPSS</w:t>
            </w:r>
          </w:p>
        </w:tc>
        <w:tc>
          <w:tcPr>
            <w:tcW w:w="4966" w:type="dxa"/>
            <w:gridSpan w:val="8"/>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Statistical Package for Social Sciences</w:t>
            </w: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ss</w:t>
            </w:r>
          </w:p>
        </w:tc>
        <w:tc>
          <w:tcPr>
            <w:tcW w:w="2510" w:type="dxa"/>
            <w:gridSpan w:val="2"/>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Standart Sapma</w:t>
            </w:r>
          </w:p>
        </w:tc>
        <w:tc>
          <w:tcPr>
            <w:tcW w:w="22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1338" w:type="dxa"/>
            <w:gridSpan w:val="3"/>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TH</w:t>
            </w:r>
          </w:p>
        </w:tc>
        <w:tc>
          <w:tcPr>
            <w:tcW w:w="2510" w:type="dxa"/>
            <w:gridSpan w:val="2"/>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Tirozin Hidroksilaz</w:t>
            </w:r>
          </w:p>
        </w:tc>
        <w:tc>
          <w:tcPr>
            <w:tcW w:w="22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1338" w:type="dxa"/>
            <w:gridSpan w:val="3"/>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TRBP</w:t>
            </w:r>
          </w:p>
        </w:tc>
        <w:tc>
          <w:tcPr>
            <w:tcW w:w="4966" w:type="dxa"/>
            <w:gridSpan w:val="8"/>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212121"/>
              </w:rPr>
            </w:pPr>
            <w:r w:rsidRPr="00405AD3">
              <w:rPr>
                <w:rFonts w:ascii="Arial" w:hAnsi="Arial" w:cs="Arial"/>
                <w:color w:val="212121"/>
                <w:sz w:val="22"/>
                <w:szCs w:val="22"/>
              </w:rPr>
              <w:t>Transaktive Eden Yanıt RNA Bağlama Proteini</w:t>
            </w: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TS</w:t>
            </w:r>
          </w:p>
        </w:tc>
        <w:tc>
          <w:tcPr>
            <w:tcW w:w="2732" w:type="dxa"/>
            <w:gridSpan w:val="3"/>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Tourette Sendromu</w:t>
            </w:r>
          </w:p>
        </w:tc>
        <w:tc>
          <w:tcPr>
            <w:tcW w:w="1338" w:type="dxa"/>
            <w:gridSpan w:val="3"/>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VNTR</w:t>
            </w:r>
          </w:p>
        </w:tc>
        <w:tc>
          <w:tcPr>
            <w:tcW w:w="4070" w:type="dxa"/>
            <w:gridSpan w:val="6"/>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Variable Number Tandem Repeat</w:t>
            </w:r>
          </w:p>
        </w:tc>
        <w:tc>
          <w:tcPr>
            <w:tcW w:w="896" w:type="dxa"/>
            <w:gridSpan w:val="2"/>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r w:rsidR="00405AD3" w:rsidRPr="00405AD3" w:rsidTr="00405AD3">
        <w:trPr>
          <w:trHeight w:val="300"/>
        </w:trPr>
        <w:tc>
          <w:tcPr>
            <w:tcW w:w="2121"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b/>
                <w:bCs/>
                <w:color w:val="000000"/>
              </w:rPr>
            </w:pPr>
            <w:r w:rsidRPr="00405AD3">
              <w:rPr>
                <w:rFonts w:ascii="Arial" w:hAnsi="Arial" w:cs="Arial"/>
                <w:b/>
                <w:bCs/>
                <w:color w:val="000000"/>
                <w:sz w:val="22"/>
                <w:szCs w:val="22"/>
              </w:rPr>
              <w:t>X²</w:t>
            </w:r>
          </w:p>
        </w:tc>
        <w:tc>
          <w:tcPr>
            <w:tcW w:w="2288"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r w:rsidRPr="00405AD3">
              <w:rPr>
                <w:rFonts w:ascii="Arial" w:hAnsi="Arial" w:cs="Arial"/>
                <w:color w:val="000000"/>
                <w:sz w:val="22"/>
                <w:szCs w:val="22"/>
              </w:rPr>
              <w:t>Ki kare</w:t>
            </w:r>
          </w:p>
        </w:tc>
        <w:tc>
          <w:tcPr>
            <w:tcW w:w="22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22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1338" w:type="dxa"/>
            <w:gridSpan w:val="3"/>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96" w:type="dxa"/>
            <w:gridSpan w:val="2"/>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c>
          <w:tcPr>
            <w:tcW w:w="852" w:type="dxa"/>
            <w:tcBorders>
              <w:top w:val="nil"/>
              <w:left w:val="nil"/>
              <w:bottom w:val="nil"/>
              <w:right w:val="nil"/>
            </w:tcBorders>
            <w:shd w:val="clear" w:color="auto" w:fill="auto"/>
            <w:noWrap/>
            <w:vAlign w:val="bottom"/>
            <w:hideMark/>
          </w:tcPr>
          <w:p w:rsidR="00405AD3" w:rsidRPr="00405AD3" w:rsidRDefault="00405AD3" w:rsidP="00405AD3">
            <w:pPr>
              <w:spacing w:line="360" w:lineRule="auto"/>
              <w:rPr>
                <w:rFonts w:ascii="Arial" w:hAnsi="Arial" w:cs="Arial"/>
                <w:color w:val="000000"/>
              </w:rPr>
            </w:pPr>
          </w:p>
        </w:tc>
      </w:tr>
    </w:tbl>
    <w:p w:rsidR="00930C51" w:rsidRPr="00405AD3" w:rsidRDefault="00930C51" w:rsidP="00405AD3">
      <w:pPr>
        <w:spacing w:line="360" w:lineRule="auto"/>
        <w:rPr>
          <w:rFonts w:ascii="Arial" w:hAnsi="Arial" w:cs="Arial"/>
          <w:sz w:val="22"/>
          <w:szCs w:val="22"/>
        </w:rPr>
      </w:pPr>
    </w:p>
    <w:p w:rsidR="00405AD3" w:rsidRPr="00650880" w:rsidRDefault="00405AD3" w:rsidP="00930C51">
      <w:pPr>
        <w:spacing w:after="200" w:line="276" w:lineRule="auto"/>
        <w:rPr>
          <w:rFonts w:ascii="Arial" w:hAnsi="Arial" w:cs="Arial"/>
          <w:sz w:val="22"/>
          <w:szCs w:val="22"/>
        </w:rPr>
      </w:pPr>
    </w:p>
    <w:tbl>
      <w:tblPr>
        <w:tblW w:w="9157" w:type="dxa"/>
        <w:tblInd w:w="55" w:type="dxa"/>
        <w:tblLayout w:type="fixed"/>
        <w:tblCellMar>
          <w:left w:w="70" w:type="dxa"/>
          <w:right w:w="70" w:type="dxa"/>
        </w:tblCellMar>
        <w:tblLook w:val="04A0" w:firstRow="1" w:lastRow="0" w:firstColumn="1" w:lastColumn="0" w:noHBand="0" w:noVBand="1"/>
      </w:tblPr>
      <w:tblGrid>
        <w:gridCol w:w="1291"/>
        <w:gridCol w:w="7088"/>
        <w:gridCol w:w="6"/>
        <w:gridCol w:w="772"/>
      </w:tblGrid>
      <w:tr w:rsidR="00930C51" w:rsidRPr="00650880" w:rsidTr="00457BA8">
        <w:trPr>
          <w:trHeight w:val="702"/>
        </w:trPr>
        <w:tc>
          <w:tcPr>
            <w:tcW w:w="8379" w:type="dxa"/>
            <w:gridSpan w:val="2"/>
            <w:tcBorders>
              <w:top w:val="nil"/>
              <w:left w:val="nil"/>
              <w:bottom w:val="nil"/>
              <w:right w:val="nil"/>
            </w:tcBorders>
            <w:shd w:val="clear" w:color="auto" w:fill="auto"/>
            <w:noWrap/>
            <w:hideMark/>
          </w:tcPr>
          <w:p w:rsidR="00930C51" w:rsidRPr="00650880" w:rsidRDefault="00930C51" w:rsidP="00FE73B2">
            <w:pPr>
              <w:ind w:firstLine="2639"/>
              <w:rPr>
                <w:rFonts w:ascii="Arial" w:hAnsi="Arial" w:cs="Arial"/>
                <w:b/>
                <w:color w:val="000000"/>
              </w:rPr>
            </w:pPr>
            <w:r w:rsidRPr="00650880">
              <w:rPr>
                <w:rFonts w:ascii="Arial" w:hAnsi="Arial" w:cs="Arial"/>
                <w:b/>
                <w:color w:val="000000"/>
                <w:sz w:val="22"/>
                <w:szCs w:val="22"/>
              </w:rPr>
              <w:t>TABLOLAR DİZİNİ</w:t>
            </w:r>
          </w:p>
        </w:tc>
        <w:tc>
          <w:tcPr>
            <w:tcW w:w="778" w:type="dxa"/>
            <w:gridSpan w:val="2"/>
            <w:tcBorders>
              <w:top w:val="nil"/>
              <w:left w:val="nil"/>
              <w:bottom w:val="nil"/>
              <w:right w:val="nil"/>
            </w:tcBorders>
            <w:shd w:val="clear" w:color="auto" w:fill="auto"/>
            <w:noWrap/>
            <w:hideMark/>
          </w:tcPr>
          <w:p w:rsidR="00930C51" w:rsidRPr="00650880" w:rsidRDefault="00930C51" w:rsidP="00FE73B2">
            <w:pPr>
              <w:rPr>
                <w:rFonts w:ascii="Arial" w:hAnsi="Arial" w:cs="Arial"/>
                <w:b/>
                <w:color w:val="000000"/>
              </w:rPr>
            </w:pPr>
            <w:r w:rsidRPr="00650880">
              <w:rPr>
                <w:rFonts w:ascii="Arial" w:hAnsi="Arial" w:cs="Arial"/>
                <w:b/>
                <w:color w:val="000000"/>
                <w:sz w:val="22"/>
                <w:szCs w:val="22"/>
              </w:rPr>
              <w:t>Sayfa No</w:t>
            </w:r>
          </w:p>
        </w:tc>
      </w:tr>
      <w:tr w:rsidR="00930C51" w:rsidRPr="00650880" w:rsidTr="00457BA8">
        <w:trPr>
          <w:trHeight w:val="702"/>
        </w:trPr>
        <w:tc>
          <w:tcPr>
            <w:tcW w:w="1291" w:type="dxa"/>
            <w:tcBorders>
              <w:top w:val="nil"/>
              <w:left w:val="nil"/>
              <w:bottom w:val="nil"/>
              <w:right w:val="nil"/>
            </w:tcBorders>
            <w:shd w:val="clear" w:color="auto" w:fill="auto"/>
            <w:noWrap/>
            <w:vAlign w:val="center"/>
            <w:hideMark/>
          </w:tcPr>
          <w:p w:rsidR="00930C51" w:rsidRPr="00650880" w:rsidRDefault="00930C51" w:rsidP="00EF674A">
            <w:pPr>
              <w:spacing w:line="360" w:lineRule="auto"/>
              <w:rPr>
                <w:rFonts w:ascii="Arial" w:hAnsi="Arial" w:cs="Arial"/>
                <w:b/>
                <w:color w:val="000000"/>
              </w:rPr>
            </w:pPr>
            <w:r w:rsidRPr="00650880">
              <w:rPr>
                <w:rFonts w:ascii="Arial" w:hAnsi="Arial" w:cs="Arial"/>
                <w:b/>
                <w:color w:val="000000"/>
                <w:sz w:val="22"/>
                <w:szCs w:val="22"/>
                <w:lang w:val="en-US"/>
              </w:rPr>
              <w:t>Tablo 1</w:t>
            </w:r>
          </w:p>
        </w:tc>
        <w:tc>
          <w:tcPr>
            <w:tcW w:w="7088" w:type="dxa"/>
            <w:tcBorders>
              <w:top w:val="nil"/>
              <w:left w:val="nil"/>
              <w:bottom w:val="nil"/>
              <w:right w:val="nil"/>
            </w:tcBorders>
            <w:shd w:val="clear" w:color="auto" w:fill="auto"/>
            <w:noWrap/>
            <w:vAlign w:val="center"/>
            <w:hideMark/>
          </w:tcPr>
          <w:p w:rsidR="00930C51" w:rsidRPr="00650880" w:rsidRDefault="00CA6018" w:rsidP="00EF674A">
            <w:pPr>
              <w:spacing w:line="360" w:lineRule="auto"/>
              <w:jc w:val="center"/>
              <w:rPr>
                <w:rFonts w:ascii="Arial" w:hAnsi="Arial" w:cs="Arial"/>
                <w:color w:val="000000"/>
              </w:rPr>
            </w:pPr>
            <w:r w:rsidRPr="00650880">
              <w:rPr>
                <w:rFonts w:ascii="Arial" w:hAnsi="Arial" w:cs="Arial"/>
                <w:sz w:val="22"/>
                <w:szCs w:val="22"/>
              </w:rPr>
              <w:t>qRT-PCR basamağında kullanılan primer prob dizileri</w:t>
            </w:r>
            <w:r w:rsidRPr="00650880">
              <w:rPr>
                <w:rFonts w:ascii="Arial" w:hAnsi="Arial" w:cs="Arial"/>
                <w:color w:val="000000"/>
                <w:sz w:val="22"/>
                <w:szCs w:val="22"/>
                <w:lang w:val="en-US"/>
              </w:rPr>
              <w:t xml:space="preserve"> </w:t>
            </w:r>
            <w:r w:rsidR="00930C51" w:rsidRPr="00650880">
              <w:rPr>
                <w:rFonts w:ascii="Arial" w:hAnsi="Arial" w:cs="Arial"/>
                <w:color w:val="000000"/>
                <w:sz w:val="22"/>
                <w:szCs w:val="22"/>
                <w:lang w:val="en-US"/>
              </w:rPr>
              <w:t>………</w:t>
            </w:r>
            <w:r w:rsidR="00FE73B2" w:rsidRPr="00650880">
              <w:rPr>
                <w:rFonts w:ascii="Arial" w:hAnsi="Arial" w:cs="Arial"/>
                <w:color w:val="000000"/>
                <w:sz w:val="22"/>
                <w:szCs w:val="22"/>
                <w:lang w:val="en-US"/>
              </w:rPr>
              <w:t>………….</w:t>
            </w:r>
          </w:p>
        </w:tc>
        <w:tc>
          <w:tcPr>
            <w:tcW w:w="778" w:type="dxa"/>
            <w:gridSpan w:val="2"/>
            <w:tcBorders>
              <w:top w:val="nil"/>
              <w:left w:val="nil"/>
              <w:bottom w:val="nil"/>
              <w:right w:val="nil"/>
            </w:tcBorders>
            <w:shd w:val="clear" w:color="auto" w:fill="auto"/>
            <w:noWrap/>
            <w:vAlign w:val="center"/>
            <w:hideMark/>
          </w:tcPr>
          <w:p w:rsidR="00930C51" w:rsidRPr="00650880" w:rsidRDefault="00E04D66" w:rsidP="0094374E">
            <w:pPr>
              <w:jc w:val="center"/>
              <w:rPr>
                <w:rFonts w:ascii="Arial" w:hAnsi="Arial" w:cs="Arial"/>
                <w:color w:val="000000"/>
              </w:rPr>
            </w:pPr>
            <w:r>
              <w:rPr>
                <w:rFonts w:ascii="Arial" w:hAnsi="Arial" w:cs="Arial"/>
                <w:color w:val="000000"/>
                <w:sz w:val="22"/>
                <w:szCs w:val="22"/>
              </w:rPr>
              <w:t>3</w:t>
            </w:r>
            <w:r w:rsidR="0094374E">
              <w:rPr>
                <w:rFonts w:ascii="Arial" w:hAnsi="Arial" w:cs="Arial"/>
                <w:color w:val="000000"/>
                <w:sz w:val="22"/>
                <w:szCs w:val="22"/>
              </w:rPr>
              <w:t>3</w:t>
            </w:r>
          </w:p>
        </w:tc>
      </w:tr>
      <w:tr w:rsidR="00930C51" w:rsidRPr="00650880" w:rsidTr="00457BA8">
        <w:trPr>
          <w:trHeight w:hRule="exact" w:val="702"/>
        </w:trPr>
        <w:tc>
          <w:tcPr>
            <w:tcW w:w="1291" w:type="dxa"/>
            <w:tcBorders>
              <w:top w:val="nil"/>
              <w:left w:val="nil"/>
              <w:bottom w:val="nil"/>
              <w:right w:val="nil"/>
            </w:tcBorders>
            <w:shd w:val="clear" w:color="auto" w:fill="auto"/>
            <w:noWrap/>
            <w:vAlign w:val="center"/>
            <w:hideMark/>
          </w:tcPr>
          <w:p w:rsidR="00930C51" w:rsidRPr="00650880" w:rsidRDefault="00930C51" w:rsidP="00650880">
            <w:pPr>
              <w:spacing w:line="360" w:lineRule="auto"/>
              <w:rPr>
                <w:rFonts w:ascii="Arial" w:hAnsi="Arial" w:cs="Arial"/>
                <w:b/>
                <w:color w:val="000000"/>
              </w:rPr>
            </w:pPr>
            <w:r w:rsidRPr="00650880">
              <w:rPr>
                <w:rFonts w:ascii="Arial" w:hAnsi="Arial" w:cs="Arial"/>
                <w:b/>
                <w:color w:val="000000"/>
                <w:sz w:val="22"/>
                <w:szCs w:val="22"/>
                <w:lang w:val="en-US"/>
              </w:rPr>
              <w:t>Tablo 2</w:t>
            </w:r>
          </w:p>
        </w:tc>
        <w:tc>
          <w:tcPr>
            <w:tcW w:w="7088" w:type="dxa"/>
            <w:tcBorders>
              <w:top w:val="nil"/>
              <w:left w:val="nil"/>
              <w:bottom w:val="nil"/>
              <w:right w:val="nil"/>
            </w:tcBorders>
            <w:shd w:val="clear" w:color="auto" w:fill="auto"/>
            <w:noWrap/>
            <w:vAlign w:val="center"/>
            <w:hideMark/>
          </w:tcPr>
          <w:p w:rsidR="00930C51" w:rsidRPr="00650880" w:rsidRDefault="00FE73B2" w:rsidP="00650880">
            <w:pPr>
              <w:spacing w:line="360" w:lineRule="auto"/>
              <w:rPr>
                <w:rFonts w:ascii="Arial" w:hAnsi="Arial" w:cs="Arial"/>
                <w:color w:val="000000"/>
              </w:rPr>
            </w:pPr>
            <w:r w:rsidRPr="00650880">
              <w:rPr>
                <w:rFonts w:ascii="Arial" w:hAnsi="Arial" w:cs="Arial"/>
                <w:sz w:val="22"/>
                <w:szCs w:val="22"/>
              </w:rPr>
              <w:t>qRT-PCR Protokolü</w:t>
            </w:r>
            <w:r w:rsidRPr="00650880">
              <w:rPr>
                <w:rFonts w:ascii="Arial" w:hAnsi="Arial" w:cs="Arial"/>
                <w:color w:val="000000"/>
                <w:sz w:val="22"/>
                <w:szCs w:val="22"/>
                <w:lang w:val="en-US"/>
              </w:rPr>
              <w:t xml:space="preserve"> …………………………………………..</w:t>
            </w:r>
            <w:r w:rsidR="00930C51" w:rsidRPr="00650880">
              <w:rPr>
                <w:rFonts w:ascii="Arial" w:hAnsi="Arial" w:cs="Arial"/>
                <w:color w:val="000000"/>
                <w:sz w:val="22"/>
                <w:szCs w:val="22"/>
                <w:lang w:val="en-US"/>
              </w:rPr>
              <w:t>…...……...</w:t>
            </w:r>
            <w:r w:rsidR="00650880">
              <w:rPr>
                <w:rFonts w:ascii="Arial" w:hAnsi="Arial" w:cs="Arial"/>
                <w:color w:val="000000"/>
                <w:sz w:val="22"/>
                <w:szCs w:val="22"/>
                <w:lang w:val="en-US"/>
              </w:rPr>
              <w:t>..</w:t>
            </w:r>
          </w:p>
        </w:tc>
        <w:tc>
          <w:tcPr>
            <w:tcW w:w="778" w:type="dxa"/>
            <w:gridSpan w:val="2"/>
            <w:tcBorders>
              <w:top w:val="nil"/>
              <w:left w:val="nil"/>
              <w:bottom w:val="nil"/>
              <w:right w:val="nil"/>
            </w:tcBorders>
            <w:shd w:val="clear" w:color="auto" w:fill="auto"/>
            <w:noWrap/>
            <w:vAlign w:val="center"/>
            <w:hideMark/>
          </w:tcPr>
          <w:p w:rsidR="00930C51" w:rsidRPr="00650880" w:rsidRDefault="00E04D66" w:rsidP="00B53585">
            <w:pPr>
              <w:jc w:val="center"/>
              <w:rPr>
                <w:rFonts w:ascii="Arial" w:hAnsi="Arial" w:cs="Arial"/>
                <w:color w:val="000000"/>
              </w:rPr>
            </w:pPr>
            <w:r>
              <w:rPr>
                <w:rFonts w:ascii="Arial" w:hAnsi="Arial" w:cs="Arial"/>
                <w:color w:val="000000"/>
                <w:sz w:val="22"/>
                <w:szCs w:val="22"/>
              </w:rPr>
              <w:t>3</w:t>
            </w:r>
            <w:r w:rsidR="00E16AC1">
              <w:rPr>
                <w:rFonts w:ascii="Arial" w:hAnsi="Arial" w:cs="Arial"/>
                <w:color w:val="000000"/>
                <w:sz w:val="22"/>
                <w:szCs w:val="22"/>
              </w:rPr>
              <w:t>3</w:t>
            </w:r>
          </w:p>
        </w:tc>
      </w:tr>
      <w:tr w:rsidR="00930C51" w:rsidRPr="00650880" w:rsidTr="00457BA8">
        <w:trPr>
          <w:trHeight w:hRule="exact" w:val="702"/>
        </w:trPr>
        <w:tc>
          <w:tcPr>
            <w:tcW w:w="1291" w:type="dxa"/>
            <w:tcBorders>
              <w:top w:val="nil"/>
              <w:left w:val="nil"/>
              <w:bottom w:val="nil"/>
              <w:right w:val="nil"/>
            </w:tcBorders>
            <w:shd w:val="clear" w:color="auto" w:fill="auto"/>
            <w:noWrap/>
            <w:vAlign w:val="center"/>
            <w:hideMark/>
          </w:tcPr>
          <w:p w:rsidR="00930C51" w:rsidRPr="00650880" w:rsidRDefault="00930C51" w:rsidP="00650880">
            <w:pPr>
              <w:spacing w:line="360" w:lineRule="auto"/>
              <w:rPr>
                <w:rFonts w:ascii="Arial" w:hAnsi="Arial" w:cs="Arial"/>
                <w:b/>
                <w:color w:val="000000"/>
              </w:rPr>
            </w:pPr>
            <w:r w:rsidRPr="00650880">
              <w:rPr>
                <w:rFonts w:ascii="Arial" w:hAnsi="Arial" w:cs="Arial"/>
                <w:b/>
                <w:color w:val="000000"/>
                <w:sz w:val="22"/>
                <w:szCs w:val="22"/>
                <w:lang w:val="en-US"/>
              </w:rPr>
              <w:t>Tablo 3</w:t>
            </w:r>
          </w:p>
        </w:tc>
        <w:tc>
          <w:tcPr>
            <w:tcW w:w="7088" w:type="dxa"/>
            <w:tcBorders>
              <w:top w:val="nil"/>
              <w:left w:val="nil"/>
              <w:bottom w:val="nil"/>
              <w:right w:val="nil"/>
            </w:tcBorders>
            <w:shd w:val="clear" w:color="auto" w:fill="auto"/>
            <w:noWrap/>
            <w:vAlign w:val="center"/>
            <w:hideMark/>
          </w:tcPr>
          <w:p w:rsidR="00930C51" w:rsidRPr="00650880" w:rsidRDefault="00FE73B2" w:rsidP="00650880">
            <w:pPr>
              <w:spacing w:line="360" w:lineRule="auto"/>
              <w:rPr>
                <w:rFonts w:ascii="Arial" w:hAnsi="Arial" w:cs="Arial"/>
                <w:color w:val="000000"/>
              </w:rPr>
            </w:pPr>
            <w:r w:rsidRPr="00650880">
              <w:rPr>
                <w:rFonts w:ascii="Arial" w:hAnsi="Arial" w:cs="Arial"/>
                <w:sz w:val="22"/>
                <w:szCs w:val="22"/>
              </w:rPr>
              <w:t>Olgu ve kontrol grubundaki çocukların cinsiyetleri</w:t>
            </w:r>
            <w:r w:rsidRPr="00650880">
              <w:rPr>
                <w:rFonts w:ascii="Arial" w:hAnsi="Arial" w:cs="Arial"/>
                <w:color w:val="000000"/>
                <w:sz w:val="22"/>
                <w:szCs w:val="22"/>
                <w:lang w:val="en-US"/>
              </w:rPr>
              <w:t xml:space="preserve"> </w:t>
            </w:r>
            <w:r w:rsidR="00930C51" w:rsidRPr="00650880">
              <w:rPr>
                <w:rFonts w:ascii="Arial" w:hAnsi="Arial" w:cs="Arial"/>
                <w:color w:val="000000"/>
                <w:sz w:val="22"/>
                <w:szCs w:val="22"/>
                <w:lang w:val="en-US"/>
              </w:rPr>
              <w:t>….……………</w:t>
            </w:r>
            <w:r w:rsidRPr="00650880">
              <w:rPr>
                <w:rFonts w:ascii="Arial" w:hAnsi="Arial" w:cs="Arial"/>
                <w:color w:val="000000"/>
                <w:sz w:val="22"/>
                <w:szCs w:val="22"/>
                <w:lang w:val="en-US"/>
              </w:rPr>
              <w:t>……...</w:t>
            </w:r>
          </w:p>
        </w:tc>
        <w:tc>
          <w:tcPr>
            <w:tcW w:w="778" w:type="dxa"/>
            <w:gridSpan w:val="2"/>
            <w:tcBorders>
              <w:top w:val="nil"/>
              <w:left w:val="nil"/>
              <w:bottom w:val="nil"/>
              <w:right w:val="nil"/>
            </w:tcBorders>
            <w:shd w:val="clear" w:color="auto" w:fill="auto"/>
            <w:noWrap/>
            <w:vAlign w:val="center"/>
            <w:hideMark/>
          </w:tcPr>
          <w:p w:rsidR="00930C51" w:rsidRPr="00650880" w:rsidRDefault="00E04D66" w:rsidP="00B53585">
            <w:pPr>
              <w:jc w:val="center"/>
              <w:rPr>
                <w:rFonts w:ascii="Arial" w:hAnsi="Arial" w:cs="Arial"/>
                <w:color w:val="000000"/>
              </w:rPr>
            </w:pPr>
            <w:r>
              <w:rPr>
                <w:rFonts w:ascii="Arial" w:hAnsi="Arial" w:cs="Arial"/>
                <w:color w:val="000000"/>
                <w:sz w:val="22"/>
                <w:szCs w:val="22"/>
              </w:rPr>
              <w:t>3</w:t>
            </w:r>
            <w:r w:rsidR="00E16AC1">
              <w:rPr>
                <w:rFonts w:ascii="Arial" w:hAnsi="Arial" w:cs="Arial"/>
                <w:color w:val="000000"/>
                <w:sz w:val="22"/>
                <w:szCs w:val="22"/>
              </w:rPr>
              <w:t>4</w:t>
            </w:r>
          </w:p>
        </w:tc>
      </w:tr>
      <w:tr w:rsidR="00930C51" w:rsidRPr="00650880" w:rsidTr="00457BA8">
        <w:trPr>
          <w:trHeight w:hRule="exact" w:val="702"/>
        </w:trPr>
        <w:tc>
          <w:tcPr>
            <w:tcW w:w="1291" w:type="dxa"/>
            <w:tcBorders>
              <w:top w:val="nil"/>
              <w:left w:val="nil"/>
              <w:bottom w:val="nil"/>
              <w:right w:val="nil"/>
            </w:tcBorders>
            <w:shd w:val="clear" w:color="auto" w:fill="auto"/>
            <w:noWrap/>
            <w:vAlign w:val="center"/>
            <w:hideMark/>
          </w:tcPr>
          <w:p w:rsidR="00930C51" w:rsidRPr="00650880" w:rsidRDefault="00930C51" w:rsidP="00650880">
            <w:pPr>
              <w:spacing w:line="360" w:lineRule="auto"/>
              <w:rPr>
                <w:rFonts w:ascii="Arial" w:hAnsi="Arial" w:cs="Arial"/>
                <w:b/>
                <w:color w:val="000000"/>
              </w:rPr>
            </w:pPr>
            <w:r w:rsidRPr="00650880">
              <w:rPr>
                <w:rFonts w:ascii="Arial" w:hAnsi="Arial" w:cs="Arial"/>
                <w:b/>
                <w:color w:val="000000"/>
                <w:sz w:val="22"/>
                <w:szCs w:val="22"/>
                <w:lang w:val="en-US"/>
              </w:rPr>
              <w:t>Tablo 4</w:t>
            </w:r>
          </w:p>
        </w:tc>
        <w:tc>
          <w:tcPr>
            <w:tcW w:w="7088" w:type="dxa"/>
            <w:tcBorders>
              <w:top w:val="nil"/>
              <w:left w:val="nil"/>
              <w:bottom w:val="nil"/>
              <w:right w:val="nil"/>
            </w:tcBorders>
            <w:shd w:val="clear" w:color="auto" w:fill="auto"/>
            <w:noWrap/>
            <w:vAlign w:val="center"/>
            <w:hideMark/>
          </w:tcPr>
          <w:p w:rsidR="00930C51" w:rsidRPr="00650880" w:rsidRDefault="00FE73B2" w:rsidP="00650880">
            <w:pPr>
              <w:spacing w:line="360" w:lineRule="auto"/>
              <w:rPr>
                <w:rFonts w:ascii="Arial" w:hAnsi="Arial" w:cs="Arial"/>
                <w:color w:val="000000"/>
              </w:rPr>
            </w:pPr>
            <w:r w:rsidRPr="00650880">
              <w:rPr>
                <w:rFonts w:ascii="Arial" w:hAnsi="Arial" w:cs="Arial"/>
                <w:sz w:val="22"/>
                <w:szCs w:val="22"/>
              </w:rPr>
              <w:t>Olgu ve kontrol grubundaki çocukların yaşları</w:t>
            </w:r>
            <w:r w:rsidRPr="00650880">
              <w:rPr>
                <w:rFonts w:ascii="Arial" w:hAnsi="Arial" w:cs="Arial"/>
                <w:color w:val="000000"/>
                <w:sz w:val="22"/>
                <w:szCs w:val="22"/>
                <w:lang w:val="en-US"/>
              </w:rPr>
              <w:t xml:space="preserve"> …….</w:t>
            </w:r>
            <w:r w:rsidR="00930C51" w:rsidRPr="00650880">
              <w:rPr>
                <w:rFonts w:ascii="Arial" w:hAnsi="Arial" w:cs="Arial"/>
                <w:color w:val="000000"/>
                <w:sz w:val="22"/>
                <w:szCs w:val="22"/>
                <w:lang w:val="en-US"/>
              </w:rPr>
              <w:t>………….………….</w:t>
            </w:r>
          </w:p>
        </w:tc>
        <w:tc>
          <w:tcPr>
            <w:tcW w:w="778" w:type="dxa"/>
            <w:gridSpan w:val="2"/>
            <w:tcBorders>
              <w:top w:val="nil"/>
              <w:left w:val="nil"/>
              <w:bottom w:val="nil"/>
              <w:right w:val="nil"/>
            </w:tcBorders>
            <w:shd w:val="clear" w:color="auto" w:fill="auto"/>
            <w:noWrap/>
            <w:vAlign w:val="center"/>
            <w:hideMark/>
          </w:tcPr>
          <w:p w:rsidR="00930C51" w:rsidRPr="00650880" w:rsidRDefault="00E04D66" w:rsidP="00B53585">
            <w:pPr>
              <w:jc w:val="center"/>
              <w:rPr>
                <w:rFonts w:ascii="Arial" w:hAnsi="Arial" w:cs="Arial"/>
                <w:color w:val="000000"/>
              </w:rPr>
            </w:pPr>
            <w:r>
              <w:rPr>
                <w:rFonts w:ascii="Arial" w:hAnsi="Arial" w:cs="Arial"/>
                <w:color w:val="000000"/>
                <w:sz w:val="22"/>
                <w:szCs w:val="22"/>
              </w:rPr>
              <w:t>3</w:t>
            </w:r>
            <w:r w:rsidR="00E16AC1">
              <w:rPr>
                <w:rFonts w:ascii="Arial" w:hAnsi="Arial" w:cs="Arial"/>
                <w:color w:val="000000"/>
                <w:sz w:val="22"/>
                <w:szCs w:val="22"/>
              </w:rPr>
              <w:t>4</w:t>
            </w:r>
          </w:p>
        </w:tc>
      </w:tr>
      <w:tr w:rsidR="00930C51" w:rsidRPr="00650880" w:rsidTr="00457BA8">
        <w:trPr>
          <w:trHeight w:val="702"/>
        </w:trPr>
        <w:tc>
          <w:tcPr>
            <w:tcW w:w="1291" w:type="dxa"/>
            <w:tcBorders>
              <w:top w:val="nil"/>
              <w:left w:val="nil"/>
              <w:bottom w:val="nil"/>
              <w:right w:val="nil"/>
            </w:tcBorders>
            <w:shd w:val="clear" w:color="auto" w:fill="auto"/>
            <w:noWrap/>
            <w:vAlign w:val="center"/>
            <w:hideMark/>
          </w:tcPr>
          <w:p w:rsidR="00930C51" w:rsidRPr="00650880" w:rsidRDefault="00930C51" w:rsidP="00650880">
            <w:pPr>
              <w:spacing w:line="360" w:lineRule="auto"/>
              <w:rPr>
                <w:rFonts w:ascii="Arial" w:hAnsi="Arial" w:cs="Arial"/>
                <w:b/>
                <w:color w:val="000000"/>
              </w:rPr>
            </w:pPr>
            <w:r w:rsidRPr="00650880">
              <w:rPr>
                <w:rFonts w:ascii="Arial" w:hAnsi="Arial" w:cs="Arial"/>
                <w:b/>
                <w:color w:val="000000"/>
                <w:sz w:val="22"/>
                <w:szCs w:val="22"/>
                <w:lang w:val="en-US"/>
              </w:rPr>
              <w:t>Tablo 5</w:t>
            </w:r>
          </w:p>
        </w:tc>
        <w:tc>
          <w:tcPr>
            <w:tcW w:w="7088" w:type="dxa"/>
            <w:tcBorders>
              <w:top w:val="nil"/>
              <w:left w:val="nil"/>
              <w:bottom w:val="nil"/>
              <w:right w:val="nil"/>
            </w:tcBorders>
            <w:shd w:val="clear" w:color="auto" w:fill="auto"/>
            <w:noWrap/>
            <w:vAlign w:val="center"/>
            <w:hideMark/>
          </w:tcPr>
          <w:p w:rsidR="00930C51" w:rsidRPr="00650880" w:rsidRDefault="00930C51" w:rsidP="00650880">
            <w:pPr>
              <w:spacing w:line="360" w:lineRule="auto"/>
              <w:rPr>
                <w:rFonts w:ascii="Arial" w:hAnsi="Arial" w:cs="Arial"/>
                <w:color w:val="000000"/>
              </w:rPr>
            </w:pPr>
            <w:r w:rsidRPr="00650880">
              <w:rPr>
                <w:rFonts w:ascii="Arial" w:hAnsi="Arial" w:cs="Arial"/>
                <w:color w:val="000000"/>
                <w:sz w:val="22"/>
                <w:szCs w:val="22"/>
              </w:rPr>
              <w:t>Ebeveynlerin eğitim düzeyleri …………………………………………..</w:t>
            </w:r>
            <w:r w:rsidR="00650880">
              <w:rPr>
                <w:rFonts w:ascii="Arial" w:hAnsi="Arial" w:cs="Arial"/>
                <w:color w:val="000000"/>
                <w:sz w:val="22"/>
                <w:szCs w:val="22"/>
              </w:rPr>
              <w:t>....</w:t>
            </w:r>
          </w:p>
        </w:tc>
        <w:tc>
          <w:tcPr>
            <w:tcW w:w="778" w:type="dxa"/>
            <w:gridSpan w:val="2"/>
            <w:tcBorders>
              <w:top w:val="nil"/>
              <w:left w:val="nil"/>
              <w:bottom w:val="nil"/>
              <w:right w:val="nil"/>
            </w:tcBorders>
            <w:shd w:val="clear" w:color="auto" w:fill="auto"/>
            <w:noWrap/>
            <w:vAlign w:val="center"/>
            <w:hideMark/>
          </w:tcPr>
          <w:p w:rsidR="00930C51" w:rsidRPr="00650880" w:rsidRDefault="00E04D66" w:rsidP="00B53585">
            <w:pPr>
              <w:jc w:val="center"/>
              <w:rPr>
                <w:rFonts w:ascii="Arial" w:hAnsi="Arial" w:cs="Arial"/>
                <w:color w:val="000000"/>
              </w:rPr>
            </w:pPr>
            <w:r>
              <w:rPr>
                <w:rFonts w:ascii="Arial" w:hAnsi="Arial" w:cs="Arial"/>
                <w:color w:val="000000"/>
                <w:sz w:val="22"/>
                <w:szCs w:val="22"/>
              </w:rPr>
              <w:t>3</w:t>
            </w:r>
            <w:r w:rsidR="00E16AC1">
              <w:rPr>
                <w:rFonts w:ascii="Arial" w:hAnsi="Arial" w:cs="Arial"/>
                <w:color w:val="000000"/>
                <w:sz w:val="22"/>
                <w:szCs w:val="22"/>
              </w:rPr>
              <w:t>5</w:t>
            </w:r>
          </w:p>
        </w:tc>
      </w:tr>
      <w:tr w:rsidR="00930C51" w:rsidRPr="00650880" w:rsidTr="00457BA8">
        <w:trPr>
          <w:trHeight w:hRule="exact" w:val="702"/>
        </w:trPr>
        <w:tc>
          <w:tcPr>
            <w:tcW w:w="1291" w:type="dxa"/>
            <w:tcBorders>
              <w:top w:val="nil"/>
              <w:left w:val="nil"/>
              <w:bottom w:val="nil"/>
              <w:right w:val="nil"/>
            </w:tcBorders>
            <w:shd w:val="clear" w:color="auto" w:fill="auto"/>
            <w:noWrap/>
            <w:vAlign w:val="center"/>
            <w:hideMark/>
          </w:tcPr>
          <w:p w:rsidR="00930C51" w:rsidRPr="00650880" w:rsidRDefault="00930C51" w:rsidP="00650880">
            <w:pPr>
              <w:spacing w:line="360" w:lineRule="auto"/>
              <w:rPr>
                <w:rFonts w:ascii="Arial" w:hAnsi="Arial" w:cs="Arial"/>
                <w:b/>
                <w:color w:val="000000"/>
              </w:rPr>
            </w:pPr>
            <w:r w:rsidRPr="00650880">
              <w:rPr>
                <w:rFonts w:ascii="Arial" w:hAnsi="Arial" w:cs="Arial"/>
                <w:b/>
                <w:color w:val="000000"/>
                <w:sz w:val="22"/>
                <w:szCs w:val="22"/>
                <w:lang w:val="en-US"/>
              </w:rPr>
              <w:t>Tablo 6</w:t>
            </w:r>
          </w:p>
        </w:tc>
        <w:tc>
          <w:tcPr>
            <w:tcW w:w="7088" w:type="dxa"/>
            <w:tcBorders>
              <w:top w:val="nil"/>
              <w:left w:val="nil"/>
              <w:bottom w:val="nil"/>
              <w:right w:val="nil"/>
            </w:tcBorders>
            <w:shd w:val="clear" w:color="auto" w:fill="auto"/>
            <w:noWrap/>
            <w:vAlign w:val="center"/>
            <w:hideMark/>
          </w:tcPr>
          <w:p w:rsidR="00930C51" w:rsidRPr="00650880" w:rsidRDefault="00930C51" w:rsidP="00650880">
            <w:pPr>
              <w:spacing w:line="360" w:lineRule="auto"/>
              <w:rPr>
                <w:rFonts w:ascii="Arial" w:hAnsi="Arial" w:cs="Arial"/>
                <w:color w:val="000000"/>
              </w:rPr>
            </w:pPr>
            <w:r w:rsidRPr="00650880">
              <w:rPr>
                <w:rFonts w:ascii="Arial" w:hAnsi="Arial" w:cs="Arial"/>
                <w:color w:val="000000"/>
                <w:sz w:val="22"/>
                <w:szCs w:val="22"/>
                <w:lang w:val="en-US"/>
              </w:rPr>
              <w:t>Anne-babaların çalışma durumları………………………………………</w:t>
            </w:r>
            <w:r w:rsidR="00650880">
              <w:rPr>
                <w:rFonts w:ascii="Arial" w:hAnsi="Arial" w:cs="Arial"/>
                <w:color w:val="000000"/>
                <w:sz w:val="22"/>
                <w:szCs w:val="22"/>
                <w:lang w:val="en-US"/>
              </w:rPr>
              <w:t>…</w:t>
            </w:r>
          </w:p>
        </w:tc>
        <w:tc>
          <w:tcPr>
            <w:tcW w:w="778" w:type="dxa"/>
            <w:gridSpan w:val="2"/>
            <w:tcBorders>
              <w:top w:val="nil"/>
              <w:left w:val="nil"/>
              <w:bottom w:val="nil"/>
              <w:right w:val="nil"/>
            </w:tcBorders>
            <w:shd w:val="clear" w:color="auto" w:fill="auto"/>
            <w:noWrap/>
            <w:vAlign w:val="center"/>
            <w:hideMark/>
          </w:tcPr>
          <w:p w:rsidR="00930C51" w:rsidRPr="00650880" w:rsidRDefault="00E04D66" w:rsidP="00650880">
            <w:pPr>
              <w:jc w:val="center"/>
              <w:rPr>
                <w:rFonts w:ascii="Arial" w:hAnsi="Arial" w:cs="Arial"/>
                <w:color w:val="000000"/>
              </w:rPr>
            </w:pPr>
            <w:r>
              <w:rPr>
                <w:rFonts w:ascii="Arial" w:hAnsi="Arial" w:cs="Arial"/>
                <w:color w:val="000000"/>
                <w:sz w:val="22"/>
                <w:szCs w:val="22"/>
              </w:rPr>
              <w:t>3</w:t>
            </w:r>
            <w:r w:rsidR="00E16AC1">
              <w:rPr>
                <w:rFonts w:ascii="Arial" w:hAnsi="Arial" w:cs="Arial"/>
                <w:color w:val="000000"/>
                <w:sz w:val="22"/>
                <w:szCs w:val="22"/>
              </w:rPr>
              <w:t>6</w:t>
            </w:r>
          </w:p>
        </w:tc>
      </w:tr>
      <w:tr w:rsidR="00930C51" w:rsidRPr="00650880" w:rsidTr="00457BA8">
        <w:trPr>
          <w:trHeight w:val="702"/>
        </w:trPr>
        <w:tc>
          <w:tcPr>
            <w:tcW w:w="1291" w:type="dxa"/>
            <w:tcBorders>
              <w:top w:val="nil"/>
              <w:left w:val="nil"/>
              <w:bottom w:val="nil"/>
              <w:right w:val="nil"/>
            </w:tcBorders>
            <w:shd w:val="clear" w:color="auto" w:fill="auto"/>
            <w:noWrap/>
            <w:vAlign w:val="center"/>
            <w:hideMark/>
          </w:tcPr>
          <w:p w:rsidR="00930C51" w:rsidRPr="00650880" w:rsidRDefault="00930C51" w:rsidP="00650880">
            <w:pPr>
              <w:spacing w:line="360" w:lineRule="auto"/>
              <w:rPr>
                <w:rFonts w:ascii="Arial" w:hAnsi="Arial" w:cs="Arial"/>
                <w:b/>
                <w:color w:val="000000"/>
              </w:rPr>
            </w:pPr>
            <w:r w:rsidRPr="00650880">
              <w:rPr>
                <w:rFonts w:ascii="Arial" w:hAnsi="Arial" w:cs="Arial"/>
                <w:b/>
                <w:color w:val="000000"/>
                <w:sz w:val="22"/>
                <w:szCs w:val="22"/>
                <w:lang w:val="en-US"/>
              </w:rPr>
              <w:t>Tablo 7</w:t>
            </w:r>
          </w:p>
        </w:tc>
        <w:tc>
          <w:tcPr>
            <w:tcW w:w="7088" w:type="dxa"/>
            <w:tcBorders>
              <w:top w:val="nil"/>
              <w:left w:val="nil"/>
              <w:bottom w:val="nil"/>
              <w:right w:val="nil"/>
            </w:tcBorders>
            <w:shd w:val="clear" w:color="auto" w:fill="auto"/>
            <w:noWrap/>
            <w:vAlign w:val="center"/>
            <w:hideMark/>
          </w:tcPr>
          <w:p w:rsidR="00930C51" w:rsidRPr="00650880" w:rsidRDefault="00930C51" w:rsidP="00650880">
            <w:pPr>
              <w:spacing w:line="360" w:lineRule="auto"/>
              <w:rPr>
                <w:rFonts w:ascii="Arial" w:hAnsi="Arial" w:cs="Arial"/>
                <w:color w:val="000000"/>
              </w:rPr>
            </w:pPr>
            <w:r w:rsidRPr="00650880">
              <w:rPr>
                <w:rFonts w:ascii="Arial" w:hAnsi="Arial" w:cs="Arial"/>
                <w:color w:val="000000"/>
                <w:sz w:val="22"/>
                <w:szCs w:val="22"/>
              </w:rPr>
              <w:t>Olgu ve kontrol grubundaki çocukların ailelerinde toplam çocuk sayısı..</w:t>
            </w:r>
            <w:r w:rsidR="00650880">
              <w:rPr>
                <w:rFonts w:ascii="Arial" w:hAnsi="Arial" w:cs="Arial"/>
                <w:color w:val="000000"/>
                <w:sz w:val="22"/>
                <w:szCs w:val="22"/>
              </w:rPr>
              <w:t>.</w:t>
            </w:r>
          </w:p>
        </w:tc>
        <w:tc>
          <w:tcPr>
            <w:tcW w:w="778" w:type="dxa"/>
            <w:gridSpan w:val="2"/>
            <w:tcBorders>
              <w:top w:val="nil"/>
              <w:left w:val="nil"/>
              <w:bottom w:val="nil"/>
              <w:right w:val="nil"/>
            </w:tcBorders>
            <w:shd w:val="clear" w:color="auto" w:fill="auto"/>
            <w:noWrap/>
            <w:vAlign w:val="center"/>
            <w:hideMark/>
          </w:tcPr>
          <w:p w:rsidR="00930C51" w:rsidRPr="00650880" w:rsidRDefault="00E04D66" w:rsidP="00B53585">
            <w:pPr>
              <w:jc w:val="center"/>
              <w:rPr>
                <w:rFonts w:ascii="Arial" w:hAnsi="Arial" w:cs="Arial"/>
                <w:color w:val="000000"/>
              </w:rPr>
            </w:pPr>
            <w:r>
              <w:rPr>
                <w:rFonts w:ascii="Arial" w:hAnsi="Arial" w:cs="Arial"/>
                <w:color w:val="000000"/>
                <w:sz w:val="22"/>
                <w:szCs w:val="22"/>
              </w:rPr>
              <w:t>3</w:t>
            </w:r>
            <w:r w:rsidR="00E16AC1">
              <w:rPr>
                <w:rFonts w:ascii="Arial" w:hAnsi="Arial" w:cs="Arial"/>
                <w:color w:val="000000"/>
                <w:sz w:val="22"/>
                <w:szCs w:val="22"/>
              </w:rPr>
              <w:t>7</w:t>
            </w:r>
          </w:p>
        </w:tc>
      </w:tr>
      <w:tr w:rsidR="00930C51" w:rsidRPr="00650880" w:rsidTr="00457BA8">
        <w:trPr>
          <w:trHeight w:val="702"/>
        </w:trPr>
        <w:tc>
          <w:tcPr>
            <w:tcW w:w="1291" w:type="dxa"/>
            <w:tcBorders>
              <w:top w:val="nil"/>
              <w:left w:val="nil"/>
              <w:bottom w:val="nil"/>
              <w:right w:val="nil"/>
            </w:tcBorders>
            <w:shd w:val="clear" w:color="auto" w:fill="auto"/>
            <w:noWrap/>
            <w:vAlign w:val="center"/>
            <w:hideMark/>
          </w:tcPr>
          <w:p w:rsidR="00930C51" w:rsidRPr="00650880" w:rsidRDefault="00930C51" w:rsidP="00650880">
            <w:pPr>
              <w:spacing w:line="360" w:lineRule="auto"/>
              <w:rPr>
                <w:rFonts w:ascii="Arial" w:hAnsi="Arial" w:cs="Arial"/>
                <w:b/>
                <w:color w:val="000000"/>
              </w:rPr>
            </w:pPr>
            <w:r w:rsidRPr="00650880">
              <w:rPr>
                <w:rFonts w:ascii="Arial" w:hAnsi="Arial" w:cs="Arial"/>
                <w:b/>
                <w:color w:val="000000"/>
                <w:sz w:val="22"/>
                <w:szCs w:val="22"/>
                <w:lang w:val="en-US"/>
              </w:rPr>
              <w:t>Tablo 8</w:t>
            </w:r>
          </w:p>
        </w:tc>
        <w:tc>
          <w:tcPr>
            <w:tcW w:w="7088" w:type="dxa"/>
            <w:tcBorders>
              <w:top w:val="nil"/>
              <w:left w:val="nil"/>
              <w:bottom w:val="nil"/>
              <w:right w:val="nil"/>
            </w:tcBorders>
            <w:shd w:val="clear" w:color="auto" w:fill="auto"/>
            <w:noWrap/>
            <w:vAlign w:val="center"/>
            <w:hideMark/>
          </w:tcPr>
          <w:p w:rsidR="00930C51" w:rsidRPr="00650880" w:rsidRDefault="00930C51" w:rsidP="00650880">
            <w:pPr>
              <w:spacing w:line="360" w:lineRule="auto"/>
              <w:rPr>
                <w:rFonts w:ascii="Arial" w:hAnsi="Arial" w:cs="Arial"/>
                <w:color w:val="000000"/>
              </w:rPr>
            </w:pPr>
            <w:r w:rsidRPr="00650880">
              <w:rPr>
                <w:rFonts w:ascii="Arial" w:hAnsi="Arial" w:cs="Arial"/>
                <w:color w:val="000000"/>
                <w:sz w:val="22"/>
                <w:szCs w:val="22"/>
              </w:rPr>
              <w:t>Olgu ve kontrol grub</w:t>
            </w:r>
            <w:r w:rsidR="00650880">
              <w:rPr>
                <w:rFonts w:ascii="Arial" w:hAnsi="Arial" w:cs="Arial"/>
                <w:color w:val="000000"/>
                <w:sz w:val="22"/>
                <w:szCs w:val="22"/>
              </w:rPr>
              <w:t>undaki çocukların aile yapıları...</w:t>
            </w:r>
            <w:r w:rsidRPr="00650880">
              <w:rPr>
                <w:rFonts w:ascii="Arial" w:hAnsi="Arial" w:cs="Arial"/>
                <w:color w:val="000000"/>
                <w:sz w:val="22"/>
                <w:szCs w:val="22"/>
              </w:rPr>
              <w:t>……………………</w:t>
            </w:r>
          </w:p>
        </w:tc>
        <w:tc>
          <w:tcPr>
            <w:tcW w:w="778" w:type="dxa"/>
            <w:gridSpan w:val="2"/>
            <w:tcBorders>
              <w:top w:val="nil"/>
              <w:left w:val="nil"/>
              <w:bottom w:val="nil"/>
              <w:right w:val="nil"/>
            </w:tcBorders>
            <w:shd w:val="clear" w:color="auto" w:fill="auto"/>
            <w:noWrap/>
            <w:vAlign w:val="center"/>
            <w:hideMark/>
          </w:tcPr>
          <w:p w:rsidR="00930C51" w:rsidRPr="00650880" w:rsidRDefault="00E04D66" w:rsidP="00E04D66">
            <w:pPr>
              <w:jc w:val="center"/>
              <w:rPr>
                <w:rFonts w:ascii="Arial" w:hAnsi="Arial" w:cs="Arial"/>
                <w:color w:val="000000"/>
              </w:rPr>
            </w:pPr>
            <w:r>
              <w:rPr>
                <w:rFonts w:ascii="Arial" w:hAnsi="Arial" w:cs="Arial"/>
                <w:color w:val="000000"/>
                <w:sz w:val="22"/>
                <w:szCs w:val="22"/>
              </w:rPr>
              <w:t>3</w:t>
            </w:r>
            <w:r w:rsidR="00E16AC1">
              <w:rPr>
                <w:rFonts w:ascii="Arial" w:hAnsi="Arial" w:cs="Arial"/>
                <w:color w:val="000000"/>
                <w:sz w:val="22"/>
                <w:szCs w:val="22"/>
              </w:rPr>
              <w:t>7</w:t>
            </w:r>
          </w:p>
        </w:tc>
      </w:tr>
      <w:tr w:rsidR="00930C51" w:rsidRPr="00650880" w:rsidTr="00457BA8">
        <w:trPr>
          <w:trHeight w:val="594"/>
        </w:trPr>
        <w:tc>
          <w:tcPr>
            <w:tcW w:w="1291" w:type="dxa"/>
            <w:tcBorders>
              <w:top w:val="nil"/>
              <w:left w:val="nil"/>
              <w:bottom w:val="nil"/>
              <w:right w:val="nil"/>
            </w:tcBorders>
            <w:shd w:val="clear" w:color="auto" w:fill="auto"/>
            <w:noWrap/>
            <w:vAlign w:val="center"/>
          </w:tcPr>
          <w:p w:rsidR="00930C51" w:rsidRPr="00650880" w:rsidRDefault="00930C51" w:rsidP="00650880">
            <w:pPr>
              <w:spacing w:line="360" w:lineRule="auto"/>
              <w:rPr>
                <w:rFonts w:ascii="Arial" w:hAnsi="Arial" w:cs="Arial"/>
                <w:b/>
                <w:color w:val="000000"/>
                <w:lang w:val="en-US"/>
              </w:rPr>
            </w:pPr>
            <w:r w:rsidRPr="00650880">
              <w:rPr>
                <w:rFonts w:ascii="Arial" w:hAnsi="Arial" w:cs="Arial"/>
                <w:b/>
                <w:color w:val="000000"/>
                <w:sz w:val="22"/>
                <w:szCs w:val="22"/>
                <w:lang w:val="en-US"/>
              </w:rPr>
              <w:t>Tablo 9</w:t>
            </w:r>
          </w:p>
        </w:tc>
        <w:tc>
          <w:tcPr>
            <w:tcW w:w="7088" w:type="dxa"/>
            <w:tcBorders>
              <w:top w:val="nil"/>
              <w:left w:val="nil"/>
              <w:bottom w:val="nil"/>
              <w:right w:val="nil"/>
            </w:tcBorders>
            <w:shd w:val="clear" w:color="auto" w:fill="auto"/>
            <w:noWrap/>
            <w:vAlign w:val="center"/>
          </w:tcPr>
          <w:p w:rsidR="00930C51" w:rsidRPr="00650880" w:rsidRDefault="00930C51" w:rsidP="00650880">
            <w:pPr>
              <w:spacing w:line="360" w:lineRule="auto"/>
              <w:rPr>
                <w:rFonts w:ascii="Arial" w:hAnsi="Arial" w:cs="Arial"/>
                <w:color w:val="000000"/>
              </w:rPr>
            </w:pPr>
            <w:r w:rsidRPr="00650880">
              <w:rPr>
                <w:rFonts w:ascii="Arial" w:hAnsi="Arial" w:cs="Arial"/>
                <w:color w:val="000000"/>
                <w:sz w:val="22"/>
                <w:szCs w:val="22"/>
                <w:lang w:val="en-US"/>
              </w:rPr>
              <w:t>Olgu ve kontrol grubundaki çocukların ailelerinin aylık gelir düzeyi…...</w:t>
            </w:r>
          </w:p>
        </w:tc>
        <w:tc>
          <w:tcPr>
            <w:tcW w:w="778" w:type="dxa"/>
            <w:gridSpan w:val="2"/>
            <w:tcBorders>
              <w:top w:val="nil"/>
              <w:left w:val="nil"/>
              <w:bottom w:val="nil"/>
              <w:right w:val="nil"/>
            </w:tcBorders>
            <w:shd w:val="clear" w:color="auto" w:fill="auto"/>
            <w:noWrap/>
            <w:vAlign w:val="center"/>
          </w:tcPr>
          <w:p w:rsidR="00930C51" w:rsidRPr="00650880" w:rsidRDefault="00E04D66" w:rsidP="00B53585">
            <w:pPr>
              <w:jc w:val="center"/>
              <w:rPr>
                <w:rFonts w:ascii="Arial" w:hAnsi="Arial" w:cs="Arial"/>
                <w:color w:val="000000"/>
              </w:rPr>
            </w:pPr>
            <w:r>
              <w:rPr>
                <w:rFonts w:ascii="Arial" w:hAnsi="Arial" w:cs="Arial"/>
                <w:color w:val="000000"/>
                <w:sz w:val="22"/>
                <w:szCs w:val="22"/>
              </w:rPr>
              <w:t>3</w:t>
            </w:r>
            <w:r w:rsidR="00E16AC1">
              <w:rPr>
                <w:rFonts w:ascii="Arial" w:hAnsi="Arial" w:cs="Arial"/>
                <w:color w:val="000000"/>
                <w:sz w:val="22"/>
                <w:szCs w:val="22"/>
              </w:rPr>
              <w:t>8</w:t>
            </w:r>
          </w:p>
        </w:tc>
      </w:tr>
      <w:tr w:rsidR="00930C51" w:rsidRPr="00650880" w:rsidTr="00457BA8">
        <w:trPr>
          <w:trHeight w:val="702"/>
        </w:trPr>
        <w:tc>
          <w:tcPr>
            <w:tcW w:w="1291" w:type="dxa"/>
            <w:tcBorders>
              <w:top w:val="nil"/>
              <w:left w:val="nil"/>
              <w:bottom w:val="nil"/>
              <w:right w:val="nil"/>
            </w:tcBorders>
            <w:shd w:val="clear" w:color="auto" w:fill="auto"/>
            <w:noWrap/>
            <w:vAlign w:val="center"/>
          </w:tcPr>
          <w:p w:rsidR="00650880" w:rsidRDefault="00650880" w:rsidP="00650880">
            <w:pPr>
              <w:spacing w:line="360" w:lineRule="auto"/>
              <w:rPr>
                <w:rFonts w:ascii="Arial" w:hAnsi="Arial" w:cs="Arial"/>
                <w:b/>
                <w:color w:val="000000"/>
                <w:lang w:val="en-US"/>
              </w:rPr>
            </w:pPr>
          </w:p>
          <w:p w:rsidR="00930C51" w:rsidRPr="00650880" w:rsidRDefault="00930C51" w:rsidP="00650880">
            <w:pPr>
              <w:spacing w:line="360" w:lineRule="auto"/>
              <w:rPr>
                <w:rFonts w:ascii="Arial" w:hAnsi="Arial" w:cs="Arial"/>
                <w:b/>
                <w:color w:val="000000"/>
                <w:lang w:val="en-US"/>
              </w:rPr>
            </w:pPr>
            <w:r w:rsidRPr="00650880">
              <w:rPr>
                <w:rFonts w:ascii="Arial" w:hAnsi="Arial" w:cs="Arial"/>
                <w:b/>
                <w:color w:val="000000"/>
                <w:sz w:val="22"/>
                <w:szCs w:val="22"/>
                <w:lang w:val="en-US"/>
              </w:rPr>
              <w:t>Tablo 10</w:t>
            </w:r>
          </w:p>
          <w:p w:rsidR="00B53585" w:rsidRPr="00650880" w:rsidRDefault="00B53585" w:rsidP="00650880">
            <w:pPr>
              <w:spacing w:line="360" w:lineRule="auto"/>
              <w:rPr>
                <w:rFonts w:ascii="Arial" w:hAnsi="Arial" w:cs="Arial"/>
                <w:b/>
                <w:color w:val="000000"/>
                <w:lang w:val="en-US"/>
              </w:rPr>
            </w:pPr>
          </w:p>
          <w:p w:rsidR="00B53585" w:rsidRPr="00650880" w:rsidRDefault="00B53585" w:rsidP="00650880">
            <w:pPr>
              <w:spacing w:line="360" w:lineRule="auto"/>
              <w:rPr>
                <w:rFonts w:ascii="Arial" w:hAnsi="Arial" w:cs="Arial"/>
                <w:b/>
                <w:color w:val="000000"/>
                <w:lang w:val="en-US"/>
              </w:rPr>
            </w:pPr>
          </w:p>
        </w:tc>
        <w:tc>
          <w:tcPr>
            <w:tcW w:w="7088" w:type="dxa"/>
            <w:tcBorders>
              <w:top w:val="nil"/>
              <w:left w:val="nil"/>
              <w:bottom w:val="nil"/>
              <w:right w:val="nil"/>
            </w:tcBorders>
            <w:shd w:val="clear" w:color="auto" w:fill="auto"/>
            <w:noWrap/>
            <w:vAlign w:val="center"/>
          </w:tcPr>
          <w:p w:rsidR="00930C51" w:rsidRPr="00650880" w:rsidRDefault="00FE73B2" w:rsidP="00650880">
            <w:pPr>
              <w:spacing w:line="360" w:lineRule="auto"/>
              <w:rPr>
                <w:rFonts w:ascii="Arial" w:hAnsi="Arial" w:cs="Arial"/>
                <w:color w:val="000000"/>
                <w:lang w:val="en-US"/>
              </w:rPr>
            </w:pPr>
            <w:r w:rsidRPr="00650880">
              <w:rPr>
                <w:rFonts w:ascii="Arial" w:hAnsi="Arial" w:cs="Arial"/>
                <w:color w:val="000000"/>
                <w:sz w:val="22"/>
                <w:szCs w:val="22"/>
              </w:rPr>
              <w:t>Olgu ve kontrol gruplarındaki çocukların birinci derece akrabalarında fiziksel ve ruhsal hastalık tanısı varlığı………………………………….</w:t>
            </w:r>
            <w:r w:rsidR="00650880">
              <w:rPr>
                <w:rFonts w:ascii="Arial" w:hAnsi="Arial" w:cs="Arial"/>
                <w:color w:val="000000"/>
                <w:sz w:val="22"/>
                <w:szCs w:val="22"/>
              </w:rPr>
              <w:t>.</w:t>
            </w:r>
          </w:p>
        </w:tc>
        <w:tc>
          <w:tcPr>
            <w:tcW w:w="778" w:type="dxa"/>
            <w:gridSpan w:val="2"/>
            <w:tcBorders>
              <w:top w:val="nil"/>
              <w:left w:val="nil"/>
              <w:bottom w:val="nil"/>
              <w:right w:val="nil"/>
            </w:tcBorders>
            <w:shd w:val="clear" w:color="auto" w:fill="auto"/>
            <w:noWrap/>
            <w:vAlign w:val="center"/>
          </w:tcPr>
          <w:p w:rsidR="00930C51" w:rsidRPr="00650880" w:rsidRDefault="00E04D66" w:rsidP="00650880">
            <w:pPr>
              <w:jc w:val="center"/>
              <w:rPr>
                <w:rFonts w:ascii="Arial" w:hAnsi="Arial" w:cs="Arial"/>
                <w:color w:val="000000"/>
              </w:rPr>
            </w:pPr>
            <w:r>
              <w:rPr>
                <w:rFonts w:ascii="Arial" w:hAnsi="Arial" w:cs="Arial"/>
                <w:color w:val="000000"/>
                <w:sz w:val="22"/>
                <w:szCs w:val="22"/>
              </w:rPr>
              <w:t>3</w:t>
            </w:r>
            <w:r w:rsidR="00E16AC1">
              <w:rPr>
                <w:rFonts w:ascii="Arial" w:hAnsi="Arial" w:cs="Arial"/>
                <w:color w:val="000000"/>
                <w:sz w:val="22"/>
                <w:szCs w:val="22"/>
              </w:rPr>
              <w:t>8</w:t>
            </w:r>
          </w:p>
        </w:tc>
      </w:tr>
      <w:tr w:rsidR="00930C51" w:rsidRPr="00650880" w:rsidTr="00457BA8">
        <w:trPr>
          <w:trHeight w:val="702"/>
        </w:trPr>
        <w:tc>
          <w:tcPr>
            <w:tcW w:w="1291" w:type="dxa"/>
            <w:tcBorders>
              <w:top w:val="nil"/>
              <w:left w:val="nil"/>
              <w:bottom w:val="nil"/>
              <w:right w:val="nil"/>
            </w:tcBorders>
            <w:shd w:val="clear" w:color="auto" w:fill="auto"/>
            <w:noWrap/>
          </w:tcPr>
          <w:p w:rsidR="00930C51" w:rsidRPr="00650880" w:rsidRDefault="00930C51" w:rsidP="00B53585">
            <w:pPr>
              <w:spacing w:line="360" w:lineRule="auto"/>
              <w:rPr>
                <w:rFonts w:ascii="Arial" w:hAnsi="Arial" w:cs="Arial"/>
                <w:b/>
                <w:color w:val="000000"/>
                <w:lang w:val="en-US"/>
              </w:rPr>
            </w:pPr>
            <w:r w:rsidRPr="00650880">
              <w:rPr>
                <w:rFonts w:ascii="Arial" w:hAnsi="Arial" w:cs="Arial"/>
                <w:b/>
                <w:color w:val="000000"/>
                <w:sz w:val="22"/>
                <w:szCs w:val="22"/>
                <w:lang w:val="en-US"/>
              </w:rPr>
              <w:t>Tablo 11</w:t>
            </w:r>
          </w:p>
        </w:tc>
        <w:tc>
          <w:tcPr>
            <w:tcW w:w="7088" w:type="dxa"/>
            <w:tcBorders>
              <w:top w:val="nil"/>
              <w:left w:val="nil"/>
              <w:bottom w:val="nil"/>
              <w:right w:val="nil"/>
            </w:tcBorders>
            <w:shd w:val="clear" w:color="auto" w:fill="auto"/>
            <w:noWrap/>
          </w:tcPr>
          <w:p w:rsidR="00930C51" w:rsidRPr="00650880" w:rsidRDefault="00FE73B2" w:rsidP="00650880">
            <w:pPr>
              <w:spacing w:line="360" w:lineRule="auto"/>
              <w:rPr>
                <w:rFonts w:ascii="Arial" w:hAnsi="Arial" w:cs="Arial"/>
                <w:color w:val="000000"/>
              </w:rPr>
            </w:pPr>
            <w:r w:rsidRPr="00650880">
              <w:rPr>
                <w:rFonts w:ascii="Arial" w:hAnsi="Arial" w:cs="Arial"/>
                <w:sz w:val="22"/>
                <w:szCs w:val="22"/>
              </w:rPr>
              <w:t>Olgu ve kontrol grubundaki çocukların doğum şekli.............................</w:t>
            </w:r>
            <w:r w:rsidR="00650880">
              <w:rPr>
                <w:rFonts w:ascii="Arial" w:hAnsi="Arial" w:cs="Arial"/>
                <w:sz w:val="22"/>
                <w:szCs w:val="22"/>
              </w:rPr>
              <w:t>.</w:t>
            </w:r>
          </w:p>
        </w:tc>
        <w:tc>
          <w:tcPr>
            <w:tcW w:w="778" w:type="dxa"/>
            <w:gridSpan w:val="2"/>
            <w:tcBorders>
              <w:top w:val="nil"/>
              <w:left w:val="nil"/>
              <w:bottom w:val="nil"/>
              <w:right w:val="nil"/>
            </w:tcBorders>
            <w:shd w:val="clear" w:color="auto" w:fill="auto"/>
            <w:noWrap/>
          </w:tcPr>
          <w:p w:rsidR="00930C51" w:rsidRPr="00650880" w:rsidRDefault="00E04D66" w:rsidP="00650880">
            <w:pPr>
              <w:jc w:val="center"/>
              <w:rPr>
                <w:rFonts w:ascii="Arial" w:hAnsi="Arial" w:cs="Arial"/>
                <w:color w:val="000000"/>
              </w:rPr>
            </w:pPr>
            <w:r>
              <w:rPr>
                <w:rFonts w:ascii="Arial" w:hAnsi="Arial" w:cs="Arial"/>
                <w:color w:val="000000"/>
                <w:sz w:val="22"/>
                <w:szCs w:val="22"/>
              </w:rPr>
              <w:t>3</w:t>
            </w:r>
            <w:r w:rsidR="00E16AC1">
              <w:rPr>
                <w:rFonts w:ascii="Arial" w:hAnsi="Arial" w:cs="Arial"/>
                <w:color w:val="000000"/>
                <w:sz w:val="22"/>
                <w:szCs w:val="22"/>
              </w:rPr>
              <w:t>9</w:t>
            </w:r>
          </w:p>
        </w:tc>
      </w:tr>
      <w:tr w:rsidR="00930C51" w:rsidRPr="00650880" w:rsidTr="00457BA8">
        <w:trPr>
          <w:trHeight w:hRule="exact" w:val="702"/>
        </w:trPr>
        <w:tc>
          <w:tcPr>
            <w:tcW w:w="1291" w:type="dxa"/>
            <w:tcBorders>
              <w:top w:val="nil"/>
              <w:left w:val="nil"/>
              <w:bottom w:val="nil"/>
              <w:right w:val="nil"/>
            </w:tcBorders>
            <w:shd w:val="clear" w:color="auto" w:fill="auto"/>
            <w:noWrap/>
            <w:hideMark/>
          </w:tcPr>
          <w:p w:rsidR="00930C51" w:rsidRPr="00650880" w:rsidRDefault="00930C51" w:rsidP="00B53585">
            <w:pPr>
              <w:spacing w:line="360" w:lineRule="auto"/>
              <w:rPr>
                <w:rFonts w:ascii="Arial" w:hAnsi="Arial" w:cs="Arial"/>
                <w:b/>
                <w:color w:val="000000"/>
              </w:rPr>
            </w:pPr>
            <w:r w:rsidRPr="00650880">
              <w:rPr>
                <w:rFonts w:ascii="Arial" w:hAnsi="Arial" w:cs="Arial"/>
                <w:b/>
                <w:color w:val="000000"/>
                <w:sz w:val="22"/>
                <w:szCs w:val="22"/>
                <w:lang w:val="en-US"/>
              </w:rPr>
              <w:t>Tablo 12</w:t>
            </w:r>
          </w:p>
        </w:tc>
        <w:tc>
          <w:tcPr>
            <w:tcW w:w="7088" w:type="dxa"/>
            <w:tcBorders>
              <w:top w:val="nil"/>
              <w:left w:val="nil"/>
              <w:bottom w:val="nil"/>
              <w:right w:val="nil"/>
            </w:tcBorders>
            <w:shd w:val="clear" w:color="auto" w:fill="auto"/>
            <w:noWrap/>
            <w:hideMark/>
          </w:tcPr>
          <w:p w:rsidR="00930C51" w:rsidRPr="00650880" w:rsidRDefault="00FE73B2" w:rsidP="00B53585">
            <w:pPr>
              <w:spacing w:line="360" w:lineRule="auto"/>
              <w:rPr>
                <w:rFonts w:ascii="Arial" w:hAnsi="Arial" w:cs="Arial"/>
                <w:color w:val="000000"/>
              </w:rPr>
            </w:pPr>
            <w:r w:rsidRPr="00650880">
              <w:rPr>
                <w:rFonts w:ascii="Arial" w:hAnsi="Arial" w:cs="Arial"/>
                <w:sz w:val="22"/>
                <w:szCs w:val="22"/>
              </w:rPr>
              <w:t>Olgu ve kontrol grubundaki çocukların doğum haftaları</w:t>
            </w:r>
            <w:r w:rsidRPr="00650880">
              <w:rPr>
                <w:rFonts w:ascii="Arial" w:hAnsi="Arial" w:cs="Arial"/>
                <w:color w:val="000000"/>
                <w:sz w:val="22"/>
                <w:szCs w:val="22"/>
                <w:lang w:val="en-US"/>
              </w:rPr>
              <w:t xml:space="preserve"> </w:t>
            </w:r>
            <w:r w:rsidR="00930C51" w:rsidRPr="00650880">
              <w:rPr>
                <w:rFonts w:ascii="Arial" w:hAnsi="Arial" w:cs="Arial"/>
                <w:color w:val="000000"/>
                <w:sz w:val="22"/>
                <w:szCs w:val="22"/>
                <w:lang w:val="en-US"/>
              </w:rPr>
              <w:t>……………</w:t>
            </w:r>
            <w:r w:rsidR="00650880">
              <w:rPr>
                <w:rFonts w:ascii="Arial" w:hAnsi="Arial" w:cs="Arial"/>
                <w:color w:val="000000"/>
                <w:sz w:val="22"/>
                <w:szCs w:val="22"/>
                <w:lang w:val="en-US"/>
              </w:rPr>
              <w:t>….</w:t>
            </w:r>
          </w:p>
        </w:tc>
        <w:tc>
          <w:tcPr>
            <w:tcW w:w="778" w:type="dxa"/>
            <w:gridSpan w:val="2"/>
            <w:tcBorders>
              <w:top w:val="nil"/>
              <w:left w:val="nil"/>
              <w:bottom w:val="nil"/>
              <w:right w:val="nil"/>
            </w:tcBorders>
            <w:shd w:val="clear" w:color="auto" w:fill="auto"/>
            <w:noWrap/>
            <w:hideMark/>
          </w:tcPr>
          <w:p w:rsidR="00930C51" w:rsidRPr="00650880" w:rsidRDefault="00E04D66" w:rsidP="00E16AC1">
            <w:pPr>
              <w:jc w:val="center"/>
              <w:rPr>
                <w:rFonts w:ascii="Arial" w:hAnsi="Arial" w:cs="Arial"/>
                <w:color w:val="000000"/>
              </w:rPr>
            </w:pPr>
            <w:r>
              <w:rPr>
                <w:rFonts w:ascii="Arial" w:hAnsi="Arial" w:cs="Arial"/>
                <w:color w:val="000000"/>
                <w:sz w:val="22"/>
                <w:szCs w:val="22"/>
              </w:rPr>
              <w:t>3</w:t>
            </w:r>
            <w:r w:rsidR="00E16AC1">
              <w:rPr>
                <w:rFonts w:ascii="Arial" w:hAnsi="Arial" w:cs="Arial"/>
                <w:color w:val="000000"/>
                <w:sz w:val="22"/>
                <w:szCs w:val="22"/>
              </w:rPr>
              <w:t>9</w:t>
            </w:r>
          </w:p>
        </w:tc>
      </w:tr>
      <w:tr w:rsidR="00930C51" w:rsidRPr="00650880" w:rsidTr="00457BA8">
        <w:trPr>
          <w:trHeight w:val="702"/>
        </w:trPr>
        <w:tc>
          <w:tcPr>
            <w:tcW w:w="1291" w:type="dxa"/>
            <w:tcBorders>
              <w:top w:val="nil"/>
              <w:left w:val="nil"/>
              <w:bottom w:val="nil"/>
              <w:right w:val="nil"/>
            </w:tcBorders>
            <w:shd w:val="clear" w:color="auto" w:fill="auto"/>
            <w:noWrap/>
            <w:hideMark/>
          </w:tcPr>
          <w:p w:rsidR="00930C51" w:rsidRPr="00650880" w:rsidRDefault="00930C51" w:rsidP="00B53585">
            <w:pPr>
              <w:spacing w:line="360" w:lineRule="auto"/>
              <w:rPr>
                <w:rFonts w:ascii="Arial" w:hAnsi="Arial" w:cs="Arial"/>
                <w:b/>
                <w:color w:val="000000"/>
              </w:rPr>
            </w:pPr>
            <w:r w:rsidRPr="00650880">
              <w:rPr>
                <w:rFonts w:ascii="Arial" w:hAnsi="Arial" w:cs="Arial"/>
                <w:b/>
                <w:color w:val="000000"/>
                <w:sz w:val="22"/>
                <w:szCs w:val="22"/>
              </w:rPr>
              <w:t>Tablo 13</w:t>
            </w:r>
          </w:p>
        </w:tc>
        <w:tc>
          <w:tcPr>
            <w:tcW w:w="7088" w:type="dxa"/>
            <w:tcBorders>
              <w:top w:val="nil"/>
              <w:left w:val="nil"/>
              <w:bottom w:val="nil"/>
              <w:right w:val="nil"/>
            </w:tcBorders>
            <w:shd w:val="clear" w:color="auto" w:fill="auto"/>
            <w:noWrap/>
            <w:hideMark/>
          </w:tcPr>
          <w:p w:rsidR="00930C51" w:rsidRPr="00650880" w:rsidRDefault="00FE73B2" w:rsidP="00B53585">
            <w:pPr>
              <w:spacing w:line="360" w:lineRule="auto"/>
              <w:rPr>
                <w:rFonts w:ascii="Arial" w:hAnsi="Arial" w:cs="Arial"/>
                <w:color w:val="000000"/>
              </w:rPr>
            </w:pPr>
            <w:r w:rsidRPr="00650880">
              <w:rPr>
                <w:rFonts w:ascii="Arial" w:hAnsi="Arial" w:cs="Arial"/>
                <w:sz w:val="22"/>
                <w:szCs w:val="22"/>
              </w:rPr>
              <w:t>Olgu ve kontrol grubundaki çocukların doğum kiloları</w:t>
            </w:r>
            <w:r w:rsidR="00930C51" w:rsidRPr="00650880">
              <w:rPr>
                <w:rFonts w:ascii="Arial" w:hAnsi="Arial" w:cs="Arial"/>
                <w:color w:val="000000"/>
                <w:sz w:val="22"/>
                <w:szCs w:val="22"/>
              </w:rPr>
              <w:t>………………</w:t>
            </w:r>
            <w:r w:rsidR="00650880">
              <w:rPr>
                <w:rFonts w:ascii="Arial" w:hAnsi="Arial" w:cs="Arial"/>
                <w:color w:val="000000"/>
                <w:sz w:val="22"/>
                <w:szCs w:val="22"/>
              </w:rPr>
              <w:t>.</w:t>
            </w:r>
            <w:r w:rsidR="00B53585" w:rsidRPr="00650880">
              <w:rPr>
                <w:rFonts w:ascii="Arial" w:hAnsi="Arial" w:cs="Arial"/>
                <w:color w:val="000000"/>
                <w:sz w:val="22"/>
                <w:szCs w:val="22"/>
              </w:rPr>
              <w:t>.</w:t>
            </w:r>
            <w:r w:rsidR="00650880">
              <w:rPr>
                <w:rFonts w:ascii="Arial" w:hAnsi="Arial" w:cs="Arial"/>
                <w:color w:val="000000"/>
                <w:sz w:val="22"/>
                <w:szCs w:val="22"/>
              </w:rPr>
              <w:t>..</w:t>
            </w:r>
          </w:p>
        </w:tc>
        <w:tc>
          <w:tcPr>
            <w:tcW w:w="778" w:type="dxa"/>
            <w:gridSpan w:val="2"/>
            <w:tcBorders>
              <w:top w:val="nil"/>
              <w:left w:val="nil"/>
              <w:bottom w:val="nil"/>
              <w:right w:val="nil"/>
            </w:tcBorders>
            <w:shd w:val="clear" w:color="auto" w:fill="auto"/>
            <w:noWrap/>
            <w:hideMark/>
          </w:tcPr>
          <w:p w:rsidR="00930C51" w:rsidRPr="00650880" w:rsidRDefault="00E16AC1" w:rsidP="00650880">
            <w:pPr>
              <w:jc w:val="center"/>
              <w:rPr>
                <w:rFonts w:ascii="Arial" w:hAnsi="Arial" w:cs="Arial"/>
                <w:color w:val="000000"/>
              </w:rPr>
            </w:pPr>
            <w:r>
              <w:rPr>
                <w:rFonts w:ascii="Arial" w:hAnsi="Arial" w:cs="Arial"/>
                <w:color w:val="000000"/>
                <w:sz w:val="22"/>
                <w:szCs w:val="22"/>
              </w:rPr>
              <w:t>40</w:t>
            </w:r>
          </w:p>
        </w:tc>
      </w:tr>
      <w:tr w:rsidR="00930C51" w:rsidRPr="00650880" w:rsidTr="00457BA8">
        <w:trPr>
          <w:trHeight w:val="702"/>
        </w:trPr>
        <w:tc>
          <w:tcPr>
            <w:tcW w:w="1291" w:type="dxa"/>
            <w:tcBorders>
              <w:top w:val="nil"/>
              <w:left w:val="nil"/>
              <w:bottom w:val="nil"/>
              <w:right w:val="nil"/>
            </w:tcBorders>
            <w:shd w:val="clear" w:color="auto" w:fill="auto"/>
            <w:noWrap/>
          </w:tcPr>
          <w:p w:rsidR="00930C51" w:rsidRPr="00650880" w:rsidRDefault="00930C51" w:rsidP="00B53585">
            <w:pPr>
              <w:spacing w:line="360" w:lineRule="auto"/>
              <w:rPr>
                <w:rFonts w:ascii="Arial" w:hAnsi="Arial" w:cs="Arial"/>
                <w:b/>
                <w:color w:val="000000"/>
              </w:rPr>
            </w:pPr>
            <w:r w:rsidRPr="00650880">
              <w:rPr>
                <w:rFonts w:ascii="Arial" w:hAnsi="Arial" w:cs="Arial"/>
                <w:b/>
                <w:color w:val="000000"/>
                <w:sz w:val="22"/>
                <w:szCs w:val="22"/>
              </w:rPr>
              <w:t>Tablo 14</w:t>
            </w:r>
          </w:p>
        </w:tc>
        <w:tc>
          <w:tcPr>
            <w:tcW w:w="7088" w:type="dxa"/>
            <w:tcBorders>
              <w:top w:val="nil"/>
              <w:left w:val="nil"/>
              <w:bottom w:val="nil"/>
              <w:right w:val="nil"/>
            </w:tcBorders>
            <w:shd w:val="clear" w:color="auto" w:fill="auto"/>
            <w:noWrap/>
          </w:tcPr>
          <w:p w:rsidR="00930C51" w:rsidRPr="00650880" w:rsidRDefault="00FE73B2" w:rsidP="00650880">
            <w:pPr>
              <w:spacing w:line="360" w:lineRule="auto"/>
              <w:rPr>
                <w:rFonts w:ascii="Arial" w:hAnsi="Arial" w:cs="Arial"/>
              </w:rPr>
            </w:pPr>
            <w:r w:rsidRPr="00650880">
              <w:rPr>
                <w:rFonts w:ascii="Arial" w:hAnsi="Arial" w:cs="Arial"/>
                <w:sz w:val="22"/>
                <w:szCs w:val="22"/>
              </w:rPr>
              <w:t>Olgu ve kontrol grubundaki çocukların IU maternal sigara maruziyeti</w:t>
            </w:r>
            <w:r w:rsidR="00650880">
              <w:rPr>
                <w:rFonts w:ascii="Arial" w:hAnsi="Arial" w:cs="Arial"/>
                <w:sz w:val="22"/>
                <w:szCs w:val="22"/>
              </w:rPr>
              <w:t>.</w:t>
            </w:r>
          </w:p>
        </w:tc>
        <w:tc>
          <w:tcPr>
            <w:tcW w:w="778" w:type="dxa"/>
            <w:gridSpan w:val="2"/>
            <w:tcBorders>
              <w:top w:val="nil"/>
              <w:left w:val="nil"/>
              <w:bottom w:val="nil"/>
              <w:right w:val="nil"/>
            </w:tcBorders>
            <w:shd w:val="clear" w:color="auto" w:fill="auto"/>
            <w:noWrap/>
          </w:tcPr>
          <w:p w:rsidR="00930C51" w:rsidRPr="00650880" w:rsidRDefault="00E04D66" w:rsidP="00650880">
            <w:pPr>
              <w:jc w:val="center"/>
              <w:rPr>
                <w:rFonts w:ascii="Arial" w:hAnsi="Arial" w:cs="Arial"/>
                <w:color w:val="000000"/>
              </w:rPr>
            </w:pPr>
            <w:r>
              <w:rPr>
                <w:rFonts w:ascii="Arial" w:hAnsi="Arial" w:cs="Arial"/>
                <w:color w:val="000000"/>
                <w:sz w:val="22"/>
                <w:szCs w:val="22"/>
              </w:rPr>
              <w:t>4</w:t>
            </w:r>
            <w:r w:rsidR="00E16AC1">
              <w:rPr>
                <w:rFonts w:ascii="Arial" w:hAnsi="Arial" w:cs="Arial"/>
                <w:color w:val="000000"/>
                <w:sz w:val="22"/>
                <w:szCs w:val="22"/>
              </w:rPr>
              <w:t>1</w:t>
            </w:r>
          </w:p>
        </w:tc>
      </w:tr>
      <w:tr w:rsidR="00930C51" w:rsidRPr="00650880" w:rsidTr="00457BA8">
        <w:trPr>
          <w:trHeight w:val="702"/>
        </w:trPr>
        <w:tc>
          <w:tcPr>
            <w:tcW w:w="1291" w:type="dxa"/>
            <w:tcBorders>
              <w:top w:val="nil"/>
              <w:left w:val="nil"/>
              <w:bottom w:val="nil"/>
              <w:right w:val="nil"/>
            </w:tcBorders>
            <w:shd w:val="clear" w:color="auto" w:fill="auto"/>
            <w:noWrap/>
          </w:tcPr>
          <w:p w:rsidR="00930C51" w:rsidRPr="00650880" w:rsidRDefault="00930C51" w:rsidP="00B53585">
            <w:pPr>
              <w:spacing w:line="360" w:lineRule="auto"/>
              <w:rPr>
                <w:rFonts w:ascii="Arial" w:hAnsi="Arial" w:cs="Arial"/>
                <w:b/>
                <w:color w:val="000000"/>
              </w:rPr>
            </w:pPr>
            <w:r w:rsidRPr="00650880">
              <w:rPr>
                <w:rFonts w:ascii="Arial" w:hAnsi="Arial" w:cs="Arial"/>
                <w:b/>
                <w:color w:val="000000"/>
                <w:sz w:val="22"/>
                <w:szCs w:val="22"/>
              </w:rPr>
              <w:t>Tablo 15</w:t>
            </w:r>
          </w:p>
        </w:tc>
        <w:tc>
          <w:tcPr>
            <w:tcW w:w="7088" w:type="dxa"/>
            <w:tcBorders>
              <w:top w:val="nil"/>
              <w:left w:val="nil"/>
              <w:bottom w:val="nil"/>
              <w:right w:val="nil"/>
            </w:tcBorders>
            <w:shd w:val="clear" w:color="auto" w:fill="auto"/>
            <w:noWrap/>
          </w:tcPr>
          <w:p w:rsidR="00930C51" w:rsidRPr="00650880" w:rsidRDefault="00FE73B2" w:rsidP="00B53585">
            <w:pPr>
              <w:spacing w:line="360" w:lineRule="auto"/>
              <w:rPr>
                <w:rFonts w:ascii="Arial" w:hAnsi="Arial" w:cs="Arial"/>
              </w:rPr>
            </w:pPr>
            <w:r w:rsidRPr="00650880">
              <w:rPr>
                <w:rFonts w:ascii="Arial" w:hAnsi="Arial" w:cs="Arial"/>
                <w:sz w:val="22"/>
                <w:szCs w:val="22"/>
              </w:rPr>
              <w:t>Olgu ve kontrol grubundaki çocukların annelerinde gebelikte hastalık varlığı</w:t>
            </w:r>
            <w:r w:rsidR="005610A3" w:rsidRPr="00650880">
              <w:rPr>
                <w:rFonts w:ascii="Arial" w:hAnsi="Arial" w:cs="Arial"/>
                <w:color w:val="000000"/>
                <w:sz w:val="22"/>
                <w:szCs w:val="22"/>
                <w:lang w:val="en-US"/>
              </w:rPr>
              <w:t>.......................................................</w:t>
            </w:r>
            <w:r w:rsidR="00650880">
              <w:rPr>
                <w:rFonts w:ascii="Arial" w:hAnsi="Arial" w:cs="Arial"/>
                <w:color w:val="000000"/>
                <w:sz w:val="22"/>
                <w:szCs w:val="22"/>
                <w:lang w:val="en-US"/>
              </w:rPr>
              <w:t>................................................</w:t>
            </w:r>
          </w:p>
        </w:tc>
        <w:tc>
          <w:tcPr>
            <w:tcW w:w="778" w:type="dxa"/>
            <w:gridSpan w:val="2"/>
            <w:tcBorders>
              <w:top w:val="nil"/>
              <w:left w:val="nil"/>
              <w:bottom w:val="nil"/>
              <w:right w:val="nil"/>
            </w:tcBorders>
            <w:shd w:val="clear" w:color="auto" w:fill="auto"/>
            <w:noWrap/>
            <w:vAlign w:val="center"/>
          </w:tcPr>
          <w:p w:rsidR="00930C51" w:rsidRPr="00650880" w:rsidRDefault="00E04D66" w:rsidP="00650880">
            <w:pPr>
              <w:jc w:val="center"/>
              <w:rPr>
                <w:rFonts w:ascii="Arial" w:hAnsi="Arial" w:cs="Arial"/>
                <w:color w:val="000000"/>
              </w:rPr>
            </w:pPr>
            <w:r>
              <w:rPr>
                <w:rFonts w:ascii="Arial" w:hAnsi="Arial" w:cs="Arial"/>
                <w:color w:val="000000"/>
                <w:sz w:val="22"/>
                <w:szCs w:val="22"/>
              </w:rPr>
              <w:t>4</w:t>
            </w:r>
            <w:r w:rsidR="00E16AC1">
              <w:rPr>
                <w:rFonts w:ascii="Arial" w:hAnsi="Arial" w:cs="Arial"/>
                <w:color w:val="000000"/>
                <w:sz w:val="22"/>
                <w:szCs w:val="22"/>
              </w:rPr>
              <w:t>1</w:t>
            </w:r>
          </w:p>
        </w:tc>
      </w:tr>
      <w:tr w:rsidR="00930C51" w:rsidRPr="00650880" w:rsidTr="00457BA8">
        <w:trPr>
          <w:trHeight w:val="702"/>
        </w:trPr>
        <w:tc>
          <w:tcPr>
            <w:tcW w:w="1291" w:type="dxa"/>
            <w:tcBorders>
              <w:top w:val="nil"/>
              <w:left w:val="nil"/>
              <w:bottom w:val="nil"/>
              <w:right w:val="nil"/>
            </w:tcBorders>
            <w:shd w:val="clear" w:color="auto" w:fill="auto"/>
            <w:noWrap/>
          </w:tcPr>
          <w:p w:rsidR="00930C51" w:rsidRPr="00650880" w:rsidRDefault="00930C51" w:rsidP="00B53585">
            <w:pPr>
              <w:spacing w:line="360" w:lineRule="auto"/>
              <w:rPr>
                <w:rFonts w:ascii="Arial" w:hAnsi="Arial" w:cs="Arial"/>
                <w:b/>
                <w:color w:val="000000"/>
              </w:rPr>
            </w:pPr>
            <w:r w:rsidRPr="00650880">
              <w:rPr>
                <w:rFonts w:ascii="Arial" w:hAnsi="Arial" w:cs="Arial"/>
                <w:b/>
                <w:color w:val="000000"/>
                <w:sz w:val="22"/>
                <w:szCs w:val="22"/>
              </w:rPr>
              <w:lastRenderedPageBreak/>
              <w:t>Tablo 16</w:t>
            </w:r>
          </w:p>
        </w:tc>
        <w:tc>
          <w:tcPr>
            <w:tcW w:w="7088" w:type="dxa"/>
            <w:tcBorders>
              <w:top w:val="nil"/>
              <w:left w:val="nil"/>
              <w:bottom w:val="nil"/>
              <w:right w:val="nil"/>
            </w:tcBorders>
            <w:shd w:val="clear" w:color="auto" w:fill="auto"/>
            <w:noWrap/>
          </w:tcPr>
          <w:p w:rsidR="00930C51" w:rsidRPr="00650880" w:rsidRDefault="00FE73B2" w:rsidP="00650880">
            <w:pPr>
              <w:spacing w:line="360" w:lineRule="auto"/>
              <w:rPr>
                <w:rFonts w:ascii="Arial" w:hAnsi="Arial" w:cs="Arial"/>
              </w:rPr>
            </w:pPr>
            <w:r w:rsidRPr="00650880">
              <w:rPr>
                <w:rFonts w:ascii="Arial" w:hAnsi="Arial" w:cs="Arial"/>
                <w:sz w:val="22"/>
                <w:szCs w:val="22"/>
              </w:rPr>
              <w:t>Olgu ve kontrol grubundaki çocukların ders başarısı</w:t>
            </w:r>
            <w:r w:rsidR="00930C51" w:rsidRPr="00650880">
              <w:rPr>
                <w:rFonts w:ascii="Arial" w:hAnsi="Arial" w:cs="Arial"/>
                <w:sz w:val="22"/>
                <w:szCs w:val="22"/>
              </w:rPr>
              <w:t>……………</w:t>
            </w:r>
            <w:r w:rsidR="00650880">
              <w:rPr>
                <w:rFonts w:ascii="Arial" w:hAnsi="Arial" w:cs="Arial"/>
                <w:sz w:val="22"/>
                <w:szCs w:val="22"/>
              </w:rPr>
              <w:t>............</w:t>
            </w:r>
          </w:p>
        </w:tc>
        <w:tc>
          <w:tcPr>
            <w:tcW w:w="778" w:type="dxa"/>
            <w:gridSpan w:val="2"/>
            <w:tcBorders>
              <w:top w:val="nil"/>
              <w:left w:val="nil"/>
              <w:bottom w:val="nil"/>
              <w:right w:val="nil"/>
            </w:tcBorders>
            <w:shd w:val="clear" w:color="auto" w:fill="auto"/>
            <w:noWrap/>
          </w:tcPr>
          <w:p w:rsidR="00930C51" w:rsidRPr="00650880" w:rsidRDefault="00E04D66" w:rsidP="00650880">
            <w:pPr>
              <w:jc w:val="center"/>
              <w:rPr>
                <w:rFonts w:ascii="Arial" w:hAnsi="Arial" w:cs="Arial"/>
                <w:color w:val="000000"/>
              </w:rPr>
            </w:pPr>
            <w:r>
              <w:rPr>
                <w:rFonts w:ascii="Arial" w:hAnsi="Arial" w:cs="Arial"/>
                <w:color w:val="000000"/>
                <w:sz w:val="22"/>
                <w:szCs w:val="22"/>
              </w:rPr>
              <w:t>4</w:t>
            </w:r>
            <w:r w:rsidR="00E16AC1">
              <w:rPr>
                <w:rFonts w:ascii="Arial" w:hAnsi="Arial" w:cs="Arial"/>
                <w:color w:val="000000"/>
                <w:sz w:val="22"/>
                <w:szCs w:val="22"/>
              </w:rPr>
              <w:t>2</w:t>
            </w:r>
          </w:p>
        </w:tc>
      </w:tr>
      <w:tr w:rsidR="00930C51" w:rsidRPr="00650880" w:rsidTr="00457BA8">
        <w:trPr>
          <w:trHeight w:val="702"/>
        </w:trPr>
        <w:tc>
          <w:tcPr>
            <w:tcW w:w="1291" w:type="dxa"/>
            <w:tcBorders>
              <w:top w:val="nil"/>
              <w:left w:val="nil"/>
              <w:bottom w:val="nil"/>
              <w:right w:val="nil"/>
            </w:tcBorders>
            <w:shd w:val="clear" w:color="auto" w:fill="auto"/>
            <w:noWrap/>
          </w:tcPr>
          <w:p w:rsidR="00930C51" w:rsidRPr="00650880" w:rsidRDefault="00930C51" w:rsidP="00FE73B2">
            <w:pPr>
              <w:rPr>
                <w:rFonts w:ascii="Arial" w:hAnsi="Arial" w:cs="Arial"/>
                <w:b/>
                <w:color w:val="000000"/>
              </w:rPr>
            </w:pPr>
            <w:r w:rsidRPr="00650880">
              <w:rPr>
                <w:rFonts w:ascii="Arial" w:hAnsi="Arial" w:cs="Arial"/>
                <w:b/>
                <w:color w:val="000000"/>
                <w:sz w:val="22"/>
                <w:szCs w:val="22"/>
              </w:rPr>
              <w:t>Tablo 17</w:t>
            </w:r>
          </w:p>
        </w:tc>
        <w:tc>
          <w:tcPr>
            <w:tcW w:w="7088" w:type="dxa"/>
            <w:tcBorders>
              <w:top w:val="nil"/>
              <w:left w:val="nil"/>
              <w:bottom w:val="nil"/>
              <w:right w:val="nil"/>
            </w:tcBorders>
            <w:shd w:val="clear" w:color="auto" w:fill="auto"/>
            <w:noWrap/>
          </w:tcPr>
          <w:p w:rsidR="00930C51" w:rsidRPr="00650880" w:rsidRDefault="00FE73B2" w:rsidP="00FE73B2">
            <w:pPr>
              <w:rPr>
                <w:rFonts w:ascii="Arial" w:hAnsi="Arial" w:cs="Arial"/>
              </w:rPr>
            </w:pPr>
            <w:r w:rsidRPr="00650880">
              <w:rPr>
                <w:rFonts w:ascii="Arial" w:hAnsi="Arial" w:cs="Arial"/>
                <w:sz w:val="22"/>
                <w:szCs w:val="22"/>
              </w:rPr>
              <w:t xml:space="preserve">Olguve kontrol grubundaki çocukların okul ödevlerini yapabilme durumları </w:t>
            </w:r>
            <w:r w:rsidR="00930C51" w:rsidRPr="00650880">
              <w:rPr>
                <w:rFonts w:ascii="Arial" w:hAnsi="Arial" w:cs="Arial"/>
                <w:sz w:val="22"/>
                <w:szCs w:val="22"/>
              </w:rPr>
              <w:t>…………………………………………………………………….</w:t>
            </w:r>
          </w:p>
        </w:tc>
        <w:tc>
          <w:tcPr>
            <w:tcW w:w="778" w:type="dxa"/>
            <w:gridSpan w:val="2"/>
            <w:tcBorders>
              <w:top w:val="nil"/>
              <w:left w:val="nil"/>
              <w:bottom w:val="nil"/>
              <w:right w:val="nil"/>
            </w:tcBorders>
            <w:shd w:val="clear" w:color="auto" w:fill="auto"/>
            <w:noWrap/>
            <w:vAlign w:val="center"/>
          </w:tcPr>
          <w:p w:rsidR="00930C51" w:rsidRPr="00650880" w:rsidRDefault="00E04D66" w:rsidP="00457BA8">
            <w:pPr>
              <w:jc w:val="center"/>
              <w:rPr>
                <w:rFonts w:ascii="Arial" w:hAnsi="Arial" w:cs="Arial"/>
                <w:color w:val="000000"/>
              </w:rPr>
            </w:pPr>
            <w:r>
              <w:rPr>
                <w:rFonts w:ascii="Arial" w:hAnsi="Arial" w:cs="Arial"/>
                <w:color w:val="000000"/>
                <w:sz w:val="22"/>
                <w:szCs w:val="22"/>
              </w:rPr>
              <w:t>4</w:t>
            </w:r>
            <w:r w:rsidR="00E16AC1">
              <w:rPr>
                <w:rFonts w:ascii="Arial" w:hAnsi="Arial" w:cs="Arial"/>
                <w:color w:val="000000"/>
                <w:sz w:val="22"/>
                <w:szCs w:val="22"/>
              </w:rPr>
              <w:t>3</w:t>
            </w:r>
          </w:p>
        </w:tc>
      </w:tr>
      <w:tr w:rsidR="00457BA8" w:rsidRPr="00650880" w:rsidTr="00457BA8">
        <w:trPr>
          <w:trHeight w:hRule="exact" w:val="702"/>
        </w:trPr>
        <w:tc>
          <w:tcPr>
            <w:tcW w:w="1291" w:type="dxa"/>
            <w:tcBorders>
              <w:top w:val="nil"/>
              <w:left w:val="nil"/>
              <w:bottom w:val="nil"/>
              <w:right w:val="nil"/>
            </w:tcBorders>
            <w:shd w:val="clear" w:color="auto" w:fill="auto"/>
            <w:noWrap/>
            <w:hideMark/>
          </w:tcPr>
          <w:p w:rsidR="00457BA8" w:rsidRPr="00650880" w:rsidRDefault="00457BA8" w:rsidP="00FE73B2">
            <w:pPr>
              <w:rPr>
                <w:rFonts w:ascii="Arial" w:hAnsi="Arial" w:cs="Arial"/>
                <w:b/>
                <w:color w:val="000000"/>
                <w:lang w:val="en-US"/>
              </w:rPr>
            </w:pPr>
            <w:r w:rsidRPr="00650880">
              <w:rPr>
                <w:rFonts w:ascii="Arial" w:hAnsi="Arial" w:cs="Arial"/>
                <w:b/>
                <w:color w:val="000000"/>
                <w:sz w:val="22"/>
                <w:szCs w:val="22"/>
                <w:lang w:val="en-US"/>
              </w:rPr>
              <w:t>Tablo 18</w:t>
            </w:r>
          </w:p>
        </w:tc>
        <w:tc>
          <w:tcPr>
            <w:tcW w:w="7866" w:type="dxa"/>
            <w:gridSpan w:val="3"/>
            <w:tcBorders>
              <w:top w:val="nil"/>
              <w:left w:val="nil"/>
              <w:bottom w:val="nil"/>
              <w:right w:val="nil"/>
            </w:tcBorders>
            <w:shd w:val="clear" w:color="auto" w:fill="auto"/>
            <w:noWrap/>
            <w:hideMark/>
          </w:tcPr>
          <w:p w:rsidR="00457BA8" w:rsidRPr="00650880" w:rsidRDefault="00457BA8" w:rsidP="00FE73B2">
            <w:pPr>
              <w:rPr>
                <w:rFonts w:ascii="Arial" w:hAnsi="Arial" w:cs="Arial"/>
              </w:rPr>
            </w:pPr>
            <w:r w:rsidRPr="00650880">
              <w:rPr>
                <w:rFonts w:ascii="Arial" w:hAnsi="Arial" w:cs="Arial"/>
                <w:sz w:val="22"/>
                <w:szCs w:val="22"/>
              </w:rPr>
              <w:t>Olgu ve kontrol grubundaki çocukların akran lişkileri</w:t>
            </w:r>
            <w:r>
              <w:rPr>
                <w:rFonts w:ascii="Arial" w:hAnsi="Arial" w:cs="Arial"/>
                <w:sz w:val="22"/>
                <w:szCs w:val="22"/>
              </w:rPr>
              <w:t xml:space="preserve">…………………....        </w:t>
            </w:r>
            <w:r w:rsidR="00E04D66">
              <w:rPr>
                <w:rFonts w:ascii="Arial" w:hAnsi="Arial" w:cs="Arial"/>
                <w:sz w:val="22"/>
                <w:szCs w:val="22"/>
              </w:rPr>
              <w:t>4</w:t>
            </w:r>
            <w:r w:rsidR="00E16AC1">
              <w:rPr>
                <w:rFonts w:ascii="Arial" w:hAnsi="Arial" w:cs="Arial"/>
                <w:sz w:val="22"/>
                <w:szCs w:val="22"/>
              </w:rPr>
              <w:t>3</w:t>
            </w:r>
          </w:p>
          <w:p w:rsidR="00457BA8" w:rsidRPr="00650880" w:rsidRDefault="00457BA8" w:rsidP="00FE73B2">
            <w:pPr>
              <w:rPr>
                <w:rFonts w:ascii="Arial" w:hAnsi="Arial" w:cs="Arial"/>
                <w:color w:val="000000"/>
              </w:rPr>
            </w:pPr>
          </w:p>
        </w:tc>
      </w:tr>
      <w:tr w:rsidR="00FE73B2" w:rsidRPr="00650880" w:rsidTr="00457BA8">
        <w:trPr>
          <w:trHeight w:hRule="exact" w:val="702"/>
        </w:trPr>
        <w:tc>
          <w:tcPr>
            <w:tcW w:w="1291" w:type="dxa"/>
            <w:tcBorders>
              <w:top w:val="nil"/>
              <w:left w:val="nil"/>
              <w:bottom w:val="nil"/>
              <w:right w:val="nil"/>
            </w:tcBorders>
            <w:shd w:val="clear" w:color="auto" w:fill="auto"/>
            <w:noWrap/>
            <w:hideMark/>
          </w:tcPr>
          <w:p w:rsidR="00FE73B2" w:rsidRPr="00650880" w:rsidRDefault="00FE73B2" w:rsidP="003D368C">
            <w:pPr>
              <w:rPr>
                <w:rFonts w:ascii="Arial" w:hAnsi="Arial" w:cs="Arial"/>
                <w:b/>
                <w:color w:val="000000"/>
                <w:lang w:val="en-US"/>
              </w:rPr>
            </w:pPr>
            <w:r w:rsidRPr="00650880">
              <w:rPr>
                <w:rFonts w:ascii="Arial" w:hAnsi="Arial" w:cs="Arial"/>
                <w:b/>
                <w:color w:val="000000"/>
                <w:sz w:val="22"/>
                <w:szCs w:val="22"/>
                <w:lang w:val="en-US"/>
              </w:rPr>
              <w:t>Tablo 19</w:t>
            </w:r>
          </w:p>
        </w:tc>
        <w:tc>
          <w:tcPr>
            <w:tcW w:w="7094" w:type="dxa"/>
            <w:gridSpan w:val="2"/>
            <w:tcBorders>
              <w:top w:val="nil"/>
              <w:left w:val="nil"/>
              <w:bottom w:val="nil"/>
              <w:right w:val="nil"/>
            </w:tcBorders>
            <w:shd w:val="clear" w:color="auto" w:fill="auto"/>
            <w:noWrap/>
            <w:hideMark/>
          </w:tcPr>
          <w:p w:rsidR="00FE73B2" w:rsidRPr="00650880" w:rsidRDefault="00FE73B2" w:rsidP="003D368C">
            <w:pPr>
              <w:rPr>
                <w:rFonts w:ascii="Arial" w:hAnsi="Arial" w:cs="Arial"/>
              </w:rPr>
            </w:pPr>
            <w:r w:rsidRPr="00650880">
              <w:rPr>
                <w:rFonts w:ascii="Arial" w:hAnsi="Arial" w:cs="Arial"/>
                <w:sz w:val="22"/>
                <w:szCs w:val="22"/>
              </w:rPr>
              <w:t>Olgu ve kontrol grubundaki çocukların akran ilişkileri</w:t>
            </w:r>
            <w:r w:rsidR="00457BA8">
              <w:rPr>
                <w:rFonts w:ascii="Arial" w:hAnsi="Arial" w:cs="Arial"/>
                <w:sz w:val="22"/>
                <w:szCs w:val="22"/>
              </w:rPr>
              <w:t>..............................</w:t>
            </w:r>
          </w:p>
        </w:tc>
        <w:tc>
          <w:tcPr>
            <w:tcW w:w="772" w:type="dxa"/>
            <w:tcBorders>
              <w:top w:val="nil"/>
              <w:left w:val="nil"/>
              <w:bottom w:val="nil"/>
              <w:right w:val="nil"/>
            </w:tcBorders>
            <w:shd w:val="clear" w:color="auto" w:fill="auto"/>
            <w:noWrap/>
            <w:hideMark/>
          </w:tcPr>
          <w:p w:rsidR="00FE73B2" w:rsidRPr="00650880" w:rsidRDefault="00E04D66" w:rsidP="00457BA8">
            <w:pPr>
              <w:jc w:val="center"/>
              <w:rPr>
                <w:rFonts w:ascii="Arial" w:hAnsi="Arial" w:cs="Arial"/>
                <w:color w:val="000000"/>
              </w:rPr>
            </w:pPr>
            <w:r>
              <w:rPr>
                <w:rFonts w:ascii="Arial" w:hAnsi="Arial" w:cs="Arial"/>
                <w:color w:val="000000"/>
                <w:sz w:val="22"/>
                <w:szCs w:val="22"/>
              </w:rPr>
              <w:t>4</w:t>
            </w:r>
            <w:r w:rsidR="00E16AC1">
              <w:rPr>
                <w:rFonts w:ascii="Arial" w:hAnsi="Arial" w:cs="Arial"/>
                <w:color w:val="000000"/>
                <w:sz w:val="22"/>
                <w:szCs w:val="22"/>
              </w:rPr>
              <w:t>4</w:t>
            </w:r>
          </w:p>
        </w:tc>
      </w:tr>
      <w:tr w:rsidR="00FE73B2" w:rsidRPr="00650880" w:rsidTr="00457BA8">
        <w:trPr>
          <w:trHeight w:hRule="exact" w:val="702"/>
        </w:trPr>
        <w:tc>
          <w:tcPr>
            <w:tcW w:w="1291" w:type="dxa"/>
            <w:tcBorders>
              <w:top w:val="nil"/>
              <w:left w:val="nil"/>
              <w:bottom w:val="nil"/>
              <w:right w:val="nil"/>
            </w:tcBorders>
            <w:shd w:val="clear" w:color="auto" w:fill="auto"/>
            <w:noWrap/>
            <w:hideMark/>
          </w:tcPr>
          <w:p w:rsidR="00FE73B2" w:rsidRPr="00650880" w:rsidRDefault="00FE73B2" w:rsidP="00FE73B2">
            <w:pPr>
              <w:rPr>
                <w:rFonts w:ascii="Arial" w:hAnsi="Arial" w:cs="Arial"/>
                <w:b/>
                <w:color w:val="000000"/>
                <w:lang w:val="en-US"/>
              </w:rPr>
            </w:pPr>
            <w:r w:rsidRPr="00650880">
              <w:rPr>
                <w:rFonts w:ascii="Arial" w:hAnsi="Arial" w:cs="Arial"/>
                <w:b/>
                <w:color w:val="000000"/>
                <w:sz w:val="22"/>
                <w:szCs w:val="22"/>
                <w:lang w:val="en-US"/>
              </w:rPr>
              <w:t>Tablo 20</w:t>
            </w:r>
          </w:p>
        </w:tc>
        <w:tc>
          <w:tcPr>
            <w:tcW w:w="7094" w:type="dxa"/>
            <w:gridSpan w:val="2"/>
            <w:tcBorders>
              <w:top w:val="nil"/>
              <w:left w:val="nil"/>
              <w:bottom w:val="nil"/>
              <w:right w:val="nil"/>
            </w:tcBorders>
            <w:shd w:val="clear" w:color="auto" w:fill="auto"/>
            <w:noWrap/>
            <w:hideMark/>
          </w:tcPr>
          <w:p w:rsidR="00FE73B2" w:rsidRPr="00650880" w:rsidRDefault="00FE73B2" w:rsidP="00FE73B2">
            <w:pPr>
              <w:rPr>
                <w:rFonts w:ascii="Arial" w:hAnsi="Arial" w:cs="Arial"/>
              </w:rPr>
            </w:pPr>
            <w:r w:rsidRPr="00650880">
              <w:rPr>
                <w:rFonts w:ascii="Arial" w:hAnsi="Arial" w:cs="Arial"/>
                <w:sz w:val="22"/>
                <w:szCs w:val="22"/>
              </w:rPr>
              <w:t>Olgu ve kontrol grubundaki çocukların evdeki durumları</w:t>
            </w:r>
            <w:r w:rsidR="00457BA8">
              <w:rPr>
                <w:rFonts w:ascii="Arial" w:hAnsi="Arial" w:cs="Arial"/>
                <w:sz w:val="22"/>
                <w:szCs w:val="22"/>
              </w:rPr>
              <w:t>.........................</w:t>
            </w:r>
          </w:p>
          <w:p w:rsidR="00FE73B2" w:rsidRPr="00650880" w:rsidRDefault="00FE73B2" w:rsidP="00FE73B2">
            <w:pPr>
              <w:rPr>
                <w:rFonts w:ascii="Arial" w:hAnsi="Arial" w:cs="Arial"/>
              </w:rPr>
            </w:pPr>
          </w:p>
        </w:tc>
        <w:tc>
          <w:tcPr>
            <w:tcW w:w="772" w:type="dxa"/>
            <w:tcBorders>
              <w:top w:val="nil"/>
              <w:left w:val="nil"/>
              <w:bottom w:val="nil"/>
              <w:right w:val="nil"/>
            </w:tcBorders>
            <w:shd w:val="clear" w:color="auto" w:fill="auto"/>
            <w:noWrap/>
            <w:hideMark/>
          </w:tcPr>
          <w:p w:rsidR="00FE73B2" w:rsidRPr="00650880" w:rsidRDefault="00E04D66" w:rsidP="00457BA8">
            <w:pPr>
              <w:jc w:val="center"/>
              <w:rPr>
                <w:rFonts w:ascii="Arial" w:hAnsi="Arial" w:cs="Arial"/>
                <w:color w:val="000000"/>
              </w:rPr>
            </w:pPr>
            <w:r>
              <w:rPr>
                <w:rFonts w:ascii="Arial" w:hAnsi="Arial" w:cs="Arial"/>
                <w:color w:val="000000"/>
                <w:sz w:val="22"/>
                <w:szCs w:val="22"/>
              </w:rPr>
              <w:t>4</w:t>
            </w:r>
            <w:r w:rsidR="00E16AC1">
              <w:rPr>
                <w:rFonts w:ascii="Arial" w:hAnsi="Arial" w:cs="Arial"/>
                <w:color w:val="000000"/>
                <w:sz w:val="22"/>
                <w:szCs w:val="22"/>
              </w:rPr>
              <w:t>4</w:t>
            </w:r>
          </w:p>
        </w:tc>
      </w:tr>
      <w:tr w:rsidR="00FE73B2" w:rsidRPr="00650880" w:rsidTr="00457BA8">
        <w:trPr>
          <w:trHeight w:hRule="exact" w:val="864"/>
        </w:trPr>
        <w:tc>
          <w:tcPr>
            <w:tcW w:w="1291" w:type="dxa"/>
            <w:tcBorders>
              <w:top w:val="nil"/>
              <w:left w:val="nil"/>
              <w:bottom w:val="nil"/>
              <w:right w:val="nil"/>
            </w:tcBorders>
            <w:shd w:val="clear" w:color="auto" w:fill="auto"/>
            <w:noWrap/>
            <w:hideMark/>
          </w:tcPr>
          <w:p w:rsidR="00FE73B2" w:rsidRPr="00650880" w:rsidRDefault="00FE73B2" w:rsidP="00FE73B2">
            <w:pPr>
              <w:rPr>
                <w:rFonts w:ascii="Arial" w:hAnsi="Arial" w:cs="Arial"/>
                <w:b/>
                <w:color w:val="000000"/>
                <w:lang w:val="en-US"/>
              </w:rPr>
            </w:pPr>
            <w:r w:rsidRPr="00650880">
              <w:rPr>
                <w:rFonts w:ascii="Arial" w:hAnsi="Arial" w:cs="Arial"/>
                <w:b/>
                <w:color w:val="000000"/>
                <w:sz w:val="22"/>
                <w:szCs w:val="22"/>
                <w:lang w:val="en-US"/>
              </w:rPr>
              <w:t>Tablo 21</w:t>
            </w:r>
          </w:p>
        </w:tc>
        <w:tc>
          <w:tcPr>
            <w:tcW w:w="7094" w:type="dxa"/>
            <w:gridSpan w:val="2"/>
            <w:tcBorders>
              <w:top w:val="nil"/>
              <w:left w:val="nil"/>
              <w:bottom w:val="nil"/>
              <w:right w:val="nil"/>
            </w:tcBorders>
            <w:shd w:val="clear" w:color="auto" w:fill="auto"/>
            <w:noWrap/>
            <w:hideMark/>
          </w:tcPr>
          <w:p w:rsidR="00FE73B2" w:rsidRPr="00650880" w:rsidRDefault="00FE73B2" w:rsidP="00FE73B2">
            <w:pPr>
              <w:rPr>
                <w:rFonts w:ascii="Arial" w:hAnsi="Arial" w:cs="Arial"/>
              </w:rPr>
            </w:pPr>
            <w:r w:rsidRPr="00650880">
              <w:rPr>
                <w:rFonts w:ascii="Arial" w:hAnsi="Arial" w:cs="Arial"/>
                <w:sz w:val="22"/>
                <w:szCs w:val="22"/>
              </w:rPr>
              <w:t>Çocuk ve Ergenlerde Yıkıcı Davranım Bozuklukları için DSM-IV’e Dayalı Tarama ve Değerlendirme Ölçeğine göre Olgu Grubu katılımcıların durumları</w:t>
            </w:r>
            <w:r w:rsidR="00457BA8">
              <w:rPr>
                <w:rFonts w:ascii="Arial" w:hAnsi="Arial" w:cs="Arial"/>
                <w:sz w:val="22"/>
                <w:szCs w:val="22"/>
              </w:rPr>
              <w:t>.............................................................................</w:t>
            </w:r>
          </w:p>
        </w:tc>
        <w:tc>
          <w:tcPr>
            <w:tcW w:w="772" w:type="dxa"/>
            <w:tcBorders>
              <w:top w:val="nil"/>
              <w:left w:val="nil"/>
              <w:bottom w:val="nil"/>
              <w:right w:val="nil"/>
            </w:tcBorders>
            <w:shd w:val="clear" w:color="auto" w:fill="auto"/>
            <w:noWrap/>
            <w:vAlign w:val="bottom"/>
            <w:hideMark/>
          </w:tcPr>
          <w:p w:rsidR="00FE73B2" w:rsidRPr="00650880" w:rsidRDefault="00E04D66" w:rsidP="00457BA8">
            <w:pPr>
              <w:jc w:val="center"/>
              <w:rPr>
                <w:rFonts w:ascii="Arial" w:hAnsi="Arial" w:cs="Arial"/>
                <w:color w:val="000000"/>
              </w:rPr>
            </w:pPr>
            <w:r>
              <w:rPr>
                <w:rFonts w:ascii="Arial" w:hAnsi="Arial" w:cs="Arial"/>
                <w:color w:val="000000"/>
                <w:sz w:val="22"/>
                <w:szCs w:val="22"/>
              </w:rPr>
              <w:t>4</w:t>
            </w:r>
            <w:r w:rsidR="00E16AC1">
              <w:rPr>
                <w:rFonts w:ascii="Arial" w:hAnsi="Arial" w:cs="Arial"/>
                <w:color w:val="000000"/>
                <w:sz w:val="22"/>
                <w:szCs w:val="22"/>
              </w:rPr>
              <w:t>5</w:t>
            </w:r>
          </w:p>
        </w:tc>
      </w:tr>
      <w:tr w:rsidR="00FE73B2" w:rsidRPr="00650880" w:rsidTr="00457BA8">
        <w:trPr>
          <w:trHeight w:hRule="exact" w:val="864"/>
        </w:trPr>
        <w:tc>
          <w:tcPr>
            <w:tcW w:w="1291" w:type="dxa"/>
            <w:tcBorders>
              <w:top w:val="nil"/>
              <w:left w:val="nil"/>
              <w:bottom w:val="nil"/>
              <w:right w:val="nil"/>
            </w:tcBorders>
            <w:shd w:val="clear" w:color="auto" w:fill="auto"/>
            <w:noWrap/>
            <w:hideMark/>
          </w:tcPr>
          <w:p w:rsidR="00457BA8" w:rsidRDefault="00457BA8" w:rsidP="00FE73B2">
            <w:pPr>
              <w:rPr>
                <w:rFonts w:ascii="Arial" w:hAnsi="Arial" w:cs="Arial"/>
                <w:b/>
                <w:color w:val="000000"/>
                <w:lang w:val="en-US"/>
              </w:rPr>
            </w:pPr>
          </w:p>
          <w:p w:rsidR="00FE73B2" w:rsidRPr="00650880" w:rsidRDefault="00FE73B2" w:rsidP="00FE73B2">
            <w:pPr>
              <w:rPr>
                <w:rFonts w:ascii="Arial" w:hAnsi="Arial" w:cs="Arial"/>
                <w:b/>
                <w:color w:val="000000"/>
                <w:lang w:val="en-US"/>
              </w:rPr>
            </w:pPr>
            <w:r w:rsidRPr="00650880">
              <w:rPr>
                <w:rFonts w:ascii="Arial" w:hAnsi="Arial" w:cs="Arial"/>
                <w:b/>
                <w:color w:val="000000"/>
                <w:sz w:val="22"/>
                <w:szCs w:val="22"/>
                <w:lang w:val="en-US"/>
              </w:rPr>
              <w:t>Tablo 22</w:t>
            </w:r>
          </w:p>
        </w:tc>
        <w:tc>
          <w:tcPr>
            <w:tcW w:w="7094" w:type="dxa"/>
            <w:gridSpan w:val="2"/>
            <w:tcBorders>
              <w:top w:val="nil"/>
              <w:left w:val="nil"/>
              <w:bottom w:val="nil"/>
              <w:right w:val="nil"/>
            </w:tcBorders>
            <w:shd w:val="clear" w:color="auto" w:fill="auto"/>
            <w:noWrap/>
            <w:hideMark/>
          </w:tcPr>
          <w:p w:rsidR="00457BA8" w:rsidRDefault="00457BA8" w:rsidP="00FE73B2">
            <w:pPr>
              <w:rPr>
                <w:rFonts w:ascii="Arial" w:hAnsi="Arial" w:cs="Arial"/>
              </w:rPr>
            </w:pPr>
          </w:p>
          <w:p w:rsidR="00FE73B2" w:rsidRPr="00650880" w:rsidRDefault="00FE73B2" w:rsidP="00FE73B2">
            <w:pPr>
              <w:rPr>
                <w:rFonts w:ascii="Arial" w:hAnsi="Arial" w:cs="Arial"/>
              </w:rPr>
            </w:pPr>
            <w:r w:rsidRPr="00650880">
              <w:rPr>
                <w:rFonts w:ascii="Arial" w:hAnsi="Arial" w:cs="Arial"/>
                <w:sz w:val="22"/>
                <w:szCs w:val="22"/>
              </w:rPr>
              <w:t>Olgu grubunun ACE uygulaması puanları</w:t>
            </w:r>
            <w:r w:rsidR="00457BA8">
              <w:rPr>
                <w:rFonts w:ascii="Arial" w:hAnsi="Arial" w:cs="Arial"/>
                <w:sz w:val="22"/>
                <w:szCs w:val="22"/>
              </w:rPr>
              <w:t>................................................</w:t>
            </w:r>
          </w:p>
        </w:tc>
        <w:tc>
          <w:tcPr>
            <w:tcW w:w="772" w:type="dxa"/>
            <w:tcBorders>
              <w:top w:val="nil"/>
              <w:left w:val="nil"/>
              <w:bottom w:val="nil"/>
              <w:right w:val="nil"/>
            </w:tcBorders>
            <w:shd w:val="clear" w:color="auto" w:fill="auto"/>
            <w:noWrap/>
            <w:hideMark/>
          </w:tcPr>
          <w:p w:rsidR="00FE73B2" w:rsidRDefault="00FE73B2" w:rsidP="00457BA8">
            <w:pPr>
              <w:jc w:val="center"/>
              <w:rPr>
                <w:rFonts w:ascii="Arial" w:hAnsi="Arial" w:cs="Arial"/>
                <w:color w:val="000000"/>
              </w:rPr>
            </w:pPr>
          </w:p>
          <w:p w:rsidR="00457BA8" w:rsidRPr="00650880" w:rsidRDefault="00E04D66" w:rsidP="00457BA8">
            <w:pPr>
              <w:jc w:val="center"/>
              <w:rPr>
                <w:rFonts w:ascii="Arial" w:hAnsi="Arial" w:cs="Arial"/>
                <w:color w:val="000000"/>
              </w:rPr>
            </w:pPr>
            <w:r>
              <w:rPr>
                <w:rFonts w:ascii="Arial" w:hAnsi="Arial" w:cs="Arial"/>
                <w:color w:val="000000"/>
                <w:sz w:val="22"/>
                <w:szCs w:val="22"/>
              </w:rPr>
              <w:t>4</w:t>
            </w:r>
            <w:r w:rsidR="00E16AC1">
              <w:rPr>
                <w:rFonts w:ascii="Arial" w:hAnsi="Arial" w:cs="Arial"/>
                <w:color w:val="000000"/>
                <w:sz w:val="22"/>
                <w:szCs w:val="22"/>
              </w:rPr>
              <w:t>6</w:t>
            </w:r>
          </w:p>
        </w:tc>
      </w:tr>
      <w:tr w:rsidR="009B19A0" w:rsidRPr="00650880" w:rsidTr="00457BA8">
        <w:trPr>
          <w:trHeight w:hRule="exact" w:val="864"/>
        </w:trPr>
        <w:tc>
          <w:tcPr>
            <w:tcW w:w="1291" w:type="dxa"/>
            <w:tcBorders>
              <w:top w:val="nil"/>
              <w:left w:val="nil"/>
              <w:bottom w:val="nil"/>
              <w:right w:val="nil"/>
            </w:tcBorders>
            <w:shd w:val="clear" w:color="auto" w:fill="auto"/>
            <w:noWrap/>
            <w:hideMark/>
          </w:tcPr>
          <w:p w:rsidR="009B19A0" w:rsidRPr="00650880" w:rsidRDefault="009B19A0" w:rsidP="00FE73B2">
            <w:pPr>
              <w:rPr>
                <w:rFonts w:ascii="Arial" w:hAnsi="Arial" w:cs="Arial"/>
                <w:b/>
                <w:color w:val="000000"/>
                <w:lang w:val="en-US"/>
              </w:rPr>
            </w:pPr>
            <w:r w:rsidRPr="00650880">
              <w:rPr>
                <w:rFonts w:ascii="Arial" w:hAnsi="Arial" w:cs="Arial"/>
                <w:b/>
                <w:sz w:val="22"/>
                <w:szCs w:val="22"/>
              </w:rPr>
              <w:t>Tablo 23</w:t>
            </w:r>
          </w:p>
        </w:tc>
        <w:tc>
          <w:tcPr>
            <w:tcW w:w="7094" w:type="dxa"/>
            <w:gridSpan w:val="2"/>
            <w:tcBorders>
              <w:top w:val="nil"/>
              <w:left w:val="nil"/>
              <w:bottom w:val="nil"/>
              <w:right w:val="nil"/>
            </w:tcBorders>
            <w:shd w:val="clear" w:color="auto" w:fill="auto"/>
            <w:noWrap/>
            <w:hideMark/>
          </w:tcPr>
          <w:p w:rsidR="009B19A0" w:rsidRPr="00650880" w:rsidRDefault="009B19A0" w:rsidP="00FE73B2">
            <w:pPr>
              <w:rPr>
                <w:rFonts w:ascii="Arial" w:hAnsi="Arial" w:cs="Arial"/>
                <w:u w:val="single"/>
              </w:rPr>
            </w:pPr>
            <w:r w:rsidRPr="00650880">
              <w:rPr>
                <w:rFonts w:ascii="Arial" w:hAnsi="Arial" w:cs="Arial"/>
                <w:sz w:val="22"/>
                <w:szCs w:val="22"/>
              </w:rPr>
              <w:t>Olgu grubu total RNA konstrasyonları ve A260 / A280 oranları</w:t>
            </w:r>
            <w:r w:rsidR="00457BA8">
              <w:rPr>
                <w:rFonts w:ascii="Arial" w:hAnsi="Arial" w:cs="Arial"/>
                <w:sz w:val="22"/>
                <w:szCs w:val="22"/>
              </w:rPr>
              <w:t>...............</w:t>
            </w:r>
          </w:p>
        </w:tc>
        <w:tc>
          <w:tcPr>
            <w:tcW w:w="772" w:type="dxa"/>
            <w:tcBorders>
              <w:top w:val="nil"/>
              <w:left w:val="nil"/>
              <w:bottom w:val="nil"/>
              <w:right w:val="nil"/>
            </w:tcBorders>
            <w:shd w:val="clear" w:color="auto" w:fill="auto"/>
            <w:noWrap/>
            <w:hideMark/>
          </w:tcPr>
          <w:p w:rsidR="009B19A0" w:rsidRPr="00650880" w:rsidRDefault="00E04D66" w:rsidP="00457BA8">
            <w:pPr>
              <w:jc w:val="center"/>
              <w:rPr>
                <w:rFonts w:ascii="Arial" w:hAnsi="Arial" w:cs="Arial"/>
                <w:color w:val="000000"/>
              </w:rPr>
            </w:pPr>
            <w:r>
              <w:rPr>
                <w:rFonts w:ascii="Arial" w:hAnsi="Arial" w:cs="Arial"/>
                <w:color w:val="000000"/>
                <w:sz w:val="22"/>
                <w:szCs w:val="22"/>
              </w:rPr>
              <w:t>4</w:t>
            </w:r>
            <w:r w:rsidR="00E16AC1">
              <w:rPr>
                <w:rFonts w:ascii="Arial" w:hAnsi="Arial" w:cs="Arial"/>
                <w:color w:val="000000"/>
                <w:sz w:val="22"/>
                <w:szCs w:val="22"/>
              </w:rPr>
              <w:t>9</w:t>
            </w:r>
          </w:p>
        </w:tc>
      </w:tr>
      <w:tr w:rsidR="009B19A0" w:rsidRPr="00650880" w:rsidTr="00457BA8">
        <w:trPr>
          <w:trHeight w:hRule="exact" w:val="864"/>
        </w:trPr>
        <w:tc>
          <w:tcPr>
            <w:tcW w:w="1291" w:type="dxa"/>
            <w:tcBorders>
              <w:top w:val="nil"/>
              <w:left w:val="nil"/>
              <w:bottom w:val="nil"/>
              <w:right w:val="nil"/>
            </w:tcBorders>
            <w:shd w:val="clear" w:color="auto" w:fill="auto"/>
            <w:noWrap/>
            <w:hideMark/>
          </w:tcPr>
          <w:p w:rsidR="009B19A0" w:rsidRPr="00650880" w:rsidRDefault="009B19A0" w:rsidP="00FE73B2">
            <w:pPr>
              <w:rPr>
                <w:rFonts w:ascii="Arial" w:hAnsi="Arial" w:cs="Arial"/>
                <w:b/>
                <w:color w:val="000000"/>
                <w:lang w:val="en-US"/>
              </w:rPr>
            </w:pPr>
            <w:r w:rsidRPr="00650880">
              <w:rPr>
                <w:rFonts w:ascii="Arial" w:hAnsi="Arial" w:cs="Arial"/>
                <w:b/>
                <w:sz w:val="22"/>
                <w:szCs w:val="22"/>
              </w:rPr>
              <w:t>Tablo 24</w:t>
            </w:r>
          </w:p>
        </w:tc>
        <w:tc>
          <w:tcPr>
            <w:tcW w:w="7094" w:type="dxa"/>
            <w:gridSpan w:val="2"/>
            <w:tcBorders>
              <w:top w:val="nil"/>
              <w:left w:val="nil"/>
              <w:bottom w:val="nil"/>
              <w:right w:val="nil"/>
            </w:tcBorders>
            <w:shd w:val="clear" w:color="auto" w:fill="auto"/>
            <w:noWrap/>
            <w:hideMark/>
          </w:tcPr>
          <w:p w:rsidR="009B19A0" w:rsidRPr="00650880" w:rsidRDefault="009B19A0" w:rsidP="00FE73B2">
            <w:pPr>
              <w:rPr>
                <w:rFonts w:ascii="Arial" w:hAnsi="Arial" w:cs="Arial"/>
              </w:rPr>
            </w:pPr>
            <w:r w:rsidRPr="00650880">
              <w:rPr>
                <w:rFonts w:ascii="Arial" w:hAnsi="Arial" w:cs="Arial"/>
                <w:sz w:val="22"/>
                <w:szCs w:val="22"/>
              </w:rPr>
              <w:t>Kontrol grubu total RNA konstrasyonları ve A 260 / A280 oranları</w:t>
            </w:r>
            <w:r w:rsidR="00457BA8">
              <w:rPr>
                <w:rFonts w:ascii="Arial" w:hAnsi="Arial" w:cs="Arial"/>
                <w:sz w:val="22"/>
                <w:szCs w:val="22"/>
              </w:rPr>
              <w:t>..........</w:t>
            </w:r>
          </w:p>
        </w:tc>
        <w:tc>
          <w:tcPr>
            <w:tcW w:w="772" w:type="dxa"/>
            <w:tcBorders>
              <w:top w:val="nil"/>
              <w:left w:val="nil"/>
              <w:bottom w:val="nil"/>
              <w:right w:val="nil"/>
            </w:tcBorders>
            <w:shd w:val="clear" w:color="auto" w:fill="auto"/>
            <w:noWrap/>
            <w:hideMark/>
          </w:tcPr>
          <w:p w:rsidR="009B19A0" w:rsidRPr="00650880" w:rsidRDefault="00E16AC1" w:rsidP="00457BA8">
            <w:pPr>
              <w:jc w:val="center"/>
              <w:rPr>
                <w:rFonts w:ascii="Arial" w:hAnsi="Arial" w:cs="Arial"/>
                <w:color w:val="000000"/>
              </w:rPr>
            </w:pPr>
            <w:r>
              <w:rPr>
                <w:rFonts w:ascii="Arial" w:hAnsi="Arial" w:cs="Arial"/>
                <w:color w:val="000000"/>
                <w:sz w:val="22"/>
                <w:szCs w:val="22"/>
              </w:rPr>
              <w:t>50</w:t>
            </w:r>
          </w:p>
        </w:tc>
      </w:tr>
      <w:tr w:rsidR="00F172DC" w:rsidRPr="00650880" w:rsidTr="00457BA8">
        <w:trPr>
          <w:trHeight w:hRule="exact" w:val="864"/>
        </w:trPr>
        <w:tc>
          <w:tcPr>
            <w:tcW w:w="1291" w:type="dxa"/>
            <w:tcBorders>
              <w:top w:val="nil"/>
              <w:left w:val="nil"/>
              <w:bottom w:val="nil"/>
              <w:right w:val="nil"/>
            </w:tcBorders>
            <w:shd w:val="clear" w:color="auto" w:fill="auto"/>
            <w:noWrap/>
            <w:hideMark/>
          </w:tcPr>
          <w:p w:rsidR="00F172DC" w:rsidRPr="00650880" w:rsidRDefault="00F172DC" w:rsidP="00F172DC">
            <w:pPr>
              <w:rPr>
                <w:rFonts w:ascii="Arial" w:hAnsi="Arial" w:cs="Arial"/>
                <w:b/>
              </w:rPr>
            </w:pPr>
            <w:r w:rsidRPr="00650880">
              <w:rPr>
                <w:rFonts w:ascii="Arial" w:hAnsi="Arial" w:cs="Arial"/>
                <w:b/>
                <w:sz w:val="22"/>
                <w:szCs w:val="22"/>
              </w:rPr>
              <w:t>Tablo 25</w:t>
            </w:r>
          </w:p>
        </w:tc>
        <w:tc>
          <w:tcPr>
            <w:tcW w:w="7094" w:type="dxa"/>
            <w:gridSpan w:val="2"/>
            <w:tcBorders>
              <w:top w:val="nil"/>
              <w:left w:val="nil"/>
              <w:bottom w:val="nil"/>
              <w:right w:val="nil"/>
            </w:tcBorders>
            <w:shd w:val="clear" w:color="auto" w:fill="auto"/>
            <w:noWrap/>
            <w:hideMark/>
          </w:tcPr>
          <w:p w:rsidR="00F172DC" w:rsidRPr="00650880" w:rsidRDefault="00F172DC" w:rsidP="00FE73B2">
            <w:pPr>
              <w:rPr>
                <w:rFonts w:ascii="Arial" w:hAnsi="Arial" w:cs="Arial"/>
              </w:rPr>
            </w:pPr>
            <w:r w:rsidRPr="00650880">
              <w:rPr>
                <w:rFonts w:ascii="Arial" w:hAnsi="Arial" w:cs="Arial"/>
                <w:sz w:val="22"/>
                <w:szCs w:val="22"/>
              </w:rPr>
              <w:t xml:space="preserve">Olgu ve kontrol gruplarının periferik kan </w:t>
            </w:r>
            <w:r w:rsidRPr="00650880">
              <w:rPr>
                <w:rFonts w:ascii="Arial" w:hAnsi="Arial" w:cs="Arial"/>
                <w:sz w:val="22"/>
                <w:szCs w:val="22"/>
                <w:shd w:val="clear" w:color="auto" w:fill="FFFFFF"/>
              </w:rPr>
              <w:t>miR-5692b, miR-let-7d, miR-124-3p, miR-107, miR-4447’nin relatif kantitasyon değerlerine göre karşılaştırılması</w:t>
            </w:r>
            <w:r w:rsidR="00457BA8">
              <w:rPr>
                <w:rFonts w:ascii="Arial" w:hAnsi="Arial" w:cs="Arial"/>
                <w:sz w:val="22"/>
                <w:szCs w:val="22"/>
                <w:shd w:val="clear" w:color="auto" w:fill="FFFFFF"/>
              </w:rPr>
              <w:t>........................................................................................</w:t>
            </w:r>
          </w:p>
        </w:tc>
        <w:tc>
          <w:tcPr>
            <w:tcW w:w="772" w:type="dxa"/>
            <w:tcBorders>
              <w:top w:val="nil"/>
              <w:left w:val="nil"/>
              <w:bottom w:val="nil"/>
              <w:right w:val="nil"/>
            </w:tcBorders>
            <w:shd w:val="clear" w:color="auto" w:fill="auto"/>
            <w:noWrap/>
            <w:vAlign w:val="center"/>
            <w:hideMark/>
          </w:tcPr>
          <w:p w:rsidR="00F172DC" w:rsidRPr="00650880" w:rsidRDefault="00E16AC1" w:rsidP="00457BA8">
            <w:pPr>
              <w:jc w:val="center"/>
              <w:rPr>
                <w:rFonts w:ascii="Arial" w:hAnsi="Arial" w:cs="Arial"/>
                <w:color w:val="000000"/>
              </w:rPr>
            </w:pPr>
            <w:r>
              <w:rPr>
                <w:rFonts w:ascii="Arial" w:hAnsi="Arial" w:cs="Arial"/>
                <w:color w:val="000000"/>
                <w:sz w:val="22"/>
                <w:szCs w:val="22"/>
              </w:rPr>
              <w:t>50</w:t>
            </w:r>
          </w:p>
        </w:tc>
      </w:tr>
      <w:tr w:rsidR="00F172DC" w:rsidRPr="00650880" w:rsidTr="00457BA8">
        <w:trPr>
          <w:trHeight w:hRule="exact" w:val="864"/>
        </w:trPr>
        <w:tc>
          <w:tcPr>
            <w:tcW w:w="1291" w:type="dxa"/>
            <w:tcBorders>
              <w:top w:val="nil"/>
              <w:left w:val="nil"/>
              <w:bottom w:val="nil"/>
              <w:right w:val="nil"/>
            </w:tcBorders>
            <w:shd w:val="clear" w:color="auto" w:fill="auto"/>
            <w:noWrap/>
            <w:hideMark/>
          </w:tcPr>
          <w:p w:rsidR="00457BA8" w:rsidRDefault="00457BA8" w:rsidP="00F172DC">
            <w:pPr>
              <w:rPr>
                <w:rFonts w:ascii="Arial" w:hAnsi="Arial" w:cs="Arial"/>
                <w:b/>
              </w:rPr>
            </w:pPr>
          </w:p>
          <w:p w:rsidR="00F172DC" w:rsidRPr="00650880" w:rsidRDefault="00F172DC" w:rsidP="00F172DC">
            <w:pPr>
              <w:rPr>
                <w:rFonts w:ascii="Arial" w:hAnsi="Arial" w:cs="Arial"/>
                <w:b/>
              </w:rPr>
            </w:pPr>
            <w:r w:rsidRPr="00650880">
              <w:rPr>
                <w:rFonts w:ascii="Arial" w:hAnsi="Arial" w:cs="Arial"/>
                <w:b/>
                <w:sz w:val="22"/>
                <w:szCs w:val="22"/>
              </w:rPr>
              <w:t>Tablo 26</w:t>
            </w:r>
          </w:p>
        </w:tc>
        <w:tc>
          <w:tcPr>
            <w:tcW w:w="7094" w:type="dxa"/>
            <w:gridSpan w:val="2"/>
            <w:tcBorders>
              <w:top w:val="nil"/>
              <w:left w:val="nil"/>
              <w:bottom w:val="nil"/>
              <w:right w:val="nil"/>
            </w:tcBorders>
            <w:shd w:val="clear" w:color="auto" w:fill="auto"/>
            <w:noWrap/>
            <w:hideMark/>
          </w:tcPr>
          <w:p w:rsidR="00457BA8" w:rsidRDefault="00457BA8" w:rsidP="00FE73B2">
            <w:pPr>
              <w:rPr>
                <w:rFonts w:ascii="Arial" w:hAnsi="Arial" w:cs="Arial"/>
              </w:rPr>
            </w:pPr>
          </w:p>
          <w:p w:rsidR="00F172DC" w:rsidRPr="00650880" w:rsidRDefault="00F172DC" w:rsidP="00FE73B2">
            <w:pPr>
              <w:rPr>
                <w:rFonts w:ascii="Arial" w:hAnsi="Arial" w:cs="Arial"/>
              </w:rPr>
            </w:pPr>
            <w:r w:rsidRPr="00650880">
              <w:rPr>
                <w:rFonts w:ascii="Arial" w:hAnsi="Arial" w:cs="Arial"/>
                <w:sz w:val="22"/>
                <w:szCs w:val="22"/>
              </w:rPr>
              <w:t>Olgu grubunda cinsiyet ile periferik kan m</w:t>
            </w:r>
            <w:r w:rsidRPr="00650880">
              <w:rPr>
                <w:rFonts w:ascii="Arial" w:hAnsi="Arial" w:cs="Arial"/>
                <w:sz w:val="22"/>
                <w:szCs w:val="22"/>
                <w:shd w:val="clear" w:color="auto" w:fill="FFFFFF"/>
              </w:rPr>
              <w:t>iR-5692b, miR-Let-7d, miR-124-3p, miR-107, miR-4447’nin relatif kantitasyon değerlerinin ilişkisi</w:t>
            </w:r>
            <w:r w:rsidR="00457BA8">
              <w:rPr>
                <w:rFonts w:ascii="Arial" w:hAnsi="Arial" w:cs="Arial"/>
                <w:sz w:val="22"/>
                <w:szCs w:val="22"/>
                <w:shd w:val="clear" w:color="auto" w:fill="FFFFFF"/>
              </w:rPr>
              <w:t>....</w:t>
            </w:r>
          </w:p>
        </w:tc>
        <w:tc>
          <w:tcPr>
            <w:tcW w:w="772" w:type="dxa"/>
            <w:tcBorders>
              <w:top w:val="nil"/>
              <w:left w:val="nil"/>
              <w:bottom w:val="nil"/>
              <w:right w:val="nil"/>
            </w:tcBorders>
            <w:shd w:val="clear" w:color="auto" w:fill="auto"/>
            <w:noWrap/>
            <w:vAlign w:val="bottom"/>
            <w:hideMark/>
          </w:tcPr>
          <w:p w:rsidR="00F172DC" w:rsidRDefault="00E04D66" w:rsidP="00457BA8">
            <w:pPr>
              <w:jc w:val="center"/>
              <w:rPr>
                <w:rFonts w:ascii="Arial" w:hAnsi="Arial" w:cs="Arial"/>
                <w:color w:val="000000"/>
              </w:rPr>
            </w:pPr>
            <w:r>
              <w:rPr>
                <w:rFonts w:ascii="Arial" w:hAnsi="Arial" w:cs="Arial"/>
                <w:color w:val="000000"/>
                <w:sz w:val="22"/>
                <w:szCs w:val="22"/>
              </w:rPr>
              <w:t>5</w:t>
            </w:r>
            <w:r w:rsidR="00E16AC1">
              <w:rPr>
                <w:rFonts w:ascii="Arial" w:hAnsi="Arial" w:cs="Arial"/>
                <w:color w:val="000000"/>
                <w:sz w:val="22"/>
                <w:szCs w:val="22"/>
              </w:rPr>
              <w:t>1</w:t>
            </w:r>
          </w:p>
          <w:p w:rsidR="00457BA8" w:rsidRPr="00650880" w:rsidRDefault="00457BA8" w:rsidP="00457BA8">
            <w:pPr>
              <w:jc w:val="center"/>
              <w:rPr>
                <w:rFonts w:ascii="Arial" w:hAnsi="Arial" w:cs="Arial"/>
                <w:color w:val="000000"/>
              </w:rPr>
            </w:pPr>
          </w:p>
        </w:tc>
      </w:tr>
      <w:tr w:rsidR="00F172DC" w:rsidRPr="00650880" w:rsidTr="00457BA8">
        <w:trPr>
          <w:trHeight w:hRule="exact" w:val="963"/>
        </w:trPr>
        <w:tc>
          <w:tcPr>
            <w:tcW w:w="1291" w:type="dxa"/>
            <w:tcBorders>
              <w:top w:val="nil"/>
              <w:left w:val="nil"/>
              <w:bottom w:val="nil"/>
              <w:right w:val="nil"/>
            </w:tcBorders>
            <w:shd w:val="clear" w:color="auto" w:fill="auto"/>
            <w:noWrap/>
            <w:hideMark/>
          </w:tcPr>
          <w:p w:rsidR="00457BA8" w:rsidRDefault="00457BA8" w:rsidP="00F172DC">
            <w:pPr>
              <w:rPr>
                <w:rFonts w:ascii="Arial" w:hAnsi="Arial" w:cs="Arial"/>
                <w:b/>
              </w:rPr>
            </w:pPr>
          </w:p>
          <w:p w:rsidR="00F172DC" w:rsidRPr="00650880" w:rsidRDefault="00F172DC" w:rsidP="00F172DC">
            <w:pPr>
              <w:rPr>
                <w:rFonts w:ascii="Arial" w:hAnsi="Arial" w:cs="Arial"/>
                <w:b/>
              </w:rPr>
            </w:pPr>
            <w:r w:rsidRPr="00650880">
              <w:rPr>
                <w:rFonts w:ascii="Arial" w:hAnsi="Arial" w:cs="Arial"/>
                <w:b/>
                <w:sz w:val="22"/>
                <w:szCs w:val="22"/>
              </w:rPr>
              <w:t>Tablo 27</w:t>
            </w:r>
          </w:p>
        </w:tc>
        <w:tc>
          <w:tcPr>
            <w:tcW w:w="7094" w:type="dxa"/>
            <w:gridSpan w:val="2"/>
            <w:tcBorders>
              <w:top w:val="nil"/>
              <w:left w:val="nil"/>
              <w:bottom w:val="nil"/>
              <w:right w:val="nil"/>
            </w:tcBorders>
            <w:shd w:val="clear" w:color="auto" w:fill="auto"/>
            <w:noWrap/>
            <w:hideMark/>
          </w:tcPr>
          <w:p w:rsidR="00457BA8" w:rsidRDefault="00457BA8" w:rsidP="00F172DC">
            <w:pPr>
              <w:rPr>
                <w:rFonts w:ascii="Arial" w:hAnsi="Arial" w:cs="Arial"/>
              </w:rPr>
            </w:pPr>
          </w:p>
          <w:p w:rsidR="00F172DC" w:rsidRPr="00650880" w:rsidRDefault="00F172DC" w:rsidP="00F172DC">
            <w:pPr>
              <w:rPr>
                <w:rFonts w:ascii="Arial" w:hAnsi="Arial" w:cs="Arial"/>
                <w:shd w:val="clear" w:color="auto" w:fill="FFFFFF"/>
              </w:rPr>
            </w:pPr>
            <w:r w:rsidRPr="00650880">
              <w:rPr>
                <w:rFonts w:ascii="Arial" w:hAnsi="Arial" w:cs="Arial"/>
                <w:sz w:val="22"/>
                <w:szCs w:val="22"/>
              </w:rPr>
              <w:t>Kontrol grubunda cinsiyet ile periferik kan m</w:t>
            </w:r>
            <w:r w:rsidRPr="00650880">
              <w:rPr>
                <w:rFonts w:ascii="Arial" w:hAnsi="Arial" w:cs="Arial"/>
                <w:sz w:val="22"/>
                <w:szCs w:val="22"/>
                <w:shd w:val="clear" w:color="auto" w:fill="FFFFFF"/>
              </w:rPr>
              <w:t>iR-5692b, miR-Let-7d, miR-124-3p, miR-107, miR-4447’nin relatif kantitasyon değerlerinin ilişkisi</w:t>
            </w:r>
            <w:r w:rsidR="00457BA8">
              <w:rPr>
                <w:rFonts w:ascii="Arial" w:hAnsi="Arial" w:cs="Arial"/>
                <w:sz w:val="22"/>
                <w:szCs w:val="22"/>
                <w:shd w:val="clear" w:color="auto" w:fill="FFFFFF"/>
              </w:rPr>
              <w:t>.........................................................................................................</w:t>
            </w:r>
          </w:p>
          <w:p w:rsidR="00F172DC" w:rsidRPr="00650880" w:rsidRDefault="00F172DC" w:rsidP="00FE73B2">
            <w:pPr>
              <w:rPr>
                <w:rFonts w:ascii="Arial" w:hAnsi="Arial" w:cs="Arial"/>
              </w:rPr>
            </w:pPr>
          </w:p>
        </w:tc>
        <w:tc>
          <w:tcPr>
            <w:tcW w:w="772" w:type="dxa"/>
            <w:tcBorders>
              <w:top w:val="nil"/>
              <w:left w:val="nil"/>
              <w:bottom w:val="nil"/>
              <w:right w:val="nil"/>
            </w:tcBorders>
            <w:shd w:val="clear" w:color="auto" w:fill="auto"/>
            <w:noWrap/>
            <w:vAlign w:val="bottom"/>
            <w:hideMark/>
          </w:tcPr>
          <w:p w:rsidR="00F172DC" w:rsidRPr="00650880" w:rsidRDefault="00E04D66" w:rsidP="00457BA8">
            <w:pPr>
              <w:jc w:val="center"/>
              <w:rPr>
                <w:rFonts w:ascii="Arial" w:hAnsi="Arial" w:cs="Arial"/>
                <w:color w:val="000000"/>
              </w:rPr>
            </w:pPr>
            <w:r>
              <w:rPr>
                <w:rFonts w:ascii="Arial" w:hAnsi="Arial" w:cs="Arial"/>
                <w:color w:val="000000"/>
                <w:sz w:val="22"/>
                <w:szCs w:val="22"/>
              </w:rPr>
              <w:t>5</w:t>
            </w:r>
            <w:r w:rsidR="00E16AC1">
              <w:rPr>
                <w:rFonts w:ascii="Arial" w:hAnsi="Arial" w:cs="Arial"/>
                <w:color w:val="000000"/>
                <w:sz w:val="22"/>
                <w:szCs w:val="22"/>
              </w:rPr>
              <w:t>2</w:t>
            </w:r>
          </w:p>
        </w:tc>
      </w:tr>
      <w:tr w:rsidR="00F172DC" w:rsidRPr="00650880" w:rsidTr="00457BA8">
        <w:trPr>
          <w:trHeight w:hRule="exact" w:val="1179"/>
        </w:trPr>
        <w:tc>
          <w:tcPr>
            <w:tcW w:w="1291" w:type="dxa"/>
            <w:tcBorders>
              <w:top w:val="nil"/>
              <w:left w:val="nil"/>
              <w:bottom w:val="nil"/>
              <w:right w:val="nil"/>
            </w:tcBorders>
            <w:shd w:val="clear" w:color="auto" w:fill="auto"/>
            <w:noWrap/>
            <w:hideMark/>
          </w:tcPr>
          <w:p w:rsidR="00457BA8" w:rsidRDefault="00457BA8" w:rsidP="00F172DC">
            <w:pPr>
              <w:rPr>
                <w:rFonts w:ascii="Arial" w:hAnsi="Arial" w:cs="Arial"/>
                <w:b/>
              </w:rPr>
            </w:pPr>
          </w:p>
          <w:p w:rsidR="00F172DC" w:rsidRPr="00650880" w:rsidRDefault="00F172DC" w:rsidP="00F172DC">
            <w:pPr>
              <w:rPr>
                <w:rFonts w:ascii="Arial" w:hAnsi="Arial" w:cs="Arial"/>
                <w:b/>
              </w:rPr>
            </w:pPr>
            <w:r w:rsidRPr="00650880">
              <w:rPr>
                <w:rFonts w:ascii="Arial" w:hAnsi="Arial" w:cs="Arial"/>
                <w:b/>
                <w:sz w:val="22"/>
                <w:szCs w:val="22"/>
              </w:rPr>
              <w:t>Tablo 28</w:t>
            </w:r>
          </w:p>
        </w:tc>
        <w:tc>
          <w:tcPr>
            <w:tcW w:w="7094" w:type="dxa"/>
            <w:gridSpan w:val="2"/>
            <w:tcBorders>
              <w:top w:val="nil"/>
              <w:left w:val="nil"/>
              <w:bottom w:val="nil"/>
              <w:right w:val="nil"/>
            </w:tcBorders>
            <w:shd w:val="clear" w:color="auto" w:fill="auto"/>
            <w:noWrap/>
            <w:hideMark/>
          </w:tcPr>
          <w:p w:rsidR="00457BA8" w:rsidRDefault="00457BA8" w:rsidP="00F172DC">
            <w:pPr>
              <w:rPr>
                <w:rFonts w:ascii="Arial" w:hAnsi="Arial" w:cs="Arial"/>
              </w:rPr>
            </w:pPr>
          </w:p>
          <w:p w:rsidR="00F172DC" w:rsidRPr="00650880" w:rsidRDefault="00F172DC" w:rsidP="00F172DC">
            <w:pPr>
              <w:rPr>
                <w:rFonts w:ascii="Arial" w:hAnsi="Arial" w:cs="Arial"/>
              </w:rPr>
            </w:pPr>
            <w:r w:rsidRPr="00650880">
              <w:rPr>
                <w:rFonts w:ascii="Arial" w:hAnsi="Arial" w:cs="Arial"/>
                <w:sz w:val="22"/>
                <w:szCs w:val="22"/>
              </w:rPr>
              <w:t>Olgu grubunda periferik kan m</w:t>
            </w:r>
            <w:r w:rsidRPr="00650880">
              <w:rPr>
                <w:rFonts w:ascii="Arial" w:hAnsi="Arial" w:cs="Arial"/>
                <w:sz w:val="22"/>
                <w:szCs w:val="22"/>
                <w:shd w:val="clear" w:color="auto" w:fill="FFFFFF"/>
              </w:rPr>
              <w:t>iR-5692b, miR-Let-7d, miR-124-3p, miR-107, miR-4447’nin relatif kantitasyon değerlerinin yaş ile ilişkisi</w:t>
            </w:r>
            <w:r w:rsidR="00457BA8">
              <w:rPr>
                <w:rFonts w:ascii="Arial" w:hAnsi="Arial" w:cs="Arial"/>
                <w:sz w:val="22"/>
                <w:szCs w:val="22"/>
                <w:shd w:val="clear" w:color="auto" w:fill="FFFFFF"/>
              </w:rPr>
              <w:t>..............</w:t>
            </w:r>
          </w:p>
          <w:p w:rsidR="00F172DC" w:rsidRPr="00650880" w:rsidRDefault="00F172DC" w:rsidP="00F172DC">
            <w:pPr>
              <w:rPr>
                <w:rFonts w:ascii="Arial" w:hAnsi="Arial" w:cs="Arial"/>
              </w:rPr>
            </w:pPr>
          </w:p>
        </w:tc>
        <w:tc>
          <w:tcPr>
            <w:tcW w:w="772" w:type="dxa"/>
            <w:tcBorders>
              <w:top w:val="nil"/>
              <w:left w:val="nil"/>
              <w:bottom w:val="nil"/>
              <w:right w:val="nil"/>
            </w:tcBorders>
            <w:shd w:val="clear" w:color="auto" w:fill="auto"/>
            <w:noWrap/>
            <w:vAlign w:val="center"/>
            <w:hideMark/>
          </w:tcPr>
          <w:p w:rsidR="00F172DC" w:rsidRPr="00650880" w:rsidRDefault="00E04D66" w:rsidP="00E16AC1">
            <w:pPr>
              <w:jc w:val="center"/>
              <w:rPr>
                <w:rFonts w:ascii="Arial" w:hAnsi="Arial" w:cs="Arial"/>
                <w:color w:val="000000"/>
              </w:rPr>
            </w:pPr>
            <w:r>
              <w:rPr>
                <w:rFonts w:ascii="Arial" w:hAnsi="Arial" w:cs="Arial"/>
                <w:color w:val="000000"/>
                <w:sz w:val="22"/>
                <w:szCs w:val="22"/>
              </w:rPr>
              <w:t>5</w:t>
            </w:r>
            <w:r w:rsidR="00E16AC1">
              <w:rPr>
                <w:rFonts w:ascii="Arial" w:hAnsi="Arial" w:cs="Arial"/>
                <w:color w:val="000000"/>
                <w:sz w:val="22"/>
                <w:szCs w:val="22"/>
              </w:rPr>
              <w:t>3</w:t>
            </w:r>
          </w:p>
        </w:tc>
      </w:tr>
      <w:tr w:rsidR="00F172DC" w:rsidRPr="00650880" w:rsidTr="00457BA8">
        <w:trPr>
          <w:trHeight w:hRule="exact" w:val="864"/>
        </w:trPr>
        <w:tc>
          <w:tcPr>
            <w:tcW w:w="1291" w:type="dxa"/>
            <w:tcBorders>
              <w:top w:val="nil"/>
              <w:left w:val="nil"/>
              <w:bottom w:val="nil"/>
              <w:right w:val="nil"/>
            </w:tcBorders>
            <w:shd w:val="clear" w:color="auto" w:fill="auto"/>
            <w:noWrap/>
            <w:hideMark/>
          </w:tcPr>
          <w:p w:rsidR="00F172DC" w:rsidRPr="00650880" w:rsidRDefault="00F172DC" w:rsidP="00F172DC">
            <w:pPr>
              <w:rPr>
                <w:rFonts w:ascii="Arial" w:hAnsi="Arial" w:cs="Arial"/>
                <w:b/>
              </w:rPr>
            </w:pPr>
            <w:r w:rsidRPr="00650880">
              <w:rPr>
                <w:rFonts w:ascii="Arial" w:hAnsi="Arial" w:cs="Arial"/>
                <w:b/>
                <w:sz w:val="22"/>
                <w:szCs w:val="22"/>
              </w:rPr>
              <w:t>Tablo 29</w:t>
            </w:r>
          </w:p>
        </w:tc>
        <w:tc>
          <w:tcPr>
            <w:tcW w:w="7094" w:type="dxa"/>
            <w:gridSpan w:val="2"/>
            <w:tcBorders>
              <w:top w:val="nil"/>
              <w:left w:val="nil"/>
              <w:bottom w:val="nil"/>
              <w:right w:val="nil"/>
            </w:tcBorders>
            <w:shd w:val="clear" w:color="auto" w:fill="auto"/>
            <w:noWrap/>
            <w:hideMark/>
          </w:tcPr>
          <w:p w:rsidR="00F172DC" w:rsidRPr="00650880" w:rsidRDefault="00F172DC" w:rsidP="00F172DC">
            <w:pPr>
              <w:rPr>
                <w:rFonts w:ascii="Arial" w:hAnsi="Arial" w:cs="Arial"/>
              </w:rPr>
            </w:pPr>
            <w:r w:rsidRPr="00650880">
              <w:rPr>
                <w:rFonts w:ascii="Arial" w:hAnsi="Arial" w:cs="Arial"/>
                <w:sz w:val="22"/>
                <w:szCs w:val="22"/>
              </w:rPr>
              <w:t>Kontrol grubunda periferik kan m</w:t>
            </w:r>
            <w:r w:rsidRPr="00650880">
              <w:rPr>
                <w:rFonts w:ascii="Arial" w:hAnsi="Arial" w:cs="Arial"/>
                <w:sz w:val="22"/>
                <w:szCs w:val="22"/>
                <w:shd w:val="clear" w:color="auto" w:fill="FFFFFF"/>
              </w:rPr>
              <w:t>iR-5692b, miR-Let-7d, miR-124-3p, miR-107, miR-4447’nin relatif kantitasyon değerlerinin yaş ile ilişkisi</w:t>
            </w:r>
            <w:r w:rsidR="00457BA8">
              <w:rPr>
                <w:rFonts w:ascii="Arial" w:hAnsi="Arial" w:cs="Arial"/>
                <w:sz w:val="22"/>
                <w:szCs w:val="22"/>
                <w:shd w:val="clear" w:color="auto" w:fill="FFFFFF"/>
              </w:rPr>
              <w:t>......</w:t>
            </w:r>
          </w:p>
          <w:p w:rsidR="00F172DC" w:rsidRPr="00650880" w:rsidRDefault="00F172DC" w:rsidP="00F172DC">
            <w:pPr>
              <w:rPr>
                <w:rFonts w:ascii="Arial" w:hAnsi="Arial" w:cs="Arial"/>
              </w:rPr>
            </w:pPr>
          </w:p>
        </w:tc>
        <w:tc>
          <w:tcPr>
            <w:tcW w:w="772" w:type="dxa"/>
            <w:tcBorders>
              <w:top w:val="nil"/>
              <w:left w:val="nil"/>
              <w:bottom w:val="nil"/>
              <w:right w:val="nil"/>
            </w:tcBorders>
            <w:shd w:val="clear" w:color="auto" w:fill="auto"/>
            <w:noWrap/>
            <w:vAlign w:val="center"/>
            <w:hideMark/>
          </w:tcPr>
          <w:p w:rsidR="00F172DC" w:rsidRPr="00650880" w:rsidRDefault="00E04D66" w:rsidP="00457BA8">
            <w:pPr>
              <w:jc w:val="center"/>
              <w:rPr>
                <w:rFonts w:ascii="Arial" w:hAnsi="Arial" w:cs="Arial"/>
                <w:color w:val="000000"/>
              </w:rPr>
            </w:pPr>
            <w:r>
              <w:rPr>
                <w:rFonts w:ascii="Arial" w:hAnsi="Arial" w:cs="Arial"/>
                <w:color w:val="000000"/>
                <w:sz w:val="22"/>
                <w:szCs w:val="22"/>
              </w:rPr>
              <w:t>5</w:t>
            </w:r>
            <w:r w:rsidR="00E16AC1">
              <w:rPr>
                <w:rFonts w:ascii="Arial" w:hAnsi="Arial" w:cs="Arial"/>
                <w:color w:val="000000"/>
                <w:sz w:val="22"/>
                <w:szCs w:val="22"/>
              </w:rPr>
              <w:t>3</w:t>
            </w:r>
          </w:p>
        </w:tc>
      </w:tr>
      <w:tr w:rsidR="00EC048C" w:rsidRPr="00650880" w:rsidTr="00457BA8">
        <w:trPr>
          <w:trHeight w:hRule="exact" w:val="864"/>
        </w:trPr>
        <w:tc>
          <w:tcPr>
            <w:tcW w:w="1291" w:type="dxa"/>
            <w:tcBorders>
              <w:top w:val="nil"/>
              <w:left w:val="nil"/>
              <w:bottom w:val="nil"/>
              <w:right w:val="nil"/>
            </w:tcBorders>
            <w:shd w:val="clear" w:color="auto" w:fill="auto"/>
            <w:noWrap/>
            <w:hideMark/>
          </w:tcPr>
          <w:p w:rsidR="00EC048C" w:rsidRPr="00650880" w:rsidRDefault="00EC048C" w:rsidP="00F172DC">
            <w:pPr>
              <w:rPr>
                <w:rFonts w:ascii="Arial" w:hAnsi="Arial" w:cs="Arial"/>
                <w:b/>
              </w:rPr>
            </w:pPr>
            <w:r w:rsidRPr="00650880">
              <w:rPr>
                <w:rFonts w:ascii="Arial" w:hAnsi="Arial" w:cs="Arial"/>
                <w:b/>
                <w:sz w:val="22"/>
                <w:szCs w:val="22"/>
              </w:rPr>
              <w:t>Tablo 30</w:t>
            </w:r>
          </w:p>
        </w:tc>
        <w:tc>
          <w:tcPr>
            <w:tcW w:w="7094" w:type="dxa"/>
            <w:gridSpan w:val="2"/>
            <w:tcBorders>
              <w:top w:val="nil"/>
              <w:left w:val="nil"/>
              <w:bottom w:val="nil"/>
              <w:right w:val="nil"/>
            </w:tcBorders>
            <w:shd w:val="clear" w:color="auto" w:fill="auto"/>
            <w:noWrap/>
            <w:hideMark/>
          </w:tcPr>
          <w:p w:rsidR="00EC048C" w:rsidRPr="00650880" w:rsidRDefault="00EC048C" w:rsidP="00EC048C">
            <w:pPr>
              <w:rPr>
                <w:rFonts w:ascii="Arial" w:hAnsi="Arial" w:cs="Arial"/>
              </w:rPr>
            </w:pPr>
            <w:r w:rsidRPr="00650880">
              <w:rPr>
                <w:rFonts w:ascii="Arial" w:hAnsi="Arial" w:cs="Arial"/>
                <w:sz w:val="22"/>
                <w:szCs w:val="22"/>
              </w:rPr>
              <w:t>Tüm katılımcıların periferik kan m</w:t>
            </w:r>
            <w:r w:rsidRPr="00650880">
              <w:rPr>
                <w:rFonts w:ascii="Arial" w:hAnsi="Arial" w:cs="Arial"/>
                <w:sz w:val="22"/>
                <w:szCs w:val="22"/>
                <w:shd w:val="clear" w:color="auto" w:fill="FFFFFF"/>
              </w:rPr>
              <w:t>iR-5692b, miR-Let-7d, miR-124-3p, miR-107, miR-4447’nin relatif kantitasyon değerlerinin yaş ile ilişkisi</w:t>
            </w:r>
            <w:r w:rsidR="00457BA8">
              <w:rPr>
                <w:rFonts w:ascii="Arial" w:hAnsi="Arial" w:cs="Arial"/>
                <w:sz w:val="22"/>
                <w:szCs w:val="22"/>
                <w:shd w:val="clear" w:color="auto" w:fill="FFFFFF"/>
              </w:rPr>
              <w:t>......</w:t>
            </w:r>
          </w:p>
          <w:p w:rsidR="00EC048C" w:rsidRPr="00650880" w:rsidRDefault="00EC048C" w:rsidP="00F172DC">
            <w:pPr>
              <w:rPr>
                <w:rFonts w:ascii="Arial" w:hAnsi="Arial" w:cs="Arial"/>
              </w:rPr>
            </w:pPr>
          </w:p>
        </w:tc>
        <w:tc>
          <w:tcPr>
            <w:tcW w:w="772" w:type="dxa"/>
            <w:tcBorders>
              <w:top w:val="nil"/>
              <w:left w:val="nil"/>
              <w:bottom w:val="nil"/>
              <w:right w:val="nil"/>
            </w:tcBorders>
            <w:shd w:val="clear" w:color="auto" w:fill="auto"/>
            <w:noWrap/>
            <w:vAlign w:val="center"/>
            <w:hideMark/>
          </w:tcPr>
          <w:p w:rsidR="00EC048C" w:rsidRPr="00650880" w:rsidRDefault="00E04D66" w:rsidP="00457BA8">
            <w:pPr>
              <w:jc w:val="center"/>
              <w:rPr>
                <w:rFonts w:ascii="Arial" w:hAnsi="Arial" w:cs="Arial"/>
                <w:color w:val="000000"/>
              </w:rPr>
            </w:pPr>
            <w:r>
              <w:rPr>
                <w:rFonts w:ascii="Arial" w:hAnsi="Arial" w:cs="Arial"/>
                <w:color w:val="000000"/>
                <w:sz w:val="22"/>
                <w:szCs w:val="22"/>
              </w:rPr>
              <w:t>5</w:t>
            </w:r>
            <w:r w:rsidR="00E16AC1">
              <w:rPr>
                <w:rFonts w:ascii="Arial" w:hAnsi="Arial" w:cs="Arial"/>
                <w:color w:val="000000"/>
                <w:sz w:val="22"/>
                <w:szCs w:val="22"/>
              </w:rPr>
              <w:t>3</w:t>
            </w:r>
          </w:p>
        </w:tc>
      </w:tr>
      <w:tr w:rsidR="00B41F48" w:rsidRPr="00650880" w:rsidTr="00457BA8">
        <w:trPr>
          <w:trHeight w:hRule="exact" w:val="954"/>
        </w:trPr>
        <w:tc>
          <w:tcPr>
            <w:tcW w:w="1291" w:type="dxa"/>
            <w:tcBorders>
              <w:top w:val="nil"/>
              <w:left w:val="nil"/>
              <w:bottom w:val="nil"/>
              <w:right w:val="nil"/>
            </w:tcBorders>
            <w:shd w:val="clear" w:color="auto" w:fill="auto"/>
            <w:noWrap/>
            <w:hideMark/>
          </w:tcPr>
          <w:p w:rsidR="00B41F48" w:rsidRPr="00650880" w:rsidRDefault="00B41F48" w:rsidP="003D368C">
            <w:pPr>
              <w:rPr>
                <w:rFonts w:ascii="Arial" w:hAnsi="Arial" w:cs="Arial"/>
                <w:b/>
                <w:color w:val="000000"/>
              </w:rPr>
            </w:pPr>
            <w:r w:rsidRPr="00650880">
              <w:rPr>
                <w:rFonts w:ascii="Arial" w:hAnsi="Arial" w:cs="Arial"/>
                <w:b/>
                <w:color w:val="000000"/>
                <w:sz w:val="22"/>
                <w:szCs w:val="22"/>
              </w:rPr>
              <w:lastRenderedPageBreak/>
              <w:t xml:space="preserve">Tablo 31 </w:t>
            </w:r>
          </w:p>
        </w:tc>
        <w:tc>
          <w:tcPr>
            <w:tcW w:w="7094" w:type="dxa"/>
            <w:gridSpan w:val="2"/>
            <w:tcBorders>
              <w:top w:val="nil"/>
              <w:left w:val="nil"/>
              <w:bottom w:val="nil"/>
              <w:right w:val="nil"/>
            </w:tcBorders>
            <w:shd w:val="clear" w:color="auto" w:fill="auto"/>
            <w:noWrap/>
            <w:hideMark/>
          </w:tcPr>
          <w:p w:rsidR="00B41F48" w:rsidRPr="00650880" w:rsidRDefault="00B41F48" w:rsidP="003D368C">
            <w:pPr>
              <w:rPr>
                <w:rFonts w:ascii="Arial" w:hAnsi="Arial" w:cs="Arial"/>
                <w:color w:val="000000"/>
              </w:rPr>
            </w:pPr>
            <w:r w:rsidRPr="00650880">
              <w:rPr>
                <w:rFonts w:ascii="Arial" w:hAnsi="Arial" w:cs="Arial"/>
                <w:sz w:val="22"/>
                <w:szCs w:val="22"/>
              </w:rPr>
              <w:t>Çocuk ve Ergenlerde Yıkıcı Davranım Bozuklukları için DSM-IV’e Dayalı Tarama ve Değerlendirme Ölçeği Puanları ile olgu grubu m</w:t>
            </w:r>
            <w:r w:rsidRPr="00650880">
              <w:rPr>
                <w:rFonts w:ascii="Arial" w:hAnsi="Arial" w:cs="Arial"/>
                <w:sz w:val="22"/>
                <w:szCs w:val="22"/>
                <w:shd w:val="clear" w:color="auto" w:fill="FFFFFF"/>
              </w:rPr>
              <w:t>iR-5692b, miR-let-7d, miR-124-3p, miR-107, miR-4447 relatif kantitasyon değerleri arasındaki ilişki</w:t>
            </w:r>
            <w:r w:rsidR="00457BA8">
              <w:rPr>
                <w:rFonts w:ascii="Arial" w:hAnsi="Arial" w:cs="Arial"/>
                <w:sz w:val="22"/>
                <w:szCs w:val="22"/>
                <w:shd w:val="clear" w:color="auto" w:fill="FFFFFF"/>
              </w:rPr>
              <w:t>..........................................................................</w:t>
            </w:r>
          </w:p>
        </w:tc>
        <w:tc>
          <w:tcPr>
            <w:tcW w:w="772" w:type="dxa"/>
            <w:tcBorders>
              <w:top w:val="nil"/>
              <w:left w:val="nil"/>
              <w:bottom w:val="nil"/>
              <w:right w:val="nil"/>
            </w:tcBorders>
            <w:shd w:val="clear" w:color="auto" w:fill="auto"/>
            <w:noWrap/>
            <w:vAlign w:val="bottom"/>
            <w:hideMark/>
          </w:tcPr>
          <w:p w:rsidR="00B41F48" w:rsidRPr="00650880" w:rsidRDefault="00E04D66" w:rsidP="00457BA8">
            <w:pPr>
              <w:jc w:val="center"/>
              <w:rPr>
                <w:rFonts w:ascii="Arial" w:hAnsi="Arial" w:cs="Arial"/>
                <w:color w:val="000000"/>
              </w:rPr>
            </w:pPr>
            <w:r>
              <w:rPr>
                <w:rFonts w:ascii="Arial" w:hAnsi="Arial" w:cs="Arial"/>
                <w:color w:val="000000"/>
                <w:sz w:val="22"/>
                <w:szCs w:val="22"/>
              </w:rPr>
              <w:t>5</w:t>
            </w:r>
            <w:r w:rsidR="00E16AC1">
              <w:rPr>
                <w:rFonts w:ascii="Arial" w:hAnsi="Arial" w:cs="Arial"/>
                <w:color w:val="000000"/>
                <w:sz w:val="22"/>
                <w:szCs w:val="22"/>
              </w:rPr>
              <w:t>5</w:t>
            </w:r>
          </w:p>
        </w:tc>
      </w:tr>
      <w:tr w:rsidR="00FE73B2" w:rsidRPr="00650880" w:rsidTr="00457BA8">
        <w:trPr>
          <w:trHeight w:hRule="exact" w:val="702"/>
        </w:trPr>
        <w:tc>
          <w:tcPr>
            <w:tcW w:w="1291" w:type="dxa"/>
            <w:vMerge w:val="restart"/>
            <w:tcBorders>
              <w:top w:val="nil"/>
              <w:left w:val="nil"/>
              <w:bottom w:val="nil"/>
              <w:right w:val="nil"/>
            </w:tcBorders>
            <w:shd w:val="clear" w:color="auto" w:fill="auto"/>
            <w:noWrap/>
            <w:hideMark/>
          </w:tcPr>
          <w:p w:rsidR="00B548EE" w:rsidRPr="00650880" w:rsidRDefault="00B548EE" w:rsidP="00B41F48">
            <w:pPr>
              <w:rPr>
                <w:rFonts w:ascii="Arial" w:hAnsi="Arial" w:cs="Arial"/>
                <w:b/>
                <w:color w:val="000000"/>
              </w:rPr>
            </w:pPr>
          </w:p>
          <w:p w:rsidR="00B548EE" w:rsidRPr="00650880" w:rsidRDefault="00B548EE" w:rsidP="00B41F48">
            <w:pPr>
              <w:rPr>
                <w:rFonts w:ascii="Arial" w:hAnsi="Arial" w:cs="Arial"/>
                <w:b/>
                <w:color w:val="000000"/>
              </w:rPr>
            </w:pPr>
          </w:p>
          <w:p w:rsidR="00457BA8" w:rsidRDefault="00457BA8" w:rsidP="00B41F48">
            <w:pPr>
              <w:rPr>
                <w:rFonts w:ascii="Arial" w:hAnsi="Arial" w:cs="Arial"/>
                <w:b/>
                <w:color w:val="000000"/>
              </w:rPr>
            </w:pPr>
          </w:p>
          <w:p w:rsidR="00FE73B2" w:rsidRPr="00650880" w:rsidRDefault="00B41F48" w:rsidP="00B41F48">
            <w:pPr>
              <w:rPr>
                <w:rFonts w:ascii="Arial" w:hAnsi="Arial" w:cs="Arial"/>
                <w:b/>
                <w:color w:val="000000"/>
              </w:rPr>
            </w:pPr>
            <w:r w:rsidRPr="00650880">
              <w:rPr>
                <w:rFonts w:ascii="Arial" w:hAnsi="Arial" w:cs="Arial"/>
                <w:b/>
                <w:color w:val="000000"/>
                <w:sz w:val="22"/>
                <w:szCs w:val="22"/>
              </w:rPr>
              <w:t xml:space="preserve">Tablo 32 </w:t>
            </w:r>
          </w:p>
        </w:tc>
        <w:tc>
          <w:tcPr>
            <w:tcW w:w="7094" w:type="dxa"/>
            <w:gridSpan w:val="2"/>
            <w:vMerge w:val="restart"/>
            <w:tcBorders>
              <w:top w:val="nil"/>
              <w:left w:val="nil"/>
              <w:bottom w:val="nil"/>
              <w:right w:val="nil"/>
            </w:tcBorders>
            <w:shd w:val="clear" w:color="auto" w:fill="auto"/>
            <w:noWrap/>
            <w:hideMark/>
          </w:tcPr>
          <w:p w:rsidR="00B548EE" w:rsidRPr="00650880" w:rsidRDefault="00B548EE" w:rsidP="00FE73B2">
            <w:pPr>
              <w:rPr>
                <w:rFonts w:ascii="Arial" w:hAnsi="Arial" w:cs="Arial"/>
              </w:rPr>
            </w:pPr>
          </w:p>
          <w:p w:rsidR="00B548EE" w:rsidRPr="00650880" w:rsidRDefault="00B548EE" w:rsidP="00FE73B2">
            <w:pPr>
              <w:rPr>
                <w:rFonts w:ascii="Arial" w:hAnsi="Arial" w:cs="Arial"/>
              </w:rPr>
            </w:pPr>
          </w:p>
          <w:p w:rsidR="00457BA8" w:rsidRDefault="00457BA8" w:rsidP="00FE73B2">
            <w:pPr>
              <w:rPr>
                <w:rFonts w:ascii="Arial" w:hAnsi="Arial" w:cs="Arial"/>
              </w:rPr>
            </w:pPr>
          </w:p>
          <w:p w:rsidR="00FE73B2" w:rsidRPr="00650880" w:rsidRDefault="00B41F48" w:rsidP="00FE73B2">
            <w:pPr>
              <w:rPr>
                <w:rFonts w:ascii="Arial" w:hAnsi="Arial" w:cs="Arial"/>
                <w:color w:val="000000"/>
              </w:rPr>
            </w:pPr>
            <w:r w:rsidRPr="00650880">
              <w:rPr>
                <w:rFonts w:ascii="Arial" w:hAnsi="Arial" w:cs="Arial"/>
                <w:sz w:val="22"/>
                <w:szCs w:val="22"/>
              </w:rPr>
              <w:t>Periferik Kan m</w:t>
            </w:r>
            <w:r w:rsidRPr="00650880">
              <w:rPr>
                <w:rFonts w:ascii="Arial" w:hAnsi="Arial" w:cs="Arial"/>
                <w:sz w:val="22"/>
                <w:szCs w:val="22"/>
                <w:shd w:val="clear" w:color="auto" w:fill="FFFFFF"/>
              </w:rPr>
              <w:t xml:space="preserve">iR-5692b, miR-let-7d, miR-124-3p, miR-107, miR-4447’nin Relatif Kantitasyon Değerlerinin </w:t>
            </w:r>
            <w:r w:rsidRPr="00650880">
              <w:rPr>
                <w:rFonts w:ascii="Arial" w:hAnsi="Arial" w:cs="Arial"/>
                <w:sz w:val="22"/>
                <w:szCs w:val="22"/>
              </w:rPr>
              <w:t>ACE uygulaması Puanları ile İlişkisi</w:t>
            </w:r>
            <w:r w:rsidR="00457BA8">
              <w:rPr>
                <w:rFonts w:ascii="Arial" w:hAnsi="Arial" w:cs="Arial"/>
                <w:sz w:val="22"/>
                <w:szCs w:val="22"/>
              </w:rPr>
              <w:t>........................................................................................................</w:t>
            </w:r>
          </w:p>
        </w:tc>
        <w:tc>
          <w:tcPr>
            <w:tcW w:w="772" w:type="dxa"/>
            <w:vMerge w:val="restart"/>
            <w:tcBorders>
              <w:top w:val="nil"/>
              <w:left w:val="nil"/>
              <w:bottom w:val="nil"/>
              <w:right w:val="nil"/>
            </w:tcBorders>
            <w:shd w:val="clear" w:color="auto" w:fill="auto"/>
            <w:noWrap/>
            <w:vAlign w:val="center"/>
            <w:hideMark/>
          </w:tcPr>
          <w:p w:rsidR="00FE73B2" w:rsidRPr="00650880" w:rsidRDefault="00E04D66" w:rsidP="00457BA8">
            <w:pPr>
              <w:jc w:val="center"/>
              <w:rPr>
                <w:rFonts w:ascii="Arial" w:hAnsi="Arial" w:cs="Arial"/>
                <w:color w:val="000000"/>
              </w:rPr>
            </w:pPr>
            <w:r>
              <w:rPr>
                <w:rFonts w:ascii="Arial" w:hAnsi="Arial" w:cs="Arial"/>
                <w:color w:val="000000"/>
                <w:sz w:val="22"/>
                <w:szCs w:val="22"/>
              </w:rPr>
              <w:t>5</w:t>
            </w:r>
            <w:r w:rsidR="00E16AC1">
              <w:rPr>
                <w:rFonts w:ascii="Arial" w:hAnsi="Arial" w:cs="Arial"/>
                <w:color w:val="000000"/>
                <w:sz w:val="22"/>
                <w:szCs w:val="22"/>
              </w:rPr>
              <w:t>6</w:t>
            </w:r>
          </w:p>
          <w:p w:rsidR="00FE73B2" w:rsidRPr="00650880" w:rsidRDefault="00FE73B2" w:rsidP="00457BA8">
            <w:pPr>
              <w:jc w:val="center"/>
              <w:rPr>
                <w:rFonts w:ascii="Arial" w:hAnsi="Arial" w:cs="Arial"/>
                <w:color w:val="000000"/>
              </w:rPr>
            </w:pPr>
          </w:p>
        </w:tc>
      </w:tr>
      <w:tr w:rsidR="00FE73B2" w:rsidRPr="00650880" w:rsidTr="00457BA8">
        <w:trPr>
          <w:trHeight w:hRule="exact" w:val="702"/>
        </w:trPr>
        <w:tc>
          <w:tcPr>
            <w:tcW w:w="1291" w:type="dxa"/>
            <w:vMerge/>
            <w:tcBorders>
              <w:top w:val="nil"/>
              <w:left w:val="nil"/>
              <w:bottom w:val="nil"/>
              <w:right w:val="nil"/>
            </w:tcBorders>
            <w:shd w:val="clear" w:color="auto" w:fill="auto"/>
            <w:noWrap/>
            <w:hideMark/>
          </w:tcPr>
          <w:p w:rsidR="00FE73B2" w:rsidRPr="00650880" w:rsidRDefault="00FE73B2" w:rsidP="00FE73B2">
            <w:pPr>
              <w:rPr>
                <w:rFonts w:ascii="Arial" w:hAnsi="Arial" w:cs="Arial"/>
                <w:b/>
                <w:color w:val="000000"/>
                <w:lang w:val="en-US"/>
              </w:rPr>
            </w:pPr>
          </w:p>
        </w:tc>
        <w:tc>
          <w:tcPr>
            <w:tcW w:w="7094" w:type="dxa"/>
            <w:gridSpan w:val="2"/>
            <w:vMerge/>
            <w:tcBorders>
              <w:top w:val="nil"/>
              <w:left w:val="nil"/>
              <w:bottom w:val="nil"/>
              <w:right w:val="nil"/>
            </w:tcBorders>
            <w:shd w:val="clear" w:color="auto" w:fill="auto"/>
            <w:noWrap/>
            <w:hideMark/>
          </w:tcPr>
          <w:p w:rsidR="00FE73B2" w:rsidRPr="00650880" w:rsidRDefault="00FE73B2" w:rsidP="00FE73B2">
            <w:pPr>
              <w:rPr>
                <w:rFonts w:ascii="Arial" w:hAnsi="Arial" w:cs="Arial"/>
              </w:rPr>
            </w:pPr>
          </w:p>
        </w:tc>
        <w:tc>
          <w:tcPr>
            <w:tcW w:w="772" w:type="dxa"/>
            <w:vMerge/>
            <w:tcBorders>
              <w:top w:val="nil"/>
              <w:left w:val="nil"/>
              <w:bottom w:val="nil"/>
              <w:right w:val="nil"/>
            </w:tcBorders>
            <w:shd w:val="clear" w:color="auto" w:fill="auto"/>
            <w:noWrap/>
            <w:hideMark/>
          </w:tcPr>
          <w:p w:rsidR="00FE73B2" w:rsidRPr="00650880" w:rsidRDefault="00FE73B2" w:rsidP="00FE73B2">
            <w:pPr>
              <w:rPr>
                <w:rFonts w:ascii="Arial" w:hAnsi="Arial" w:cs="Arial"/>
                <w:color w:val="000000"/>
              </w:rPr>
            </w:pPr>
          </w:p>
        </w:tc>
      </w:tr>
      <w:tr w:rsidR="00FE73B2" w:rsidRPr="00650880" w:rsidTr="00457BA8">
        <w:trPr>
          <w:trHeight w:hRule="exact" w:val="702"/>
        </w:trPr>
        <w:tc>
          <w:tcPr>
            <w:tcW w:w="1291" w:type="dxa"/>
            <w:vMerge/>
            <w:tcBorders>
              <w:top w:val="nil"/>
              <w:left w:val="nil"/>
              <w:bottom w:val="nil"/>
              <w:right w:val="nil"/>
            </w:tcBorders>
            <w:shd w:val="clear" w:color="auto" w:fill="auto"/>
            <w:noWrap/>
            <w:hideMark/>
          </w:tcPr>
          <w:p w:rsidR="00FE73B2" w:rsidRPr="00650880" w:rsidRDefault="00FE73B2" w:rsidP="00FE73B2">
            <w:pPr>
              <w:rPr>
                <w:rFonts w:ascii="Arial" w:hAnsi="Arial" w:cs="Arial"/>
                <w:b/>
                <w:color w:val="000000"/>
                <w:lang w:val="en-US"/>
              </w:rPr>
            </w:pPr>
          </w:p>
        </w:tc>
        <w:tc>
          <w:tcPr>
            <w:tcW w:w="7094" w:type="dxa"/>
            <w:gridSpan w:val="2"/>
            <w:vMerge/>
            <w:tcBorders>
              <w:top w:val="nil"/>
              <w:left w:val="nil"/>
              <w:bottom w:val="nil"/>
              <w:right w:val="nil"/>
            </w:tcBorders>
            <w:shd w:val="clear" w:color="auto" w:fill="auto"/>
            <w:noWrap/>
            <w:hideMark/>
          </w:tcPr>
          <w:p w:rsidR="00FE73B2" w:rsidRPr="00650880" w:rsidRDefault="00FE73B2" w:rsidP="00FE73B2">
            <w:pPr>
              <w:rPr>
                <w:rFonts w:ascii="Arial" w:hAnsi="Arial" w:cs="Arial"/>
              </w:rPr>
            </w:pPr>
          </w:p>
        </w:tc>
        <w:tc>
          <w:tcPr>
            <w:tcW w:w="772" w:type="dxa"/>
            <w:vMerge/>
            <w:tcBorders>
              <w:top w:val="nil"/>
              <w:left w:val="nil"/>
              <w:bottom w:val="nil"/>
              <w:right w:val="nil"/>
            </w:tcBorders>
            <w:shd w:val="clear" w:color="auto" w:fill="auto"/>
            <w:noWrap/>
            <w:hideMark/>
          </w:tcPr>
          <w:p w:rsidR="00FE73B2" w:rsidRPr="00650880" w:rsidRDefault="00FE73B2" w:rsidP="00FE73B2">
            <w:pPr>
              <w:rPr>
                <w:rFonts w:ascii="Arial" w:hAnsi="Arial" w:cs="Arial"/>
                <w:color w:val="000000"/>
              </w:rPr>
            </w:pPr>
          </w:p>
        </w:tc>
      </w:tr>
      <w:tr w:rsidR="00FE73B2" w:rsidRPr="00650880" w:rsidTr="00457BA8">
        <w:trPr>
          <w:trHeight w:val="702"/>
        </w:trPr>
        <w:tc>
          <w:tcPr>
            <w:tcW w:w="1291" w:type="dxa"/>
            <w:vMerge/>
            <w:tcBorders>
              <w:top w:val="nil"/>
              <w:left w:val="nil"/>
              <w:bottom w:val="nil"/>
              <w:right w:val="nil"/>
            </w:tcBorders>
            <w:hideMark/>
          </w:tcPr>
          <w:p w:rsidR="00FE73B2" w:rsidRPr="00650880" w:rsidRDefault="00FE73B2" w:rsidP="00FE73B2">
            <w:pPr>
              <w:rPr>
                <w:rFonts w:ascii="Arial" w:hAnsi="Arial" w:cs="Arial"/>
                <w:b/>
                <w:color w:val="000000"/>
              </w:rPr>
            </w:pPr>
          </w:p>
        </w:tc>
        <w:tc>
          <w:tcPr>
            <w:tcW w:w="7094" w:type="dxa"/>
            <w:gridSpan w:val="2"/>
            <w:vMerge/>
            <w:tcBorders>
              <w:top w:val="nil"/>
              <w:left w:val="nil"/>
              <w:bottom w:val="nil"/>
              <w:right w:val="nil"/>
            </w:tcBorders>
            <w:hideMark/>
          </w:tcPr>
          <w:p w:rsidR="00FE73B2" w:rsidRPr="00650880" w:rsidRDefault="00FE73B2" w:rsidP="00FE73B2">
            <w:pPr>
              <w:rPr>
                <w:rFonts w:ascii="Arial" w:hAnsi="Arial" w:cs="Arial"/>
                <w:color w:val="000000"/>
              </w:rPr>
            </w:pPr>
          </w:p>
        </w:tc>
        <w:tc>
          <w:tcPr>
            <w:tcW w:w="772" w:type="dxa"/>
            <w:vMerge/>
            <w:tcBorders>
              <w:top w:val="nil"/>
              <w:left w:val="nil"/>
              <w:bottom w:val="nil"/>
              <w:right w:val="nil"/>
            </w:tcBorders>
            <w:hideMark/>
          </w:tcPr>
          <w:p w:rsidR="00FE73B2" w:rsidRPr="00650880" w:rsidRDefault="00FE73B2" w:rsidP="00FE73B2">
            <w:pPr>
              <w:rPr>
                <w:rFonts w:ascii="Arial" w:hAnsi="Arial" w:cs="Arial"/>
                <w:color w:val="000000"/>
              </w:rPr>
            </w:pPr>
          </w:p>
        </w:tc>
      </w:tr>
      <w:tr w:rsidR="00FE73B2" w:rsidRPr="00650880" w:rsidTr="00457BA8">
        <w:trPr>
          <w:trHeight w:val="276"/>
        </w:trPr>
        <w:tc>
          <w:tcPr>
            <w:tcW w:w="1291" w:type="dxa"/>
            <w:vMerge/>
            <w:tcBorders>
              <w:top w:val="nil"/>
              <w:left w:val="nil"/>
              <w:bottom w:val="nil"/>
              <w:right w:val="nil"/>
            </w:tcBorders>
            <w:hideMark/>
          </w:tcPr>
          <w:p w:rsidR="00FE73B2" w:rsidRPr="00650880" w:rsidRDefault="00FE73B2" w:rsidP="00FE73B2">
            <w:pPr>
              <w:rPr>
                <w:rFonts w:ascii="Arial" w:hAnsi="Arial" w:cs="Arial"/>
                <w:color w:val="000000"/>
              </w:rPr>
            </w:pPr>
          </w:p>
        </w:tc>
        <w:tc>
          <w:tcPr>
            <w:tcW w:w="7094" w:type="dxa"/>
            <w:gridSpan w:val="2"/>
            <w:vMerge/>
            <w:tcBorders>
              <w:top w:val="nil"/>
              <w:left w:val="nil"/>
              <w:bottom w:val="nil"/>
              <w:right w:val="nil"/>
            </w:tcBorders>
            <w:hideMark/>
          </w:tcPr>
          <w:p w:rsidR="00FE73B2" w:rsidRPr="00650880" w:rsidRDefault="00FE73B2" w:rsidP="00FE73B2">
            <w:pPr>
              <w:rPr>
                <w:rFonts w:ascii="Arial" w:hAnsi="Arial" w:cs="Arial"/>
                <w:color w:val="000000"/>
              </w:rPr>
            </w:pPr>
          </w:p>
        </w:tc>
        <w:tc>
          <w:tcPr>
            <w:tcW w:w="772" w:type="dxa"/>
            <w:vMerge/>
            <w:tcBorders>
              <w:top w:val="nil"/>
              <w:left w:val="nil"/>
              <w:bottom w:val="nil"/>
              <w:right w:val="nil"/>
            </w:tcBorders>
            <w:hideMark/>
          </w:tcPr>
          <w:p w:rsidR="00FE73B2" w:rsidRPr="00650880" w:rsidRDefault="00FE73B2" w:rsidP="00FE73B2">
            <w:pPr>
              <w:rPr>
                <w:rFonts w:ascii="Arial" w:hAnsi="Arial" w:cs="Arial"/>
                <w:color w:val="000000"/>
              </w:rPr>
            </w:pPr>
          </w:p>
        </w:tc>
      </w:tr>
    </w:tbl>
    <w:p w:rsidR="00930C51" w:rsidRPr="00650880" w:rsidRDefault="00930C51" w:rsidP="00930C51">
      <w:pPr>
        <w:rPr>
          <w:rFonts w:ascii="Arial" w:hAnsi="Arial" w:cs="Arial"/>
          <w:sz w:val="22"/>
          <w:szCs w:val="22"/>
        </w:rPr>
      </w:pPr>
    </w:p>
    <w:p w:rsidR="0089799B" w:rsidRPr="00650880" w:rsidRDefault="0089799B" w:rsidP="00930C51">
      <w:pPr>
        <w:spacing w:after="200" w:line="276" w:lineRule="auto"/>
        <w:ind w:left="2832" w:firstLine="708"/>
        <w:rPr>
          <w:rFonts w:ascii="Arial" w:hAnsi="Arial" w:cs="Arial"/>
          <w:sz w:val="22"/>
          <w:szCs w:val="22"/>
        </w:rPr>
      </w:pPr>
    </w:p>
    <w:p w:rsidR="0089799B" w:rsidRPr="00650880" w:rsidRDefault="0089799B" w:rsidP="00930C51">
      <w:pPr>
        <w:spacing w:after="200" w:line="276" w:lineRule="auto"/>
        <w:ind w:left="2832" w:firstLine="708"/>
        <w:rPr>
          <w:rFonts w:ascii="Arial" w:hAnsi="Arial" w:cs="Arial"/>
          <w:sz w:val="22"/>
          <w:szCs w:val="22"/>
        </w:rPr>
      </w:pPr>
    </w:p>
    <w:p w:rsidR="0089799B" w:rsidRPr="00650880" w:rsidRDefault="0089799B" w:rsidP="00930C51">
      <w:pPr>
        <w:spacing w:after="200" w:line="276" w:lineRule="auto"/>
        <w:ind w:left="2832" w:firstLine="708"/>
        <w:rPr>
          <w:rFonts w:ascii="Arial" w:hAnsi="Arial" w:cs="Arial"/>
          <w:sz w:val="22"/>
          <w:szCs w:val="22"/>
        </w:rPr>
      </w:pPr>
    </w:p>
    <w:p w:rsidR="0089799B" w:rsidRPr="00650880" w:rsidRDefault="0089799B" w:rsidP="00930C51">
      <w:pPr>
        <w:spacing w:after="200" w:line="276" w:lineRule="auto"/>
        <w:ind w:left="2832" w:firstLine="708"/>
        <w:rPr>
          <w:rFonts w:ascii="Arial" w:hAnsi="Arial" w:cs="Arial"/>
          <w:sz w:val="22"/>
          <w:szCs w:val="22"/>
        </w:rPr>
      </w:pPr>
    </w:p>
    <w:p w:rsidR="0089799B" w:rsidRPr="00650880" w:rsidRDefault="0089799B" w:rsidP="00930C51">
      <w:pPr>
        <w:spacing w:after="200" w:line="276" w:lineRule="auto"/>
        <w:ind w:left="2832" w:firstLine="708"/>
        <w:rPr>
          <w:rFonts w:ascii="Arial" w:hAnsi="Arial" w:cs="Arial"/>
          <w:sz w:val="22"/>
          <w:szCs w:val="22"/>
        </w:rPr>
      </w:pPr>
    </w:p>
    <w:p w:rsidR="0089799B" w:rsidRPr="00650880" w:rsidRDefault="0089799B" w:rsidP="00930C51">
      <w:pPr>
        <w:spacing w:after="200" w:line="276" w:lineRule="auto"/>
        <w:ind w:left="2832" w:firstLine="708"/>
        <w:rPr>
          <w:rFonts w:ascii="Arial" w:hAnsi="Arial" w:cs="Arial"/>
          <w:sz w:val="22"/>
          <w:szCs w:val="22"/>
        </w:rPr>
      </w:pPr>
    </w:p>
    <w:p w:rsidR="0089799B" w:rsidRPr="00650880" w:rsidRDefault="0089799B" w:rsidP="00930C51">
      <w:pPr>
        <w:spacing w:after="200" w:line="276" w:lineRule="auto"/>
        <w:ind w:left="2832" w:firstLine="708"/>
        <w:rPr>
          <w:rFonts w:ascii="Arial" w:hAnsi="Arial" w:cs="Arial"/>
          <w:sz w:val="22"/>
          <w:szCs w:val="22"/>
        </w:rPr>
      </w:pPr>
    </w:p>
    <w:p w:rsidR="0089799B" w:rsidRDefault="0089799B" w:rsidP="00930C51">
      <w:pPr>
        <w:spacing w:after="200" w:line="276" w:lineRule="auto"/>
        <w:ind w:left="2832" w:firstLine="708"/>
        <w:rPr>
          <w:rFonts w:ascii="Arial" w:hAnsi="Arial" w:cs="Arial"/>
          <w:sz w:val="22"/>
          <w:szCs w:val="22"/>
        </w:rPr>
      </w:pPr>
    </w:p>
    <w:p w:rsidR="0096478A" w:rsidRDefault="0096478A" w:rsidP="00930C51">
      <w:pPr>
        <w:spacing w:after="200" w:line="276" w:lineRule="auto"/>
        <w:ind w:left="2832" w:firstLine="708"/>
        <w:rPr>
          <w:rFonts w:ascii="Arial" w:hAnsi="Arial" w:cs="Arial"/>
          <w:sz w:val="22"/>
          <w:szCs w:val="22"/>
        </w:rPr>
      </w:pPr>
    </w:p>
    <w:p w:rsidR="0096478A" w:rsidRDefault="0096478A" w:rsidP="00930C51">
      <w:pPr>
        <w:spacing w:after="200" w:line="276" w:lineRule="auto"/>
        <w:ind w:left="2832" w:firstLine="708"/>
        <w:rPr>
          <w:rFonts w:ascii="Arial" w:hAnsi="Arial" w:cs="Arial"/>
          <w:sz w:val="22"/>
          <w:szCs w:val="22"/>
        </w:rPr>
      </w:pPr>
    </w:p>
    <w:p w:rsidR="0096478A" w:rsidRDefault="0096478A" w:rsidP="00930C51">
      <w:pPr>
        <w:spacing w:after="200" w:line="276" w:lineRule="auto"/>
        <w:ind w:left="2832" w:firstLine="708"/>
        <w:rPr>
          <w:rFonts w:ascii="Arial" w:hAnsi="Arial" w:cs="Arial"/>
          <w:sz w:val="22"/>
          <w:szCs w:val="22"/>
        </w:rPr>
      </w:pPr>
    </w:p>
    <w:p w:rsidR="0096478A" w:rsidRDefault="0096478A" w:rsidP="00930C51">
      <w:pPr>
        <w:spacing w:after="200" w:line="276" w:lineRule="auto"/>
        <w:ind w:left="2832" w:firstLine="708"/>
        <w:rPr>
          <w:rFonts w:ascii="Arial" w:hAnsi="Arial" w:cs="Arial"/>
          <w:sz w:val="22"/>
          <w:szCs w:val="22"/>
        </w:rPr>
      </w:pPr>
    </w:p>
    <w:p w:rsidR="0096478A" w:rsidRDefault="0096478A" w:rsidP="00930C51">
      <w:pPr>
        <w:spacing w:after="200" w:line="276" w:lineRule="auto"/>
        <w:ind w:left="2832" w:firstLine="708"/>
        <w:rPr>
          <w:rFonts w:ascii="Arial" w:hAnsi="Arial" w:cs="Arial"/>
          <w:sz w:val="22"/>
          <w:szCs w:val="22"/>
        </w:rPr>
      </w:pPr>
    </w:p>
    <w:p w:rsidR="0096478A" w:rsidRDefault="0096478A" w:rsidP="00930C51">
      <w:pPr>
        <w:spacing w:after="200" w:line="276" w:lineRule="auto"/>
        <w:ind w:left="2832" w:firstLine="708"/>
        <w:rPr>
          <w:rFonts w:ascii="Arial" w:hAnsi="Arial" w:cs="Arial"/>
          <w:sz w:val="22"/>
          <w:szCs w:val="22"/>
        </w:rPr>
      </w:pPr>
    </w:p>
    <w:p w:rsidR="0096478A" w:rsidRPr="00650880" w:rsidRDefault="0096478A" w:rsidP="00930C51">
      <w:pPr>
        <w:spacing w:after="200" w:line="276" w:lineRule="auto"/>
        <w:ind w:left="2832" w:firstLine="708"/>
        <w:rPr>
          <w:rFonts w:ascii="Arial" w:hAnsi="Arial" w:cs="Arial"/>
          <w:sz w:val="22"/>
          <w:szCs w:val="22"/>
        </w:rPr>
      </w:pPr>
    </w:p>
    <w:p w:rsidR="0089799B" w:rsidRPr="00650880" w:rsidRDefault="0089799B" w:rsidP="00930C51">
      <w:pPr>
        <w:spacing w:after="200" w:line="276" w:lineRule="auto"/>
        <w:ind w:left="2832" w:firstLine="708"/>
        <w:rPr>
          <w:rFonts w:ascii="Arial" w:hAnsi="Arial" w:cs="Arial"/>
          <w:sz w:val="22"/>
          <w:szCs w:val="22"/>
        </w:rPr>
      </w:pPr>
    </w:p>
    <w:p w:rsidR="0089799B" w:rsidRPr="00650880" w:rsidRDefault="0089799B" w:rsidP="00930C51">
      <w:pPr>
        <w:spacing w:after="200" w:line="276" w:lineRule="auto"/>
        <w:ind w:left="2832" w:firstLine="708"/>
        <w:rPr>
          <w:rFonts w:ascii="Arial" w:hAnsi="Arial" w:cs="Arial"/>
          <w:sz w:val="22"/>
          <w:szCs w:val="22"/>
        </w:rPr>
      </w:pPr>
    </w:p>
    <w:p w:rsidR="0089799B" w:rsidRPr="00650880" w:rsidRDefault="0089799B" w:rsidP="00930C51">
      <w:pPr>
        <w:spacing w:after="200" w:line="276" w:lineRule="auto"/>
        <w:ind w:left="2832" w:firstLine="708"/>
        <w:rPr>
          <w:rFonts w:ascii="Arial" w:hAnsi="Arial" w:cs="Arial"/>
          <w:sz w:val="22"/>
          <w:szCs w:val="22"/>
        </w:rPr>
      </w:pPr>
    </w:p>
    <w:p w:rsidR="0089799B" w:rsidRPr="00650880" w:rsidRDefault="0089799B" w:rsidP="00930C51">
      <w:pPr>
        <w:spacing w:after="200" w:line="276" w:lineRule="auto"/>
        <w:ind w:left="2832" w:firstLine="708"/>
        <w:rPr>
          <w:rFonts w:ascii="Arial" w:hAnsi="Arial" w:cs="Arial"/>
          <w:sz w:val="22"/>
          <w:szCs w:val="22"/>
        </w:rPr>
      </w:pPr>
    </w:p>
    <w:p w:rsidR="0089799B" w:rsidRPr="00650880" w:rsidRDefault="0089799B" w:rsidP="00930C51">
      <w:pPr>
        <w:spacing w:after="200" w:line="276" w:lineRule="auto"/>
        <w:ind w:left="2832" w:firstLine="708"/>
        <w:rPr>
          <w:rFonts w:ascii="Arial" w:hAnsi="Arial" w:cs="Arial"/>
          <w:sz w:val="22"/>
          <w:szCs w:val="22"/>
        </w:rPr>
      </w:pPr>
    </w:p>
    <w:tbl>
      <w:tblPr>
        <w:tblW w:w="9157" w:type="dxa"/>
        <w:tblInd w:w="55" w:type="dxa"/>
        <w:tblLayout w:type="fixed"/>
        <w:tblCellMar>
          <w:left w:w="70" w:type="dxa"/>
          <w:right w:w="70" w:type="dxa"/>
        </w:tblCellMar>
        <w:tblLook w:val="04A0" w:firstRow="1" w:lastRow="0" w:firstColumn="1" w:lastColumn="0" w:noHBand="0" w:noVBand="1"/>
      </w:tblPr>
      <w:tblGrid>
        <w:gridCol w:w="1291"/>
        <w:gridCol w:w="7088"/>
        <w:gridCol w:w="778"/>
      </w:tblGrid>
      <w:tr w:rsidR="0089799B" w:rsidRPr="00650880" w:rsidTr="007F2DD4">
        <w:trPr>
          <w:trHeight w:val="702"/>
        </w:trPr>
        <w:tc>
          <w:tcPr>
            <w:tcW w:w="8379" w:type="dxa"/>
            <w:gridSpan w:val="2"/>
            <w:tcBorders>
              <w:top w:val="nil"/>
              <w:left w:val="nil"/>
              <w:bottom w:val="nil"/>
              <w:right w:val="nil"/>
            </w:tcBorders>
            <w:shd w:val="clear" w:color="auto" w:fill="auto"/>
            <w:noWrap/>
            <w:vAlign w:val="bottom"/>
            <w:hideMark/>
          </w:tcPr>
          <w:p w:rsidR="0089799B" w:rsidRPr="00650880" w:rsidRDefault="0089799B" w:rsidP="007F2DD4">
            <w:pPr>
              <w:ind w:firstLine="2639"/>
              <w:rPr>
                <w:rFonts w:ascii="Arial" w:hAnsi="Arial" w:cs="Arial"/>
                <w:b/>
                <w:color w:val="000000"/>
              </w:rPr>
            </w:pPr>
            <w:r w:rsidRPr="00650880">
              <w:rPr>
                <w:rFonts w:ascii="Arial" w:hAnsi="Arial" w:cs="Arial"/>
                <w:b/>
                <w:color w:val="000000"/>
                <w:sz w:val="22"/>
                <w:szCs w:val="22"/>
              </w:rPr>
              <w:t>ŞEKİLLER DİZİNİ</w:t>
            </w:r>
          </w:p>
        </w:tc>
        <w:tc>
          <w:tcPr>
            <w:tcW w:w="778" w:type="dxa"/>
            <w:tcBorders>
              <w:top w:val="nil"/>
              <w:left w:val="nil"/>
              <w:bottom w:val="nil"/>
              <w:right w:val="nil"/>
            </w:tcBorders>
            <w:shd w:val="clear" w:color="auto" w:fill="auto"/>
            <w:noWrap/>
            <w:vAlign w:val="bottom"/>
            <w:hideMark/>
          </w:tcPr>
          <w:p w:rsidR="0089799B" w:rsidRPr="00650880" w:rsidRDefault="0089799B" w:rsidP="007F2DD4">
            <w:pPr>
              <w:jc w:val="center"/>
              <w:rPr>
                <w:rFonts w:ascii="Arial" w:hAnsi="Arial" w:cs="Arial"/>
                <w:b/>
                <w:color w:val="000000"/>
              </w:rPr>
            </w:pPr>
            <w:r w:rsidRPr="00650880">
              <w:rPr>
                <w:rFonts w:ascii="Arial" w:hAnsi="Arial" w:cs="Arial"/>
                <w:b/>
                <w:color w:val="000000"/>
                <w:sz w:val="22"/>
                <w:szCs w:val="22"/>
              </w:rPr>
              <w:t>Sayfa No</w:t>
            </w:r>
          </w:p>
        </w:tc>
      </w:tr>
      <w:tr w:rsidR="0089799B" w:rsidRPr="00650880" w:rsidTr="00457BA8">
        <w:trPr>
          <w:trHeight w:val="702"/>
        </w:trPr>
        <w:tc>
          <w:tcPr>
            <w:tcW w:w="1291" w:type="dxa"/>
            <w:tcBorders>
              <w:top w:val="nil"/>
              <w:left w:val="nil"/>
              <w:bottom w:val="nil"/>
              <w:right w:val="nil"/>
            </w:tcBorders>
            <w:shd w:val="clear" w:color="auto" w:fill="auto"/>
            <w:noWrap/>
            <w:vAlign w:val="bottom"/>
            <w:hideMark/>
          </w:tcPr>
          <w:p w:rsidR="0089799B" w:rsidRPr="00650880" w:rsidRDefault="0089799B" w:rsidP="007F2DD4">
            <w:pPr>
              <w:rPr>
                <w:rFonts w:ascii="Arial" w:hAnsi="Arial" w:cs="Arial"/>
                <w:b/>
                <w:color w:val="000000"/>
              </w:rPr>
            </w:pPr>
            <w:r w:rsidRPr="00650880">
              <w:rPr>
                <w:rFonts w:ascii="Arial" w:hAnsi="Arial" w:cs="Arial"/>
                <w:b/>
                <w:color w:val="000000"/>
                <w:sz w:val="22"/>
                <w:szCs w:val="22"/>
                <w:lang w:val="en-US"/>
              </w:rPr>
              <w:t>Şekil 1</w:t>
            </w:r>
          </w:p>
        </w:tc>
        <w:tc>
          <w:tcPr>
            <w:tcW w:w="7088" w:type="dxa"/>
            <w:tcBorders>
              <w:top w:val="nil"/>
              <w:left w:val="nil"/>
              <w:bottom w:val="nil"/>
              <w:right w:val="nil"/>
            </w:tcBorders>
            <w:shd w:val="clear" w:color="auto" w:fill="auto"/>
            <w:noWrap/>
            <w:vAlign w:val="bottom"/>
            <w:hideMark/>
          </w:tcPr>
          <w:p w:rsidR="0089799B" w:rsidRPr="00650880" w:rsidRDefault="0089799B" w:rsidP="007F2DD4">
            <w:pPr>
              <w:rPr>
                <w:rFonts w:ascii="Arial" w:hAnsi="Arial" w:cs="Arial"/>
                <w:color w:val="000000"/>
              </w:rPr>
            </w:pPr>
            <w:r w:rsidRPr="00650880">
              <w:rPr>
                <w:rFonts w:ascii="Arial" w:hAnsi="Arial" w:cs="Arial"/>
                <w:color w:val="212121"/>
                <w:sz w:val="22"/>
                <w:szCs w:val="22"/>
                <w:shd w:val="clear" w:color="auto" w:fill="FFFFFF"/>
              </w:rPr>
              <w:t xml:space="preserve">miRNA biyogenezi ve fonksiyonu  </w:t>
            </w:r>
            <w:r w:rsidRPr="00650880">
              <w:rPr>
                <w:rFonts w:ascii="Arial" w:hAnsi="Arial" w:cs="Arial"/>
                <w:color w:val="000000"/>
                <w:sz w:val="22"/>
                <w:szCs w:val="22"/>
                <w:lang w:val="en-US"/>
              </w:rPr>
              <w:t>……………………</w:t>
            </w:r>
            <w:r w:rsidR="00CA6018" w:rsidRPr="00650880">
              <w:rPr>
                <w:rFonts w:ascii="Arial" w:hAnsi="Arial" w:cs="Arial"/>
                <w:color w:val="000000"/>
                <w:sz w:val="22"/>
                <w:szCs w:val="22"/>
                <w:lang w:val="en-US"/>
              </w:rPr>
              <w:t>……………...</w:t>
            </w:r>
          </w:p>
        </w:tc>
        <w:tc>
          <w:tcPr>
            <w:tcW w:w="778" w:type="dxa"/>
            <w:tcBorders>
              <w:top w:val="nil"/>
              <w:left w:val="nil"/>
              <w:bottom w:val="nil"/>
              <w:right w:val="nil"/>
            </w:tcBorders>
            <w:shd w:val="clear" w:color="auto" w:fill="auto"/>
            <w:noWrap/>
            <w:vAlign w:val="bottom"/>
            <w:hideMark/>
          </w:tcPr>
          <w:p w:rsidR="0089799B" w:rsidRPr="00650880" w:rsidRDefault="00E47A1C" w:rsidP="00457BA8">
            <w:pPr>
              <w:jc w:val="center"/>
              <w:rPr>
                <w:rFonts w:ascii="Arial" w:hAnsi="Arial" w:cs="Arial"/>
                <w:color w:val="000000"/>
              </w:rPr>
            </w:pPr>
            <w:r>
              <w:rPr>
                <w:rFonts w:ascii="Arial" w:hAnsi="Arial" w:cs="Arial"/>
                <w:color w:val="000000"/>
                <w:sz w:val="22"/>
                <w:szCs w:val="22"/>
              </w:rPr>
              <w:t>24</w:t>
            </w:r>
          </w:p>
        </w:tc>
      </w:tr>
    </w:tbl>
    <w:p w:rsidR="00C60153" w:rsidRPr="00912F0C" w:rsidRDefault="00930C51" w:rsidP="00E04D66">
      <w:pPr>
        <w:pStyle w:val="Balk1"/>
        <w:jc w:val="center"/>
        <w:rPr>
          <w:rFonts w:ascii="Arial" w:hAnsi="Arial" w:cs="Arial"/>
          <w:color w:val="auto"/>
          <w:sz w:val="22"/>
          <w:szCs w:val="22"/>
        </w:rPr>
      </w:pPr>
      <w:r>
        <w:br w:type="page"/>
      </w:r>
      <w:r w:rsidR="00C60153" w:rsidRPr="00912F0C">
        <w:rPr>
          <w:rFonts w:ascii="Arial" w:hAnsi="Arial" w:cs="Arial"/>
          <w:color w:val="auto"/>
          <w:sz w:val="22"/>
          <w:szCs w:val="22"/>
        </w:rPr>
        <w:lastRenderedPageBreak/>
        <w:t>ÖZET</w:t>
      </w:r>
    </w:p>
    <w:p w:rsidR="00C60153" w:rsidRPr="00912F0C" w:rsidRDefault="00C60153" w:rsidP="00C60153">
      <w:pPr>
        <w:spacing w:line="360" w:lineRule="auto"/>
        <w:jc w:val="center"/>
        <w:rPr>
          <w:rFonts w:ascii="Arial" w:hAnsi="Arial" w:cs="Arial"/>
          <w:sz w:val="22"/>
          <w:szCs w:val="22"/>
        </w:rPr>
      </w:pPr>
      <w:r w:rsidRPr="00912F0C">
        <w:rPr>
          <w:rFonts w:ascii="Arial" w:hAnsi="Arial" w:cs="Arial"/>
          <w:sz w:val="22"/>
          <w:szCs w:val="22"/>
        </w:rPr>
        <w:t xml:space="preserve"> </w:t>
      </w:r>
    </w:p>
    <w:p w:rsidR="00C60153" w:rsidRPr="00912F0C" w:rsidRDefault="00C60153" w:rsidP="00C60153">
      <w:pPr>
        <w:spacing w:line="360" w:lineRule="auto"/>
        <w:jc w:val="center"/>
        <w:rPr>
          <w:rFonts w:ascii="Arial" w:hAnsi="Arial" w:cs="Arial"/>
          <w:b/>
          <w:sz w:val="22"/>
          <w:szCs w:val="22"/>
        </w:rPr>
      </w:pPr>
      <w:r w:rsidRPr="00912F0C">
        <w:rPr>
          <w:rFonts w:ascii="Arial" w:hAnsi="Arial" w:cs="Arial"/>
          <w:b/>
          <w:sz w:val="22"/>
          <w:szCs w:val="22"/>
        </w:rPr>
        <w:t>Dikkat Eksikliği Hiperaktivite Bozukluğunda miR-124-3p, miR-4447, miR-107, miR-Let-7d ve miR-5692b miRNAlarının Ekspresyon Profilleri</w:t>
      </w:r>
    </w:p>
    <w:p w:rsidR="00C60153" w:rsidRPr="00912F0C" w:rsidRDefault="00C60153" w:rsidP="00C60153">
      <w:pPr>
        <w:spacing w:line="360" w:lineRule="auto"/>
        <w:jc w:val="center"/>
        <w:rPr>
          <w:rFonts w:ascii="Arial" w:hAnsi="Arial" w:cs="Arial"/>
          <w:sz w:val="22"/>
          <w:szCs w:val="22"/>
        </w:rPr>
      </w:pPr>
      <w:r w:rsidRPr="00912F0C">
        <w:rPr>
          <w:rFonts w:ascii="Arial" w:hAnsi="Arial" w:cs="Arial"/>
          <w:sz w:val="22"/>
          <w:szCs w:val="22"/>
        </w:rPr>
        <w:t xml:space="preserve"> </w:t>
      </w:r>
    </w:p>
    <w:p w:rsidR="00C60153" w:rsidRPr="00912F0C" w:rsidRDefault="00C60153" w:rsidP="00C60153">
      <w:pPr>
        <w:spacing w:line="360" w:lineRule="auto"/>
        <w:jc w:val="center"/>
        <w:rPr>
          <w:rFonts w:ascii="Arial" w:hAnsi="Arial" w:cs="Arial"/>
          <w:sz w:val="22"/>
          <w:szCs w:val="22"/>
        </w:rPr>
      </w:pPr>
      <w:r w:rsidRPr="00912F0C">
        <w:rPr>
          <w:rFonts w:ascii="Arial" w:hAnsi="Arial" w:cs="Arial"/>
          <w:sz w:val="22"/>
          <w:szCs w:val="22"/>
        </w:rPr>
        <w:t>Dr. Sezai Üstün AYDIN</w:t>
      </w:r>
    </w:p>
    <w:p w:rsidR="00E24ED9" w:rsidRPr="00E24ED9" w:rsidRDefault="00C60153" w:rsidP="00E04D66">
      <w:pPr>
        <w:spacing w:line="360" w:lineRule="auto"/>
        <w:jc w:val="both"/>
        <w:rPr>
          <w:rFonts w:ascii="Arial" w:hAnsi="Arial" w:cs="Arial"/>
          <w:sz w:val="22"/>
          <w:szCs w:val="22"/>
        </w:rPr>
      </w:pPr>
      <w:r w:rsidRPr="00912F0C">
        <w:rPr>
          <w:rFonts w:ascii="Arial" w:hAnsi="Arial" w:cs="Arial"/>
          <w:sz w:val="22"/>
          <w:szCs w:val="22"/>
        </w:rPr>
        <w:t xml:space="preserve"> </w:t>
      </w:r>
      <w:r w:rsidR="00E04D66">
        <w:rPr>
          <w:rFonts w:ascii="Arial" w:hAnsi="Arial" w:cs="Arial"/>
          <w:sz w:val="22"/>
          <w:szCs w:val="22"/>
        </w:rPr>
        <w:tab/>
      </w:r>
      <w:r w:rsidR="00E24ED9" w:rsidRPr="00E24ED9">
        <w:rPr>
          <w:rFonts w:ascii="Arial" w:hAnsi="Arial" w:cs="Arial"/>
          <w:sz w:val="22"/>
          <w:szCs w:val="22"/>
        </w:rPr>
        <w:t>Dikkat Eksikliği Hiperaktivite Bozukluğu (DEHB), etiyolojisi henüz net olarak aydınlatılamamış, nörobiyolojik, genetik ve çevresel faktörlerin et</w:t>
      </w:r>
      <w:r w:rsidR="00E24ED9">
        <w:rPr>
          <w:rFonts w:ascii="Arial" w:hAnsi="Arial" w:cs="Arial"/>
          <w:sz w:val="22"/>
          <w:szCs w:val="22"/>
        </w:rPr>
        <w:t>i</w:t>
      </w:r>
      <w:r w:rsidR="00E24ED9" w:rsidRPr="00E24ED9">
        <w:rPr>
          <w:rFonts w:ascii="Arial" w:hAnsi="Arial" w:cs="Arial"/>
          <w:sz w:val="22"/>
          <w:szCs w:val="22"/>
        </w:rPr>
        <w:t>yolojide birlikte rol aldığı düşünülen nörogelişimsel bir bozukluktur. miRNA’ların çeşitli hastalıkların oluşumunda rol alıyor olabileceğine dair yakın zamanlı bilgiler mevcuttur. DEHB ve miRNA ilişkisi ise yazında oldukça yeni çalışılmaya başlanmış olan bir alandır ve bugüne dek oldukça az sayıda araştırma yürütülmüştür. DEHB etyopatogenezindeki rollerini araştırma amacıyla 30 DEHB tanılı hasta ve 30 sağlıklı gönüllü sağlam çocuğun periferik kan miR-124-3p, miR-4447, miR-107, miR-Let-7d ve miR-5692b düzeyleri incelenmiştir. Çalışmaya dahil edilmiş katılımcılar 6-17 yaş aralığında, başka herhangi bir fiziksel veya psikiyatrik ek tanısı ve psikotrop ilaç kullanım öyküsü olmayan çocuk ve ergenler arasından seçilmiştir. Periferik kan örneklerinden ticari kit kullanılarak miRNA izolasyonu yapılmış ve real-time PCR ile hasta ve kontroller arasında, miR-124- 3p, miR-4447, miR-107, miR-Let- 7d ve miR-5692b'nin ekspresyon seviyeleri kıyaslanmıştır. Katılımcıların belirti düzeyleri, Çocuk ve Ergenlerde Yıkıcı Davranım Bozuklukları İçin DSM-IV’e Dayalı Tarama ve Değerlendirme Ölçeği ve DEHB Çocuk Değerlendirme</w:t>
      </w:r>
      <w:r w:rsidR="008D6FC9">
        <w:rPr>
          <w:rFonts w:ascii="Arial" w:hAnsi="Arial" w:cs="Arial"/>
          <w:sz w:val="22"/>
          <w:szCs w:val="22"/>
        </w:rPr>
        <w:t xml:space="preserve"> yarı yapılandırılmış görüşme</w:t>
      </w:r>
      <w:r w:rsidR="00E24ED9" w:rsidRPr="00E24ED9">
        <w:rPr>
          <w:rFonts w:ascii="Arial" w:hAnsi="Arial" w:cs="Arial"/>
          <w:sz w:val="22"/>
          <w:szCs w:val="22"/>
        </w:rPr>
        <w:t xml:space="preserve"> ile değerlendirilmiştir. Olgu grubunda kontrollere göre, miR-5692b düzeyinin anlamlı olarak yüksek, miR-Let-7d düzeyinin ise anlamlı olarak düşük olduğu bulunmuştur. miR-124-3p, miR-4447 ve miR-107 düzeyleri açısından olgu ve kontrol grupları arasında anlamlı bir fark bulunamamıştır. Tüm katılımcılar değerlendirildiğinde bu parametrelerden hiçbirinin cinsiyet veya yaş ile ilişkisi olmadığı bulunmuştur. Sonuç olarak bu çalışmada, miR5692b ve miR-let-7d düzeyleri ile DEHB arasında bir ilişki gösterilmiştir.  miRNA’ların DEHB etyopatogenezindeki rolünün anlaşılması için daha geniş örneklemde, DEHB alt tipleriyle birlikte genetik ve nörokimyasal etkenlerin de değerlendirildiği çalışmalara ihtiyaç vardır.</w:t>
      </w:r>
    </w:p>
    <w:p w:rsidR="00E24ED9" w:rsidRPr="00702B47" w:rsidRDefault="00E24ED9" w:rsidP="00E24ED9">
      <w:pPr>
        <w:spacing w:line="360" w:lineRule="auto"/>
        <w:jc w:val="both"/>
        <w:rPr>
          <w:rFonts w:ascii="Arial" w:hAnsi="Arial" w:cs="Arial"/>
          <w:highlight w:val="yellow"/>
        </w:rPr>
      </w:pPr>
    </w:p>
    <w:p w:rsidR="00930C51" w:rsidRPr="00E04D66" w:rsidRDefault="00E24ED9" w:rsidP="00E04D66">
      <w:pPr>
        <w:spacing w:line="360" w:lineRule="auto"/>
        <w:jc w:val="both"/>
        <w:rPr>
          <w:rFonts w:ascii="Arial" w:hAnsi="Arial" w:cs="Arial"/>
        </w:rPr>
      </w:pPr>
      <w:r w:rsidRPr="00E04D66">
        <w:rPr>
          <w:rFonts w:ascii="Arial" w:hAnsi="Arial" w:cs="Arial"/>
          <w:b/>
          <w:sz w:val="22"/>
          <w:szCs w:val="22"/>
        </w:rPr>
        <w:t>Anahtar Kelimeler</w:t>
      </w:r>
      <w:r w:rsidRPr="00E24ED9">
        <w:rPr>
          <w:rFonts w:ascii="Arial" w:hAnsi="Arial" w:cs="Arial"/>
          <w:sz w:val="22"/>
          <w:szCs w:val="22"/>
        </w:rPr>
        <w:t>: Dikkat Eksikliği Hiperaktivite Bozukluğu, miRNA, epigenetik, miR-124-3p, miR-4447, miR-107, miR-Let-7d, miR-5692b</w:t>
      </w:r>
    </w:p>
    <w:p w:rsidR="00E55CF4" w:rsidRPr="002617D1" w:rsidRDefault="00E55CF4" w:rsidP="002617D1">
      <w:pPr>
        <w:spacing w:after="200" w:line="360" w:lineRule="auto"/>
        <w:ind w:left="2832" w:firstLine="708"/>
        <w:jc w:val="both"/>
        <w:rPr>
          <w:rFonts w:ascii="Arial" w:hAnsi="Arial" w:cs="Arial"/>
          <w:b/>
          <w:sz w:val="22"/>
        </w:rPr>
      </w:pPr>
      <w:r w:rsidRPr="00C60153">
        <w:rPr>
          <w:rFonts w:ascii="Arial" w:hAnsi="Arial" w:cs="Arial"/>
          <w:b/>
          <w:sz w:val="22"/>
        </w:rPr>
        <w:lastRenderedPageBreak/>
        <w:t>ABSTRACT</w:t>
      </w:r>
    </w:p>
    <w:p w:rsidR="00E55CF4" w:rsidRDefault="00C60153" w:rsidP="002617D1">
      <w:pPr>
        <w:spacing w:line="360" w:lineRule="auto"/>
        <w:jc w:val="center"/>
        <w:rPr>
          <w:rFonts w:ascii="Arial" w:hAnsi="Arial" w:cs="Arial"/>
          <w:b/>
          <w:sz w:val="22"/>
          <w:szCs w:val="22"/>
        </w:rPr>
      </w:pPr>
      <w:r w:rsidRPr="00C60153">
        <w:rPr>
          <w:rFonts w:ascii="Arial" w:hAnsi="Arial" w:cs="Arial"/>
          <w:b/>
          <w:sz w:val="22"/>
          <w:szCs w:val="22"/>
        </w:rPr>
        <w:t>Expression Profiles of miR-124-3p, miR-4447, miR-107, miR-Let-7d and miR-5692b miRNAs in Attention Deficit Hyperactivity Disorder</w:t>
      </w:r>
    </w:p>
    <w:p w:rsidR="00912F0C" w:rsidRPr="004159F7" w:rsidRDefault="00912F0C" w:rsidP="002617D1">
      <w:pPr>
        <w:spacing w:line="360" w:lineRule="auto"/>
        <w:jc w:val="center"/>
        <w:rPr>
          <w:rFonts w:ascii="Arial" w:hAnsi="Arial" w:cs="Arial"/>
          <w:sz w:val="22"/>
          <w:szCs w:val="22"/>
        </w:rPr>
      </w:pPr>
    </w:p>
    <w:p w:rsidR="004159F7" w:rsidRPr="004159F7" w:rsidRDefault="004159F7" w:rsidP="00E04D66">
      <w:pPr>
        <w:spacing w:line="360" w:lineRule="auto"/>
        <w:jc w:val="center"/>
        <w:rPr>
          <w:rFonts w:ascii="Arial" w:hAnsi="Arial" w:cs="Arial"/>
          <w:sz w:val="22"/>
          <w:szCs w:val="22"/>
        </w:rPr>
      </w:pPr>
      <w:r w:rsidRPr="004159F7">
        <w:rPr>
          <w:rFonts w:ascii="Arial" w:hAnsi="Arial" w:cs="Arial"/>
          <w:sz w:val="22"/>
          <w:szCs w:val="22"/>
        </w:rPr>
        <w:t>Dr. Sezai Üstün AYDIN</w:t>
      </w:r>
    </w:p>
    <w:p w:rsidR="004159F7" w:rsidRPr="004159F7" w:rsidRDefault="004159F7" w:rsidP="004159F7">
      <w:pPr>
        <w:spacing w:line="360" w:lineRule="auto"/>
        <w:ind w:firstLine="708"/>
        <w:jc w:val="both"/>
        <w:rPr>
          <w:rFonts w:ascii="Arial" w:hAnsi="Arial" w:cs="Arial"/>
          <w:sz w:val="22"/>
          <w:szCs w:val="22"/>
        </w:rPr>
      </w:pPr>
      <w:r w:rsidRPr="004159F7">
        <w:rPr>
          <w:rFonts w:ascii="Arial" w:hAnsi="Arial" w:cs="Arial"/>
          <w:sz w:val="22"/>
          <w:szCs w:val="22"/>
        </w:rPr>
        <w:t>Attention Deficit Hyperactivity Disorder (ADHD) is a neurodevelopmental disorder whose etiology is not clearly understood yet, but neurobiological, genetic and environmental factors are thought to play a role. Data is collecting in the literature about the role of miRNAs in the etiopathogenesis of variable disorders. In terms of ADHD, its relationship with miRNA has been started to be studied quite recently and very little number of studies have been conducted up to yet. Peripheral blood miR-124-3p, miR-4447, miR-107, miR-Let-7d and miR-5692b levels of 30 ADHD patients and 30 healthy volunteers were  evaluatedwith the aim to investigate their roles in the ADHD etiopathogenesis. Participants who were included in the study were children and adolescents of 6-17 years without any other comorbid physical or psychiatric disorders and also who were  psychotropic  drug naïve. Isolation of miRNAs from participants was carried out using a commercial kit from peripheral blood samples, and expression levels of miR-124- 3p, miR-4447, miR-107, miR-Let-7d and miR-5692b were compared between patients and controls by real-time PCR. Participants' symptom levels were assessed by DSM-IV-Based Disruptive Behavioral Disorders Screening and Rating Scale</w:t>
      </w:r>
      <w:r>
        <w:rPr>
          <w:rFonts w:ascii="Arial" w:hAnsi="Arial" w:cs="Arial"/>
          <w:sz w:val="22"/>
          <w:szCs w:val="22"/>
        </w:rPr>
        <w:t xml:space="preserve"> and ADHD Child Evaluation</w:t>
      </w:r>
      <w:r w:rsidRPr="004159F7">
        <w:rPr>
          <w:rFonts w:ascii="Arial" w:hAnsi="Arial" w:cs="Arial"/>
          <w:sz w:val="22"/>
          <w:szCs w:val="22"/>
        </w:rPr>
        <w:t>. miR-5692b level was significantly higher, and miR-Let-7d level was significantly lower in the ADHD group. There was no significant difference between groups regarding miR-124-3p, miR-4447 and miR-107 levels. When all participants were assessed collectively, none of these parameters were found to be related to gender or age. Conclusively, we found an association between miR5692b and miR-let-7d levels and ADHD. There is a need for future studies that assess genetic and neurochemical factors among ADHD subtypes in larger samples to understand the role of miRNAs in the etiopathogenesis of ADHD.</w:t>
      </w:r>
    </w:p>
    <w:p w:rsidR="004159F7" w:rsidRPr="004159F7" w:rsidRDefault="004159F7" w:rsidP="004159F7">
      <w:pPr>
        <w:spacing w:line="360" w:lineRule="auto"/>
        <w:jc w:val="both"/>
        <w:rPr>
          <w:rFonts w:ascii="Arial" w:hAnsi="Arial" w:cs="Arial"/>
          <w:sz w:val="22"/>
          <w:szCs w:val="22"/>
        </w:rPr>
      </w:pPr>
      <w:r w:rsidRPr="004159F7">
        <w:rPr>
          <w:rFonts w:ascii="Arial" w:hAnsi="Arial" w:cs="Arial"/>
          <w:sz w:val="22"/>
          <w:szCs w:val="22"/>
        </w:rPr>
        <w:t xml:space="preserve"> </w:t>
      </w:r>
    </w:p>
    <w:p w:rsidR="00896CEF" w:rsidRDefault="004159F7" w:rsidP="00896CEF">
      <w:pPr>
        <w:spacing w:line="360" w:lineRule="auto"/>
        <w:rPr>
          <w:rFonts w:ascii="Arial" w:hAnsi="Arial" w:cs="Arial"/>
          <w:b/>
          <w:sz w:val="22"/>
          <w:szCs w:val="22"/>
        </w:rPr>
        <w:sectPr w:rsidR="00896CEF" w:rsidSect="00E47A1C">
          <w:footerReference w:type="default" r:id="rId11"/>
          <w:pgSz w:w="11906" w:h="16838"/>
          <w:pgMar w:top="1701" w:right="1418" w:bottom="1701" w:left="2268" w:header="709" w:footer="709" w:gutter="0"/>
          <w:pgNumType w:fmt="upperRoman" w:start="1"/>
          <w:cols w:space="708"/>
          <w:docGrid w:linePitch="360"/>
        </w:sectPr>
      </w:pPr>
      <w:r w:rsidRPr="002B6AFD">
        <w:rPr>
          <w:rFonts w:ascii="Arial" w:hAnsi="Arial" w:cs="Arial"/>
          <w:b/>
          <w:sz w:val="22"/>
          <w:szCs w:val="22"/>
        </w:rPr>
        <w:t>Key words:</w:t>
      </w:r>
      <w:r w:rsidRPr="004159F7">
        <w:rPr>
          <w:rFonts w:ascii="Arial" w:hAnsi="Arial" w:cs="Arial"/>
          <w:sz w:val="22"/>
          <w:szCs w:val="22"/>
        </w:rPr>
        <w:t xml:space="preserve"> Attention Deficit Hyperactivity Disorder, miRNA, epi</w:t>
      </w:r>
      <w:r w:rsidR="00896CEF">
        <w:rPr>
          <w:rFonts w:ascii="Arial" w:hAnsi="Arial" w:cs="Arial"/>
          <w:sz w:val="22"/>
          <w:szCs w:val="22"/>
        </w:rPr>
        <w:t>genetics, miR-124-3p,miR-4447,</w:t>
      </w:r>
      <w:r w:rsidRPr="004159F7">
        <w:rPr>
          <w:rFonts w:ascii="Arial" w:hAnsi="Arial" w:cs="Arial"/>
          <w:sz w:val="22"/>
          <w:szCs w:val="22"/>
        </w:rPr>
        <w:t>miR-107,miR-Let-7d,miR-5692b</w:t>
      </w:r>
      <w:r w:rsidRPr="004159F7">
        <w:rPr>
          <w:rFonts w:ascii="Arial" w:hAnsi="Arial" w:cs="Arial"/>
          <w:b/>
          <w:sz w:val="22"/>
          <w:szCs w:val="22"/>
        </w:rPr>
        <w:t xml:space="preserve"> </w:t>
      </w:r>
    </w:p>
    <w:p w:rsidR="00C60153" w:rsidRDefault="00C60153" w:rsidP="00C60153">
      <w:pPr>
        <w:spacing w:line="360" w:lineRule="auto"/>
        <w:jc w:val="center"/>
        <w:rPr>
          <w:rFonts w:ascii="Arial" w:hAnsi="Arial" w:cs="Arial"/>
          <w:b/>
          <w:sz w:val="22"/>
          <w:szCs w:val="22"/>
        </w:rPr>
      </w:pPr>
      <w:r w:rsidRPr="002B6AFD">
        <w:rPr>
          <w:rFonts w:ascii="Arial" w:hAnsi="Arial" w:cs="Arial"/>
          <w:b/>
          <w:sz w:val="22"/>
          <w:szCs w:val="22"/>
        </w:rPr>
        <w:lastRenderedPageBreak/>
        <w:t>GİRİŞ</w:t>
      </w:r>
    </w:p>
    <w:p w:rsidR="00541AC9" w:rsidRPr="002B6AFD" w:rsidRDefault="00541AC9" w:rsidP="00C60153">
      <w:pPr>
        <w:spacing w:line="360" w:lineRule="auto"/>
        <w:jc w:val="center"/>
        <w:rPr>
          <w:rFonts w:ascii="Arial" w:hAnsi="Arial" w:cs="Arial"/>
          <w:b/>
          <w:sz w:val="22"/>
          <w:szCs w:val="22"/>
        </w:rPr>
      </w:pPr>
    </w:p>
    <w:p w:rsidR="00C60153" w:rsidRPr="002B6AFD" w:rsidRDefault="00C60153" w:rsidP="00C60153">
      <w:pPr>
        <w:spacing w:line="360" w:lineRule="auto"/>
        <w:ind w:firstLine="708"/>
        <w:jc w:val="both"/>
        <w:rPr>
          <w:rFonts w:ascii="Arial" w:hAnsi="Arial" w:cs="Arial"/>
          <w:color w:val="212121"/>
          <w:sz w:val="22"/>
          <w:szCs w:val="22"/>
          <w:shd w:val="clear" w:color="auto" w:fill="FFFFFF"/>
        </w:rPr>
      </w:pPr>
      <w:r w:rsidRPr="002B6AFD">
        <w:rPr>
          <w:rFonts w:ascii="Arial" w:hAnsi="Arial" w:cs="Arial"/>
          <w:color w:val="212121"/>
          <w:sz w:val="22"/>
          <w:szCs w:val="22"/>
        </w:rPr>
        <w:t xml:space="preserve">Yaşla uygunsuz ve aşırı derecede dikkatsizlik, hiperaktivite ve dürtüsellik ile karakterize </w:t>
      </w:r>
      <w:r w:rsidR="00BC3BBB" w:rsidRPr="002B6AFD">
        <w:rPr>
          <w:rStyle w:val="DipnotBavurusu"/>
          <w:rFonts w:ascii="Arial" w:hAnsi="Arial" w:cs="Arial"/>
          <w:color w:val="212121"/>
          <w:sz w:val="22"/>
          <w:szCs w:val="22"/>
        </w:rPr>
        <w:fldChar w:fldCharType="begin" w:fldLock="1"/>
      </w:r>
      <w:r w:rsidRPr="002B6AFD">
        <w:rPr>
          <w:rFonts w:ascii="Arial" w:hAnsi="Arial" w:cs="Arial"/>
          <w:color w:val="212121"/>
          <w:sz w:val="22"/>
          <w:szCs w:val="22"/>
        </w:rPr>
        <w:instrText>ADDIN CSL_CITATION { "citationItems" : [ { "id" : "ITEM-1", "itemData" : { "author" : [ { "dropping-particle" : "", "family" : "National Institute for Health and Clinical Excellence (NICE)", "given" : "", "non-dropping-particle" : "", "parse-names" : false, "suffix" : "" } ], "container-title" : "National Clinical Practice Guideline", "id" : "ITEM-1", "issue" : "April 2007", "issued" : { "date-parts" : [ [ "2008" ] ] }, "page" : "Available at: http://publications.nice.org.uk/atte", "title" : "Attention deficit hyperactivity disorder: Diagnosis and management of ADHD in children, young people and adults", "type" : "article-journal", "volume" : "72" }, "uris" : [ "http://www.mendeley.com/documents/?uuid=7aaa297c-bc76-4eda-a8a2-0e08df8848c7" ] } ], "mendeley" : { "formattedCitation" : "(1)", "plainTextFormattedCitation" : "(1)", "previouslyFormattedCitation" : "(1)" }, "properties" : { "noteIndex" : 1 }, "schema" : "https://github.com/citation-style-language/schema/raw/master/csl-citation.json" }</w:instrText>
      </w:r>
      <w:r w:rsidR="00BC3BBB" w:rsidRPr="002B6AFD">
        <w:rPr>
          <w:rStyle w:val="DipnotBavurusu"/>
          <w:rFonts w:ascii="Arial" w:hAnsi="Arial" w:cs="Arial"/>
          <w:color w:val="212121"/>
          <w:sz w:val="22"/>
          <w:szCs w:val="22"/>
        </w:rPr>
        <w:fldChar w:fldCharType="separate"/>
      </w:r>
      <w:r w:rsidRPr="002B6AFD">
        <w:rPr>
          <w:rFonts w:ascii="Arial" w:hAnsi="Arial" w:cs="Arial"/>
          <w:noProof/>
          <w:color w:val="212121"/>
          <w:sz w:val="22"/>
          <w:szCs w:val="22"/>
        </w:rPr>
        <w:t>(1)</w:t>
      </w:r>
      <w:r w:rsidR="00BC3BBB" w:rsidRPr="002B6AFD">
        <w:rPr>
          <w:rStyle w:val="DipnotBavurusu"/>
          <w:rFonts w:ascii="Arial" w:hAnsi="Arial" w:cs="Arial"/>
          <w:color w:val="212121"/>
          <w:sz w:val="22"/>
          <w:szCs w:val="22"/>
        </w:rPr>
        <w:fldChar w:fldCharType="end"/>
      </w:r>
      <w:r w:rsidRPr="002B6AFD">
        <w:rPr>
          <w:rFonts w:ascii="Arial" w:hAnsi="Arial" w:cs="Arial"/>
          <w:color w:val="4F81BD" w:themeColor="accent1"/>
          <w:sz w:val="22"/>
          <w:szCs w:val="22"/>
          <w:shd w:val="clear" w:color="auto" w:fill="FFFFFF"/>
        </w:rPr>
        <w:t xml:space="preserve"> </w:t>
      </w:r>
      <w:r w:rsidRPr="002B6AFD">
        <w:rPr>
          <w:rFonts w:ascii="Arial" w:hAnsi="Arial" w:cs="Arial"/>
          <w:color w:val="212121"/>
          <w:sz w:val="22"/>
          <w:szCs w:val="22"/>
          <w:shd w:val="clear" w:color="auto" w:fill="FFFFFF"/>
        </w:rPr>
        <w:t>Dikkat Eksikliği Hiperaktivite Bozukluğu (</w:t>
      </w:r>
      <w:r w:rsidRPr="002B6AFD">
        <w:rPr>
          <w:rFonts w:ascii="Arial" w:hAnsi="Arial" w:cs="Arial"/>
          <w:sz w:val="22"/>
          <w:szCs w:val="22"/>
          <w:shd w:val="clear" w:color="auto" w:fill="FFFFFF"/>
        </w:rPr>
        <w:t>DEHB</w:t>
      </w:r>
      <w:r w:rsidRPr="002B6AFD">
        <w:rPr>
          <w:rFonts w:ascii="Arial" w:hAnsi="Arial" w:cs="Arial"/>
          <w:color w:val="212121"/>
          <w:sz w:val="22"/>
          <w:szCs w:val="22"/>
          <w:shd w:val="clear" w:color="auto" w:fill="FFFFFF"/>
        </w:rPr>
        <w:t xml:space="preserve">), karmaşık ve çok faktörlü nörogelişimsel bir bozukluktur </w:t>
      </w:r>
      <w:r w:rsidR="00BC3BBB" w:rsidRPr="002B6AFD">
        <w:rPr>
          <w:rStyle w:val="DipnotBavurusu"/>
          <w:rFonts w:ascii="Arial" w:hAnsi="Arial" w:cs="Arial"/>
          <w:color w:val="000000"/>
          <w:sz w:val="22"/>
          <w:szCs w:val="22"/>
          <w:shd w:val="clear" w:color="auto" w:fill="FFFFFF"/>
        </w:rPr>
        <w:fldChar w:fldCharType="begin" w:fldLock="1"/>
      </w:r>
      <w:r w:rsidRPr="002B6AFD">
        <w:rPr>
          <w:rFonts w:ascii="Arial" w:hAnsi="Arial" w:cs="Arial"/>
          <w:color w:val="000000"/>
          <w:sz w:val="22"/>
          <w:szCs w:val="22"/>
          <w:shd w:val="clear" w:color="auto" w:fill="FFFFFF"/>
        </w:rPr>
        <w:instrText>ADDIN CSL_CITATION { "citationItems" : [ { "id" : "ITEM-1", "itemData" : { "DOI" : "10.1176/appi.books.9780890425596.744053", "ISBN" : "0890425558", "ISSN" : "2317-1782", "PMID" : "24413388", "author" : [ { "dropping-particle" : "", "family" : "American Psychiatric Association", "given" : "", "non-dropping-particle" : "", "parse-names" : false, "suffix" : "" } ], "edition" : "2013", "id" : "ITEM-1", "issued" : { "date-parts" : [ [ "2013" ] ] }, "number-of-pages" : "992", "publisher" : "American Psychiatric Publishing", "title" : "Diagnostic and Statistical Manual of Mental Disorders, Diagnostic and Statistical Manual of Mental Disorders, Fifth Edition (DSM-5).", "type" : "book" }, "uris" : [ "http://www.mendeley.com/documents/?uuid=3426bcb2-a514-4229-8139-12fcdd42b8e2" ] } ], "mendeley" : { "formattedCitation" : "(2)", "plainTextFormattedCitation" : "(2)", "previouslyFormattedCitation" : "(2)" }, "properties" : { "noteIndex" : 1 }, "schema" : "https://github.com/citation-style-language/schema/raw/master/csl-citation.json" }</w:instrText>
      </w:r>
      <w:r w:rsidR="00BC3BBB" w:rsidRPr="002B6AFD">
        <w:rPr>
          <w:rStyle w:val="DipnotBavurusu"/>
          <w:rFonts w:ascii="Arial" w:hAnsi="Arial" w:cs="Arial"/>
          <w:color w:val="000000"/>
          <w:sz w:val="22"/>
          <w:szCs w:val="22"/>
          <w:shd w:val="clear" w:color="auto" w:fill="FFFFFF"/>
        </w:rPr>
        <w:fldChar w:fldCharType="separate"/>
      </w:r>
      <w:r w:rsidRPr="002B6AFD">
        <w:rPr>
          <w:rFonts w:ascii="Arial" w:hAnsi="Arial" w:cs="Arial"/>
          <w:noProof/>
          <w:color w:val="000000"/>
          <w:sz w:val="22"/>
          <w:szCs w:val="22"/>
          <w:shd w:val="clear" w:color="auto" w:fill="FFFFFF"/>
        </w:rPr>
        <w:t>(2)</w:t>
      </w:r>
      <w:r w:rsidR="00BC3BBB" w:rsidRPr="002B6AFD">
        <w:rPr>
          <w:rStyle w:val="DipnotBavurusu"/>
          <w:rFonts w:ascii="Arial" w:hAnsi="Arial" w:cs="Arial"/>
          <w:color w:val="000000"/>
          <w:sz w:val="22"/>
          <w:szCs w:val="22"/>
          <w:shd w:val="clear" w:color="auto" w:fill="FFFFFF"/>
        </w:rPr>
        <w:fldChar w:fldCharType="end"/>
      </w:r>
      <w:r w:rsidRPr="002B6AFD">
        <w:rPr>
          <w:rFonts w:ascii="Arial" w:hAnsi="Arial" w:cs="Arial"/>
          <w:color w:val="000000" w:themeColor="text1"/>
          <w:sz w:val="22"/>
          <w:szCs w:val="22"/>
          <w:shd w:val="clear" w:color="auto" w:fill="FFFFFF"/>
        </w:rPr>
        <w:t>. D</w:t>
      </w:r>
      <w:r w:rsidRPr="002B6AFD">
        <w:rPr>
          <w:rFonts w:ascii="Arial" w:hAnsi="Arial" w:cs="Arial"/>
          <w:sz w:val="22"/>
          <w:szCs w:val="22"/>
          <w:shd w:val="clear" w:color="auto" w:fill="FFFFFF"/>
        </w:rPr>
        <w:t xml:space="preserve">ünya çapında çocuk ve ergenlerin yaklaşık %5’ini etkiler </w:t>
      </w:r>
      <w:r w:rsidR="00BC3BBB" w:rsidRPr="002B6AFD">
        <w:rPr>
          <w:rFonts w:ascii="Arial" w:hAnsi="Arial" w:cs="Arial"/>
          <w:sz w:val="22"/>
          <w:szCs w:val="22"/>
          <w:shd w:val="clear" w:color="auto" w:fill="FFFFFF"/>
        </w:rPr>
        <w:fldChar w:fldCharType="begin" w:fldLock="1"/>
      </w:r>
      <w:r w:rsidRPr="002B6AFD">
        <w:rPr>
          <w:rFonts w:ascii="Arial" w:hAnsi="Arial" w:cs="Arial"/>
          <w:sz w:val="22"/>
          <w:szCs w:val="22"/>
          <w:shd w:val="clear" w:color="auto" w:fill="FFFFFF"/>
        </w:rPr>
        <w:instrText>ADDIN CSL_CITATION { "citationItems" : [ { "id" : "ITEM-1", "itemData" : { "author" : [ { "dropping-particle" : "", "family" : "Polanczyk G, de Lima MS, Horta BL, Biederman J", "given" : "Rohde LA.", "non-dropping-particle" : "", "parse-names" : false, "suffix" : "" } ], "container-title" : "Am J Psychiatry.", "id" : "ITEM-1", "issued" : { "date-parts" : [ [ "2007" ] ] }, "page" : "942\u2013948", "title" : "The worldwide prevalence of ADHD: a systematic review and metaregression analysis.", "type" : "article-journal", "volume" : "164" }, "uris" : [ "http://www.mendeley.com/documents/?uuid=3f9232d0-5b04-4ce9-9595-4c5e46145da2" ] } ], "mendeley" : { "formattedCitation" : "(3)", "plainTextFormattedCitation" : "(3)", "previouslyFormattedCitation" : "(3)" }, "properties" : { "noteIndex" : 1 }, "schema" : "https://github.com/citation-style-language/schema/raw/master/csl-citation.json" }</w:instrText>
      </w:r>
      <w:r w:rsidR="00BC3BBB" w:rsidRPr="002B6AFD">
        <w:rPr>
          <w:rFonts w:ascii="Arial" w:hAnsi="Arial" w:cs="Arial"/>
          <w:sz w:val="22"/>
          <w:szCs w:val="22"/>
          <w:shd w:val="clear" w:color="auto" w:fill="FFFFFF"/>
        </w:rPr>
        <w:fldChar w:fldCharType="separate"/>
      </w:r>
      <w:r w:rsidRPr="002B6AFD">
        <w:rPr>
          <w:rFonts w:ascii="Arial" w:hAnsi="Arial" w:cs="Arial"/>
          <w:noProof/>
          <w:sz w:val="22"/>
          <w:szCs w:val="22"/>
          <w:shd w:val="clear" w:color="auto" w:fill="FFFFFF"/>
        </w:rPr>
        <w:t>(3)</w:t>
      </w:r>
      <w:r w:rsidR="00BC3BBB" w:rsidRPr="002B6AFD">
        <w:rPr>
          <w:rFonts w:ascii="Arial" w:hAnsi="Arial" w:cs="Arial"/>
          <w:sz w:val="22"/>
          <w:szCs w:val="22"/>
          <w:shd w:val="clear" w:color="auto" w:fill="FFFFFF"/>
        </w:rPr>
        <w:fldChar w:fldCharType="end"/>
      </w:r>
      <w:r w:rsidRPr="002B6AFD">
        <w:rPr>
          <w:rFonts w:ascii="Arial" w:hAnsi="Arial" w:cs="Arial"/>
          <w:color w:val="4F81BD" w:themeColor="accent1"/>
          <w:sz w:val="22"/>
          <w:szCs w:val="22"/>
          <w:shd w:val="clear" w:color="auto" w:fill="FFFFFF"/>
        </w:rPr>
        <w:t xml:space="preserve"> </w:t>
      </w:r>
      <w:r w:rsidRPr="002B6AFD">
        <w:rPr>
          <w:rFonts w:ascii="Arial" w:hAnsi="Arial" w:cs="Arial"/>
          <w:color w:val="000000" w:themeColor="text1"/>
          <w:sz w:val="22"/>
          <w:szCs w:val="22"/>
          <w:shd w:val="clear" w:color="auto" w:fill="FFFFFF"/>
        </w:rPr>
        <w:t xml:space="preserve">ve </w:t>
      </w:r>
      <w:r w:rsidRPr="002B6AFD">
        <w:rPr>
          <w:rFonts w:ascii="Arial" w:hAnsi="Arial" w:cs="Arial"/>
          <w:sz w:val="22"/>
          <w:szCs w:val="22"/>
          <w:shd w:val="clear" w:color="auto" w:fill="FFFFFF"/>
        </w:rPr>
        <w:t>çocukluk çağında en sık görülen nörogelişimsel bozukluktur</w:t>
      </w:r>
      <w:r w:rsidR="00BC3BBB" w:rsidRPr="002B6AFD">
        <w:rPr>
          <w:rFonts w:ascii="Arial" w:hAnsi="Arial" w:cs="Arial"/>
          <w:sz w:val="22"/>
          <w:szCs w:val="22"/>
          <w:shd w:val="clear" w:color="auto" w:fill="FFFFFF"/>
        </w:rPr>
        <w:fldChar w:fldCharType="begin" w:fldLock="1"/>
      </w:r>
      <w:r w:rsidRPr="002B6AFD">
        <w:rPr>
          <w:rFonts w:ascii="Arial" w:hAnsi="Arial" w:cs="Arial"/>
          <w:sz w:val="22"/>
          <w:szCs w:val="22"/>
          <w:shd w:val="clear" w:color="auto" w:fill="FFFFFF"/>
        </w:rPr>
        <w:instrText>ADDIN CSL_CITATION { "citationItems" : [ { "id" : "ITEM-1", "itemData" : { "author" : [ { "dropping-particle" : "", "family" : "Leung AK", "given" : "Lun Hon K", "non-dropping-particle" : "", "parse-names" : false, "suffix" : "" } ], "container-title" : "Adv Pediatr.", "id" : "ITEM-1", "issued" : { "date-parts" : [ [ "0" ] ] }, "page" : "255\u2013280", "title" : "Attention-Deficit/ Hyperactivity Disorder", "type" : "article-journal", "volume" : "63" }, "uris" : [ "http://www.mendeley.com/documents/?uuid=9101348c-8679-40a9-b160-231a2d4509c2" ] } ], "mendeley" : { "formattedCitation" : "(4)", "plainTextFormattedCitation" : "(4)", "previouslyFormattedCitation" : "(4)" }, "properties" : { "noteIndex" : 1 }, "schema" : "https://github.com/citation-style-language/schema/raw/master/csl-citation.json" }</w:instrText>
      </w:r>
      <w:r w:rsidR="00BC3BBB" w:rsidRPr="002B6AFD">
        <w:rPr>
          <w:rFonts w:ascii="Arial" w:hAnsi="Arial" w:cs="Arial"/>
          <w:sz w:val="22"/>
          <w:szCs w:val="22"/>
          <w:shd w:val="clear" w:color="auto" w:fill="FFFFFF"/>
        </w:rPr>
        <w:fldChar w:fldCharType="separate"/>
      </w:r>
      <w:r w:rsidRPr="002B6AFD">
        <w:rPr>
          <w:rFonts w:ascii="Arial" w:hAnsi="Arial" w:cs="Arial"/>
          <w:noProof/>
          <w:sz w:val="22"/>
          <w:szCs w:val="22"/>
          <w:shd w:val="clear" w:color="auto" w:fill="FFFFFF"/>
        </w:rPr>
        <w:t>(4)</w:t>
      </w:r>
      <w:r w:rsidR="00BC3BBB" w:rsidRPr="002B6AFD">
        <w:rPr>
          <w:rFonts w:ascii="Arial" w:hAnsi="Arial" w:cs="Arial"/>
          <w:sz w:val="22"/>
          <w:szCs w:val="22"/>
          <w:shd w:val="clear" w:color="auto" w:fill="FFFFFF"/>
        </w:rPr>
        <w:fldChar w:fldCharType="end"/>
      </w:r>
      <w:r w:rsidRPr="002B6AFD">
        <w:rPr>
          <w:rFonts w:ascii="Arial" w:hAnsi="Arial" w:cs="Arial"/>
          <w:sz w:val="22"/>
          <w:szCs w:val="22"/>
          <w:shd w:val="clear" w:color="auto" w:fill="FFFFFF"/>
        </w:rPr>
        <w:t xml:space="preserve">. </w:t>
      </w:r>
      <w:r w:rsidRPr="002B6AFD">
        <w:rPr>
          <w:rFonts w:ascii="Arial" w:hAnsi="Arial" w:cs="Arial"/>
          <w:color w:val="000000" w:themeColor="text1"/>
          <w:sz w:val="22"/>
          <w:szCs w:val="22"/>
        </w:rPr>
        <w:t xml:space="preserve">%76 kalıtsallık ile DEHB, en kalıtsal psikiyatrik bozukluklardan biri olarak kabul edilir </w:t>
      </w:r>
      <w:r w:rsidR="00BC3BBB" w:rsidRPr="002B6AFD">
        <w:rPr>
          <w:rFonts w:ascii="Arial" w:hAnsi="Arial" w:cs="Arial"/>
          <w:color w:val="000000" w:themeColor="text1"/>
          <w:sz w:val="22"/>
          <w:szCs w:val="22"/>
        </w:rPr>
        <w:fldChar w:fldCharType="begin" w:fldLock="1"/>
      </w:r>
      <w:r w:rsidRPr="002B6AFD">
        <w:rPr>
          <w:rFonts w:ascii="Arial" w:hAnsi="Arial" w:cs="Arial"/>
          <w:color w:val="000000" w:themeColor="text1"/>
          <w:sz w:val="22"/>
          <w:szCs w:val="22"/>
        </w:rPr>
        <w:instrText>ADDIN CSL_CITATION { "citationItems" : [ { "id" : "ITEM-1", "itemData" : { "DOI" : "10.1016/j.biopsych.2004.11.024", "ISSN" : "00063223", "PMID" : "15950004", "abstract" : "Results of behavioral genetic and molecular genetic studies have converged to suggest that both genetic and nongenetic factors contribute to the development of attention-deficit/hyperactivity disorder (ADHD). We review this literature, with a particular emphasis on molecular genetic studies. Family, twin, and adoption studies provide compelling evidence that genes play a strong role in mediating susceptibility to ADHD. This fact is most clearly seen in the 20 extant twin studies, which estimate the heritability of ADHD to be .76. Molecular genetic studies suggest that the genetic architecture of ADHD is complex. The few genome-wide scans conducted thus far are not conclusive. In contrast, the many candidate gene studies of ADHD have produced substantial evidence implicating several genes in the etiology of the disorder. For the eight genes for which the same variant has been studied in three or more case-control or family-based studies, seven show statistically significant evidence of association with ADHD on the basis of the pooled odds ratio across studies: DRD4, DRD5, DAT, DBH, 5-HTT, HTR1B, and SNAP-25.", "author" : [ { "dropping-particle" : "V.", "family" : "Faraone", "given" : "Stephen", "non-dropping-particle" : "", "parse-names" : false, "suffix" : "" }, { "dropping-particle" : "", "family" : "Perlis", "given" : "Roy H.", "non-dropping-particle" : "", "parse-names" : false, "suffix" : "" }, { "dropping-particle" : "", "family" : "Doyle", "given" : "Alysa E.", "non-dropping-particle" : "", "parse-names" : false, "suffix" : "" }, { "dropping-particle" : "", "family" : "Smoller", "given" : "Jordan W.", "non-dropping-particle" : "", "parse-names" : false, "suffix" : "" }, { "dropping-particle" : "", "family" : "Goralnick", "given" : "Jennifer J.", "non-dropping-particle" : "", "parse-names" : false, "suffix" : "" }, { "dropping-particle" : "", "family" : "Holmgren", "given" : "Meredith A.", "non-dropping-particle" : "", "parse-names" : false, "suffix" : "" }, { "dropping-particle" : "", "family" : "Sklar", "given" : "Pamela", "non-dropping-particle" : "", "parse-names" : false, "suffix" : "" } ], "container-title" : "Biological Psychiatry", "id" : "ITEM-1", "issue" : "11", "issued" : { "date-parts" : [ [ "2005", "6", "1" ] ] }, "page" : "1313-1323", "title" : "Molecular Genetics of Attention-Deficit/Hyperactivity Disorder", "type" : "article-journal", "volume" : "57" }, "uris" : [ "http://www.mendeley.com/documents/?uuid=d5d6a7b0-e245-374e-8099-a239f6852667" ] } ], "mendeley" : { "formattedCitation" : "(5)", "plainTextFormattedCitation" : "(5)", "previouslyFormattedCitation" : "(5)" }, "properties" : { "noteIndex" : 2 }, "schema" : "https://github.com/citation-style-language/schema/raw/master/csl-citation.json" }</w:instrText>
      </w:r>
      <w:r w:rsidR="00BC3BBB" w:rsidRPr="002B6AFD">
        <w:rPr>
          <w:rFonts w:ascii="Arial" w:hAnsi="Arial" w:cs="Arial"/>
          <w:color w:val="000000" w:themeColor="text1"/>
          <w:sz w:val="22"/>
          <w:szCs w:val="22"/>
        </w:rPr>
        <w:fldChar w:fldCharType="separate"/>
      </w:r>
      <w:r w:rsidRPr="002B6AFD">
        <w:rPr>
          <w:rFonts w:ascii="Arial" w:hAnsi="Arial" w:cs="Arial"/>
          <w:noProof/>
          <w:color w:val="000000" w:themeColor="text1"/>
          <w:sz w:val="22"/>
          <w:szCs w:val="22"/>
        </w:rPr>
        <w:t>(5)</w:t>
      </w:r>
      <w:r w:rsidR="00BC3BBB" w:rsidRPr="002B6AFD">
        <w:rPr>
          <w:rFonts w:ascii="Arial" w:hAnsi="Arial" w:cs="Arial"/>
          <w:color w:val="000000" w:themeColor="text1"/>
          <w:sz w:val="22"/>
          <w:szCs w:val="22"/>
        </w:rPr>
        <w:fldChar w:fldCharType="end"/>
      </w:r>
      <w:r w:rsidRPr="002B6AFD">
        <w:rPr>
          <w:rFonts w:ascii="Arial" w:hAnsi="Arial" w:cs="Arial"/>
          <w:color w:val="000000" w:themeColor="text1"/>
          <w:sz w:val="22"/>
          <w:szCs w:val="22"/>
        </w:rPr>
        <w:t xml:space="preserve">. </w:t>
      </w:r>
      <w:r w:rsidRPr="002B6AFD">
        <w:rPr>
          <w:rFonts w:ascii="Arial" w:hAnsi="Arial" w:cs="Arial"/>
          <w:color w:val="000000" w:themeColor="text1"/>
          <w:sz w:val="22"/>
          <w:szCs w:val="22"/>
          <w:shd w:val="clear" w:color="auto" w:fill="FFFFFF"/>
        </w:rPr>
        <w:t xml:space="preserve">Bununla birlikte, DEHB’nin ortaya çıkmasında etkisi olan temel bir genetik risk faktörünün tespit edimemiş olması, DEHB'nin çoklu genetik risk değişkenleri arasındaki etkileşim sonucu ortaya çıktığını düşündürmektedir </w:t>
      </w:r>
      <w:r w:rsidR="00BC3BBB" w:rsidRPr="002B6AFD">
        <w:rPr>
          <w:rFonts w:ascii="Arial" w:hAnsi="Arial" w:cs="Arial"/>
          <w:color w:val="000000" w:themeColor="text1"/>
          <w:sz w:val="22"/>
          <w:szCs w:val="22"/>
          <w:shd w:val="clear" w:color="auto" w:fill="FFFFFF"/>
        </w:rPr>
        <w:fldChar w:fldCharType="begin" w:fldLock="1"/>
      </w:r>
      <w:r w:rsidRPr="002B6AFD">
        <w:rPr>
          <w:rFonts w:ascii="Arial" w:hAnsi="Arial" w:cs="Arial"/>
          <w:color w:val="000000" w:themeColor="text1"/>
          <w:sz w:val="22"/>
          <w:szCs w:val="22"/>
          <w:shd w:val="clear" w:color="auto" w:fill="FFFFFF"/>
        </w:rPr>
        <w:instrText>ADDIN CSL_CITATION { "citationItems" : [ { "id" : "ITEM-1", "itemData" : { "DOI" : "10.1111/j.1469-7610.2012.02611.x", "ISBN" : "1469-7610", "ISSN" : "00219630", "PMID" : "22963644", "abstract" : "BACKGROUND: Attention deficit hyperactivity disorder (ADHD) and its possible causes still attract controversy. Genes, pre and perinatal risks, psychosocial factors and environmental toxins have all been considered as potential risk factors.\\n\\nMETHOD: This review (focussing on literature published since 1997, selected from a search of PubMed) critically considers putative risk factors with a focus on genetics and selected environmental risks, examines their relationships with ADHD and discusses the likelihood that these risks are causal as well as some of the main implications.\\n\\nRESULTS: No single risk factor explains ADHD. Both inherited and noninherited factors contribute and their effects are interdependent. ADHD is familial and heritable. Research into the inherited and molecular genetic contributions to ADHD suggest an important overlap with other neurodevelopmental problems, notably, autism spectrum disorders. Having a biological relative with ADHD, large, rare copy number variants, some small effect size candidate gene variants, extreme early adversity, pre and postnatal exposure to lead and low birth weight/prematurity have been most consistently found as risk factors, but none are yet known to be definitely causal. There is a large literature documenting associations between ADHD and a wide variety of putative environmental risks that can, at present, only be regarded as correlates. Findings from research designs that go beyond simply testing for association are beginning to contest the robustness of some environmental exposures previously thought to be ADHD risk factors.\\n\\nCONCLUSIONS: The genetic risks implicated in ADHD generally tend to have small effect sizes or be rare and often increase risk of many other types of psychopathology. Thus, they cannot be used for prediction, genetic testing or diagnostic purposes beyond what is predicted by a family history. There is a need to consider the possibility of parents and siblings being similarly affected and how this might impact on engagement with families, influence interventions and require integration with adult services. Genetic contributions to disorder do not necessarily mean that medications are the treatment of choice. We also consider how findings might influence the conceptualisation of ADHD, public health policy implications and why it is unhelpful and incorrect to dichotomise genetic/biological and environmental explanations. It is essential that practitioners can interpret genet\u2026", "author" : [ { "dropping-particle" : "", "family" : "Thapar", "given" : "Anita", "non-dropping-particle" : "", "parse-names" : false, "suffix" : "" }, { "dropping-particle" : "", "family" : "Cooper", "given" : "Miriam", "non-dropping-particle" : "", "parse-names" : false, "suffix" : "" }, { "dropping-particle" : "", "family" : "Eyre", "given" : "Olga", "non-dropping-particle" : "", "parse-names" : false, "suffix" : "" }, { "dropping-particle" : "", "family" : "Langley", "given" : "Kate", "non-dropping-particle" : "", "parse-names" : false, "suffix" : "" } ], "container-title" : "Journal of Child Psychology and Psychiatry and Allied Disciplines", "id" : "ITEM-1", "issue" : "1", "issued" : { "date-parts" : [ [ "2013" ] ] }, "page" : "3-16", "title" : "Practitioner review: What have we learnt about the causes of ADHD?", "type" : "article-journal", "volume" : "54" }, "uris" : [ "http://www.mendeley.com/documents/?uuid=6229169f-fc76-4a8e-81e3-e672fd626975" ] } ], "mendeley" : { "formattedCitation" : "(6)", "plainTextFormattedCitation" : "(6)", "previouslyFormattedCitation" : "(6)" }, "properties" : { "noteIndex" : 2 }, "schema" : "https://github.com/citation-style-language/schema/raw/master/csl-citation.json" }</w:instrText>
      </w:r>
      <w:r w:rsidR="00BC3BBB" w:rsidRPr="002B6AFD">
        <w:rPr>
          <w:rFonts w:ascii="Arial" w:hAnsi="Arial" w:cs="Arial"/>
          <w:color w:val="000000" w:themeColor="text1"/>
          <w:sz w:val="22"/>
          <w:szCs w:val="22"/>
          <w:shd w:val="clear" w:color="auto" w:fill="FFFFFF"/>
        </w:rPr>
        <w:fldChar w:fldCharType="separate"/>
      </w:r>
      <w:r w:rsidRPr="002B6AFD">
        <w:rPr>
          <w:rFonts w:ascii="Arial" w:hAnsi="Arial" w:cs="Arial"/>
          <w:noProof/>
          <w:color w:val="000000" w:themeColor="text1"/>
          <w:sz w:val="22"/>
          <w:szCs w:val="22"/>
          <w:shd w:val="clear" w:color="auto" w:fill="FFFFFF"/>
        </w:rPr>
        <w:t>(6)</w:t>
      </w:r>
      <w:r w:rsidR="00BC3BBB" w:rsidRPr="002B6AFD">
        <w:rPr>
          <w:rFonts w:ascii="Arial" w:hAnsi="Arial" w:cs="Arial"/>
          <w:color w:val="000000" w:themeColor="text1"/>
          <w:sz w:val="22"/>
          <w:szCs w:val="22"/>
          <w:shd w:val="clear" w:color="auto" w:fill="FFFFFF"/>
        </w:rPr>
        <w:fldChar w:fldCharType="end"/>
      </w:r>
      <w:r w:rsidRPr="002B6AFD">
        <w:rPr>
          <w:rFonts w:ascii="Arial" w:hAnsi="Arial" w:cs="Arial"/>
          <w:color w:val="212121"/>
          <w:sz w:val="22"/>
          <w:szCs w:val="22"/>
          <w:shd w:val="clear" w:color="auto" w:fill="FFFFFF"/>
        </w:rPr>
        <w:t>.</w:t>
      </w:r>
    </w:p>
    <w:p w:rsidR="00C60153" w:rsidRPr="002B6AFD" w:rsidRDefault="00C60153" w:rsidP="00C60153">
      <w:pPr>
        <w:spacing w:line="360" w:lineRule="auto"/>
        <w:ind w:firstLine="708"/>
        <w:jc w:val="both"/>
        <w:rPr>
          <w:rFonts w:ascii="Arial" w:hAnsi="Arial" w:cs="Arial"/>
          <w:color w:val="212121"/>
          <w:sz w:val="22"/>
          <w:szCs w:val="22"/>
          <w:shd w:val="clear" w:color="auto" w:fill="FFFFFF"/>
        </w:rPr>
      </w:pPr>
      <w:r w:rsidRPr="002B6AFD">
        <w:rPr>
          <w:rFonts w:ascii="Arial" w:hAnsi="Arial" w:cs="Arial"/>
          <w:sz w:val="22"/>
          <w:szCs w:val="22"/>
        </w:rPr>
        <w:t xml:space="preserve">DEHB'de suçlanan genler, genetik ve çevresel faktörler arasındaki karşılıklı etkileşim sonucu ortaya çıkan plastisitenin, migrasyonun, adezyonunun ve sinyalizasyonun nöronal modülasyonunu içeren heterojen süreçlerle ilişkilidir </w:t>
      </w:r>
      <w:r w:rsidR="00BC3BBB" w:rsidRPr="002B6AFD">
        <w:rPr>
          <w:rFonts w:ascii="Arial" w:hAnsi="Arial" w:cs="Arial"/>
          <w:sz w:val="22"/>
          <w:szCs w:val="22"/>
        </w:rPr>
        <w:fldChar w:fldCharType="begin" w:fldLock="1"/>
      </w:r>
      <w:r w:rsidRPr="002B6AFD">
        <w:rPr>
          <w:rFonts w:ascii="Arial" w:hAnsi="Arial" w:cs="Arial"/>
          <w:sz w:val="22"/>
          <w:szCs w:val="22"/>
        </w:rPr>
        <w:instrText>ADDIN CSL_CITATION { "citationItems" : [ { "id" : "ITEM-1", "itemData" : { "DOI" : "10.1371/journal.pone.0122501", "ISBN" : "1932-6203", "PMID" : "25875332", "abstract" : "BACKGROUND: Attention deficit hyperactivity disorder (ADHD) is a highly heritable neuropsychiatric condition, but it has been difficult to identify genes underlying this disorder. This study aimed to explore genetics of ADHD in an ethnically homogeneous Norwegian population by means of a genome-wide association (GWA) analysis followed by examination of candidate loci. MATERIALS AND METHODS: Participants were recruited through Norwegian medical and birth registries as well as the general population. Presence of ADHD was defined according to DSM-IV criteria. Genotyping was performed using Illumina Human OmniExpress-12v1 microarrays. Statistical analyses were divided into several steps: (1) genome-wide association in the form of logistic regression in PLINK and follow-up pathway analyses performed in DAPPLE and INRICH softwares, (2) SNP-heritability calculated using genome-wide complex trait analysis (GCTA) tool, (3) gene-based association tests carried out in JAG software, and (4) evaluation of previously reported genome-wide signals and candidate genes of ADHD. RESULTS: In total, 1.358 individuals (478 cases and 880 controls) and 598.384 autosomal SNPs were subjected to GWA analysis. No single polymorphism reached genome-wide significance. The strongest signal was observed at rs9949006 in the ENSG00000263745 gene (OR=1.51, 95% CI 1.28-1.79, p=1.38E-06). Pathway analyses of the top SNPs implicated genes involved in the regulation of gene expression, cell adhesion and inflammation. Among previously identified ADHD candidate genes, prominent association signals were observed for SLC9A9 (rs1393072, OR=1.46, 95% CI = 1.21-1.77, p=9.95E-05) and TPH2 (rs17110690, OR = 1.38, 95% CI = 1.14-1.66, p=8.31E-04). CONCLUSION: This study confirms the complexity and heterogeneity of ADHD etiology. Taken together with previous findings, our results point to a spectrum of biological mechanisms underlying the symptoms of ADHD, providing targets for further genetic exploration of this complex disorder.", "author" : [ { "dropping-particle" : "", "family" : "Zayats", "given" : "T", "non-dropping-particle" : "", "parse-names" : false, "suffix" : "" }, { "dropping-particle" : "", "family" : "Athanasiu", "given" : "L", "non-dropping-particle" : "", "parse-names" : false, "suffix" : "" }, { "dropping-particle" : "", "family" : "Sonderby", "given" : "I", "non-dropping-particle" : "", "parse-names" : false, "suffix" : "" }, { "dropping-particle" : "", "family" : "Djurovic", "given" : "S", "non-dropping-particle" : "", "parse-names" : false, "suffix" : "" }, { "dropping-particle" : "", "family" : "Westlye", "given" : "L T", "non-dropping-particle" : "", "parse-names" : false, "suffix" : "" }, { "dropping-particle" : "", "family" : "Tamnes", "given" : "C K", "non-dropping-particle" : "", "parse-names" : false, "suffix" : "" }, { "dropping-particle" : "", "family" : "Fladby", "given" : "T", "non-dropping-particle" : "", "parse-names" : false, "suffix" : "" }, { "dropping-particle" : "", "family" : "Aase", "given" : "H", "non-dropping-particle" : "", "parse-names" : false, "suffix" : "" }, { "dropping-particle" : "", "family" : "Zeiner", "given" : "P", "non-dropping-particle" : "", "parse-names" : false, "suffix" : "" }, { "dropping-particle" : "", "family" : "Reichborn-Kjennerud", "given" : "T", "non-dropping-particle" : "", "parse-names" : false, "suffix" : "" }, { "dropping-particle" : "", "family" : "Knappskog", "given" : "P M", "non-dropping-particle" : "", "parse-names" : false, "suffix" : "" }, { "dropping-particle" : "", "family" : "Knudsen", "given" : "G P", "non-dropping-particle" : "", "parse-names" : false, "suffix" : "" }, { "dropping-particle" : "", "family" : "Andreassen", "given" : "O A", "non-dropping-particle" : "", "parse-names" : false, "suffix" : "" }, { "dropping-particle" : "", "family" : "Johansson", "given" : "S", "non-dropping-particle" : "", "parse-names" : false, "suffix" : "" }, { "dropping-particle" : "", "family" : "Haavik", "given" : "J", "non-dropping-particle" : "", "parse-names" : false, "suffix" : "" } ], "container-title" : "PLoS One", "id" : "ITEM-1", "issue" : "4", "issued" : { "date-parts" : [ [ "2015" ] ] }, "page" : "e0122501", "title" : "Genome-wide analysis of attention deficit hyperactivity disorder in Norway", "type" : "article-journal", "volume" : "10" }, "uris" : [ "http://www.mendeley.com/documents/?uuid=4ef7327c-e4f2-4da1-b845-c00af31a1501" ] }, { "id" : "ITEM-2", "itemData" : { "DOI" : "10.1038/mp.2013.16", "ISBN" : "1476-5578 (Electronic)\\r1359-4184 (Linking)", "ISSN" : "1359-4184", "PMID" : "23439483", "abstract" : "Many putative genetic factors that confer risk to neurodevelopmental disorders such as autism spectrum disorders (ASDs) and X-linked intellectual disability (XLID), and to neuropsychiatric disorders including attention deficit hyperactivity disorder (ADHD) and schizophrenia (SZ) have been identified in individuals from diverse human populations. Although there is significant aetiological heterogeneity within and between these conditions, recent data show that genetic factors contribute to their comorbidity. Many studies have identified candidate gene associations for these mental health disorders, albeit this is often done in a piecemeal fashion with little regard to the inherent molecular complexity. Here, we sought to abstract relationships from our knowledge of systems level biology to help understand the unique and common genetic drivers of these conditions. We undertook a global and systematic approach to build and integrate available data in gene networks associated with ASDs, XLID, ADHD and SZ. Complex network concepts and computational methods were used to investigate whether candidate genes associated with these conditions were related through mechanisms of gene regulation, functional protein-protein interactions, transcription factor (TF) and microRNA (miRNA) binding sites. Although our analyses show that genetic variations associated with the four disorders can occur in the same molecular pathways and functional domains, including synaptic transmission, there are patterns of variation that define significant differences between disorders. Of particular interest is DNA variations located in intergenic regions that comprise regulatory sites for TFs or miRNA. Our approach provides a hypothetical framework, which will help discovery and analysis of candidate genes associated with neurodevelopmental and neuropsychiatric disorders.", "author" : [ { "dropping-particle" : "", "family" : "Cristino", "given" : "A S", "non-dropping-particle" : "", "parse-names" : false, "suffix" : "" }, { "dropping-particle" : "", "family" : "Williams", "given" : "S M", "non-dropping-particle" : "", "parse-names" : false, "suffix" : "" }, { "dropping-particle" : "", "family" : "Hawi", "given" : "Z", "non-dropping-particle" : "", "parse-names" : false, "suffix" : "" }, { "dropping-particle" : "", "family" : "An", "given" : "J-Y", "non-dropping-particle" : "", "parse-names" : false, "suffix" : "" }, { "dropping-particle" : "", "family" : "Bellgrove", "given" : "M A", "non-dropping-particle" : "", "parse-names" : false, "suffix" : "" }, { "dropping-particle" : "", "family" : "Schwartz", "given" : "C E", "non-dropping-particle" : "", "parse-names" : false, "suffix" : "" }, { "dropping-particle" : "", "family" : "Costa", "given" : "L da F", "non-dropping-particle" : "", "parse-names" : false, "suffix" : "" }, { "dropping-particle" : "", "family" : "Claudianos", "given" : "C", "non-dropping-particle" : "", "parse-names" : false, "suffix" : "" } ], "container-title" : "Molecular Psychiatry", "id" : "ITEM-2", "issue" : "3", "issued" : { "date-parts" : [ [ "2014" ] ] }, "page" : "294-301", "title" : "Neurodevelopmental and neuropsychiatric disorders represent an interconnected molecular system", "type" : "article-journal", "volume" : "19" }, "uris" : [ "http://www.mendeley.com/documents/?uuid=f62ac43b-cb2c-48b3-bf1a-1a8d1f20f939" ] }, { "id" : "ITEM-3", "itemData" : { "author" : [ { "dropping-particle" : "", "family" : "Qian", "given" : "GAO", "non-dropping-particle" : "", "parse-names" : false, "suffix" : "" }, { "dropping-particle" : "", "family" : "Lu", "given" : "LIU", "non-dropping-particle" : "", "parse-names" : false, "suffix" : "" }, { "dropping-particle" : "", "family" : "Qiujin", "given" : "Q", "non-dropping-particle" : "", "parse-names" : false, "suffix" : "" } ], "container-title" : "Shanghai archives of", "id" : "ITEM-3", "issued" : { "date-parts" : [ [ "2014" ] ] }, "title" : "Advances in molecular genetic studies of attention deficit hyperactivity disorder in China", "type" : "article-journal" }, "uris" : [ "http://www.mendeley.com/documents/?uuid=9342c104-8308-4dc7-96dd-df2017f1265f" ] } ], "mendeley" : { "formattedCitation" : "(7\u20139)", "plainTextFormattedCitation" : "(7\u20139)", "previouslyFormattedCitation" : "(7\u20139)" }, "properties" : { "noteIndex" : 2 }, "schema" : "https://github.com/citation-style-language/schema/raw/master/csl-citation.json" }</w:instrText>
      </w:r>
      <w:r w:rsidR="00BC3BBB" w:rsidRPr="002B6AFD">
        <w:rPr>
          <w:rFonts w:ascii="Arial" w:hAnsi="Arial" w:cs="Arial"/>
          <w:sz w:val="22"/>
          <w:szCs w:val="22"/>
        </w:rPr>
        <w:fldChar w:fldCharType="separate"/>
      </w:r>
      <w:r w:rsidRPr="002B6AFD">
        <w:rPr>
          <w:rFonts w:ascii="Arial" w:hAnsi="Arial" w:cs="Arial"/>
          <w:noProof/>
          <w:sz w:val="22"/>
          <w:szCs w:val="22"/>
        </w:rPr>
        <w:t>(7–9)</w:t>
      </w:r>
      <w:r w:rsidR="00BC3BBB" w:rsidRPr="002B6AFD">
        <w:rPr>
          <w:rFonts w:ascii="Arial" w:hAnsi="Arial" w:cs="Arial"/>
          <w:sz w:val="22"/>
          <w:szCs w:val="22"/>
        </w:rPr>
        <w:fldChar w:fldCharType="end"/>
      </w:r>
      <w:r w:rsidRPr="002B6AFD">
        <w:rPr>
          <w:rFonts w:ascii="Arial" w:hAnsi="Arial" w:cs="Arial"/>
          <w:sz w:val="22"/>
          <w:szCs w:val="22"/>
        </w:rPr>
        <w:t xml:space="preserve">. </w:t>
      </w:r>
      <w:r w:rsidRPr="002B6AFD">
        <w:rPr>
          <w:rFonts w:ascii="Arial" w:hAnsi="Arial" w:cs="Arial"/>
          <w:color w:val="212121"/>
          <w:sz w:val="22"/>
          <w:szCs w:val="22"/>
          <w:lang w:eastAsia="en-US"/>
        </w:rPr>
        <w:t xml:space="preserve">Bu nedenle, gen - çevre etkileşimine ilişkin olarak, sözü edilen süreçlerin optimize edilebilmesi, genin düzenleyici unsurlarına bağlıdır; çünkü yaygın fenotipik değişikliklerin birçoğu, gen düzenleyici element varyasyonlarının sonucudur </w:t>
      </w:r>
      <w:r w:rsidR="00BC3BBB" w:rsidRPr="002B6AFD">
        <w:rPr>
          <w:rFonts w:ascii="Arial" w:hAnsi="Arial" w:cs="Arial"/>
          <w:color w:val="212121"/>
          <w:sz w:val="22"/>
          <w:szCs w:val="22"/>
          <w:lang w:eastAsia="en-US"/>
        </w:rPr>
        <w:fldChar w:fldCharType="begin" w:fldLock="1"/>
      </w:r>
      <w:r w:rsidR="0037573A">
        <w:rPr>
          <w:rFonts w:ascii="Arial" w:hAnsi="Arial" w:cs="Arial"/>
          <w:color w:val="212121"/>
          <w:sz w:val="22"/>
          <w:szCs w:val="22"/>
          <w:lang w:eastAsia="en-US"/>
        </w:rPr>
        <w:instrText>ADDIN CSL_CITATION { "citationItems" : [ { "id" : "ITEM-1", "itemData" : { "DOI" : "10.1038/ng2142.Population", "abstract" : "Genetic variation influences gene expression, and this can be efficiently mapped to specific genomic regions and variants. We used gene expression profiling of EBV-transformed lymphoblastoid cell lines of all 270 individuals of the HapMap consortium to elucidate the detailed features of genetic variation underlying gene expression variation. We find gene expression levels to be heritable and differentiation between populations in agreement with earlier small-scale studies. A detailed association analysis of over 2.2 million common SNPs per population (5% frequency HapMap) with gene expression identified at least 1348 genes with association signals in cis and at least 180 in trans. Replication in at least one independent population was achieved for 37% of cis- signals and 15% of trans- signals, respectively. Our results strongly support an abundance of cis- regulatory variation in the human genome. Detection of trans- effects is limited but suggests that regulatory variation may be the key primary effect contributing to phenotypic variation in humans. Finally, we explore a variety of methodologies that improve the current state of analysis of gene expression variation. Understanding", "author" : [ { "dropping-particle" : "", "family" : "Stranger", "given" : "BE", "non-dropping-particle" : "", "parse-names" : false, "suffix" : "" }, { "dropping-particle" : "", "family" : "Nica", "given" : "AC", "non-dropping-particle" : "", "parse-names" : false, "suffix" : "" }, { "dropping-particle" : "", "family" : "Forrest", "given" : "MS", "non-dropping-particle" : "", "parse-names" : false, "suffix" : "" }, { "dropping-particle" : "", "family" : "Dimas", "given" : "Antigone", "non-dropping-particle" : "", "parse-names" : false, "suffix" : "" }, { "dropping-particle" : "", "family" : "Bird", "given" : "CP", "non-dropping-particle" : "", "parse-names" : false, "suffix" : "" } ], "container-title" : "Nature genetics", "id" : "ITEM-1", "issue" : "10", "issued" : { "date-parts" : [ [ "2007" ] ] }, "page" : "1217-1224", "title" : "Population genomics of human gene expression", "type" : "article-journal", "volume" : "39" }, "uris" : [ "http://www.mendeley.com/documents/?uuid=f1fa6fe7-4ee7-4142-a4e9-48a00c02bacf" ] }, { "id" : "ITEM-2", "itemData" : { "DOI" : "10.1007/978-1-84882-644-1_11", "author" : [ { "dropping-particle" : "", "family" : "Mostafavi-Abdolmaleky", "given" : "Hamid", "non-dropping-particle" : "", "parse-names" : false, "suffix" : "" }, { "dropping-particle" : "", "family" : "Glatt", "given" : "Stephen J.", "non-dropping-particle" : "", "parse-names" : false, "suffix" : "" }, { "dropping-particle" : "", "family" : "Tsuang", "given" : "Ming T.", "non-dropping-particle" : "", "parse-names" : false, "suffix" : "" } ], "container-title" : "Epigenetic Aspects of Chronic Diseases", "id" : "ITEM-2", "issued" : { "date-parts" : [ [ "2011" ] ] }, "page" : "163-174", "publisher" : "Springer London", "publisher-place" : "London", "title" : "Epigenetics in Psychiatry", "type" : "chapter" }, "uris" : [ "http://www.mendeley.com/documents/?uuid=76f096ff-e233-3c53-9d7f-24e597ddd60a" ] } ], "mendeley" : { "formattedCitation" : "(10, 11)", "plainTextFormattedCitation" : "(10, 11)", "previouslyFormattedCitation" : "(10, 11)" }, "properties" : { "noteIndex" : 2 }, "schema" : "https://github.com/citation-style-language/schema/raw/master/csl-citation.json" }</w:instrText>
      </w:r>
      <w:r w:rsidR="00BC3BBB" w:rsidRPr="002B6AFD">
        <w:rPr>
          <w:rFonts w:ascii="Arial" w:hAnsi="Arial" w:cs="Arial"/>
          <w:color w:val="212121"/>
          <w:sz w:val="22"/>
          <w:szCs w:val="22"/>
          <w:lang w:eastAsia="en-US"/>
        </w:rPr>
        <w:fldChar w:fldCharType="separate"/>
      </w:r>
      <w:r w:rsidR="00BF1F00" w:rsidRPr="00BF1F00">
        <w:rPr>
          <w:rFonts w:ascii="Arial" w:hAnsi="Arial" w:cs="Arial"/>
          <w:noProof/>
          <w:color w:val="212121"/>
          <w:sz w:val="22"/>
          <w:szCs w:val="22"/>
          <w:lang w:eastAsia="en-US"/>
        </w:rPr>
        <w:t>(10, 11)</w:t>
      </w:r>
      <w:r w:rsidR="00BC3BBB" w:rsidRPr="002B6AFD">
        <w:rPr>
          <w:rFonts w:ascii="Arial" w:hAnsi="Arial" w:cs="Arial"/>
          <w:color w:val="212121"/>
          <w:sz w:val="22"/>
          <w:szCs w:val="22"/>
          <w:lang w:eastAsia="en-US"/>
        </w:rPr>
        <w:fldChar w:fldCharType="end"/>
      </w:r>
      <w:r w:rsidRPr="002B6AFD">
        <w:rPr>
          <w:rFonts w:ascii="Arial" w:hAnsi="Arial" w:cs="Arial"/>
          <w:color w:val="212121"/>
          <w:sz w:val="22"/>
          <w:szCs w:val="22"/>
          <w:lang w:eastAsia="en-US"/>
        </w:rPr>
        <w:t xml:space="preserve">. </w:t>
      </w:r>
      <w:r w:rsidRPr="002B6AFD">
        <w:rPr>
          <w:rFonts w:ascii="Arial" w:hAnsi="Arial" w:cs="Arial"/>
          <w:color w:val="212121"/>
          <w:sz w:val="22"/>
          <w:szCs w:val="22"/>
          <w:shd w:val="clear" w:color="auto" w:fill="FFFFFF"/>
        </w:rPr>
        <w:t>mikroRNA (miRNA, miR)'ların müdahalesi psikiyatrik bozukluklarda yer alan dört büyük epigenetik düzenleyici mekanizmadan birisidir</w:t>
      </w:r>
      <w:r w:rsidRPr="002B6AFD">
        <w:rPr>
          <w:rFonts w:ascii="Arial" w:hAnsi="Arial" w:cs="Arial"/>
          <w:color w:val="1F497D" w:themeColor="text2"/>
          <w:sz w:val="22"/>
          <w:szCs w:val="22"/>
          <w:lang w:eastAsia="en-US"/>
        </w:rPr>
        <w:t xml:space="preserve"> </w:t>
      </w:r>
      <w:r w:rsidR="00BC3BBB" w:rsidRPr="002B6AFD">
        <w:rPr>
          <w:rFonts w:ascii="Arial" w:hAnsi="Arial" w:cs="Arial"/>
          <w:sz w:val="22"/>
          <w:szCs w:val="22"/>
          <w:lang w:eastAsia="en-US"/>
        </w:rPr>
        <w:fldChar w:fldCharType="begin" w:fldLock="1"/>
      </w:r>
      <w:r w:rsidRPr="002B6AFD">
        <w:rPr>
          <w:rFonts w:ascii="Arial" w:hAnsi="Arial" w:cs="Arial"/>
          <w:sz w:val="22"/>
          <w:szCs w:val="22"/>
          <w:lang w:eastAsia="en-US"/>
        </w:rPr>
        <w:instrText>ADDIN CSL_CITATION { "citationItems" : [ { "id" : "ITEM-1", "itemData" : { "DOI" : "10.1007/978-1-84882-644-1_11", "author" : [ { "dropping-particle" : "", "family" : "Mostafavi-Abdolmaleky", "given" : "Hamid", "non-dropping-particle" : "", "parse-names" : false, "suffix" : "" }, { "dropping-particle" : "", "family" : "Glatt", "given" : "Stephen J.", "non-dropping-particle" : "", "parse-names" : false, "suffix" : "" }, { "dropping-particle" : "", "family" : "Tsuang", "given" : "Ming T.", "non-dropping-particle" : "", "parse-names" : false, "suffix" : "" } ], "container-title" : "Epigenetic Aspects of Chronic Diseases", "id" : "ITEM-1", "issued" : { "date-parts" : [ [ "2011" ] ] }, "page" : "163-174", "publisher" : "Springer London", "publisher-place" : "London", "title" : "Epigenetics in Psychiatry", "type" : "chapter" }, "uris" : [ "http://www.mendeley.com/documents/?uuid=76f096ff-e233-3c53-9d7f-24e597ddd60a" ] } ], "mendeley" : { "formattedCitation" : "(11)", "plainTextFormattedCitation" : "(11)", "previouslyFormattedCitation" : "(11)" }, "properties" : { "noteIndex" : 21 }, "schema" : "https://github.com/citation-style-language/schema/raw/master/csl-citation.json" }</w:instrText>
      </w:r>
      <w:r w:rsidR="00BC3BBB" w:rsidRPr="002B6AFD">
        <w:rPr>
          <w:rFonts w:ascii="Arial" w:hAnsi="Arial" w:cs="Arial"/>
          <w:sz w:val="22"/>
          <w:szCs w:val="22"/>
          <w:lang w:eastAsia="en-US"/>
        </w:rPr>
        <w:fldChar w:fldCharType="separate"/>
      </w:r>
      <w:r w:rsidRPr="002B6AFD">
        <w:rPr>
          <w:rFonts w:ascii="Arial" w:hAnsi="Arial" w:cs="Arial"/>
          <w:noProof/>
          <w:sz w:val="22"/>
          <w:szCs w:val="22"/>
          <w:lang w:eastAsia="en-US"/>
        </w:rPr>
        <w:t>(11)</w:t>
      </w:r>
      <w:r w:rsidR="00BC3BBB" w:rsidRPr="002B6AFD">
        <w:rPr>
          <w:rFonts w:ascii="Arial" w:hAnsi="Arial" w:cs="Arial"/>
          <w:sz w:val="22"/>
          <w:szCs w:val="22"/>
          <w:lang w:eastAsia="en-US"/>
        </w:rPr>
        <w:fldChar w:fldCharType="end"/>
      </w:r>
      <w:r w:rsidRPr="002B6AFD">
        <w:rPr>
          <w:rFonts w:ascii="Arial" w:hAnsi="Arial" w:cs="Arial"/>
          <w:sz w:val="22"/>
          <w:szCs w:val="22"/>
          <w:lang w:eastAsia="en-US"/>
        </w:rPr>
        <w:t xml:space="preserve">. Bu bağlamda miRNA’lar </w:t>
      </w:r>
      <w:r w:rsidRPr="002B6AFD">
        <w:rPr>
          <w:rFonts w:ascii="Arial" w:hAnsi="Arial" w:cs="Arial"/>
          <w:color w:val="212121"/>
          <w:sz w:val="22"/>
          <w:szCs w:val="22"/>
          <w:shd w:val="clear" w:color="auto" w:fill="FFFFFF"/>
        </w:rPr>
        <w:t xml:space="preserve">potansiyel etkenler olarak ortaya çıkmış, belirgin bir dizi miRNA disregülasyonu nörogelişimsel ve nöropsikiyatrik bozukluklarla ilişkili olarak saptanmıştır </w:t>
      </w:r>
      <w:r w:rsidR="00BC3BBB" w:rsidRPr="002B6AFD">
        <w:rPr>
          <w:rFonts w:ascii="Arial" w:hAnsi="Arial" w:cs="Arial"/>
          <w:color w:val="212121"/>
          <w:sz w:val="22"/>
          <w:szCs w:val="22"/>
          <w:shd w:val="clear" w:color="auto" w:fill="FFFFFF"/>
        </w:rPr>
        <w:fldChar w:fldCharType="begin" w:fldLock="1"/>
      </w:r>
      <w:r w:rsidRPr="002B6AFD">
        <w:rPr>
          <w:rFonts w:ascii="Arial" w:hAnsi="Arial" w:cs="Arial"/>
          <w:color w:val="212121"/>
          <w:sz w:val="22"/>
          <w:szCs w:val="22"/>
          <w:shd w:val="clear" w:color="auto" w:fill="FFFFFF"/>
        </w:rPr>
        <w:instrText>ADDIN CSL_CITATION { "citationItems" : [ { "id" : "ITEM-1", "itemData" : { "ISSN" : "17359287", "PMID" : "25780369", "abstract" : "Today multinational studies using genome-wide association scan (GWAS) for &gt;1000,000 polymorphisms on &gt;100,000 cases with major psychiatric diseases versus controls, combined with next-generation sequencing have found ~100 genetic polymorphisms associated with schizophrenia (SCZ), bipolar disorder (BD), autism, attention deficit and hyperactivity disorder (ADHD), etc. However, the effect size of each genetic mutation has been generally low (&lt;1%), and altogether could portray a tiny fraction of these mental diseases. Furthermore, none of these polymorphisms was specific to disease phenotypes indicating that they are simply genetic risk factors rather than causal mutations. The lack of identification of the major gene(s) in huge genetic studies increased the tendency for reexamining the roles of environmental factors in psychiatric and other complex diseases. However, this time at cellular/molecular levels mediated by epigenetic mechanisms that are heritable, but reversible while interacting with the environment. Now, gene-specific or whole-genome epigenetic analyses have introduced hundreds of aberrant epigenetic marks in the blood or brain of individuals with psychiatric diseases that include aberrations in DNA methylation, histone modifications and microRNA expression. Interestingly, most of the current psychiatric drugs such as valproate, lithium, antidepressants, antipsychotics and even electroconvulsive therapy (ECT) modulate epigenetic codes. The existing data indicate that, the impacts of environment/nurture, including the uterine milieu and early-life events might be more significant than genetic/nature in most psychiatric diseases. The lack of significant results in large-scale genetic studies led to revise the bolded roles of genetics and now we are at the turning point of genomics for reconsidering environmental factors that through epigenetic mechanisms may impact the brain development/functions causing disease phenotypes.", "author" : [ { "dropping-particle" : "", "family" : "Abdolmaleky", "given" : "Hamid Mostafavi", "non-dropping-particle" : "", "parse-names" : false, "suffix" : "" } ], "container-title" : "Iranian Journal of Psychiatry and Behavioral Sciences", "id" : "ITEM-1", "issue" : "3", "issued" : { "date-parts" : [ [ "2014" ] ] }, "page" : "1-10", "title" : "Horizons of psychiatric genetics and epigenetics: Where are we and where are we heading?", "type" : "article-journal", "volume" : "8" }, "uris" : [ "http://www.mendeley.com/documents/?uuid=3a1ac2a4-7f90-4757-b68a-5d17783bd5a8" ] }, { "id" : "ITEM-2", "itemData" : { "DOI" : "10.1016/j.pnpbp.2016.03.010", "ISSN" : "1878-4216", "PMID" : "27072377", "abstract" : "Neuropsychiatric disorders are common health problems affecting approximately 1% of the population. Twin, adoption, and family studies have displayed a strong genetic component for many of these disorders; however, the underlying pathophysiological mechanisms and neural substrates remain largely unknown. Given the critical need for new diagnostic markers and disease-modifying treatments, expanding the focus of genomic studies of neuropsychiatric disorders to include the role of non-coding RNAs (ncRNAs) is of growing interest. Of known types of ncRNAs, microRNAs (miRNAs) are 20-25-nucleotide, single-stranded, molecules that regulate gene expression through post-transcriptional mechanisms and have the potential to coordinately regulate complex regulatory networks. In this review, we summarize the current knowledge on miRNA alteration/dysregulation in neuropsychiatric disorders, with a special emphasis on schizophrenia (SCZ), bipolar disorder (BD), and major depressive disorder (MDD). With an eye toward the future, we also discuss the diagnostic and prognostic potential of miRNAs for neuropsychiatric disorders in the context of personalized treatments and network medicine.", "author" : [ { "dropping-particle" : "", "family" : "Alural", "given" : "Begum", "non-dropping-particle" : "", "parse-names" : false, "suffix" : "" }, { "dropping-particle" : "", "family" : "Genc", "given" : "Sermin", "non-dropping-particle" : "", "parse-names" : false, "suffix" : "" }, { "dropping-particle" : "", "family" : "Haggarty", "given" : "Stephen J", "non-dropping-particle" : "", "parse-names" : false, "suffix" : "" } ], "container-title" : "Progress in neuro-psychopharmacology &amp; biological psychiatry", "id" : "ITEM-2", "issued" : { "date-parts" : [ [ "2017" ] ] }, "page" : "87-103", "title" : "Diagnostic and therapeutic potential of microRNAs in neuropsychiatric disorders: Past, present, and future.", "type" : "article-journal", "volume" : "73" }, "uris" : [ "http://www.mendeley.com/documents/?uuid=486bf5fb-0083-404f-a19c-3d271ad6ae4a" ] }, { "id" : "ITEM-3", "itemData" : { "DOI" : "10.1016/j.biopsych.2014.12.009", "ISBN" : "1873-2402 (Electronic)\\r0006-3223 (Linking)", "ISSN" : "18732402", "PMID" : "25636176", "abstract" : "Psychiatric syndromes, including schizophrenia, mood disorders, and autism spectrum disorders, are characterized by a complex range of symptoms, including psychosis, depression, mania, and cognitive deficits. Although the mechanisms driving pathophysiology are complex and remain largely unknown, advances in the understanding of gene association and gene networks are providing significant clues to their etiology. In recent years, small noncoding RNA molecules known as microRNA (miRNA) have emerged as potential players in the pathophysiology of mental illness. These small RNAs regulate hundreds of target transcripts by modifying their stability and translation on a broad scale, influencing entire gene networks in the process. There is evidence to suggest that numerous miRNAs are dysregulated in postmortem neuropathology of neuropsychiatric disorders, and there is strong genetic support for association of miRNA genes and their targets with these conditions. This review presents the accumulated evidence linking miRNA dysregulation and dysfunction with schizophrenia, bipolar disorder, major depressive disorder, and autism spectrum disorders and the potential of miRNAs as biomarkers or therapeutics for these disorders. We further assess the functional roles of some outstanding miRNAs associated with these conditions and how they may be influencing the development of psychiatric symptoms.", "author" : [ { "dropping-particle" : "", "family" : "Geaghan", "given" : "Michael", "non-dropping-particle" : "", "parse-names" : false, "suffix" : "" }, { "dropping-particle" : "", "family" : "Cairns", "given" : "Murray J.", "non-dropping-particle" : "", "parse-names" : false, "suffix" : "" } ], "container-title" : "Biological Psychiatry", "id" : "ITEM-3", "issue" : "4", "issued" : { "date-parts" : [ [ "2015" ] ] }, "page" : "231-239", "title" : "MicroRNA and Posttranscriptional Dysregulation in Psychiatry", "type" : "article-journal", "volume" : "78" }, "uris" : [ "http://www.mendeley.com/documents/?uuid=78c448c4-58be-4891-b795-4670a81518b0" ] }, { "id" : "ITEM-4", "itemData" : { "DOI" : "10.3389/fncel.2014.00075", "ISBN" : "1662-5102 (Electronic) 1662-5102 (Linking)", "ISSN" : "1662-5102", "PMID" : "24653674", "abstract" : "microRNAs (miRNAs) are small non-coding RNAs (20-22 nucleotides) playing a major role in post-transcriptional regulation of gene expression. miRNAs are predicted to regulate more than 50% of all the protein-coding genes. Increasing evidence indicates that they may play key roles in the biological pathways that regulate neurogenesis and synaptic plasticity, as well as in neurotransmitter homeostasis in the adult brain. In this article we review recent studies suggesting that miRNAs may be involved in the pathophysiology of neuropsychiatric disorders and in the action of psychotropic drugs, in particular by analyzing the contribution of genomic studies in patients' peripheral tissues. Alterations in miRNA expression have been observed in schizophrenia, bipolar disorder, major depression, Parkinson's disease, Alzheimer's disease and other neuropsychiatric conditions. In particular, intriguing findings concern the identification of disease-associated miRNA signatures in peripheral tissues, or modifications in miRNA profiles induced by drug treatments. Furthermore, genetic variations in miRNA sequences and miRNA-related genes have been described in neuropsychiatric diseases. Overall, though still at a preliminary stage, several lines of evidence indicate an involvement of miRNAs in both the pathophysiology and pharmacotherapy of neuropsychiatric disorders. In this regard, the data obtained in peripheral tissues may provide further insights into the etiopathogenesis of several brain diseases and contribute to identify new biomarkers for diagnostic assessment improvement and treatment personalization.", "author" : [ { "dropping-particle" : "", "family" : "Maffioletti", "given" : "Elisabetta", "non-dropping-particle" : "", "parse-names" : false, "suffix" : "" }, { "dropping-particle" : "", "family" : "Tardito", "given" : "Daniela", "non-dropping-particle" : "", "parse-names" : false, "suffix" : "" }, { "dropping-particle" : "", "family" : "Gennarelli", "given" : "Massimo", "non-dropping-particle" : "", "parse-names" : false, "suffix" : "" }, { "dropping-particle" : "", "family" : "Bocchio-Chiavetto", "given" : "Luisella", "non-dropping-particle" : "", "parse-names" : false, "suffix" : "" } ], "container-title" : "Frontiers in Cellular Neuroscience", "id" : "ITEM-4", "issued" : { "date-parts" : [ [ "2014" ] ] }, "title" : "Micro spies from the brain to the periphery: new clues from studies on microRNAs in neuropsychiatric disorders", "type" : "article-journal", "volume" : "8" }, "uris" : [ "http://www.mendeley.com/documents/?uuid=700b6125-0565-426d-8914-b463f590b363" ] }, { "id" : "ITEM-5", "itemData" : { "DOI" : "10.1016/j.expneurol.2014.08.005", "ISBN" : "1090-2430 (Electronic)\\r0014-4886 (Linking)", "ISSN" : "10902430", "PMID" : "25128264", "abstract" : "MicroRNAs (miRNAs) are single-stranded, non-coding RNA molecules that play important roles in the development and functions of the brain. Extensive studies have revealed critical roles for miRNAs in brain development and function. Dysregulation or altered expression of miRNAs is associated with abnormal brain development and pathogenesis of neurodevelopmental diseases. This review serves to highlight the versatile roles of these small RNA molecules in normal brain development and their association with neurodevelopmental disorders, in particular, two closely related neuropsychiatric disorders of neurodevelopmental origin, schizophrenia and bipolar disorder.", "author" : [ { "dropping-particle" : "", "family" : "Sun", "given" : "Emily", "non-dropping-particle" : "", "parse-names" : false, "suffix" : "" }, { "dropping-particle" : "", "family" : "Shi", "given" : "Yanhong", "non-dropping-particle" : "", "parse-names" : false, "suffix" : "" } ], "container-title" : "Experimental Neurology", "id" : "ITEM-5", "issued" : { "date-parts" : [ [ "2015" ] ] }, "page" : "46-53", "title" : "MicroRNAs: Small molecules with big roles in neurodevelopment and diseases", "type" : "article-journal", "volume" : "268" }, "uris" : [ "http://www.mendeley.com/documents/?uuid=a127a8ca-27a9-421d-b3cc-14092285ef31" ] } ], "mendeley" : { "formattedCitation" : "(12\u201316)", "plainTextFormattedCitation" : "(12\u201316)", "previouslyFormattedCitation" : "(12\u201316)" }, "properties" : { "noteIndex" : 2 }, "schema" : "https://github.com/citation-style-language/schema/raw/master/csl-citation.json" }</w:instrText>
      </w:r>
      <w:r w:rsidR="00BC3BBB" w:rsidRPr="002B6AFD">
        <w:rPr>
          <w:rFonts w:ascii="Arial" w:hAnsi="Arial" w:cs="Arial"/>
          <w:color w:val="212121"/>
          <w:sz w:val="22"/>
          <w:szCs w:val="22"/>
          <w:shd w:val="clear" w:color="auto" w:fill="FFFFFF"/>
        </w:rPr>
        <w:fldChar w:fldCharType="separate"/>
      </w:r>
      <w:r w:rsidRPr="002B6AFD">
        <w:rPr>
          <w:rFonts w:ascii="Arial" w:hAnsi="Arial" w:cs="Arial"/>
          <w:noProof/>
          <w:color w:val="212121"/>
          <w:sz w:val="22"/>
          <w:szCs w:val="22"/>
          <w:shd w:val="clear" w:color="auto" w:fill="FFFFFF"/>
        </w:rPr>
        <w:t>(12–16)</w:t>
      </w:r>
      <w:r w:rsidR="00BC3BBB" w:rsidRPr="002B6AFD">
        <w:rPr>
          <w:rFonts w:ascii="Arial" w:hAnsi="Arial" w:cs="Arial"/>
          <w:color w:val="212121"/>
          <w:sz w:val="22"/>
          <w:szCs w:val="22"/>
          <w:shd w:val="clear" w:color="auto" w:fill="FFFFFF"/>
        </w:rPr>
        <w:fldChar w:fldCharType="end"/>
      </w:r>
      <w:r w:rsidRPr="002B6AFD">
        <w:rPr>
          <w:rFonts w:ascii="Arial" w:hAnsi="Arial" w:cs="Arial"/>
          <w:color w:val="212121"/>
          <w:sz w:val="22"/>
          <w:szCs w:val="22"/>
          <w:shd w:val="clear" w:color="auto" w:fill="FFFFFF"/>
        </w:rPr>
        <w:t xml:space="preserve">. </w:t>
      </w:r>
    </w:p>
    <w:p w:rsidR="00C60153" w:rsidRPr="002B6AFD" w:rsidRDefault="00C60153" w:rsidP="00C60153">
      <w:pPr>
        <w:spacing w:line="360" w:lineRule="auto"/>
        <w:ind w:firstLine="708"/>
        <w:jc w:val="both"/>
        <w:rPr>
          <w:rFonts w:ascii="Arial" w:hAnsi="Arial" w:cs="Arial"/>
          <w:sz w:val="22"/>
          <w:szCs w:val="22"/>
        </w:rPr>
      </w:pPr>
      <w:r w:rsidRPr="002B6AFD">
        <w:rPr>
          <w:rFonts w:ascii="Arial" w:hAnsi="Arial" w:cs="Arial"/>
          <w:sz w:val="22"/>
          <w:szCs w:val="22"/>
        </w:rPr>
        <w:t xml:space="preserve">Kandemir ve ark. periferik kanda miR-107 düzeyinin DEHB’lilerde kontrol grubuna göre azaldığını ve dolaşımda bulunan miR-107’nin aday biomarker olabileceğini ifade etmişlerdir </w:t>
      </w:r>
      <w:r w:rsidR="00BC3BBB" w:rsidRPr="002B6AFD">
        <w:rPr>
          <w:rFonts w:ascii="Arial" w:hAnsi="Arial" w:cs="Arial"/>
          <w:sz w:val="22"/>
          <w:szCs w:val="22"/>
        </w:rPr>
        <w:fldChar w:fldCharType="begin" w:fldLock="1"/>
      </w:r>
      <w:r w:rsidRPr="002B6AFD">
        <w:rPr>
          <w:rFonts w:ascii="Arial" w:hAnsi="Arial" w:cs="Arial"/>
          <w:sz w:val="22"/>
          <w:szCs w:val="22"/>
        </w:rPr>
        <w:instrText>ADDIN CSL_CITATION { "citationItems" : [ { "id" : "ITEM-1", "itemData" : { "PMID" : "2014562316", "abstract" : "Attention-deficit/hyperactivity disorder (ADHD) is one of the most prevalent childhood disorders, although disorders etiology and pathogenesis remains unknown, several theories about ADHD development have been proposed and many researchers believe that it is caused by both genetic and environmental factors. In this study we evaluated miR18a-5p, miR22-3p, miR24-3p, miR106b-5p, miR107, miR125b-5p and miR155a-5p levels in child and adolescent ADHD patients. The research sample consisted a group of 52 ADHD patients, and 52 healthy volunteer controls. There was no significant difference in age and sex between the two groups (p&gt; 0.05). miRNA 18a-5p, 22-3p, 24-3p, 106b-5p and 107 levels were statistically significantly decreased in ADHD patients(p&lt; 0.05). miRNA 155a-5p levels were increased in patients group (p&lt; 0.05). The positive predictive value (PPV) and negative predictive value of miR107 was estimated for the cutoff point of 0.4480. PPV was 70% and NPV was 86.5% for the taken cut off point. There could be a close relationship between levels of circulating miRNAs and ADHD. If we could understand how the signaling pathways arranged by miRNAs, impact on CNS development, function and pathology this can improve our knowledge about ADHD etiology and treatment. 2014 Elsevier Ireland Ltd.", "author" : [ { "dropping-particle" : "", "family" : "Kandemir", "given" : "H", "non-dropping-particle" : "", "parse-names" : false, "suffix" : "" }, { "dropping-particle" : "", "family" : "Erdal", "given" : "M E", "non-dropping-particle" : "", "parse-names" : false, "suffix" : "" }, { "dropping-particle" : "", "family" : "Selek", "given" : "S", "non-dropping-particle" : "", "parse-names" : false, "suffix" : "" }, { "dropping-particle" : "", "family" : "Ay", "given" : "O I", "non-dropping-particle" : "", "parse-names" : false, "suffix" : "" }, { "dropping-particle" : "", "family" : "Karababa", "given" : "T F", "non-dropping-particle" : "", "parse-names" : false, "suffix" : "" }, { "dropping-particle" : "", "family" : "Kandemir", "given" : "S B", "non-dropping-particle" : "", "parse-names" : false, "suffix" : "" }, { "dropping-particle" : "", "family" : "Ay", "given" : "M E", "non-dropping-particle" : "", "parse-names" : false, "suffix" : "" }, { "dropping-particle" : "", "family" : "Yilmaz", "given" : "T G", "non-dropping-particle" : "", "parse-names" : false, "suffix" : "" }, { "dropping-particle" : "", "family" : "Bayazit", "given" : "H", "non-dropping-particle" : "", "parse-names" : false, "suffix" : "" }, { "dropping-particle" : "", "family" : "Tasdelen", "given" : "B", "non-dropping-particle" : "", "parse-names" : false, "suffix" : "" } ], "container-title" : "Neuroscience Letters", "id" : "ITEM-1", "issued" : { "date-parts" : [ [ "2014" ] ] }, "page" : "158-162", "title" : "Evaluation of several micro RNA (miRNA) levels in children and adolescents with attention deficit hyperactivity disorder", "type" : "article-journal", "volume" : "580" }, "uris" : [ "http://www.mendeley.com/documents/?uuid=69499660-946a-47ee-b34e-132295ad0567" ] } ], "mendeley" : { "formattedCitation" : "(17)", "plainTextFormattedCitation" : "(17)", "previouslyFormattedCitation" : "(17)" }, "properties" : { "noteIndex" : 2 }, "schema" : "https://github.com/citation-style-language/schema/raw/master/csl-citation.json" }</w:instrText>
      </w:r>
      <w:r w:rsidR="00BC3BBB" w:rsidRPr="002B6AFD">
        <w:rPr>
          <w:rFonts w:ascii="Arial" w:hAnsi="Arial" w:cs="Arial"/>
          <w:sz w:val="22"/>
          <w:szCs w:val="22"/>
        </w:rPr>
        <w:fldChar w:fldCharType="separate"/>
      </w:r>
      <w:r w:rsidRPr="002B6AFD">
        <w:rPr>
          <w:rFonts w:ascii="Arial" w:hAnsi="Arial" w:cs="Arial"/>
          <w:noProof/>
          <w:sz w:val="22"/>
          <w:szCs w:val="22"/>
        </w:rPr>
        <w:t>(17)</w:t>
      </w:r>
      <w:r w:rsidR="00BC3BBB" w:rsidRPr="002B6AFD">
        <w:rPr>
          <w:rFonts w:ascii="Arial" w:hAnsi="Arial" w:cs="Arial"/>
          <w:sz w:val="22"/>
          <w:szCs w:val="22"/>
        </w:rPr>
        <w:fldChar w:fldCharType="end"/>
      </w:r>
      <w:r w:rsidRPr="002B6AFD">
        <w:rPr>
          <w:rFonts w:ascii="Arial" w:hAnsi="Arial" w:cs="Arial"/>
          <w:sz w:val="22"/>
          <w:szCs w:val="22"/>
        </w:rPr>
        <w:t xml:space="preserve">. Wu ve ark. DEHB modeli olan spontan hipertansif (SHR) sıçan beyinlerinin prefrontal korteksinde </w:t>
      </w:r>
      <w:r w:rsidR="00BC3BBB" w:rsidRPr="002B6AFD">
        <w:rPr>
          <w:rFonts w:ascii="Arial" w:hAnsi="Arial" w:cs="Arial"/>
          <w:sz w:val="22"/>
          <w:szCs w:val="22"/>
        </w:rPr>
        <w:fldChar w:fldCharType="begin" w:fldLock="1"/>
      </w:r>
      <w:r w:rsidRPr="002B6AFD">
        <w:rPr>
          <w:rFonts w:ascii="Arial" w:hAnsi="Arial" w:cs="Arial"/>
          <w:sz w:val="22"/>
          <w:szCs w:val="22"/>
        </w:rPr>
        <w:instrText>ADDIN CSL_CITATION { "citationItems" : [ { "id" : "ITEM-1", "itemData" : { "DOI" : "10.1111/j.1750-3639.2010.00410.x", "ISBN" : "1750-3639 (Electronic)\\n1015-6305 (Linking)", "ISSN" : "10156305", "PMID" : "20557304", "abstract" : "In this study we investigated the locomotor activity and non-selective attention in spontaneously hypertensive rats (SHR) with control Wistar-Kyoto (WKY) rats, which were employed as an attention deficit hyperactivity disorder (ADHD) model. In open-field test and l\u00e0t maze, SHR rats were found to be much more spontaneously active than WKY rats. As compared with WKY rats, a lower level of galectin-3 was observed in SHR brain prefrontal cortex (PFC), which was the major affected brain area of ADHD. Through miRNA microarray screening, rno-let-7d was noted to be solely upregulated in SHR PFC. Interestingly, rno-let-7d had a binding site at galectin-3 mRNA and was shown to regulate galectin-3 3' untranslated region (UTR) directly. Mutation of galectin-3 3'UTR by one nucleotide of the seed sequence prevented rno-let-7d regulation of the 3' UTR completely. Although rno-let-7d did not directly regulate tyrosine hydroxylase (TH) 3'UTR, the level of galectin-3 was important for cAMP response element binding protein, the major transcript factor for TH gene. Either overexpression or downexpression of galectin-3 could result in modulation of TH expression in both PC12H and PC12L cells. In conclusion, our data suggested a novel function of rno-let-7d in regulation of galectin-3 and in ADHD development. Rno-let-7d, which is increased in the PFC of SHR brain, negatively regulated galectin-3, which is coupled with TH expression regulation.", "author" : [ { "dropping-particle" : "", "family" : "Wu", "given" : "Lihui", "non-dropping-particle" : "", "parse-names" : false, "suffix" : "" }, { "dropping-particle" : "", "family" : "Zhao", "given" : "Qianlei", "non-dropping-particle" : "", "parse-names" : false, "suffix" : "" }, { "dropping-particle" : "", "family" : "Zhu", "given" : "Xuchao", "non-dropping-particle" : "", "parse-names" : false, "suffix" : "" }, { "dropping-particle" : "", "family" : "Peng", "given" : "Min", "non-dropping-particle" : "", "parse-names" : false, "suffix" : "" }, { "dropping-particle" : "", "family" : "Jia", "given" : "Chenyou", "non-dropping-particle" : "", "parse-names" : false, "suffix" : "" }, { "dropping-particle" : "", "family" : "Wu", "given" : "Wei", "non-dropping-particle" : "", "parse-names" : false, "suffix" : "" }, { "dropping-particle" : "", "family" : "Zheng", "given" : "Jing", "non-dropping-particle" : "", "parse-names" : false, "suffix" : "" }, { "dropping-particle" : "", "family" : "Wu", "given" : "Xing Zhong", "non-dropping-particle" : "", "parse-names" : false, "suffix" : "" } ], "container-title" : "Brain Pathology", "id" : "ITEM-1", "issue" : "6", "issued" : { "date-parts" : [ [ "2010" ] ] }, "page" : "1042-1054", "title" : "A novel function of MicroRNA Let-7d in regulation of galectin-3 expression in attention deficit hyperactivity disorder rat brain", "type" : "article-journal", "volume" : "20" }, "uris" : [ "http://www.mendeley.com/documents/?uuid=9dccdf57-e4be-4be3-8370-a11faa38d8bd" ] } ], "mendeley" : { "formattedCitation" : "(18)", "plainTextFormattedCitation" : "(18)", "previouslyFormattedCitation" : "(18)" }, "properties" : { "noteIndex" : 2 }, "schema" : "https://github.com/citation-style-language/schema/raw/master/csl-citation.json" }</w:instrText>
      </w:r>
      <w:r w:rsidR="00BC3BBB" w:rsidRPr="002B6AFD">
        <w:rPr>
          <w:rFonts w:ascii="Arial" w:hAnsi="Arial" w:cs="Arial"/>
          <w:sz w:val="22"/>
          <w:szCs w:val="22"/>
        </w:rPr>
        <w:fldChar w:fldCharType="separate"/>
      </w:r>
      <w:r w:rsidRPr="002B6AFD">
        <w:rPr>
          <w:rFonts w:ascii="Arial" w:hAnsi="Arial" w:cs="Arial"/>
          <w:noProof/>
          <w:sz w:val="22"/>
          <w:szCs w:val="22"/>
        </w:rPr>
        <w:t>(18)</w:t>
      </w:r>
      <w:r w:rsidR="00BC3BBB" w:rsidRPr="002B6AFD">
        <w:rPr>
          <w:rFonts w:ascii="Arial" w:hAnsi="Arial" w:cs="Arial"/>
          <w:sz w:val="22"/>
          <w:szCs w:val="22"/>
        </w:rPr>
        <w:fldChar w:fldCharType="end"/>
      </w:r>
      <w:r w:rsidRPr="002B6AFD">
        <w:rPr>
          <w:rFonts w:ascii="Arial" w:hAnsi="Arial" w:cs="Arial"/>
          <w:sz w:val="22"/>
          <w:szCs w:val="22"/>
        </w:rPr>
        <w:t xml:space="preserve"> ve DEHB’li çocukların kanında </w:t>
      </w:r>
      <w:r w:rsidR="00BC3BBB" w:rsidRPr="002B6AFD">
        <w:rPr>
          <w:rFonts w:ascii="Arial" w:hAnsi="Arial" w:cs="Arial"/>
          <w:sz w:val="22"/>
          <w:szCs w:val="22"/>
        </w:rPr>
        <w:fldChar w:fldCharType="begin" w:fldLock="1"/>
      </w:r>
      <w:r w:rsidRPr="002B6AFD">
        <w:rPr>
          <w:rFonts w:ascii="Arial" w:hAnsi="Arial" w:cs="Arial"/>
          <w:sz w:val="22"/>
          <w:szCs w:val="22"/>
        </w:rPr>
        <w:instrText>ADDIN CSL_CITATION { "citationItems" : [ { "id" : "ITEM-1", "itemData" : { "DOI" : "10.1007/s12017-015-8345-y", "ISBN" : "1559-1174 (Electronic)\\r1535-1084 (Linking)", "ISSN" : "15591174", "PMID" : "25724585", "abstract" : "Up to date, there has been no molecular signature available in the clinical practice for attention-deficit/hyperactivity disorder (ADHD). To investigate circulating miRNA let-7d significance in ADHD, we investigated serum miRNA let-7d in 35 newly diagnosed ADHD subjects who were randomly selected from 406 patients out of 7450 children, paired with gender- and age-matched control through case-control study. We observed that circulating miRNA let-7d was significantly higher in ADHD subjects than in control (p &lt; 0.05). Higher circulation level of miRNA let-7d was significantly associated with ADHD (odds ratio 16.7; 95% confidence, p &lt; 0.05). Meanwhile, serum galectin-3 level was down-regulated in ADHD subjects and the subjects with low galectin-3 expression accounted for 66% in ADHD. The difference of the serum galectin-3 levels between ADHD and non-ADHD groups reached significance (p &lt; 0.05). In 1-year follow-up, a significantly higher rate of clinical improvement was noted in subjects with low level of circulating miRNA let-7d (p &lt; 0.05) than those with high level of circulating miRNA let-7d. Our data demonstrated that miRNA let-7d was elevated in the serum of ADHD subjects, which might be a novel, useful molecule signature for ADHD.", "author" : [ { "dropping-particle" : "", "family" : "Wu", "given" : "Li Hui", "non-dropping-particle" : "", "parse-names" : false, "suffix" : "" }, { "dropping-particle" : "", "family" : "Peng", "given" : "Min", "non-dropping-particle" : "", "parse-names" : false, "suffix" : "" }, { "dropping-particle" : "", "family" : "Yu", "given" : "Mei", "non-dropping-particle" : "", "parse-names" : false, "suffix" : "" }, { "dropping-particle" : "", "family" : "Zhao", "given" : "Qian Lei", "non-dropping-particle" : "", "parse-names" : false, "suffix" : "" }, { "dropping-particle" : "", "family" : "Li", "given" : "Chao", "non-dropping-particle" : "", "parse-names" : false, "suffix" : "" }, { "dropping-particle" : "", "family" : "Jin", "given" : "Yu Tong", "non-dropping-particle" : "", "parse-names" : false, "suffix" : "" }, { "dropping-particle" : "", "family" : "Jiang", "given" : "Yong", "non-dropping-particle" : "", "parse-names" : false, "suffix" : "" }, { "dropping-particle" : "", "family" : "Chen", "given" : "Zhong Yi", "non-dropping-particle" : "", "parse-names" : false, "suffix" : "" }, { "dropping-particle" : "", "family" : "Deng", "given" : "Nian Hui", "non-dropping-particle" : "", "parse-names" : false, "suffix" : "" }, { "dropping-particle" : "", "family" : "Sun", "given" : "Hui", "non-dropping-particle" : "", "parse-names" : false, "suffix" : "" }, { "dropping-particle" : "", "family" : "Wu", "given" : "Xing Zhong", "non-dropping-particle" : "", "parse-names" : false, "suffix" : "" } ], "container-title" : "NeuroMolecular Medicine", "id" : "ITEM-1", "issue" : "2", "issued" : { "date-parts" : [ [ "2015" ] ] }, "page" : "137-146", "title" : "Circulating MicroRNA Let-7d in Attention-Deficit/Hyperactivity Disorder", "type" : "article-journal", "volume" : "17" }, "uris" : [ "http://www.mendeley.com/documents/?uuid=0a6249bf-dfc5-475d-b684-5acbf56c30fd" ] } ], "mendeley" : { "formattedCitation" : "(19)", "plainTextFormattedCitation" : "(19)", "previouslyFormattedCitation" : "(19)" }, "properties" : { "noteIndex" : 2 }, "schema" : "https://github.com/citation-style-language/schema/raw/master/csl-citation.json" }</w:instrText>
      </w:r>
      <w:r w:rsidR="00BC3BBB" w:rsidRPr="002B6AFD">
        <w:rPr>
          <w:rFonts w:ascii="Arial" w:hAnsi="Arial" w:cs="Arial"/>
          <w:sz w:val="22"/>
          <w:szCs w:val="22"/>
        </w:rPr>
        <w:fldChar w:fldCharType="separate"/>
      </w:r>
      <w:r w:rsidRPr="002B6AFD">
        <w:rPr>
          <w:rFonts w:ascii="Arial" w:hAnsi="Arial" w:cs="Arial"/>
          <w:noProof/>
          <w:sz w:val="22"/>
          <w:szCs w:val="22"/>
        </w:rPr>
        <w:t>(19)</w:t>
      </w:r>
      <w:r w:rsidR="00BC3BBB" w:rsidRPr="002B6AFD">
        <w:rPr>
          <w:rFonts w:ascii="Arial" w:hAnsi="Arial" w:cs="Arial"/>
          <w:sz w:val="22"/>
          <w:szCs w:val="22"/>
        </w:rPr>
        <w:fldChar w:fldCharType="end"/>
      </w:r>
      <w:r w:rsidRPr="002B6AFD">
        <w:rPr>
          <w:rFonts w:ascii="Arial" w:hAnsi="Arial" w:cs="Arial"/>
          <w:sz w:val="22"/>
          <w:szCs w:val="22"/>
        </w:rPr>
        <w:t xml:space="preserve"> artmış miR-let-7d saptamışlardır. Yang ve ark tarafından yapılan çalışmada, sıçanlarda Homer1a’nın DEHB patogenezinde rol oynayabileceği gösterilmiştir </w:t>
      </w:r>
      <w:r w:rsidR="00BC3BBB" w:rsidRPr="002B6AFD">
        <w:rPr>
          <w:rFonts w:ascii="Arial" w:hAnsi="Arial" w:cs="Arial"/>
          <w:sz w:val="22"/>
          <w:szCs w:val="22"/>
        </w:rPr>
        <w:fldChar w:fldCharType="begin" w:fldLock="1"/>
      </w:r>
      <w:r w:rsidRPr="002B6AFD">
        <w:rPr>
          <w:rFonts w:ascii="Arial" w:hAnsi="Arial" w:cs="Arial"/>
          <w:sz w:val="22"/>
          <w:szCs w:val="22"/>
        </w:rPr>
        <w:instrText>ADDIN CSL_CITATION { "citationItems" : [ { "id" : "ITEM-1", "itemData" : { "DOI" : "10.1016/j.brainres.2013.03.030", "ISBN" : "0006-8993\\r1872-6240", "ISSN" : "00068993", "PMID" : "23587936", "abstract" : "The current study aimed to investigate the possible role of Homer 1a in the etiology and pathogenesis of attention deficit hyperactivity disorder (ADHD). We divided 32 rats into four groups. The rats in the RNAi-MPH group were given the lentiviral vector containing Homer 1a-specific miRNA (Homer 1a-RNAi-LV) by intracerebroventricular injection, and 7 days later they were given three daily doses of methylphenidate (MPH) by intragastric gavage. The RNAi-SAL group was given Homer 1a-RNAi-LV and saline later. The NC-MPH group was given the negative control lentiviral vector (NC-LV) and MPH later. The NC-SAL group was given NC-LV and saline later. Rats that were given Homer 1a RNAi exhibited increased locomotor activity and non-selective attention, and impaired learning and memory abilities, which is in line with the behavioral findings of animal models of ADHD. However, MPH ameliorated these abnormal behaviors. All findings indicated that Homer 1a may play an important role in the etiology and pathogenesis of ADHD. ?? 2013 Elsevier B.V.", "author" : [ { "dropping-particle" : "", "family" : "Yang", "given" : "Lei", "non-dropping-particle" : "", "parse-names" : false, "suffix" : "" }, { "dropping-particle" : "", "family" : "Hong", "given" : "Qin", "non-dropping-particle" : "", "parse-names" : false, "suffix" : "" }, { "dropping-particle" : "", "family" : "Zhang", "given" : "Min", "non-dropping-particle" : "", "parse-names" : false, "suffix" : "" }, { "dropping-particle" : "", "family" : "Liu", "given" : "Xiao", "non-dropping-particle" : "", "parse-names" : false, "suffix" : "" }, { "dropping-particle" : "", "family" : "Pan", "given" : "Xiao Qin", "non-dropping-particle" : "", "parse-names" : false, "suffix" : "" }, { "dropping-particle" : "", "family" : "Guo", "given" : "Mei", "non-dropping-particle" : "", "parse-names" : false, "suffix" : "" }, { "dropping-particle" : "", "family" : "Fei", "given" : "Li", "non-dropping-particle" : "", "parse-names" : false, "suffix" : "" }, { "dropping-particle" : "", "family" : "Guo", "given" : "Xi Rong", "non-dropping-particle" : "", "parse-names" : false, "suffix" : "" }, { "dropping-particle" : "", "family" : "Tong", "given" : "Mei Ling", "non-dropping-particle" : "", "parse-names" : false, "suffix" : "" }, { "dropping-particle" : "", "family" : "Chi", "given" : "Xia", "non-dropping-particle" : "", "parse-names" : false, "suffix" : "" } ], "container-title" : "Brain Research", "id" : "ITEM-1", "issued" : { "date-parts" : [ [ "2013" ] ] }, "page" : "39-47", "title" : "The role of Homer 1a in increasing locomotor activity and non-selective attention, and impairing learning and memory abilities", "type" : "article-journal", "volume" : "1515" }, "uris" : [ "http://www.mendeley.com/documents/?uuid=015df265-5cf7-465e-843c-f2618644901e" ] } ], "mendeley" : { "formattedCitation" : "(20)", "plainTextFormattedCitation" : "(20)", "previouslyFormattedCitation" : "(20)" }, "properties" : { "noteIndex" : 2 }, "schema" : "https://github.com/citation-style-language/schema/raw/master/csl-citation.json" }</w:instrText>
      </w:r>
      <w:r w:rsidR="00BC3BBB" w:rsidRPr="002B6AFD">
        <w:rPr>
          <w:rFonts w:ascii="Arial" w:hAnsi="Arial" w:cs="Arial"/>
          <w:sz w:val="22"/>
          <w:szCs w:val="22"/>
        </w:rPr>
        <w:fldChar w:fldCharType="separate"/>
      </w:r>
      <w:r w:rsidRPr="002B6AFD">
        <w:rPr>
          <w:rFonts w:ascii="Arial" w:hAnsi="Arial" w:cs="Arial"/>
          <w:noProof/>
          <w:sz w:val="22"/>
          <w:szCs w:val="22"/>
        </w:rPr>
        <w:t>(20)</w:t>
      </w:r>
      <w:r w:rsidR="00BC3BBB" w:rsidRPr="002B6AFD">
        <w:rPr>
          <w:rFonts w:ascii="Arial" w:hAnsi="Arial" w:cs="Arial"/>
          <w:sz w:val="22"/>
          <w:szCs w:val="22"/>
        </w:rPr>
        <w:fldChar w:fldCharType="end"/>
      </w:r>
      <w:r w:rsidRPr="002B6AFD">
        <w:rPr>
          <w:rFonts w:ascii="Arial" w:hAnsi="Arial" w:cs="Arial"/>
          <w:sz w:val="22"/>
          <w:szCs w:val="22"/>
        </w:rPr>
        <w:t xml:space="preserve">. Homer1a’nın miR-5692b tarafından hedef alındığı saptanmıştır </w:t>
      </w:r>
      <w:r w:rsidR="00BC3BBB" w:rsidRPr="002B6AFD">
        <w:rPr>
          <w:rFonts w:ascii="Arial" w:hAnsi="Arial" w:cs="Arial"/>
          <w:sz w:val="22"/>
          <w:szCs w:val="22"/>
        </w:rPr>
        <w:fldChar w:fldCharType="begin" w:fldLock="1"/>
      </w:r>
      <w:r w:rsidR="0037573A">
        <w:rPr>
          <w:rFonts w:ascii="Arial" w:hAnsi="Arial" w:cs="Arial"/>
          <w:sz w:val="22"/>
          <w:szCs w:val="22"/>
        </w:rPr>
        <w:instrText>ADDIN CSL_CITATION { "citationItems" : [ { "id" : "ITEM-1", "itemData" : { "DOI" : "10.1038/nmeth.3485", "ISBN" : "doi:10.1038/nmeth.3485", "ISSN" : "1548-7091", "PMID" : "26226356", "author" : [ { "dropping-particle" : "", "family" : "Dweep", "given" : "Harsh", "non-dropping-particle" : "", "parse-names" : false, "suffix" : "" }, { "dropping-particle" : "", "family" : "Gretz", "given" : "Norbert", "non-dropping-particle" : "", "parse-names" : false, "suffix" : "" } ], "container-title" : "Nature Methods", "id" : "ITEM-1", "issue" : "8", "issued" : { "date-parts" : [ [ "2015" ] ] }, "page" : "697-697", "title" : "miRWalk2.0: a comprehensive atlas of microRNA-target interactions", "type" : "article-journal", "volume" : "12" }, "uris" : [ "http://www.mendeley.com/documents/?uuid=19a19e62-aa75-42c6-ab66-5654528a1299" ] }, { "id" : "ITEM-2", "itemData" : { "DOI" : "10.1093/nar/gku1104", "ISSN" : "0305-1048", "author" : [ { "dropping-particle" : "", "family" : "Wong", "given" : "N", "non-dropping-particle" : "", "parse-names" : false, "suffix" : "" }, { "dropping-particle" : "", "family" : "Wang", "given" : "X W", "non-dropping-particle" : "", "parse-names" : false, "suffix" : "" } ], "container-title" : "Nucleic Acids Research", "id" : "ITEM-2", "issue" : "D1", "issued" : { "date-parts" : [ [ "2015" ] ] }, "page" : "D146-D152", "title" : "miRDB: an online resource for microRNA target prediction and functional annotations", "type" : "article-journal", "volume" : "43" }, "uris" : [ "http://www.mendeley.com/documents/?uuid=131d1896-4bd8-46db-935f-15341eb3ba12" ] } ], "mendeley" : { "formattedCitation" : "(21, 22)", "plainTextFormattedCitation" : "(21, 22)", "previouslyFormattedCitation" : "(21, 22)" }, "properties" : { "noteIndex" : 2 }, "schema" : "https://github.com/citation-style-language/schema/raw/master/csl-citation.json" }</w:instrText>
      </w:r>
      <w:r w:rsidR="00BC3BBB" w:rsidRPr="002B6AFD">
        <w:rPr>
          <w:rFonts w:ascii="Arial" w:hAnsi="Arial" w:cs="Arial"/>
          <w:sz w:val="22"/>
          <w:szCs w:val="22"/>
        </w:rPr>
        <w:fldChar w:fldCharType="separate"/>
      </w:r>
      <w:r w:rsidR="00BF1F00" w:rsidRPr="00BF1F00">
        <w:rPr>
          <w:rFonts w:ascii="Arial" w:hAnsi="Arial" w:cs="Arial"/>
          <w:noProof/>
          <w:sz w:val="22"/>
          <w:szCs w:val="22"/>
        </w:rPr>
        <w:t>(21, 22)</w:t>
      </w:r>
      <w:r w:rsidR="00BC3BBB" w:rsidRPr="002B6AFD">
        <w:rPr>
          <w:rFonts w:ascii="Arial" w:hAnsi="Arial" w:cs="Arial"/>
          <w:sz w:val="22"/>
          <w:szCs w:val="22"/>
        </w:rPr>
        <w:fldChar w:fldCharType="end"/>
      </w:r>
      <w:r w:rsidRPr="002B6AFD">
        <w:rPr>
          <w:rFonts w:ascii="Arial" w:hAnsi="Arial" w:cs="Arial"/>
          <w:sz w:val="22"/>
          <w:szCs w:val="22"/>
        </w:rPr>
        <w:t xml:space="preserve">. DAT1 ve DRD4 polimorifmzleri genetik DEHB araştırmaları için yaygın olarak araştırılan genlerdir </w:t>
      </w:r>
      <w:r w:rsidR="00BC3BBB" w:rsidRPr="002B6AFD">
        <w:rPr>
          <w:rFonts w:ascii="Arial" w:hAnsi="Arial" w:cs="Arial"/>
          <w:sz w:val="22"/>
          <w:szCs w:val="22"/>
        </w:rPr>
        <w:fldChar w:fldCharType="begin" w:fldLock="1"/>
      </w:r>
      <w:r w:rsidR="0037573A">
        <w:rPr>
          <w:rFonts w:ascii="Arial" w:hAnsi="Arial" w:cs="Arial"/>
          <w:sz w:val="22"/>
          <w:szCs w:val="22"/>
        </w:rPr>
        <w:instrText>ADDIN CSL_CITATION { "citationItems" : [ { "id" : "ITEM-1", "itemData" : { "DOI" : "10.1016/j.biopsych.2004.11.024", "ISSN" : "00063223", "PMID" : "15950004", "abstract" : "Results of behavioral genetic and molecular genetic studies have converged to suggest that both genetic and nongenetic factors contribute to the development of attention-deficit/hyperactivity disorder (ADHD). We review this literature, with a particular emphasis on molecular genetic studies. Family, twin, and adoption studies provide compelling evidence that genes play a strong role in mediating susceptibility to ADHD. This fact is most clearly seen in the 20 extant twin studies, which estimate the heritability of ADHD to be .76. Molecular genetic studies suggest that the genetic architecture of ADHD is complex. The few genome-wide scans conducted thus far are not conclusive. In contrast, the many candidate gene studies of ADHD have produced substantial evidence implicating several genes in the etiology of the disorder. For the eight genes for which the same variant has been studied in three or more case-control or family-based studies, seven show statistically significant evidence of association with ADHD on the basis of the pooled odds ratio across studies: DRD4, DRD5, DAT, DBH, 5-HTT, HTR1B, and SNAP-25.", "author" : [ { "dropping-particle" : "V.", "family" : "Faraone", "given" : "Stephen", "non-dropping-particle" : "", "parse-names" : false, "suffix" : "" }, { "dropping-particle" : "", "family" : "Perlis", "given" : "Roy H.", "non-dropping-particle" : "", "parse-names" : false, "suffix" : "" }, { "dropping-particle" : "", "family" : "Doyle", "given" : "Alysa E.", "non-dropping-particle" : "", "parse-names" : false, "suffix" : "" }, { "dropping-particle" : "", "family" : "Smoller", "given" : "Jordan W.", "non-dropping-particle" : "", "parse-names" : false, "suffix" : "" }, { "dropping-particle" : "", "family" : "Goralnick", "given" : "Jennifer J.", "non-dropping-particle" : "", "parse-names" : false, "suffix" : "" }, { "dropping-particle" : "", "family" : "Holmgren", "given" : "Meredith A.", "non-dropping-particle" : "", "parse-names" : false, "suffix" : "" }, { "dropping-particle" : "", "family" : "Sklar", "given" : "Pamela", "non-dropping-particle" : "", "parse-names" : false, "suffix" : "" } ], "container-title" : "Biological Psychiatry", "id" : "ITEM-1", "issue" : "11", "issued" : { "date-parts" : [ [ "2005", "6", "1" ] ] }, "page" : "1313-1323", "title" : "Molecular Genetics of Attention-Deficit/Hyperactivity Disorder", "type" : "article-journal", "volume" : "57" }, "uris" : [ "http://www.mendeley.com/documents/?uuid=d5d6a7b0-e245-374e-8099-a239f6852667" ] }, { "id" : "ITEM-2", "itemData" : { "DOI" : "10.1017/S0033291707000773", "ISBN" : "0033-2917 (Print)\\r0033-2917 (Linking)", "ISSN" : "0033-2917", "PMID" : "17506925", "abstract" : "Attention deficit hyperactivity disorder (ADHD) is a common, childhood-onset neurodevelopmental disorder with adverse consequences during adult life. Family, twin and adoption studies show that genetic factors contribute to the aetiology of ADHD and that environmental factors also play a role. Family and twin studies have shown the importance of genetic influences on continuity in ADHD over time and in accounting for the co-occurrence of ADHD and conduct disorder problems. In meta-analyses of molecular genetic studies, the 48-bp variable number tandem repeat (VNTR) variant in the dopamine D4 gene and the CA(n) microsatellite marker in the D5 receptor gene have been found to be repeatedly associated with ADHD. Results from meta-analyses of the 480-bp VNTR in the dopamine transporter gene are mixed. Several genetic studies have also identified genetic variants that are related to specific clinical and developmental features of ADHD. In the next few years, a new generation of much larger-scale genetic studies should lead to the identification of further ADHD susceptibility genes. Such studies will also need to be integrated with other areas of neuroscience, clinical and epidemiological research to investigate how specific gene variants exert risk effects, interact with environmental factors and enable identification of the underlying causal mechanisms that lead to ADHD.", "author" : [ { "dropping-particle" : "", "family" : "THAPAR", "given" : "ANITA", "non-dropping-particle" : "", "parse-names" : false, "suffix" : "" }, { "dropping-particle" : "", "family" : "LANGLEY", "given" : "KATE", "non-dropping-particle" : "", "parse-names" : false, "suffix" : "" }, { "dropping-particle" : "", "family" : "OWEN", "given" : "MICHAEL J.", "non-dropping-particle" : "", "parse-names" : false, "suffix" : "" }, { "dropping-particle" : "", "family" : "O'DONOVAN", "given" : "MICHAEL C.", "non-dropping-particle" : "", "parse-names" : false, "suffix" : "" } ], "container-title" : "Psychological Medicine", "id" : "ITEM-2", "issue" : "12", "issued" : { "date-parts" : [ [ "2007" ] ] }, "title" : "Advances in genetic findings on attention deficit hyperactivity disorder", "type" : "article-journal", "volume" : "37" }, "uris" : [ "http://www.mendeley.com/documents/?uuid=e0f03d6a-7478-4fe1-8019-74c256a92107" ] }, { "id" : "ITEM-3", "itemData" : { "DOI" : "10.4172/2157-7412.1000104", "ISBN" : "2157-7412 (Electronic)", "ISSN" : "2157-7412", "PMID" : "22224195", "abstract" : "Heterogeneity in attention-deficit/hyperactivity disorder (ADHD), with complex interactive operations of genetic and environmental factors, is expressed in a variety of disorder manifestations: severity, co-morbidities of symptoms, and the effects of genes on phenotypes. Neurodevelopmental influences of genomic imprinting have set the stage for the structural- physiological variations that modulate the cognitive, affective, and pathophysiological domains of ADHD. The relative contributions of genetic and environmental factors provide rapidly proliferating insights into the developmental trajectory of the condition, both structurally and functionally. Parent-of-origin effects seem to support the notion that genetic risks for disease process debut often interact with the social environment, i.e., the parental environment in infants and young children. The notion of endophenotypes, markers of an underlying liability to the disorder, may facilitate detection of genetic risks relative to a complex clinical disorder. Simple genetic association has proven insufficient to explain the spectrum of ADHD. At a primary level of analysis, the consideration of epigenetic regulation of brain signalling mechanisms, dopamine, serotonin, and noradrenaline is examined. Neurotrophic factors that participate in the neurogenesis, survival, and functional maintenance of brain systems, are involved in neuroplasticity alterations underlying brain disorders, and are implicated in the genetic predisposition to ADHD, but not obviously, nor in a simple or straightforward fashion. In the context of intervention, genetic linkage studies of ADHD pharmacological intervention have demonstrated that associations have fitted the \u201cdrug response phenotype,\u201d rather than the disorder diagnosis. Despite conflicting evidence for the existence, or not, of genetic associations between disorder diagnosis and genes regulating the structure and function of neurotransmitters and brain- derived neurotrophic factor (BDNF), associations between symptoms-profiles endophenotypes and single nucleotide polymorphisms appear reassuring", "author" : [ { "dropping-particle" : "", "family" : "Archer", "given" : "Trevor", "non-dropping-particle" : "", "parse-names" : false, "suffix" : "" }, { "dropping-particle" : "", "family" : "Oscar-Berman", "given" : "Marlene", "non-dropping-particle" : "", "parse-names" : false, "suffix" : "" }, { "dropping-particle" : "", "family" : "Blum", "given" : "Kenneth", "non-dropping-particle" : "", "parse-names" : false, "suffix" : "" }, { "dropping-particle" : "", "family" : "Berman", "given" : "Marlene Oscar", "non-dropping-particle" : "", "parse-names" : false, "suffix" : "" } ], "container-title" : "Journal of Genetic Syndromes &amp; Gene Therapy", "id" : "ITEM-3", "issue" : "1", "issued" : { "date-parts" : [ [ "2011" ] ] }, "page" : "1-17", "title" : "Epigenetics in developmental disorder: ADHD and endophenotypes", "type" : "article-journal", "volume" : "2" }, "uris" : [ "http://www.mendeley.com/documents/?uuid=539bf99b-579c-490b-a683-fdad48a96be6" ] } ], "mendeley" : { "formattedCitation" : "(5, 23, 24)", "plainTextFormattedCitation" : "(5, 23, 24)", "previouslyFormattedCitation" : "(5, 23, 24)" }, "properties" : { "noteIndex" : 2 }, "schema" : "https://github.com/citation-style-language/schema/raw/master/csl-citation.json" }</w:instrText>
      </w:r>
      <w:r w:rsidR="00BC3BBB" w:rsidRPr="002B6AFD">
        <w:rPr>
          <w:rFonts w:ascii="Arial" w:hAnsi="Arial" w:cs="Arial"/>
          <w:sz w:val="22"/>
          <w:szCs w:val="22"/>
        </w:rPr>
        <w:fldChar w:fldCharType="separate"/>
      </w:r>
      <w:r w:rsidR="00BF1F00" w:rsidRPr="00BF1F00">
        <w:rPr>
          <w:rFonts w:ascii="Arial" w:hAnsi="Arial" w:cs="Arial"/>
          <w:noProof/>
          <w:sz w:val="22"/>
          <w:szCs w:val="22"/>
        </w:rPr>
        <w:t>(5, 23, 24)</w:t>
      </w:r>
      <w:r w:rsidR="00BC3BBB" w:rsidRPr="002B6AFD">
        <w:rPr>
          <w:rFonts w:ascii="Arial" w:hAnsi="Arial" w:cs="Arial"/>
          <w:sz w:val="22"/>
          <w:szCs w:val="22"/>
        </w:rPr>
        <w:fldChar w:fldCharType="end"/>
      </w:r>
      <w:r w:rsidRPr="002B6AFD">
        <w:rPr>
          <w:rFonts w:ascii="Arial" w:hAnsi="Arial" w:cs="Arial"/>
          <w:color w:val="4F81BD" w:themeColor="accent1"/>
          <w:sz w:val="22"/>
          <w:szCs w:val="22"/>
        </w:rPr>
        <w:t xml:space="preserve">. </w:t>
      </w:r>
      <w:r w:rsidRPr="002B6AFD">
        <w:rPr>
          <w:rFonts w:ascii="Arial" w:hAnsi="Arial" w:cs="Arial"/>
          <w:sz w:val="22"/>
          <w:szCs w:val="22"/>
        </w:rPr>
        <w:t xml:space="preserve">miRNA veritabanlarına göre DAT1 geni miR-4447 tarafından </w:t>
      </w:r>
      <w:r w:rsidR="00BC3BBB" w:rsidRPr="002B6AFD">
        <w:rPr>
          <w:rFonts w:ascii="Arial" w:hAnsi="Arial" w:cs="Arial"/>
          <w:sz w:val="22"/>
          <w:szCs w:val="22"/>
        </w:rPr>
        <w:fldChar w:fldCharType="begin" w:fldLock="1"/>
      </w:r>
      <w:r w:rsidRPr="002B6AFD">
        <w:rPr>
          <w:rFonts w:ascii="Arial" w:hAnsi="Arial" w:cs="Arial"/>
          <w:sz w:val="22"/>
          <w:szCs w:val="22"/>
        </w:rPr>
        <w:instrText>ADDIN CSL_CITATION { "citationItems" : [ { "id" : "ITEM-1", "itemData" : { "DOI" : "10.1093/nar/gku1104", "ISSN" : "0305-1048", "author" : [ { "dropping-particle" : "", "family" : "Wong", "given" : "N", "non-dropping-particle" : "", "parse-names" : false, "suffix" : "" }, { "dropping-particle" : "", "family" : "Wang", "given" : "X W", "non-dropping-particle" : "", "parse-names" : false, "suffix" : "" } ], "container-title" : "Nucleic Acids Research", "id" : "ITEM-1", "issue" : "D1", "issued" : { "date-parts" : [ [ "2015" ] ] }, "page" : "D146-D152", "title" : "miRDB: an online resource for microRNA target prediction and functional annotations", "type" : "article-journal", "volume" : "43" }, "uris" : [ "http://www.mendeley.com/documents/?uuid=131d1896-4bd8-46db-935f-15341eb3ba12" ] } ], "mendeley" : { "formattedCitation" : "(22)", "plainTextFormattedCitation" : "(22)", "previouslyFormattedCitation" : "(22)" }, "properties" : { "noteIndex" : 23 }, "schema" : "https://github.com/citation-style-language/schema/raw/master/csl-citation.json" }</w:instrText>
      </w:r>
      <w:r w:rsidR="00BC3BBB" w:rsidRPr="002B6AFD">
        <w:rPr>
          <w:rFonts w:ascii="Arial" w:hAnsi="Arial" w:cs="Arial"/>
          <w:sz w:val="22"/>
          <w:szCs w:val="22"/>
        </w:rPr>
        <w:fldChar w:fldCharType="separate"/>
      </w:r>
      <w:r w:rsidRPr="002B6AFD">
        <w:rPr>
          <w:rFonts w:ascii="Arial" w:hAnsi="Arial" w:cs="Arial"/>
          <w:noProof/>
          <w:sz w:val="22"/>
          <w:szCs w:val="22"/>
        </w:rPr>
        <w:t>(22)</w:t>
      </w:r>
      <w:r w:rsidR="00BC3BBB" w:rsidRPr="002B6AFD">
        <w:rPr>
          <w:rFonts w:ascii="Arial" w:hAnsi="Arial" w:cs="Arial"/>
          <w:sz w:val="22"/>
          <w:szCs w:val="22"/>
        </w:rPr>
        <w:fldChar w:fldCharType="end"/>
      </w:r>
      <w:r w:rsidRPr="002B6AFD">
        <w:rPr>
          <w:rFonts w:ascii="Arial" w:hAnsi="Arial" w:cs="Arial"/>
          <w:sz w:val="22"/>
          <w:szCs w:val="22"/>
        </w:rPr>
        <w:t xml:space="preserve">, DRD4 geni miR-124-3p tarafından hedef alınmaktadır </w:t>
      </w:r>
      <w:r w:rsidR="00BC3BBB" w:rsidRPr="002B6AFD">
        <w:rPr>
          <w:rFonts w:ascii="Arial" w:hAnsi="Arial" w:cs="Arial"/>
          <w:sz w:val="22"/>
          <w:szCs w:val="22"/>
        </w:rPr>
        <w:fldChar w:fldCharType="begin" w:fldLock="1"/>
      </w:r>
      <w:r w:rsidRPr="002B6AFD">
        <w:rPr>
          <w:rFonts w:ascii="Arial" w:hAnsi="Arial" w:cs="Arial"/>
          <w:sz w:val="22"/>
          <w:szCs w:val="22"/>
        </w:rPr>
        <w:instrText>ADDIN CSL_CITATION { "citationItems" : [ { "id" : "ITEM-1", "itemData" : { "DOI" : "10.1038/nmeth.3485", "ISBN" : "doi:10.1038/nmeth.3485", "ISSN" : "1548-7091", "PMID" : "26226356", "author" : [ { "dropping-particle" : "", "family" : "Dweep", "given" : "Harsh", "non-dropping-particle" : "", "parse-names" : false, "suffix" : "" }, { "dropping-particle" : "", "family" : "Gretz", "given" : "Norbert", "non-dropping-particle" : "", "parse-names" : false, "suffix" : "" } ], "container-title" : "Nature Methods", "id" : "ITEM-1", "issue" : "8", "issued" : { "date-parts" : [ [ "2015" ] ] }, "page" : "697-697", "title" : "miRWalk2.0: a comprehensive atlas of microRNA-target interactions", "type" : "article-journal", "volume" : "12" }, "uris" : [ "http://www.mendeley.com/documents/?uuid=19a19e62-aa75-42c6-ab66-5654528a1299" ] } ], "mendeley" : { "formattedCitation" : "(21)", "plainTextFormattedCitation" : "(21)", "previouslyFormattedCitation" : "(21)" }, "properties" : { "noteIndex" : 23 }, "schema" : "https://github.com/citation-style-language/schema/raw/master/csl-citation.json" }</w:instrText>
      </w:r>
      <w:r w:rsidR="00BC3BBB" w:rsidRPr="002B6AFD">
        <w:rPr>
          <w:rFonts w:ascii="Arial" w:hAnsi="Arial" w:cs="Arial"/>
          <w:sz w:val="22"/>
          <w:szCs w:val="22"/>
        </w:rPr>
        <w:fldChar w:fldCharType="separate"/>
      </w:r>
      <w:r w:rsidRPr="002B6AFD">
        <w:rPr>
          <w:rFonts w:ascii="Arial" w:hAnsi="Arial" w:cs="Arial"/>
          <w:noProof/>
          <w:sz w:val="22"/>
          <w:szCs w:val="22"/>
        </w:rPr>
        <w:t>(21)</w:t>
      </w:r>
      <w:r w:rsidR="00BC3BBB" w:rsidRPr="002B6AFD">
        <w:rPr>
          <w:rFonts w:ascii="Arial" w:hAnsi="Arial" w:cs="Arial"/>
          <w:sz w:val="22"/>
          <w:szCs w:val="22"/>
        </w:rPr>
        <w:fldChar w:fldCharType="end"/>
      </w:r>
      <w:r w:rsidRPr="002B6AFD">
        <w:rPr>
          <w:rFonts w:ascii="Arial" w:hAnsi="Arial" w:cs="Arial"/>
          <w:sz w:val="22"/>
          <w:szCs w:val="22"/>
        </w:rPr>
        <w:t>.</w:t>
      </w:r>
    </w:p>
    <w:p w:rsidR="00C60153" w:rsidRPr="002B6AFD" w:rsidRDefault="00C60153" w:rsidP="00C60153">
      <w:pPr>
        <w:spacing w:line="360" w:lineRule="auto"/>
        <w:ind w:firstLine="708"/>
        <w:jc w:val="both"/>
        <w:rPr>
          <w:rFonts w:ascii="Arial" w:hAnsi="Arial" w:cs="Arial"/>
          <w:sz w:val="22"/>
          <w:szCs w:val="22"/>
          <w:shd w:val="clear" w:color="auto" w:fill="FFFFFF"/>
        </w:rPr>
      </w:pPr>
      <w:r w:rsidRPr="002B6AFD">
        <w:rPr>
          <w:rFonts w:ascii="Arial" w:hAnsi="Arial" w:cs="Arial"/>
          <w:sz w:val="22"/>
          <w:szCs w:val="22"/>
        </w:rPr>
        <w:t>Çalışmamızda DEHB’li çocuk ve ergenlerde miR-107, miR-let-7d, miR-5692b, miR-4447 ve miR-124-3p düzeylerinin sağlıklı kontrollerle karşılaştırılması planlanmıştır.</w:t>
      </w:r>
      <w:r w:rsidRPr="002B6AFD">
        <w:rPr>
          <w:rFonts w:ascii="Arial" w:hAnsi="Arial" w:cs="Arial"/>
          <w:b/>
          <w:sz w:val="22"/>
          <w:szCs w:val="22"/>
        </w:rPr>
        <w:t xml:space="preserve">         </w:t>
      </w:r>
    </w:p>
    <w:p w:rsidR="00C60153" w:rsidRDefault="00C60153" w:rsidP="00C60153">
      <w:pPr>
        <w:spacing w:line="360" w:lineRule="auto"/>
        <w:ind w:firstLine="708"/>
        <w:jc w:val="both"/>
        <w:rPr>
          <w:rFonts w:ascii="Arial" w:hAnsi="Arial" w:cs="Arial"/>
          <w:b/>
        </w:rPr>
      </w:pPr>
    </w:p>
    <w:p w:rsidR="00F71665" w:rsidRDefault="00F71665" w:rsidP="00C60153">
      <w:pPr>
        <w:spacing w:line="360" w:lineRule="auto"/>
        <w:jc w:val="center"/>
        <w:rPr>
          <w:rFonts w:ascii="Arial" w:hAnsi="Arial" w:cs="Arial"/>
          <w:b/>
        </w:rPr>
      </w:pPr>
    </w:p>
    <w:p w:rsidR="00C60153" w:rsidRPr="00453BDF" w:rsidRDefault="00C60153" w:rsidP="00C60153">
      <w:pPr>
        <w:spacing w:line="360" w:lineRule="auto"/>
        <w:jc w:val="center"/>
        <w:rPr>
          <w:rFonts w:ascii="Arial" w:hAnsi="Arial" w:cs="Arial"/>
          <w:b/>
        </w:rPr>
      </w:pPr>
      <w:r w:rsidRPr="00453BDF">
        <w:rPr>
          <w:rFonts w:ascii="Arial" w:hAnsi="Arial" w:cs="Arial"/>
          <w:b/>
        </w:rPr>
        <w:t>GENEL BİLGİLER</w:t>
      </w:r>
    </w:p>
    <w:p w:rsidR="00C60153" w:rsidRDefault="00C60153" w:rsidP="00C60153">
      <w:pPr>
        <w:spacing w:line="360" w:lineRule="auto"/>
        <w:jc w:val="center"/>
        <w:rPr>
          <w:rFonts w:ascii="Arial" w:hAnsi="Arial" w:cs="Arial"/>
          <w:b/>
        </w:rPr>
      </w:pPr>
    </w:p>
    <w:p w:rsidR="00C60153" w:rsidRDefault="00C60153" w:rsidP="00C60153">
      <w:pPr>
        <w:spacing w:line="360" w:lineRule="auto"/>
        <w:jc w:val="center"/>
        <w:rPr>
          <w:rFonts w:ascii="Arial" w:hAnsi="Arial" w:cs="Arial"/>
          <w:b/>
        </w:rPr>
      </w:pPr>
      <w:r w:rsidRPr="00453BDF">
        <w:rPr>
          <w:rFonts w:ascii="Arial" w:hAnsi="Arial" w:cs="Arial"/>
          <w:b/>
        </w:rPr>
        <w:t>DİKKAT EKSİKLİĞİ HİPERAKTİVİTE BOZUKLUĞU</w:t>
      </w:r>
    </w:p>
    <w:p w:rsidR="00C60153" w:rsidRPr="00453BDF" w:rsidRDefault="00C60153" w:rsidP="00C60153">
      <w:pPr>
        <w:spacing w:line="360" w:lineRule="auto"/>
        <w:jc w:val="center"/>
        <w:rPr>
          <w:rFonts w:ascii="Arial" w:hAnsi="Arial" w:cs="Arial"/>
          <w:b/>
        </w:rPr>
      </w:pPr>
    </w:p>
    <w:p w:rsidR="00C60153" w:rsidRPr="00F71665" w:rsidRDefault="00C60153" w:rsidP="00C60153">
      <w:pPr>
        <w:spacing w:line="360" w:lineRule="auto"/>
        <w:ind w:firstLine="708"/>
        <w:jc w:val="both"/>
        <w:rPr>
          <w:rFonts w:ascii="Arial" w:hAnsi="Arial" w:cs="Arial"/>
          <w:b/>
          <w:sz w:val="22"/>
          <w:szCs w:val="22"/>
        </w:rPr>
      </w:pPr>
      <w:r w:rsidRPr="00F71665">
        <w:rPr>
          <w:rFonts w:ascii="Arial" w:hAnsi="Arial" w:cs="Arial"/>
          <w:b/>
          <w:sz w:val="22"/>
          <w:szCs w:val="22"/>
        </w:rPr>
        <w:t>TANIM</w:t>
      </w:r>
    </w:p>
    <w:p w:rsidR="00C60153" w:rsidRPr="00F71665" w:rsidRDefault="00C60153" w:rsidP="00C60153">
      <w:pPr>
        <w:spacing w:line="360" w:lineRule="auto"/>
        <w:ind w:firstLine="708"/>
        <w:jc w:val="both"/>
        <w:rPr>
          <w:rFonts w:ascii="Arial" w:hAnsi="Arial" w:cs="Arial"/>
          <w:b/>
          <w:sz w:val="22"/>
          <w:szCs w:val="22"/>
        </w:rPr>
      </w:pPr>
      <w:r w:rsidRPr="00F71665">
        <w:rPr>
          <w:rFonts w:ascii="Arial" w:hAnsi="Arial" w:cs="Arial"/>
          <w:color w:val="212121"/>
          <w:sz w:val="22"/>
          <w:szCs w:val="22"/>
        </w:rPr>
        <w:t xml:space="preserve">Yaşla uygunsuz ve aşırı derecede dikkatsizlik, hiperaktivite ve dürtüsellik ile karakterize </w:t>
      </w:r>
      <w:r w:rsidR="00BC3BBB" w:rsidRPr="00F71665">
        <w:rPr>
          <w:rStyle w:val="DipnotBavurusu"/>
          <w:rFonts w:ascii="Arial" w:hAnsi="Arial" w:cs="Arial"/>
          <w:color w:val="212121"/>
          <w:sz w:val="22"/>
          <w:szCs w:val="22"/>
        </w:rPr>
        <w:fldChar w:fldCharType="begin" w:fldLock="1"/>
      </w:r>
      <w:r w:rsidRPr="00F71665">
        <w:rPr>
          <w:rFonts w:ascii="Arial" w:hAnsi="Arial" w:cs="Arial"/>
          <w:color w:val="212121"/>
          <w:sz w:val="22"/>
          <w:szCs w:val="22"/>
        </w:rPr>
        <w:instrText>ADDIN CSL_CITATION { "citationItems" : [ { "id" : "ITEM-1", "itemData" : { "author" : [ { "dropping-particle" : "", "family" : "National Institute for Health and Clinical Excellence (NICE)", "given" : "", "non-dropping-particle" : "", "parse-names" : false, "suffix" : "" } ], "container-title" : "National Clinical Practice Guideline", "id" : "ITEM-1", "issue" : "April 2007", "issued" : { "date-parts" : [ [ "2008" ] ] }, "page" : "Available at: http://publications.nice.org.uk/atte", "title" : "Attention deficit hyperactivity disorder: Diagnosis and management of ADHD in children, young people and adults", "type" : "article-journal", "volume" : "72" }, "uris" : [ "http://www.mendeley.com/documents/?uuid=7aaa297c-bc76-4eda-a8a2-0e08df8848c7" ] } ], "mendeley" : { "formattedCitation" : "(1)", "plainTextFormattedCitation" : "(1)", "previouslyFormattedCitation" : "(1)" }, "properties" : { "noteIndex" : 1 }, "schema" : "https://github.com/citation-style-language/schema/raw/master/csl-citation.json" }</w:instrText>
      </w:r>
      <w:r w:rsidR="00BC3BBB" w:rsidRPr="00F71665">
        <w:rPr>
          <w:rStyle w:val="DipnotBavurusu"/>
          <w:rFonts w:ascii="Arial" w:hAnsi="Arial" w:cs="Arial"/>
          <w:color w:val="212121"/>
          <w:sz w:val="22"/>
          <w:szCs w:val="22"/>
        </w:rPr>
        <w:fldChar w:fldCharType="separate"/>
      </w:r>
      <w:r w:rsidRPr="00F71665">
        <w:rPr>
          <w:rFonts w:ascii="Arial" w:hAnsi="Arial" w:cs="Arial"/>
          <w:noProof/>
          <w:color w:val="212121"/>
          <w:sz w:val="22"/>
          <w:szCs w:val="22"/>
        </w:rPr>
        <w:t>(1)</w:t>
      </w:r>
      <w:r w:rsidR="00BC3BBB" w:rsidRPr="00F71665">
        <w:rPr>
          <w:rStyle w:val="DipnotBavurusu"/>
          <w:rFonts w:ascii="Arial" w:hAnsi="Arial" w:cs="Arial"/>
          <w:color w:val="212121"/>
          <w:sz w:val="22"/>
          <w:szCs w:val="22"/>
        </w:rPr>
        <w:fldChar w:fldCharType="end"/>
      </w:r>
      <w:r w:rsidRPr="00F71665">
        <w:rPr>
          <w:rFonts w:ascii="Arial" w:hAnsi="Arial" w:cs="Arial"/>
          <w:color w:val="4F81BD" w:themeColor="accent1"/>
          <w:sz w:val="22"/>
          <w:szCs w:val="22"/>
          <w:shd w:val="clear" w:color="auto" w:fill="FFFFFF"/>
        </w:rPr>
        <w:t xml:space="preserve"> </w:t>
      </w:r>
      <w:r w:rsidRPr="00F71665">
        <w:rPr>
          <w:rFonts w:ascii="Arial" w:hAnsi="Arial" w:cs="Arial"/>
          <w:color w:val="212121"/>
          <w:sz w:val="22"/>
          <w:szCs w:val="22"/>
          <w:shd w:val="clear" w:color="auto" w:fill="FFFFFF"/>
        </w:rPr>
        <w:t>Dikkat Eksikliği Hiperaktivite Bozukluğu (</w:t>
      </w:r>
      <w:r w:rsidRPr="00F71665">
        <w:rPr>
          <w:rFonts w:ascii="Arial" w:hAnsi="Arial" w:cs="Arial"/>
          <w:sz w:val="22"/>
          <w:szCs w:val="22"/>
          <w:shd w:val="clear" w:color="auto" w:fill="FFFFFF"/>
        </w:rPr>
        <w:t>DEHB</w:t>
      </w:r>
      <w:r w:rsidRPr="00F71665">
        <w:rPr>
          <w:rFonts w:ascii="Arial" w:hAnsi="Arial" w:cs="Arial"/>
          <w:color w:val="212121"/>
          <w:sz w:val="22"/>
          <w:szCs w:val="22"/>
          <w:shd w:val="clear" w:color="auto" w:fill="FFFFFF"/>
        </w:rPr>
        <w:t xml:space="preserve">), karmaşık ve çok faktörlü nörogelişimsel bir bozukluktur </w:t>
      </w:r>
      <w:r w:rsidR="00BC3BBB" w:rsidRPr="00F71665">
        <w:rPr>
          <w:rStyle w:val="DipnotBavurusu"/>
          <w:rFonts w:ascii="Arial" w:hAnsi="Arial" w:cs="Arial"/>
          <w:color w:val="000000"/>
          <w:sz w:val="22"/>
          <w:szCs w:val="22"/>
          <w:shd w:val="clear" w:color="auto" w:fill="FFFFFF"/>
        </w:rPr>
        <w:fldChar w:fldCharType="begin" w:fldLock="1"/>
      </w:r>
      <w:r w:rsidRPr="00F71665">
        <w:rPr>
          <w:rFonts w:ascii="Arial" w:hAnsi="Arial" w:cs="Arial"/>
          <w:color w:val="000000"/>
          <w:sz w:val="22"/>
          <w:szCs w:val="22"/>
          <w:shd w:val="clear" w:color="auto" w:fill="FFFFFF"/>
        </w:rPr>
        <w:instrText>ADDIN CSL_CITATION { "citationItems" : [ { "id" : "ITEM-1", "itemData" : { "DOI" : "10.1176/appi.books.9780890425596.744053", "ISBN" : "0890425558", "ISSN" : "2317-1782", "PMID" : "24413388", "author" : [ { "dropping-particle" : "", "family" : "American Psychiatric Association", "given" : "", "non-dropping-particle" : "", "parse-names" : false, "suffix" : "" } ], "edition" : "2013", "id" : "ITEM-1", "issued" : { "date-parts" : [ [ "2013" ] ] }, "number-of-pages" : "992", "publisher" : "American Psychiatric Publishing", "title" : "Diagnostic and Statistical Manual of Mental Disorders, Diagnostic and Statistical Manual of Mental Disorders, Fifth Edition (DSM-5).", "type" : "book" }, "uris" : [ "http://www.mendeley.com/documents/?uuid=3426bcb2-a514-4229-8139-12fcdd42b8e2" ] } ], "mendeley" : { "formattedCitation" : "(2)", "plainTextFormattedCitation" : "(2)", "previouslyFormattedCitation" : "(2)" }, "properties" : { "noteIndex" : 1 }, "schema" : "https://github.com/citation-style-language/schema/raw/master/csl-citation.json" }</w:instrText>
      </w:r>
      <w:r w:rsidR="00BC3BBB" w:rsidRPr="00F71665">
        <w:rPr>
          <w:rStyle w:val="DipnotBavurusu"/>
          <w:rFonts w:ascii="Arial" w:hAnsi="Arial" w:cs="Arial"/>
          <w:color w:val="000000"/>
          <w:sz w:val="22"/>
          <w:szCs w:val="22"/>
          <w:shd w:val="clear" w:color="auto" w:fill="FFFFFF"/>
        </w:rPr>
        <w:fldChar w:fldCharType="separate"/>
      </w:r>
      <w:r w:rsidRPr="00F71665">
        <w:rPr>
          <w:rFonts w:ascii="Arial" w:hAnsi="Arial" w:cs="Arial"/>
          <w:noProof/>
          <w:color w:val="000000"/>
          <w:sz w:val="22"/>
          <w:szCs w:val="22"/>
          <w:shd w:val="clear" w:color="auto" w:fill="FFFFFF"/>
        </w:rPr>
        <w:t>(2)</w:t>
      </w:r>
      <w:r w:rsidR="00BC3BBB" w:rsidRPr="00F71665">
        <w:rPr>
          <w:rStyle w:val="DipnotBavurusu"/>
          <w:rFonts w:ascii="Arial" w:hAnsi="Arial" w:cs="Arial"/>
          <w:color w:val="000000"/>
          <w:sz w:val="22"/>
          <w:szCs w:val="22"/>
          <w:shd w:val="clear" w:color="auto" w:fill="FFFFFF"/>
        </w:rPr>
        <w:fldChar w:fldCharType="end"/>
      </w:r>
      <w:r w:rsidRPr="00F71665">
        <w:rPr>
          <w:rFonts w:ascii="Arial" w:hAnsi="Arial" w:cs="Arial"/>
          <w:color w:val="000000" w:themeColor="text1"/>
          <w:sz w:val="22"/>
          <w:szCs w:val="22"/>
          <w:shd w:val="clear" w:color="auto" w:fill="FFFFFF"/>
        </w:rPr>
        <w:t>. D</w:t>
      </w:r>
      <w:r w:rsidRPr="00F71665">
        <w:rPr>
          <w:rFonts w:ascii="Arial" w:hAnsi="Arial" w:cs="Arial"/>
          <w:sz w:val="22"/>
          <w:szCs w:val="22"/>
          <w:shd w:val="clear" w:color="auto" w:fill="FFFFFF"/>
        </w:rPr>
        <w:t xml:space="preserve">ünya çapında çocuk ve ergenlerin yaklaşık %5’ini etkiler </w:t>
      </w:r>
      <w:r w:rsidR="00BC3BBB" w:rsidRPr="00F71665">
        <w:rPr>
          <w:rFonts w:ascii="Arial" w:hAnsi="Arial" w:cs="Arial"/>
          <w:sz w:val="22"/>
          <w:szCs w:val="22"/>
          <w:shd w:val="clear" w:color="auto" w:fill="FFFFFF"/>
        </w:rPr>
        <w:fldChar w:fldCharType="begin" w:fldLock="1"/>
      </w:r>
      <w:r w:rsidRPr="00F71665">
        <w:rPr>
          <w:rFonts w:ascii="Arial" w:hAnsi="Arial" w:cs="Arial"/>
          <w:sz w:val="22"/>
          <w:szCs w:val="22"/>
          <w:shd w:val="clear" w:color="auto" w:fill="FFFFFF"/>
        </w:rPr>
        <w:instrText>ADDIN CSL_CITATION { "citationItems" : [ { "id" : "ITEM-1", "itemData" : { "author" : [ { "dropping-particle" : "", "family" : "Polanczyk G, de Lima MS, Horta BL, Biederman J", "given" : "Rohde LA.", "non-dropping-particle" : "", "parse-names" : false, "suffix" : "" } ], "container-title" : "Am J Psychiatry.", "id" : "ITEM-1", "issued" : { "date-parts" : [ [ "2007" ] ] }, "page" : "942\u2013948", "title" : "The worldwide prevalence of ADHD: a systematic review and metaregression analysis.", "type" : "article-journal", "volume" : "164" }, "uris" : [ "http://www.mendeley.com/documents/?uuid=3f9232d0-5b04-4ce9-9595-4c5e46145da2" ] } ], "mendeley" : { "formattedCitation" : "(3)", "plainTextFormattedCitation" : "(3)", "previouslyFormattedCitation" : "(3)" }, "properties" : { "noteIndex" : 1 }, "schema" : "https://github.com/citation-style-language/schema/raw/master/csl-citation.json" }</w:instrText>
      </w:r>
      <w:r w:rsidR="00BC3BBB" w:rsidRPr="00F71665">
        <w:rPr>
          <w:rFonts w:ascii="Arial" w:hAnsi="Arial" w:cs="Arial"/>
          <w:sz w:val="22"/>
          <w:szCs w:val="22"/>
          <w:shd w:val="clear" w:color="auto" w:fill="FFFFFF"/>
        </w:rPr>
        <w:fldChar w:fldCharType="separate"/>
      </w:r>
      <w:r w:rsidRPr="00F71665">
        <w:rPr>
          <w:rFonts w:ascii="Arial" w:hAnsi="Arial" w:cs="Arial"/>
          <w:noProof/>
          <w:sz w:val="22"/>
          <w:szCs w:val="22"/>
          <w:shd w:val="clear" w:color="auto" w:fill="FFFFFF"/>
        </w:rPr>
        <w:t>(3)</w:t>
      </w:r>
      <w:r w:rsidR="00BC3BBB" w:rsidRPr="00F71665">
        <w:rPr>
          <w:rFonts w:ascii="Arial" w:hAnsi="Arial" w:cs="Arial"/>
          <w:sz w:val="22"/>
          <w:szCs w:val="22"/>
          <w:shd w:val="clear" w:color="auto" w:fill="FFFFFF"/>
        </w:rPr>
        <w:fldChar w:fldCharType="end"/>
      </w:r>
      <w:r w:rsidRPr="00F71665">
        <w:rPr>
          <w:rFonts w:ascii="Arial" w:hAnsi="Arial" w:cs="Arial"/>
          <w:color w:val="4F81BD" w:themeColor="accent1"/>
          <w:sz w:val="22"/>
          <w:szCs w:val="22"/>
          <w:shd w:val="clear" w:color="auto" w:fill="FFFFFF"/>
        </w:rPr>
        <w:t xml:space="preserve"> </w:t>
      </w:r>
      <w:r w:rsidRPr="00F71665">
        <w:rPr>
          <w:rFonts w:ascii="Arial" w:hAnsi="Arial" w:cs="Arial"/>
          <w:color w:val="000000" w:themeColor="text1"/>
          <w:sz w:val="22"/>
          <w:szCs w:val="22"/>
          <w:shd w:val="clear" w:color="auto" w:fill="FFFFFF"/>
        </w:rPr>
        <w:t xml:space="preserve">ve </w:t>
      </w:r>
      <w:r w:rsidRPr="00F71665">
        <w:rPr>
          <w:rFonts w:ascii="Arial" w:hAnsi="Arial" w:cs="Arial"/>
          <w:sz w:val="22"/>
          <w:szCs w:val="22"/>
          <w:shd w:val="clear" w:color="auto" w:fill="FFFFFF"/>
        </w:rPr>
        <w:t>çocukluk çağında en sık görülen nörogelişimsel bozukluktur</w:t>
      </w:r>
      <w:r w:rsidR="00BC3BBB" w:rsidRPr="00F71665">
        <w:rPr>
          <w:rFonts w:ascii="Arial" w:hAnsi="Arial" w:cs="Arial"/>
          <w:sz w:val="22"/>
          <w:szCs w:val="22"/>
          <w:shd w:val="clear" w:color="auto" w:fill="FFFFFF"/>
        </w:rPr>
        <w:fldChar w:fldCharType="begin" w:fldLock="1"/>
      </w:r>
      <w:r w:rsidRPr="00F71665">
        <w:rPr>
          <w:rFonts w:ascii="Arial" w:hAnsi="Arial" w:cs="Arial"/>
          <w:sz w:val="22"/>
          <w:szCs w:val="22"/>
          <w:shd w:val="clear" w:color="auto" w:fill="FFFFFF"/>
        </w:rPr>
        <w:instrText>ADDIN CSL_CITATION { "citationItems" : [ { "id" : "ITEM-1", "itemData" : { "author" : [ { "dropping-particle" : "", "family" : "Leung AK", "given" : "Lun Hon K", "non-dropping-particle" : "", "parse-names" : false, "suffix" : "" } ], "container-title" : "Adv Pediatr.", "id" : "ITEM-1", "issued" : { "date-parts" : [ [ "0" ] ] }, "page" : "255\u2013280", "title" : "Attention-Deficit/ Hyperactivity Disorder", "type" : "article-journal", "volume" : "63" }, "uris" : [ "http://www.mendeley.com/documents/?uuid=9101348c-8679-40a9-b160-231a2d4509c2" ] } ], "mendeley" : { "formattedCitation" : "(4)", "plainTextFormattedCitation" : "(4)", "previouslyFormattedCitation" : "(4)" }, "properties" : { "noteIndex" : 1 }, "schema" : "https://github.com/citation-style-language/schema/raw/master/csl-citation.json" }</w:instrText>
      </w:r>
      <w:r w:rsidR="00BC3BBB" w:rsidRPr="00F71665">
        <w:rPr>
          <w:rFonts w:ascii="Arial" w:hAnsi="Arial" w:cs="Arial"/>
          <w:sz w:val="22"/>
          <w:szCs w:val="22"/>
          <w:shd w:val="clear" w:color="auto" w:fill="FFFFFF"/>
        </w:rPr>
        <w:fldChar w:fldCharType="separate"/>
      </w:r>
      <w:r w:rsidRPr="00F71665">
        <w:rPr>
          <w:rFonts w:ascii="Arial" w:hAnsi="Arial" w:cs="Arial"/>
          <w:noProof/>
          <w:sz w:val="22"/>
          <w:szCs w:val="22"/>
          <w:shd w:val="clear" w:color="auto" w:fill="FFFFFF"/>
        </w:rPr>
        <w:t>(4)</w:t>
      </w:r>
      <w:r w:rsidR="00BC3BBB" w:rsidRPr="00F71665">
        <w:rPr>
          <w:rFonts w:ascii="Arial" w:hAnsi="Arial" w:cs="Arial"/>
          <w:sz w:val="22"/>
          <w:szCs w:val="22"/>
          <w:shd w:val="clear" w:color="auto" w:fill="FFFFFF"/>
        </w:rPr>
        <w:fldChar w:fldCharType="end"/>
      </w:r>
      <w:r w:rsidRPr="00F71665">
        <w:rPr>
          <w:rFonts w:ascii="Arial" w:hAnsi="Arial" w:cs="Arial"/>
          <w:sz w:val="22"/>
          <w:szCs w:val="22"/>
          <w:shd w:val="clear" w:color="auto" w:fill="FFFFFF"/>
        </w:rPr>
        <w:t>.</w:t>
      </w:r>
      <w:r w:rsidRPr="00F71665">
        <w:rPr>
          <w:rFonts w:ascii="Arial" w:hAnsi="Arial" w:cs="Arial"/>
          <w:color w:val="000000" w:themeColor="text1"/>
          <w:sz w:val="22"/>
          <w:szCs w:val="22"/>
          <w:shd w:val="clear" w:color="auto" w:fill="FFFFFF"/>
        </w:rPr>
        <w:t xml:space="preserve"> Belirtiler olguların yarısından fazlasında yetişkinlikte de devam etmektedir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"DOI" : "10.1177/1087054707310878", "ISSN" : "1087-0547", "PMID" : "18094324", "abstract" : "ADHD presents significant challenges to adults. The current review's goals are (a) to critically examine the current state of knowledge regarding ADHD in adults and (b) to provide clinicians with practice-friendly information regarding assessment, diagnosis, and treatment.", "author" : [ { "dropping-particle" : "", "family" : "Davidson", "given" : "Megan a", "non-dropping-particle" : "", "parse-names" : false, "suffix" : "" } ], "container-title" : "Journal of attention disorders", "id" : "ITEM-1", "issue" : "6", "issued" : { "date-parts" : [ [ "2008" ] ] }, "page" : "628-41", "title" : "ADHD in adults: a review of the literature.", "type" : "article-journal", "volume" : "11" }, "uris" : [ "http://www.mendeley.com/documents/?uuid=3fdc921e-4d96-4d49-9670-be5b92004399" ] } ], "mendeley" : { "formattedCitation" : "(25)", "plainTextFormattedCitation" : "(25)", "previouslyFormattedCitation" : "(25)" }, "properties" : { "noteIndex" : 1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(25)</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000000" w:themeColor="text1"/>
          <w:sz w:val="22"/>
          <w:szCs w:val="22"/>
          <w:shd w:val="clear" w:color="auto" w:fill="FFFFFF"/>
        </w:rPr>
        <w:t xml:space="preserve">. Düşük akademik başarı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"DOI" : "10.1177/00222194070400010401", "ISBN" : "0022-2194, 0022-2194", "ISSN" : "0022-2194", "PMID" : "17274547", "abstract" : "This article presents results from two interrelated studies. The first study conducted a meta-analysis of the published literature since 1990 to determine the magnitude of achievement problems associated with attention-deficit/hyperactivity disorder (ADHD). Effect sizes were significantly different between participants with and without ADHD (sample weighted r = .32, sample weighted d = . 71; p = .001). Effects were also examined according to the moderators of age, gender, achievement domain (reading, math, spelling), measurement method (standardized tests vs. grades, parent/teacher ratings, etc.), sample type (clinical vs. nonclinical), and system used to identify ADHD (DSM-III-R vs. DSM-IV). Significant differences emerged from the moderator comparisons. The second study, using averaged effect sizes from the first study as a baseline for comparison, investigated achievement levels for an understudied age group with ADHD, namely, college students. Unlike previous studies at the college level, the sample incorporated both student and parent ratings (N = 380 dyads). The results were comparable to outcomes from the meta-analysis for college students and adults. Analyses demonstrated modest (R = .21) but meaningful predictive validity across 1 year to end-of-first-year grades. However, unlike earlier studies with children and adolescents, student ratings were as predictive as parent ratings. Findings are discussed in terms of the impact of moderator variables on ADHD and achievement.", "author" : [ { "dropping-particle" : "", "family" : "Frazier", "given" : "T. W.", "non-dropping-particle" : "", "parse-names" : false, "suffix" : "" }, { "dropping-particle" : "", "family" : "Youngstrom", "given" : "E. A.", "non-dropping-particle" : "", "parse-names" : false, "suffix" : "" }, { "dropping-particle" : "", "family" : "Glutting", "given" : "J. J.", "non-dropping-particle" : "", "parse-names" : false, "suffix" : "" }, { "dropping-particle" : "", "family" : "Watkins", "given" : "M. W.", "non-dropping-particle" : "", "parse-names" : false, "suffix" : "" } ], "container-title" : "Journal of Learning Disabilities", "id" : "ITEM-1", "issue" : "1", "issued" : { "date-parts" : [ [ "2007" ] ] }, "page" : "49-65", "title" : "ADHD and Achievement: Meta-Analysis of the Child, Adolescent, and Adult Literatures and a Concomitant Study With College Students", "type" : "article-journal", "volume" : "40" }, "uris" : [ "http://www.mendeley.com/documents/?uuid=fc245675-3f5e-4988-9d63-3796cdd5757d" ] } ], "mendeley" : { "formattedCitation" : "(26)", "plainTextFormattedCitation" : "(26)", "previouslyFormattedCitation" : "(26)" }, "properties" : { "noteIndex" : 1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(26)</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4F81BD" w:themeColor="accent1"/>
          <w:sz w:val="22"/>
          <w:szCs w:val="22"/>
          <w:shd w:val="clear" w:color="auto" w:fill="FFFFFF"/>
        </w:rPr>
        <w:t xml:space="preserve">, </w:t>
      </w:r>
      <w:r w:rsidRPr="00F71665">
        <w:rPr>
          <w:rFonts w:ascii="Arial" w:hAnsi="Arial" w:cs="Arial"/>
          <w:color w:val="000000" w:themeColor="text1"/>
          <w:sz w:val="22"/>
          <w:szCs w:val="22"/>
          <w:shd w:val="clear" w:color="auto" w:fill="FFFFFF"/>
        </w:rPr>
        <w:t xml:space="preserve">bozulmuş mesleki işlevsellik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"ISBN" : "0340-0131", "abstract" : "Purpose To review the negative effects of attentiondeficit/ hyperactivity disorder (ADHD) in adolescence and adulthood on work productivity and occupational health. Methods A review of the MEDLINE database was carried out to identify direct and indirect effects of ADHD on work, employment and occupational health. Results ADHD is associated with higher levels of unemployment versus controls. Adults with ADHD who are employed experience workplace impairment and reduced productivity, as well as behavioural issues such as irritability and low frustration tolerance. Adults with ADHD are also at increased risk of accidents, trauma and workplace injuries, particularly traffic accidents. Indirect effects of ADHD on occupational health include reduced educational achievement and increased rates of substance abuse and criminality. Overall, ADHD in adults has a substantial economic impact as a result of absenteeism and lost productivity. Psychoeducation, combined with stimulant medications if necessary, is recommended as first-line treatment for adults with ADHD. Limited data available suggest that stimulant treatment can improve work productivity and efficacy, and reduce the risks associated with driving, although further studies are necessary. Conclusions ADHD can affect the ability to gain and maintain employment and to work safely and productively. As ADHD is a treatable condition, patients, employers and physicians have a role to play in ensuring optimal occupational health. \u00a9 Springer-Verlag 2012.", "author" : [ { "dropping-particle" : "", "family" : "T.", "given" : "Kupper", "non-dropping-particle" : "", "parse-names" : false, "suffix" : "" }, { "dropping-particle" : "", "family" : "J.", "given" : "Haavik", "non-dropping-particle" : "", "parse-names" : false, "suffix" : "" }, { "dropping-particle" : "", "family" : "H.", "given" : "Drexler", "non-dropping-particle" : "", "parse-names" : false, "suffix" : "" }, { "dropping-particle" : "", "family" : "J.A.", "given" : "Ramos-Quiroga", "non-dropping-particle" : "", "parse-names" : false, "suffix" : "" }, { "dropping-particle" : "", "family" : "D.", "given" : "Wermelskirchen", "non-dropping-particle" : "", "parse-names" : false, "suffix" : "" }, { "dropping-particle" : "", "family" : "C.", "given" : "Prutz", "non-dropping-particle" : "", "parse-names" : false, "suffix" : "" } ], "container-title" : "International Archives of Occupational and Environmental Health", "id" : "ITEM-1", "issue" : "8", "issued" : { "date-parts" : [ [ "2012" ] ] }, "page" : "837-847", "title" : "The negative impact of attention-deficit/hyperactivity disorder on occupational health in adults and adolescents", "type" : "article-journal", "volume" : "85" }, "uris" : [ "http://www.mendeley.com/documents/?uuid=36bc2d69-4219-4c96-9464-9b6b821fb25e" ] } ], "mendeley" : { "formattedCitation" : "(27)", "plainTextFormattedCitation" : "(27)", "previouslyFormattedCitation" : "(27)" }, "properties" : { "noteIndex" : 1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(27)</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4F81BD" w:themeColor="accent1"/>
          <w:sz w:val="22"/>
          <w:szCs w:val="22"/>
          <w:shd w:val="clear" w:color="auto" w:fill="FFFFFF"/>
        </w:rPr>
        <w:t xml:space="preserve">, </w:t>
      </w:r>
      <w:r w:rsidRPr="00F71665">
        <w:rPr>
          <w:rFonts w:ascii="Arial" w:hAnsi="Arial" w:cs="Arial"/>
          <w:color w:val="000000" w:themeColor="text1"/>
          <w:sz w:val="22"/>
          <w:szCs w:val="22"/>
          <w:shd w:val="clear" w:color="auto" w:fill="FFFFFF"/>
        </w:rPr>
        <w:t xml:space="preserve">artmış suça karışma riski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"DOI" : "10.1016/j.psychres.2007.11.003", "ISBN" : "0165-1781", "ISSN" : "01651781", "PMID" : "18707766", "abstract" : "This study investigates the relationship between childhood attention deficit hyperactivity disorder (ADHD) and later criminality. White boys (n = 207, ages 6-12) with ADHD, free of conduct disorder, were assessed at ages 18 and 25 by clinicians who were blind to childhood status. A non-ADHD group served as comparisons. Lifetime arrest records were obtained when subjects were 38\u00a0years old for subjects who resided in New York State throughout the follow-up interval (93 probands, 93 comparisons). Significantly more ADHD probands than comparisons had been arrested (47% vs. 24%), convicted (42% vs. 14%), and incarcerated (15% vs. 1%). Rates of felonies and aggressive offenses also were significantly higher among probands. Importantly, the development of an antisocial or substance use disorder in adolescence completely explained the increased risk for subsequent criminality. Results suggest that even in the absence of comorbid conduct disorder in childhood, ADHD increases the risk for developing antisocial and substance use disorders in adolescence, which, in turn, increases the risk for criminal behavior in adolescence and adulthood. \u00a9 2007 Elsevier Ireland Ltd. All rights reserved.", "author" : [ { "dropping-particle" : "", "family" : "Mannuzza", "given" : "Salvatore", "non-dropping-particle" : "", "parse-names" : false, "suffix" : "" }, { "dropping-particle" : "", "family" : "Klein", "given" : "Rachel G.", "non-dropping-particle" : "", "parse-names" : false, "suffix" : "" }, { "dropping-particle" : "", "family" : "Moulton", "given" : "John L.", "non-dropping-particle" : "", "parse-names" : false, "suffix" : "" } ], "container-title" : "Psychiatry Research", "id" : "ITEM-1", "issue" : "3", "issued" : { "date-parts" : [ [ "2008" ] ] }, "page" : "237-246", "title" : "Lifetime criminality among boys with attention deficit hyperactivity disorder: A prospective follow-up study into adulthood using official arrest records", "type" : "article-journal", "volume" : "160" }, "uris" : [ "http://www.mendeley.com/documents/?uuid=d861d5e8-f552-49f9-8e20-65b76cd2563f" ] } ], "mendeley" : { "formattedCitation" : "(28)", "plainTextFormattedCitation" : "(28)", "previouslyFormattedCitation" : "(28)" }, "properties" : { "noteIndex" : 1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(28)</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sz w:val="22"/>
          <w:szCs w:val="22"/>
          <w:shd w:val="clear" w:color="auto" w:fill="FFFFFF"/>
        </w:rPr>
        <w:t>,</w:t>
      </w:r>
      <w:r w:rsidRPr="00F71665">
        <w:rPr>
          <w:rFonts w:ascii="Arial" w:hAnsi="Arial" w:cs="Arial"/>
          <w:color w:val="4F81BD" w:themeColor="accent1"/>
          <w:sz w:val="22"/>
          <w:szCs w:val="22"/>
          <w:shd w:val="clear" w:color="auto" w:fill="FFFFFF"/>
        </w:rPr>
        <w:t xml:space="preserve"> </w:t>
      </w:r>
      <w:r w:rsidRPr="00F71665">
        <w:rPr>
          <w:rFonts w:ascii="Arial" w:hAnsi="Arial" w:cs="Arial"/>
          <w:color w:val="000000" w:themeColor="text1"/>
          <w:sz w:val="22"/>
          <w:szCs w:val="22"/>
          <w:shd w:val="clear" w:color="auto" w:fill="FFFFFF"/>
        </w:rPr>
        <w:t xml:space="preserve">madde kötüye kullanımı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"author" : [ { "dropping-particle" : "", "family" : "Molina", "given" : "B S", "non-dropping-particle" : "", "parse-names" : false, "suffix" : "" }, { "dropping-particle" : "", "family" : "Pelham  W.E.", "given" : "Jr.", "non-dropping-particle" : "", "parse-names" : false, "suffix" : "" } ], "container-title" : "Journal of Abnormal Psychology", "id" : "ITEM-1", "issue" : "3", "issued" : { "date-parts" : [ [ "2003" ] ] }, "page" : "497-507", "title" : "Childhood predictors of adolescent substance use in a longitudinal study of children with ADHD", "type" : "article-journal", "volume" : "112" }, "uris" : [ "http://www.mendeley.com/documents/?uuid=b7cf263d-f2f0-483b-a9a8-40219669d685" ] } ], "mendeley" : { "formattedCitation" : "(29)", "plainTextFormattedCitation" : "(29)", "previouslyFormattedCitation" : "(29)" }, "properties" : { "noteIndex" : 1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(29)</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4F81BD" w:themeColor="accent1"/>
          <w:sz w:val="22"/>
          <w:szCs w:val="22"/>
          <w:shd w:val="clear" w:color="auto" w:fill="FFFFFF"/>
        </w:rPr>
        <w:t xml:space="preserve"> </w:t>
      </w:r>
      <w:r w:rsidRPr="00F71665">
        <w:rPr>
          <w:rFonts w:ascii="Arial" w:hAnsi="Arial" w:cs="Arial"/>
          <w:color w:val="000000" w:themeColor="text1"/>
          <w:sz w:val="22"/>
          <w:szCs w:val="22"/>
          <w:shd w:val="clear" w:color="auto" w:fill="FFFFFF"/>
        </w:rPr>
        <w:t xml:space="preserve">kişilerarası ilişki problemleri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"DOI" : "10.1177/108705479600100104", "ISBN" : "0886260507", "ISSN" : "1087-0547", "abstract" : "The present study compared a group of 25 young adults with ADHD to 23 young adults drawn from the community equated for age (Mean = 25 yrs.) and educational level (Mean 13 yrs.) using a structured psychiatric interview (non-blinded), self-report ratings of psychological distress, and psychological tests of inattention, impulsive responding, working memory, verbal fluency, sense of time, and creativity. Most measures of prior educational and occupational adjustment did not differentiate the young adults with ADHD from the control group. However, those with ADHD reported having experienced more symptoms of both ADHD and opposition al defiant disorder on their jobs as well as in college than control subjects. ADHD adults also were found to have had shorter durations of employment in their full-time jobs than adults in the control group. The young adults with ADHD rated themselves as having greater psychological distress and maladjustment on all scales of the SCL-90-R and reported committing more antisocial acts, particularly involving thefts and disorderly conduct, than the control group. As a result they had been arrested more often than young adults in the control group. The groups did not differ, however, in other types of criminal activity nor in the types and frequency of legal and illegal substances they used. On psychological testing, the ADHD group had significantly poorer response inhibition and sustained attention on a continuous performance test. They were also poorer on tasks of verbal and nonverbal working memory. No significant group differences were found, however, in accuracy of time estimations or productions, verbal fluency, or creativity. It appears that the psychiatric and psychological difficulties found in young adults with ADHD are qualitatively similar to those seen in children with the disorder.", "author" : [ { "dropping-particle" : "", "family" : "Barkley", "given" : "R.A.", "non-dropping-particle" : "", "parse-names" : false, "suffix" : "" }, { "dropping-particle" : "", "family" : "Murphy", "given" : "K.", "non-dropping-particle" : "", "parse-names" : false, "suffix" : "" }, { "dropping-particle" : "", "family" : "Kwasnik", "given" : "D.", "non-dropping-particle" : "", "parse-names" : false, "suffix" : "" } ], "container-title" : "Journal of Attention Disorders", "id" : "ITEM-1", "issue" : "1", "issued" : { "date-parts" : [ [ "1996" ] ] }, "page" : "41-54", "title" : "Psychological adjustment and adaptive impairments in young adults with ADHD", "type" : "article-journal", "volume" : "1" }, "uris" : [ "http://www.mendeley.com/documents/?uuid=869d4381-4307-4496-87fa-bb96f15572e4" ] } ], "mendeley" : { "formattedCitation" : "(30)", "plainTextFormattedCitation" : "(30)", "previouslyFormattedCitation" : "(30)" }, "properties" : { "noteIndex" : 1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(30)</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000000" w:themeColor="text1"/>
          <w:sz w:val="22"/>
          <w:szCs w:val="22"/>
          <w:shd w:val="clear" w:color="auto" w:fill="FFFFFF"/>
        </w:rPr>
        <w:t xml:space="preserve"> ve psikiyatrik komorbiditeler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"author" : [ { "dropping-particle" : "", "family" : "Biederman J, Monuteaux MC, Mick E, Spencer T, Wilens TE", "given" : "Silva JM", "non-dropping-particle" : "", "parse-names" : false, "suffix" : "" } ], "container-title" : "Psychol Med", "id" : "ITEM-1", "issued" : { "date-parts" : [ [ "2006" ] ] }, "title" : "Young adult outcome of attention-deficit hyperactivity disorder: a controlled 10-year follow-up study", "type" : "article-journal", "volume" : "36" }, "uris" : [ "http://www.mendeley.com/documents/?uuid=0374574d-05bc-4f5b-ad67-89a74aab3307" ] } ], "mendeley" : { "formattedCitation" : "(31)", "plainTextFormattedCitation" : "(31)", "previouslyFormattedCitation" : "(31)" }, "properties" : { "noteIndex" : 1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(31)</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000000" w:themeColor="text1"/>
          <w:sz w:val="22"/>
          <w:szCs w:val="22"/>
          <w:shd w:val="clear" w:color="auto" w:fill="FFFFFF"/>
        </w:rPr>
        <w:t xml:space="preserve">gibi </w:t>
      </w:r>
      <w:r w:rsidRPr="00F71665">
        <w:rPr>
          <w:rFonts w:ascii="Arial" w:hAnsi="Arial" w:cs="Arial"/>
          <w:color w:val="000000" w:themeColor="text1"/>
          <w:sz w:val="22"/>
          <w:szCs w:val="22"/>
        </w:rPr>
        <w:t>geniş kapsamlı olumsuz sonuçlarının yanında, t</w:t>
      </w:r>
      <w:r w:rsidRPr="00F71665">
        <w:rPr>
          <w:rFonts w:ascii="Arial" w:hAnsi="Arial" w:cs="Arial"/>
          <w:sz w:val="22"/>
          <w:szCs w:val="22"/>
        </w:rPr>
        <w:t xml:space="preserve">oplum için </w:t>
      </w:r>
      <w:r w:rsidRPr="00F71665">
        <w:rPr>
          <w:rFonts w:ascii="Arial" w:hAnsi="Arial" w:cs="Arial"/>
          <w:color w:val="000000" w:themeColor="text1"/>
          <w:sz w:val="22"/>
          <w:szCs w:val="22"/>
        </w:rPr>
        <w:t xml:space="preserve">finansal yük olması </w:t>
      </w:r>
      <w:r w:rsidR="00BC3BBB" w:rsidRPr="00F71665">
        <w:rPr>
          <w:rFonts w:ascii="Arial" w:hAnsi="Arial" w:cs="Arial"/>
          <w:color w:val="000000" w:themeColor="text1"/>
          <w:sz w:val="22"/>
          <w:szCs w:val="22"/>
        </w:rPr>
        <w:fldChar w:fldCharType="begin" w:fldLock="1"/>
      </w:r>
      <w:r w:rsidRPr="00F71665">
        <w:rPr>
          <w:rFonts w:ascii="Arial" w:hAnsi="Arial" w:cs="Arial"/>
          <w:color w:val="000000" w:themeColor="text1"/>
          <w:sz w:val="22"/>
          <w:szCs w:val="22"/>
        </w:rPr>
        <w:instrText>ADDIN CSL_CITATION { "citationItems" : [ { "id" : "ITEM-1", "itemData" : { "ISBN" : "0890-8567", "abstract" : "Attention-deficit/hyperactivity disorder (ADHD) is a commonly diagnosed behavioral disorder of childhood that represents a costly major public health problem. Despite progress, ADHD and its treatment have remained controversial, especially the use of psychostimulants for both short- and long-term treatment. Although an independent diagnostic test for ADHD does not exist, there is evidence supporting the validity of the disorder. Studies (primarily short-term, approximately 3 months), including randomized clinical trials, have established the efficacy of stimulants and psychosocial treatments for alleviating the symptoms of ADHD and associated aggressiveness and have indicated that stimulants are more effective than psychosocial therapies in treating these symptoms. Because of the lack of consistent improvement beyond the core symptoms and the paucity of long-term studies (beyond 14 months), there is a need for longer-term studies with drugs and behavioral modalities and their combination. Although trials are under way, conclusive recommendations concerning treatment for the long term cannot be made at present. There are wide variations in the use of psychostimulants across communities and physicians, suggesting no consensus regarding which ADHD patients should be treated with psychostimulants, and thus the need for improved assessment, treatment, and follow-up. Furthermore, the lack of insurance coverage, preventing the appropriate diagnosis and treatment of ADHD, and the lack of integration with educational services are substantial barriers and represent considerable long-term costs for society. Finally, after years of clinical research and experience with ADHD, knowledge about the cause or causes of ADHD remain largely speculative. Consequently, there are no documented strategies for the prevention of ADHD", "author" : [ { "dropping-particle" : "", "family" : "Ferguson", "given" : "J H", "non-dropping-particle" : "", "parse-names" : false, "suffix" : "" } ], "container-title" : "Journal of the American Academy of Child and Adolescent Psychiatry", "id" : "ITEM-1", "issue" : "2", "issued" : { "date-parts" : [ [ "2000" ] ] }, "page" : "182-193", "title" : "National institutes of health consensus development conference statement: Diagnosis and treatment of attention-deficit/hyperactivity disorder (ADHD)", "type" : "article-journal", "volume" : "39" }, "uris" : [ "http://www.mendeley.com/documents/?uuid=139a04d9-5ccc-4117-9daa-c414d70936ff" ] } ], "mendeley" : { "formattedCitation" : "(32)", "plainTextFormattedCitation" : "(32)", "previouslyFormattedCitation" : "(32)" }, "properties" : { "noteIndex" : 1 }, "schema" : "https://github.com/citation-style-language/schema/raw/master/csl-citation.json" }</w:instrText>
      </w:r>
      <w:r w:rsidR="00BC3BBB" w:rsidRPr="00F71665">
        <w:rPr>
          <w:rFonts w:ascii="Arial" w:hAnsi="Arial" w:cs="Arial"/>
          <w:color w:val="000000" w:themeColor="text1"/>
          <w:sz w:val="22"/>
          <w:szCs w:val="22"/>
        </w:rPr>
        <w:fldChar w:fldCharType="separate"/>
      </w:r>
      <w:r w:rsidRPr="00F71665">
        <w:rPr>
          <w:rFonts w:ascii="Arial" w:hAnsi="Arial" w:cs="Arial"/>
          <w:noProof/>
          <w:color w:val="000000" w:themeColor="text1"/>
          <w:sz w:val="22"/>
          <w:szCs w:val="22"/>
        </w:rPr>
        <w:t>(32)</w:t>
      </w:r>
      <w:r w:rsidR="00BC3BBB" w:rsidRPr="00F71665">
        <w:rPr>
          <w:rFonts w:ascii="Arial" w:hAnsi="Arial" w:cs="Arial"/>
          <w:color w:val="000000" w:themeColor="text1"/>
          <w:sz w:val="22"/>
          <w:szCs w:val="22"/>
        </w:rPr>
        <w:fldChar w:fldCharType="end"/>
      </w:r>
      <w:r w:rsidRPr="00F71665">
        <w:rPr>
          <w:rFonts w:ascii="Arial" w:hAnsi="Arial" w:cs="Arial"/>
          <w:color w:val="4F81BD" w:themeColor="accent1"/>
          <w:sz w:val="22"/>
          <w:szCs w:val="22"/>
        </w:rPr>
        <w:t xml:space="preserve">) </w:t>
      </w:r>
      <w:r w:rsidRPr="00F71665">
        <w:rPr>
          <w:rFonts w:ascii="Arial" w:hAnsi="Arial" w:cs="Arial"/>
          <w:color w:val="000000" w:themeColor="text1"/>
          <w:sz w:val="22"/>
          <w:szCs w:val="22"/>
        </w:rPr>
        <w:t xml:space="preserve">nedeniyle DEHB önemli bir halk sağlığı sorunu olarak gündeme gelmektedir </w:t>
      </w:r>
      <w:r w:rsidR="00BC3BBB" w:rsidRPr="00F71665">
        <w:rPr>
          <w:rFonts w:ascii="Arial" w:hAnsi="Arial" w:cs="Arial"/>
          <w:color w:val="000000" w:themeColor="text1"/>
          <w:sz w:val="22"/>
          <w:szCs w:val="22"/>
        </w:rPr>
        <w:fldChar w:fldCharType="begin" w:fldLock="1"/>
      </w:r>
      <w:r w:rsidRPr="00F71665">
        <w:rPr>
          <w:rFonts w:ascii="Arial" w:hAnsi="Arial" w:cs="Arial"/>
          <w:color w:val="000000" w:themeColor="text1"/>
          <w:sz w:val="22"/>
          <w:szCs w:val="22"/>
        </w:rPr>
        <w:instrText>ADDIN CSL_CITATION { "citationItems" : [ { "id" : "ITEM-1", "itemData" : { "author" : [ { "dropping-particle" : "", "family" : "Lesesne", "given" : "C", "non-dropping-particle" : "", "parse-names" : false, "suffix" : "" }, { "dropping-particle" : "", "family" : "Abramowitz", "given" : "A", "non-dropping-particle" : "", "parse-names" : false, "suffix" : "" }, { "dropping-particle" : "", "family" : "Perou", "given" : "R", "non-dropping-particle" : "", "parse-names" : false, "suffix" : "" }, { "dropping-particle" : "", "family" : "Brann", "given" : "E", "non-dropping-particle" : "", "parse-names" : false, "suffix" : "" } ], "id" : "ITEM-1", "issued" : { "date-parts" : [ [ "2000" ] ] }, "title" : "Attention deficit/hyperactivity disorder: A public health research agenda", "type" : "article-journal" }, "uris" : [ "http://www.mendeley.com/documents/?uuid=0aae86bf-00e3-4b38-a6ed-78e80b478e6a" ] } ], "mendeley" : { "formattedCitation" : "(33)", "plainTextFormattedCitation" : "(33)", "previouslyFormattedCitation" : "(33)" }, "properties" : { "noteIndex" : 1 }, "schema" : "https://github.com/citation-style-language/schema/raw/master/csl-citation.json" }</w:instrText>
      </w:r>
      <w:r w:rsidR="00BC3BBB" w:rsidRPr="00F71665">
        <w:rPr>
          <w:rFonts w:ascii="Arial" w:hAnsi="Arial" w:cs="Arial"/>
          <w:color w:val="000000" w:themeColor="text1"/>
          <w:sz w:val="22"/>
          <w:szCs w:val="22"/>
        </w:rPr>
        <w:fldChar w:fldCharType="separate"/>
      </w:r>
      <w:r w:rsidRPr="00F71665">
        <w:rPr>
          <w:rFonts w:ascii="Arial" w:hAnsi="Arial" w:cs="Arial"/>
          <w:noProof/>
          <w:color w:val="000000" w:themeColor="text1"/>
          <w:sz w:val="22"/>
          <w:szCs w:val="22"/>
        </w:rPr>
        <w:t>(33)</w:t>
      </w:r>
      <w:r w:rsidR="00BC3BBB" w:rsidRPr="00F71665">
        <w:rPr>
          <w:rFonts w:ascii="Arial" w:hAnsi="Arial" w:cs="Arial"/>
          <w:color w:val="000000" w:themeColor="text1"/>
          <w:sz w:val="22"/>
          <w:szCs w:val="22"/>
        </w:rPr>
        <w:fldChar w:fldCharType="end"/>
      </w:r>
      <w:r w:rsidRPr="00F71665">
        <w:rPr>
          <w:rFonts w:ascii="Arial" w:hAnsi="Arial" w:cs="Arial"/>
          <w:color w:val="000000" w:themeColor="text1"/>
          <w:sz w:val="22"/>
          <w:szCs w:val="22"/>
        </w:rPr>
        <w:t>.</w:t>
      </w:r>
    </w:p>
    <w:p w:rsidR="00F71665" w:rsidRPr="00456824" w:rsidRDefault="00C60153" w:rsidP="00F71665">
      <w:pPr>
        <w:pStyle w:val="HTMLncedenBiimlendirilmi"/>
        <w:shd w:val="clear" w:color="auto" w:fill="FFFFFF"/>
        <w:spacing w:line="360" w:lineRule="auto"/>
        <w:jc w:val="both"/>
        <w:rPr>
          <w:rFonts w:ascii="Arial" w:hAnsi="Arial" w:cs="Arial"/>
          <w:sz w:val="22"/>
          <w:szCs w:val="22"/>
          <w:shd w:val="clear" w:color="auto" w:fill="FFFFFF"/>
        </w:rPr>
      </w:pPr>
      <w:r>
        <w:rPr>
          <w:rFonts w:ascii="Arial" w:hAnsi="Arial" w:cs="Arial"/>
          <w:b/>
          <w:color w:val="000000" w:themeColor="text1"/>
          <w:sz w:val="22"/>
          <w:szCs w:val="22"/>
        </w:rPr>
        <w:tab/>
      </w:r>
      <w:r w:rsidRPr="00453BDF">
        <w:rPr>
          <w:rFonts w:ascii="Arial" w:hAnsi="Arial" w:cs="Arial"/>
          <w:b/>
          <w:color w:val="000000" w:themeColor="text1"/>
          <w:sz w:val="22"/>
          <w:szCs w:val="22"/>
        </w:rPr>
        <w:t>TARİHÇE</w:t>
      </w:r>
      <w:r w:rsidRPr="00453BDF">
        <w:rPr>
          <w:rFonts w:ascii="Arial" w:hAnsi="Arial" w:cs="Arial"/>
          <w:sz w:val="22"/>
          <w:szCs w:val="22"/>
        </w:rPr>
        <w:br/>
      </w:r>
      <w:r w:rsidRPr="00453BDF">
        <w:rPr>
          <w:rFonts w:ascii="Arial" w:hAnsi="Arial" w:cs="Arial"/>
          <w:color w:val="212121"/>
          <w:sz w:val="22"/>
          <w:szCs w:val="22"/>
          <w:shd w:val="clear" w:color="auto" w:fill="FFFFFF"/>
        </w:rPr>
        <w:tab/>
      </w:r>
      <w:r w:rsidRPr="00453BDF">
        <w:rPr>
          <w:rFonts w:ascii="Arial" w:hAnsi="Arial" w:cs="Arial"/>
          <w:sz w:val="22"/>
          <w:szCs w:val="22"/>
          <w:shd w:val="clear" w:color="auto" w:fill="FFFFFF"/>
        </w:rPr>
        <w:t>DEHB’ye benzer bir bozukluğun ilk örneği, Sir Alexander Crichton tarafından 1798'de tanımlandı.</w:t>
      </w:r>
      <w:r>
        <w:rPr>
          <w:rFonts w:ascii="Arial" w:hAnsi="Arial" w:cs="Arial"/>
          <w:sz w:val="22"/>
          <w:szCs w:val="22"/>
          <w:shd w:val="clear" w:color="auto" w:fill="FFFFFF"/>
        </w:rPr>
        <w:t xml:space="preserve"> </w:t>
      </w:r>
      <w:r w:rsidRPr="00F8112C">
        <w:rPr>
          <w:rFonts w:ascii="Arial" w:hAnsi="Arial" w:cs="Arial"/>
          <w:sz w:val="22"/>
          <w:szCs w:val="22"/>
          <w:shd w:val="clear" w:color="auto" w:fill="FFFFFF"/>
        </w:rPr>
        <w:t>Ancak Crichton</w:t>
      </w:r>
      <w:r>
        <w:rPr>
          <w:rFonts w:ascii="Arial" w:hAnsi="Arial" w:cs="Arial"/>
          <w:sz w:val="22"/>
          <w:szCs w:val="22"/>
          <w:shd w:val="clear" w:color="auto" w:fill="FFFFFF"/>
        </w:rPr>
        <w:t>,</w:t>
      </w:r>
      <w:r w:rsidRPr="00453BDF">
        <w:rPr>
          <w:rFonts w:ascii="Arial" w:hAnsi="Arial" w:cs="Arial"/>
          <w:sz w:val="22"/>
          <w:szCs w:val="22"/>
        </w:rPr>
        <w:t xml:space="preserve"> açıklamalarında herhangi bir hiperaktivite belirtisinden bahsetmemiş ve DEHB'nin mevcut </w:t>
      </w:r>
      <w:r w:rsidRPr="00F8112C">
        <w:rPr>
          <w:rFonts w:ascii="Arial" w:hAnsi="Arial" w:cs="Arial"/>
          <w:sz w:val="22"/>
          <w:szCs w:val="22"/>
        </w:rPr>
        <w:t>klinik görünümünü</w:t>
      </w:r>
      <w:r w:rsidRPr="00453BDF">
        <w:rPr>
          <w:rFonts w:ascii="Arial" w:hAnsi="Arial" w:cs="Arial"/>
        </w:rPr>
        <w:t xml:space="preserve"> </w:t>
      </w:r>
      <w:r>
        <w:rPr>
          <w:rFonts w:ascii="Arial" w:hAnsi="Arial" w:cs="Arial"/>
          <w:sz w:val="22"/>
          <w:szCs w:val="22"/>
        </w:rPr>
        <w:t>tamamen yansıtma</w:t>
      </w:r>
      <w:r w:rsidRPr="00453BDF">
        <w:rPr>
          <w:rFonts w:ascii="Arial" w:hAnsi="Arial" w:cs="Arial"/>
          <w:sz w:val="22"/>
          <w:szCs w:val="22"/>
        </w:rPr>
        <w:t>mıştır</w:t>
      </w:r>
      <w:r>
        <w:rPr>
          <w:rFonts w:ascii="Arial" w:hAnsi="Arial" w:cs="Arial"/>
          <w:sz w:val="22"/>
          <w:szCs w:val="22"/>
        </w:rPr>
        <w:t xml:space="preserve"> </w:t>
      </w:r>
      <w:r w:rsidR="00BC3BBB">
        <w:rPr>
          <w:rFonts w:ascii="Arial" w:hAnsi="Arial" w:cs="Arial"/>
          <w:sz w:val="22"/>
          <w:szCs w:val="22"/>
        </w:rPr>
        <w:fldChar w:fldCharType="begin" w:fldLock="1"/>
      </w:r>
      <w:r>
        <w:rPr>
          <w:rFonts w:ascii="Arial" w:hAnsi="Arial" w:cs="Arial"/>
          <w:sz w:val="22"/>
          <w:szCs w:val="22"/>
        </w:rPr>
        <w:instrText>ADDIN CSL_CITATION { "citationItems" : [ { "id" : "ITEM-1", "itemData" : { "DOI" : "10.1017/S1360641701002507", "ISSN" : "1360-6417", "abstract" : "Reviews of the literature on attention-deficit/hyperactivity disorder (ADHD) typically begin early in the twentieth century with the descriptions provided by paediatrician George Still. Physician Alexander Crichton, however, described all of the essential features of the Inattentive subtype of ADHD more than a century earlier than Still. This article presents a short biography of Crichton, looks at his 1798 publication describing attentional disorders in otherwise healthy individuals, contrasts his medical writing with the moralism of Still, and shows how his thoughts and observations are very much in accord with DSM-IV criteria for the Inattentive subtype of ADHD. [ABSTRACT FROM AUTHOR]", "author" : [ { "dropping-particle" : "", "family" : "Palmer", "given" : "Erica D", "non-dropping-particle" : "", "parse-names" : false, "suffix" : "" }, { "dropping-particle" : "", "family" : "Finger", "given" : "Stanley", "non-dropping-particle" : "", "parse-names" : false, "suffix" : "" } ], "container-title" : "Child Psychology and Psychiatry Review", "id" : "ITEM-1", "issue" : "02", "issued" : { "date-parts" : [ [ "2001" ] ] }, "page" : "66-73", "title" : "An Early Description of ADHD (Inattentive Subtype): Dr Alexander Crichton and \u2018Mental Restlessness\u2019 (1798)", "type" : "article-journal", "volume" : "6" }, "uris" : [ "http://www.mendeley.com/documents/?uuid=d3079ddd-ced1-40c8-ae33-911cb682ce9c" ] } ], "mendeley" : { "formattedCitation" : "(34)", "plainTextFormattedCitation" : "(34)", "previouslyFormattedCitation" : "(34)" }, "properties" : { "noteIndex" : 1 }, "schema" : "https://github.com/citation-style-language/schema/raw/master/csl-citation.json" }</w:instrText>
      </w:r>
      <w:r w:rsidR="00BC3BBB">
        <w:rPr>
          <w:rFonts w:ascii="Arial" w:hAnsi="Arial" w:cs="Arial"/>
          <w:sz w:val="22"/>
          <w:szCs w:val="22"/>
        </w:rPr>
        <w:fldChar w:fldCharType="separate"/>
      </w:r>
      <w:r w:rsidRPr="00F74A96">
        <w:rPr>
          <w:rFonts w:ascii="Arial" w:hAnsi="Arial" w:cs="Arial"/>
          <w:noProof/>
          <w:sz w:val="22"/>
          <w:szCs w:val="22"/>
        </w:rPr>
        <w:t>(34)</w:t>
      </w:r>
      <w:r w:rsidR="00BC3BBB">
        <w:rPr>
          <w:rFonts w:ascii="Arial" w:hAnsi="Arial" w:cs="Arial"/>
          <w:sz w:val="22"/>
          <w:szCs w:val="22"/>
        </w:rPr>
        <w:fldChar w:fldCharType="end"/>
      </w:r>
      <w:r>
        <w:rPr>
          <w:rFonts w:ascii="Arial" w:hAnsi="Arial" w:cs="Arial"/>
          <w:sz w:val="22"/>
          <w:szCs w:val="22"/>
        </w:rPr>
        <w:t xml:space="preserve">. </w:t>
      </w:r>
      <w:r>
        <w:rPr>
          <w:rFonts w:ascii="Arial" w:hAnsi="Arial" w:cs="Arial"/>
          <w:color w:val="000000" w:themeColor="text1"/>
          <w:sz w:val="22"/>
          <w:szCs w:val="22"/>
          <w:shd w:val="clear" w:color="auto" w:fill="FFFFFF"/>
        </w:rPr>
        <w:t>Fakat</w:t>
      </w:r>
      <w:r w:rsidRPr="00453BDF">
        <w:rPr>
          <w:rFonts w:ascii="Arial" w:hAnsi="Arial" w:cs="Arial"/>
          <w:color w:val="000000" w:themeColor="text1"/>
          <w:sz w:val="22"/>
          <w:szCs w:val="22"/>
          <w:shd w:val="clear" w:color="auto" w:fill="FFFFFF"/>
        </w:rPr>
        <w:t xml:space="preserve"> Crichton'un açıklamaları on sekizinci yüzyılın sonunda DEHB varlığı için bazı kanıtlar sağlamıştır</w:t>
      </w:r>
      <w:r>
        <w:rPr>
          <w:rFonts w:ascii="Arial" w:hAnsi="Arial" w:cs="Arial"/>
          <w:color w:val="000000" w:themeColor="text1"/>
          <w:sz w:val="22"/>
          <w:szCs w:val="22"/>
          <w:shd w:val="clear" w:color="auto" w:fill="FFFFFF"/>
        </w:rPr>
        <w:t xml:space="preserve"> </w:t>
      </w:r>
      <w:r w:rsidR="00BC3BBB">
        <w:rPr>
          <w:rFonts w:ascii="Arial" w:hAnsi="Arial" w:cs="Arial"/>
          <w:color w:val="000000" w:themeColor="text1"/>
          <w:sz w:val="22"/>
          <w:szCs w:val="22"/>
          <w:shd w:val="clear" w:color="auto" w:fill="FFFFFF"/>
        </w:rPr>
        <w:fldChar w:fldCharType="begin" w:fldLock="1"/>
      </w:r>
      <w:r>
        <w:rPr>
          <w:rFonts w:ascii="Arial" w:hAnsi="Arial" w:cs="Arial"/>
          <w:color w:val="000000" w:themeColor="text1"/>
          <w:sz w:val="22"/>
          <w:szCs w:val="22"/>
          <w:shd w:val="clear" w:color="auto" w:fill="FFFFFF"/>
        </w:rPr>
        <w:instrText>ADDIN CSL_CITATION { "citationItems" : [ { "id" : "ITEM-1", "itemData" : { "DOI" : "10.1007/s12402-010-0045-8", "ISBN" : "1866-6116", "ISSN" : "1866-6116", "abstract" : "The contemporary concept of attention deficit hyperactivity disorder (ADHD) as defined in the DSM-IV-TR (American Psychiatric Association 2000) is relatively new. Excessive hyperactive, inattentive, and impulsive children have been described in the literature since the nineteenth century. Some of the early depictions and etiological theories of hyperactivity were similar to current descriptions of ADHD. Detailed studies of the behavior of hyperactive children and increasing knowledge of brain function have changed the concepts of the fundamental behavioral and neuropathological deficits underlying the disorder. This article presents an overview of the conceptual history of modern-day ADHD.", "author" : [ { "dropping-particle" : "", "family" : "Lange", "given" : "Klaus", "non-dropping-particle" : "", "parse-names" : false, "suffix" : "" }, { "dropping-particle" : "", "family" : "Reichl", "given" : "Susanne", "non-dropping-particle" : "", "parse-names" : false, "suffix" : "" }, { "dropping-particle" : "", "family" : "Lange", "given" : "Katharina", "non-dropping-particle" : "", "parse-names" : false, "suffix" : "" }, { "dropping-particle" : "", "family" : "Tucha", "given" : "Lara", "non-dropping-particle" : "", "parse-names" : false, "suffix" : "" }, { "dropping-particle" : "", "family" : "Tucha", "given" : "Oliver", "non-dropping-particle" : "", "parse-names" : false, "suffix" : "" } ], "container-title" : "ADHD Attention Deficit and Hyperactivity Disorders", "id" : "ITEM-1", "issue" : "4", "issued" : { "date-parts" : [ [ "2010" ] ] }, "page" : "241-255", "title" : "The history of attention deficit hyperactivity disorder", "type" : "article-journal", "volume" : "2" }, "uris" : [ "http://www.mendeley.com/documents/?uuid=9651aeca-9690-4f3d-928d-8bc83211dbf3" ] } ], "mendeley" : { "formattedCitation" : "(35)", "plainTextFormattedCitation" : "(35)", "previouslyFormattedCitation" : "(35)" }, "properties" : { "noteIndex" : 1 }, "schema" : "https://github.com/citation-style-language/schema/raw/master/csl-citation.json" }</w:instrText>
      </w:r>
      <w:r w:rsidR="00BC3BBB">
        <w:rPr>
          <w:rFonts w:ascii="Arial" w:hAnsi="Arial" w:cs="Arial"/>
          <w:color w:val="000000" w:themeColor="text1"/>
          <w:sz w:val="22"/>
          <w:szCs w:val="22"/>
          <w:shd w:val="clear" w:color="auto" w:fill="FFFFFF"/>
        </w:rPr>
        <w:fldChar w:fldCharType="separate"/>
      </w:r>
      <w:r w:rsidRPr="00F74A96">
        <w:rPr>
          <w:rFonts w:ascii="Arial" w:hAnsi="Arial" w:cs="Arial"/>
          <w:noProof/>
          <w:color w:val="000000" w:themeColor="text1"/>
          <w:sz w:val="22"/>
          <w:szCs w:val="22"/>
          <w:shd w:val="clear" w:color="auto" w:fill="FFFFFF"/>
        </w:rPr>
        <w:t>(35)</w:t>
      </w:r>
      <w:r w:rsidR="00BC3BBB">
        <w:rPr>
          <w:rFonts w:ascii="Arial" w:hAnsi="Arial" w:cs="Arial"/>
          <w:color w:val="000000" w:themeColor="text1"/>
          <w:sz w:val="22"/>
          <w:szCs w:val="22"/>
          <w:shd w:val="clear" w:color="auto" w:fill="FFFFFF"/>
        </w:rPr>
        <w:fldChar w:fldCharType="end"/>
      </w:r>
      <w:r w:rsidRPr="00453BDF">
        <w:rPr>
          <w:rFonts w:ascii="Arial" w:hAnsi="Arial" w:cs="Arial"/>
          <w:color w:val="000000" w:themeColor="text1"/>
          <w:sz w:val="22"/>
          <w:szCs w:val="22"/>
          <w:shd w:val="clear" w:color="auto" w:fill="FFFFFF"/>
        </w:rPr>
        <w:t xml:space="preserve">. </w:t>
      </w:r>
      <w:r w:rsidRPr="00453BDF">
        <w:rPr>
          <w:rFonts w:ascii="Arial" w:hAnsi="Arial" w:cs="Arial"/>
          <w:color w:val="000000" w:themeColor="text1"/>
          <w:sz w:val="22"/>
          <w:szCs w:val="22"/>
        </w:rPr>
        <w:t xml:space="preserve">1902 yılında Sir George Frederic Still </w:t>
      </w:r>
      <w:r w:rsidRPr="00453BDF">
        <w:rPr>
          <w:rFonts w:ascii="Arial" w:hAnsi="Arial" w:cs="Arial"/>
          <w:color w:val="000000" w:themeColor="text1"/>
          <w:sz w:val="22"/>
          <w:szCs w:val="22"/>
          <w:shd w:val="clear" w:color="auto" w:fill="FFFFFF"/>
        </w:rPr>
        <w:t xml:space="preserve">zeka veya beden hastalığı olmaksızın </w:t>
      </w:r>
      <w:r w:rsidRPr="00453BDF">
        <w:rPr>
          <w:rFonts w:ascii="Arial" w:hAnsi="Arial" w:cs="Arial"/>
          <w:i/>
          <w:color w:val="000000" w:themeColor="text1"/>
          <w:sz w:val="22"/>
          <w:szCs w:val="22"/>
        </w:rPr>
        <w:t>"A defect of moral control (Ahlaki kontrolde yetersizlik)"</w:t>
      </w:r>
      <w:r>
        <w:rPr>
          <w:rFonts w:ascii="Arial" w:hAnsi="Arial" w:cs="Arial"/>
          <w:i/>
          <w:color w:val="000000" w:themeColor="text1"/>
          <w:sz w:val="22"/>
          <w:szCs w:val="22"/>
        </w:rPr>
        <w:t xml:space="preserve"> </w:t>
      </w:r>
      <w:r w:rsidRPr="00453BDF">
        <w:rPr>
          <w:rFonts w:ascii="Arial" w:hAnsi="Arial" w:cs="Arial"/>
          <w:color w:val="000000" w:themeColor="text1"/>
          <w:sz w:val="22"/>
          <w:szCs w:val="22"/>
          <w:shd w:val="clear" w:color="auto" w:fill="FFFFFF"/>
        </w:rPr>
        <w:t>olarak tanımladığı durumu gösteren 20 çocuk vakayı tarif etmiştir</w:t>
      </w:r>
      <w:r>
        <w:rPr>
          <w:rFonts w:ascii="Arial" w:hAnsi="Arial" w:cs="Arial"/>
          <w:color w:val="000000" w:themeColor="text1"/>
          <w:sz w:val="22"/>
          <w:szCs w:val="22"/>
          <w:shd w:val="clear" w:color="auto" w:fill="FFFFFF"/>
        </w:rPr>
        <w:t xml:space="preserve"> </w:t>
      </w:r>
      <w:r w:rsidR="00BC3BBB">
        <w:rPr>
          <w:rFonts w:ascii="Arial" w:hAnsi="Arial" w:cs="Arial"/>
          <w:color w:val="000000" w:themeColor="text1"/>
          <w:sz w:val="22"/>
          <w:szCs w:val="22"/>
          <w:shd w:val="clear" w:color="auto" w:fill="FFFFFF"/>
        </w:rPr>
        <w:fldChar w:fldCharType="begin" w:fldLock="1"/>
      </w:r>
      <w:r>
        <w:rPr>
          <w:rFonts w:ascii="Arial" w:hAnsi="Arial" w:cs="Arial"/>
          <w:color w:val="000000" w:themeColor="text1"/>
          <w:sz w:val="22"/>
          <w:szCs w:val="22"/>
          <w:shd w:val="clear" w:color="auto" w:fill="FFFFFF"/>
        </w:rPr>
        <w:instrText>ADDIN CSL_CITATION { "citationItems" : [ { "id" : "ITEM-1", "itemData" : { "DOI" : "10.1017/CBO9781107415324.004", "ISBN" : "9788578110796", "ISSN" : "1098-6596", "PMID" : "25246403", "abstract" : "applicability for this approach.", "author" : [ { "dropping-particle" : "", "family" : "Still", "given" : "George F.", "non-dropping-particle" : "", "parse-names" : false, "suffix" : "" } ], "container-title" : "The Lancet", "id" : "ITEM-1", "issued" : { "date-parts" : [ [ "1902" ] ] }, "page" : "1008-1012, 1077-1082, 1163-1168.", "title" : "The goulstonian lectures on some abnormal psychical conditions in children", "type" : "article-journal", "volume" : "1" }, "uris" : [ "http://www.mendeley.com/documents/?uuid=86cb13b5-bebd-46b6-b8f8-6c9caf1dc093" ] } ], "mendeley" : { "formattedCitation" : "(36)", "plainTextFormattedCitation" : "(36)", "previouslyFormattedCitation" : "(36)" }, "properties" : { "noteIndex" : 1 }, "schema" : "https://github.com/citation-style-language/schema/raw/master/csl-citation.json" }</w:instrText>
      </w:r>
      <w:r w:rsidR="00BC3BBB">
        <w:rPr>
          <w:rFonts w:ascii="Arial" w:hAnsi="Arial" w:cs="Arial"/>
          <w:color w:val="000000" w:themeColor="text1"/>
          <w:sz w:val="22"/>
          <w:szCs w:val="22"/>
          <w:shd w:val="clear" w:color="auto" w:fill="FFFFFF"/>
        </w:rPr>
        <w:fldChar w:fldCharType="separate"/>
      </w:r>
      <w:r w:rsidRPr="00F74A96">
        <w:rPr>
          <w:rFonts w:ascii="Arial" w:hAnsi="Arial" w:cs="Arial"/>
          <w:noProof/>
          <w:color w:val="000000" w:themeColor="text1"/>
          <w:sz w:val="22"/>
          <w:szCs w:val="22"/>
          <w:shd w:val="clear" w:color="auto" w:fill="FFFFFF"/>
        </w:rPr>
        <w:t>(36)</w:t>
      </w:r>
      <w:r w:rsidR="00BC3BBB">
        <w:rPr>
          <w:rFonts w:ascii="Arial" w:hAnsi="Arial" w:cs="Arial"/>
          <w:color w:val="000000" w:themeColor="text1"/>
          <w:sz w:val="22"/>
          <w:szCs w:val="22"/>
          <w:shd w:val="clear" w:color="auto" w:fill="FFFFFF"/>
        </w:rPr>
        <w:fldChar w:fldCharType="end"/>
      </w:r>
      <w:r>
        <w:rPr>
          <w:rFonts w:ascii="Arial" w:hAnsi="Arial" w:cs="Arial"/>
          <w:color w:val="000000" w:themeColor="text1"/>
          <w:sz w:val="22"/>
          <w:szCs w:val="22"/>
          <w:shd w:val="clear" w:color="auto" w:fill="FFFFFF"/>
        </w:rPr>
        <w:t>.</w:t>
      </w:r>
      <w:r w:rsidRPr="00453BDF">
        <w:rPr>
          <w:rFonts w:ascii="Arial" w:hAnsi="Arial" w:cs="Arial"/>
          <w:color w:val="000000" w:themeColor="text1"/>
          <w:sz w:val="22"/>
          <w:szCs w:val="22"/>
          <w:shd w:val="clear" w:color="auto" w:fill="FFFFFF"/>
        </w:rPr>
        <w:t xml:space="preserve"> Bu</w:t>
      </w:r>
      <w:r>
        <w:rPr>
          <w:rFonts w:ascii="Arial" w:hAnsi="Arial" w:cs="Arial"/>
          <w:color w:val="000000" w:themeColor="text1"/>
          <w:sz w:val="22"/>
          <w:szCs w:val="22"/>
          <w:shd w:val="clear" w:color="auto" w:fill="FFFFFF"/>
        </w:rPr>
        <w:t>,</w:t>
      </w:r>
      <w:r w:rsidRPr="00453BDF">
        <w:rPr>
          <w:rFonts w:ascii="Arial" w:hAnsi="Arial" w:cs="Arial"/>
          <w:color w:val="000000" w:themeColor="text1"/>
          <w:sz w:val="22"/>
          <w:szCs w:val="22"/>
          <w:shd w:val="clear" w:color="auto" w:fill="FFFFFF"/>
        </w:rPr>
        <w:t xml:space="preserve"> birçok yazara göre, DEHB tarihinin bilimsel başlangıç ​​noktası olarak </w:t>
      </w:r>
      <w:r>
        <w:rPr>
          <w:rFonts w:ascii="Arial" w:hAnsi="Arial" w:cs="Arial"/>
          <w:color w:val="000000" w:themeColor="text1"/>
          <w:sz w:val="22"/>
          <w:szCs w:val="22"/>
          <w:shd w:val="clear" w:color="auto" w:fill="FFFFFF"/>
        </w:rPr>
        <w:t xml:space="preserve">kabul edilmektedir </w:t>
      </w:r>
      <w:r w:rsidR="00BC3BBB">
        <w:rPr>
          <w:rFonts w:ascii="Arial" w:hAnsi="Arial" w:cs="Arial"/>
          <w:color w:val="000000" w:themeColor="text1"/>
          <w:sz w:val="22"/>
          <w:szCs w:val="22"/>
          <w:shd w:val="clear" w:color="auto" w:fill="FFFFFF"/>
        </w:rPr>
        <w:fldChar w:fldCharType="begin" w:fldLock="1"/>
      </w:r>
      <w:r>
        <w:rPr>
          <w:rFonts w:ascii="Arial" w:hAnsi="Arial" w:cs="Arial"/>
          <w:color w:val="000000" w:themeColor="text1"/>
          <w:sz w:val="22"/>
          <w:szCs w:val="22"/>
          <w:shd w:val="clear" w:color="auto" w:fill="FFFFFF"/>
        </w:rPr>
        <w:instrText>ADDIN CSL_CITATION { "citationItems" : [ { "id" : "ITEM-1", "itemData" : { "ISBN" : "978-1462517725", "author" : [ { "dropping-particle" : "", "family" : "Barkley", "given" : "R A", "non-dropping-particle" : "", "parse-names" : false, "suffix" : "" } ], "id" : "ITEM-1", "issued" : { "date-parts" : [ [ "2006" ] ] }, "title" : "Attention-deficit/hyperactivity disorder: a handbook for diagnosic and treatment", "type" : "article-journal" }, "uris" : [ "http://www.mendeley.com/documents/?uuid=4593ff08-5ba1-48b1-ae4e-5f4ed3a5d094" ] } ], "mendeley" : { "formattedCitation" : "(37)", "plainTextFormattedCitation" : "(37)", "previouslyFormattedCitation" : "(37)" }, "properties" : { "noteIndex" : 1 }, "schema" : "https://github.com/citation-style-language/schema/raw/master/csl-citation.json" }</w:instrText>
      </w:r>
      <w:r w:rsidR="00BC3BBB">
        <w:rPr>
          <w:rFonts w:ascii="Arial" w:hAnsi="Arial" w:cs="Arial"/>
          <w:color w:val="000000" w:themeColor="text1"/>
          <w:sz w:val="22"/>
          <w:szCs w:val="22"/>
          <w:shd w:val="clear" w:color="auto" w:fill="FFFFFF"/>
        </w:rPr>
        <w:fldChar w:fldCharType="separate"/>
      </w:r>
      <w:r w:rsidRPr="00F74A96">
        <w:rPr>
          <w:rFonts w:ascii="Arial" w:hAnsi="Arial" w:cs="Arial"/>
          <w:noProof/>
          <w:color w:val="000000" w:themeColor="text1"/>
          <w:sz w:val="22"/>
          <w:szCs w:val="22"/>
          <w:shd w:val="clear" w:color="auto" w:fill="FFFFFF"/>
        </w:rPr>
        <w:t>(37)</w:t>
      </w:r>
      <w:r w:rsidR="00BC3BBB">
        <w:rPr>
          <w:rFonts w:ascii="Arial" w:hAnsi="Arial" w:cs="Arial"/>
          <w:color w:val="000000" w:themeColor="text1"/>
          <w:sz w:val="22"/>
          <w:szCs w:val="22"/>
          <w:shd w:val="clear" w:color="auto" w:fill="FFFFFF"/>
        </w:rPr>
        <w:fldChar w:fldCharType="end"/>
      </w:r>
      <w:r>
        <w:rPr>
          <w:rFonts w:ascii="Arial" w:hAnsi="Arial" w:cs="Arial"/>
          <w:color w:val="000000" w:themeColor="text1"/>
          <w:sz w:val="22"/>
          <w:szCs w:val="22"/>
          <w:shd w:val="clear" w:color="auto" w:fill="FFFFFF"/>
        </w:rPr>
        <w:t>.</w:t>
      </w:r>
      <w:r w:rsidRPr="00453BDF">
        <w:rPr>
          <w:rFonts w:ascii="Arial" w:hAnsi="Arial" w:cs="Arial"/>
          <w:color w:val="000000" w:themeColor="text1"/>
          <w:sz w:val="22"/>
          <w:szCs w:val="22"/>
        </w:rPr>
        <w:t xml:space="preserve"> </w:t>
      </w:r>
      <w:r w:rsidRPr="00E772C3">
        <w:rPr>
          <w:rFonts w:ascii="Arial" w:hAnsi="Arial" w:cs="Arial"/>
          <w:sz w:val="22"/>
          <w:szCs w:val="22"/>
        </w:rPr>
        <w:t xml:space="preserve">Tredgold, 1908’de yayımladığı “Mental Deficiency” isimli kitabında, erken dönem beyin hasarı ve devamında gözlenen davranış sorunları ve öğrenme bozukluğu arasında ilişki olduğundan bahsetmiştir. </w:t>
      </w:r>
      <w:r w:rsidR="00BC3BBB">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 "citationItems" : [ { "id" : "ITEM-1", "itemData" : { "author" : [ { "dropping-particle" : "", "family" : "Tredgold", "given" : "A. F.", "non-dropping-particle" : "", "parse-names" : false, "suffix" : "" } ], "id" : "ITEM-1", "issued" : { "date-parts" : [ [ "1908" ] ] }, "title" : "Mental deficiency (amentia)", "type" : "article-journal" }, "uris" : [ "http://www.mendeley.com/documents/?uuid=c78fb888-7dfe-4d18-8759-3f4d71fdf60e" ] } ], "mendeley" : { "formattedCitation" : "(38)", "plainTextFormattedCitation" : "(38)", "previouslyFormattedCitation" : "(38)" }, "properties" : { "noteIndex" : 1 }, "schema" : "https://github.com/citation-style-language/schema/raw/master/csl-citation.json" }</w:instrText>
      </w:r>
      <w:r w:rsidR="00BC3BBB">
        <w:rPr>
          <w:rFonts w:ascii="Arial" w:hAnsi="Arial" w:cs="Arial"/>
          <w:color w:val="000000" w:themeColor="text1"/>
          <w:sz w:val="22"/>
          <w:szCs w:val="22"/>
        </w:rPr>
        <w:fldChar w:fldCharType="separate"/>
      </w:r>
      <w:r w:rsidRPr="00F74A96">
        <w:rPr>
          <w:rFonts w:ascii="Arial" w:hAnsi="Arial" w:cs="Arial"/>
          <w:noProof/>
          <w:color w:val="000000" w:themeColor="text1"/>
          <w:sz w:val="22"/>
          <w:szCs w:val="22"/>
        </w:rPr>
        <w:t>(38)</w:t>
      </w:r>
      <w:r w:rsidR="00BC3BBB">
        <w:rPr>
          <w:rFonts w:ascii="Arial" w:hAnsi="Arial" w:cs="Arial"/>
          <w:color w:val="000000" w:themeColor="text1"/>
          <w:sz w:val="22"/>
          <w:szCs w:val="22"/>
        </w:rPr>
        <w:fldChar w:fldCharType="end"/>
      </w:r>
      <w:r w:rsidRPr="00453BDF">
        <w:rPr>
          <w:rFonts w:ascii="Arial" w:hAnsi="Arial" w:cs="Arial"/>
          <w:color w:val="000000" w:themeColor="text1"/>
          <w:sz w:val="22"/>
          <w:szCs w:val="22"/>
        </w:rPr>
        <w:t xml:space="preserve">. </w:t>
      </w:r>
      <w:r w:rsidRPr="008510F6">
        <w:rPr>
          <w:rFonts w:ascii="Arial" w:hAnsi="Arial" w:cs="Arial"/>
          <w:color w:val="000000" w:themeColor="text1"/>
          <w:sz w:val="22"/>
          <w:szCs w:val="22"/>
        </w:rPr>
        <w:t xml:space="preserve">Bu ilişki, </w:t>
      </w:r>
      <w:r>
        <w:rPr>
          <w:rFonts w:ascii="Arial" w:hAnsi="Arial" w:cs="Arial"/>
          <w:color w:val="000000" w:themeColor="text1"/>
          <w:sz w:val="22"/>
          <w:szCs w:val="22"/>
        </w:rPr>
        <w:t xml:space="preserve">1916 – 1927 </w:t>
      </w:r>
      <w:r w:rsidRPr="008510F6">
        <w:rPr>
          <w:rFonts w:ascii="Arial" w:hAnsi="Arial" w:cs="Arial"/>
          <w:color w:val="000000" w:themeColor="text1"/>
          <w:sz w:val="22"/>
          <w:szCs w:val="22"/>
        </w:rPr>
        <w:t xml:space="preserve">yıllarında görülen “encephalitis lethargica” salgınından etkilenen ve kurtulan çocuklarda ortaya çıkan belirgin anormal davranışlar ile doğrulanmıştır </w:t>
      </w:r>
      <w:r w:rsidR="00BC3BBB" w:rsidRPr="008510F6">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 "citationItems" : [ { "id" : "ITEM-1", "itemData" : { "ISBN" : "0038-4348", "PMID" : "761", "abstract" : "This is a translation of von Economo's standard work by K. O. Newman. A somewhat brief section is added concerning some of the psychological complications of encephalitis lethargica, and the translator is responsible for notes and references to English work on the subject.", "author" : [ { "dropping-particle" : "", "family" : "V", "given" : "C.", "non-dropping-particle" : "", "parse-names" : false, "suffix" : "" }, { "dropping-particle" : "", "family" : "Economo", "given" : "C", "non-dropping-particle" : "von", "parse-names" : false, "suffix" : "" }, { "dropping-particle" : "", "family" : "V", "given" : "C.", "non-dropping-particle" : "", "parse-names" : false, "suffix" : "" } ], "container-title" : "Southern Medical Journal", "id" : "ITEM-1", "issue" : "11", "issued" : { "date-parts" : [ [ "1931" ] ] }, "page" : "-", "title" : "Encephalitis lethargica: its sequelae and treatment.", "type" : "article-journal", "volume" : "24" }, "uris" : [ "http://www.mendeley.com/documents/?uuid=f91eb728-bce0-480c-8a16-25b0e5465a84" ] } ], "mendeley" : { "formattedCitation" : "(39)", "plainTextFormattedCitation" : "(39)", "previouslyFormattedCitation" : "(39)" }, "properties" : { "noteIndex" : 1 }, "schema" : "https://github.com/citation-style-language/schema/raw/master/csl-citation.json" }</w:instrText>
      </w:r>
      <w:r w:rsidR="00BC3BBB" w:rsidRPr="008510F6">
        <w:rPr>
          <w:rFonts w:ascii="Arial" w:hAnsi="Arial" w:cs="Arial"/>
          <w:color w:val="000000" w:themeColor="text1"/>
          <w:sz w:val="22"/>
          <w:szCs w:val="22"/>
        </w:rPr>
        <w:fldChar w:fldCharType="separate"/>
      </w:r>
      <w:r w:rsidRPr="00F74A96">
        <w:rPr>
          <w:rFonts w:ascii="Arial" w:hAnsi="Arial" w:cs="Arial"/>
          <w:noProof/>
          <w:color w:val="000000" w:themeColor="text1"/>
          <w:sz w:val="22"/>
          <w:szCs w:val="22"/>
        </w:rPr>
        <w:t>(39)</w:t>
      </w:r>
      <w:r w:rsidR="00BC3BBB" w:rsidRPr="008510F6">
        <w:rPr>
          <w:rFonts w:ascii="Arial" w:hAnsi="Arial" w:cs="Arial"/>
          <w:color w:val="000000" w:themeColor="text1"/>
          <w:sz w:val="22"/>
          <w:szCs w:val="22"/>
        </w:rPr>
        <w:fldChar w:fldCharType="end"/>
      </w:r>
      <w:r w:rsidRPr="008510F6">
        <w:rPr>
          <w:rFonts w:ascii="Arial" w:hAnsi="Arial" w:cs="Arial"/>
          <w:color w:val="000000" w:themeColor="text1"/>
          <w:sz w:val="22"/>
          <w:szCs w:val="22"/>
        </w:rPr>
        <w:t>.</w:t>
      </w:r>
      <w:r w:rsidRPr="00453BDF">
        <w:rPr>
          <w:rFonts w:ascii="Arial" w:hAnsi="Arial" w:cs="Arial"/>
          <w:color w:val="000000" w:themeColor="text1"/>
        </w:rPr>
        <w:t xml:space="preserve"> </w:t>
      </w:r>
      <w:r w:rsidRPr="00453BDF">
        <w:rPr>
          <w:rFonts w:ascii="Arial" w:hAnsi="Arial" w:cs="Arial"/>
          <w:color w:val="000000" w:themeColor="text1"/>
          <w:sz w:val="22"/>
          <w:szCs w:val="22"/>
        </w:rPr>
        <w:t xml:space="preserve"> Çocukların</w:t>
      </w:r>
      <w:r>
        <w:rPr>
          <w:rFonts w:ascii="Arial" w:hAnsi="Arial" w:cs="Arial"/>
          <w:color w:val="000000" w:themeColor="text1"/>
          <w:sz w:val="22"/>
          <w:szCs w:val="22"/>
        </w:rPr>
        <w:t xml:space="preserve"> </w:t>
      </w:r>
      <w:r w:rsidRPr="00453BDF">
        <w:rPr>
          <w:rFonts w:ascii="Arial" w:hAnsi="Arial" w:cs="Arial"/>
          <w:sz w:val="22"/>
          <w:szCs w:val="22"/>
        </w:rPr>
        <w:t>aşırı hareketli, dikkatsiz ve</w:t>
      </w:r>
      <w:r>
        <w:rPr>
          <w:rFonts w:ascii="Arial" w:hAnsi="Arial" w:cs="Arial"/>
          <w:sz w:val="22"/>
          <w:szCs w:val="22"/>
        </w:rPr>
        <w:t xml:space="preserve"> </w:t>
      </w:r>
      <w:r w:rsidRPr="00453BDF">
        <w:rPr>
          <w:rFonts w:ascii="Arial" w:hAnsi="Arial" w:cs="Arial"/>
          <w:sz w:val="22"/>
          <w:szCs w:val="22"/>
        </w:rPr>
        <w:t>sinirli oldukları, antisosyal ve yıkıcı davranışlar sergiledikleri, okulda düzen bozdukları ve kavgacı oldukları belirtilmiştir</w:t>
      </w:r>
      <w:r>
        <w:rPr>
          <w:rFonts w:ascii="Arial" w:hAnsi="Arial" w:cs="Arial"/>
          <w:sz w:val="22"/>
          <w:szCs w:val="22"/>
        </w:rPr>
        <w:t xml:space="preserve"> </w:t>
      </w:r>
      <w:r w:rsidR="00BC3BBB">
        <w:rPr>
          <w:rFonts w:ascii="Arial" w:hAnsi="Arial" w:cs="Arial"/>
          <w:sz w:val="22"/>
          <w:szCs w:val="22"/>
        </w:rPr>
        <w:fldChar w:fldCharType="begin" w:fldLock="1"/>
      </w:r>
      <w:r>
        <w:rPr>
          <w:rFonts w:ascii="Arial" w:hAnsi="Arial" w:cs="Arial"/>
          <w:sz w:val="22"/>
          <w:szCs w:val="22"/>
        </w:rPr>
        <w:instrText>ADDIN CSL_CITATION { "citationItems" : [ { "id" : "ITEM-1", "itemData" : { "author" : [ { "dropping-particle" : "", "family" : "Ross  &amp; Ross, S. A.", "given" : "D M", "non-dropping-particle" : "", "parse-names" : false, "suffix" : "" } ], "id" : "ITEM-1", "issued" : { "date-parts" : [ [ "1976" ] ] }, "title" : "Hyperactivity: Research, theory, and action", "type" : "article-journal" }, "uris" : [ "http://www.mendeley.com/documents/?uuid=e739d035-d56d-4367-975e-3494b261a268" ] } ], "mendeley" : { "formattedCitation" : "(40)", "plainTextFormattedCitation" : "(40)", "previouslyFormattedCitation" : "(40)" }, "properties" : { "noteIndex" : 1 }, "schema" : "https://github.com/citation-style-language/schema/raw/master/csl-citation.json" }</w:instrText>
      </w:r>
      <w:r w:rsidR="00BC3BBB">
        <w:rPr>
          <w:rFonts w:ascii="Arial" w:hAnsi="Arial" w:cs="Arial"/>
          <w:sz w:val="22"/>
          <w:szCs w:val="22"/>
        </w:rPr>
        <w:fldChar w:fldCharType="separate"/>
      </w:r>
      <w:r w:rsidRPr="00F74A96">
        <w:rPr>
          <w:rFonts w:ascii="Arial" w:hAnsi="Arial" w:cs="Arial"/>
          <w:noProof/>
          <w:sz w:val="22"/>
          <w:szCs w:val="22"/>
        </w:rPr>
        <w:t>(40)</w:t>
      </w:r>
      <w:r w:rsidR="00BC3BBB">
        <w:rPr>
          <w:rFonts w:ascii="Arial" w:hAnsi="Arial" w:cs="Arial"/>
          <w:sz w:val="22"/>
          <w:szCs w:val="22"/>
        </w:rPr>
        <w:fldChar w:fldCharType="end"/>
      </w:r>
      <w:r w:rsidRPr="00453BDF">
        <w:rPr>
          <w:rFonts w:ascii="Arial" w:hAnsi="Arial" w:cs="Arial"/>
          <w:sz w:val="22"/>
          <w:szCs w:val="22"/>
        </w:rPr>
        <w:t>.</w:t>
      </w:r>
      <w:r>
        <w:rPr>
          <w:rFonts w:ascii="Arial" w:hAnsi="Arial" w:cs="Arial"/>
          <w:color w:val="4F81BD" w:themeColor="accent1"/>
          <w:sz w:val="22"/>
          <w:szCs w:val="22"/>
        </w:rPr>
        <w:t xml:space="preserve"> </w:t>
      </w:r>
      <w:r w:rsidRPr="00453BDF">
        <w:rPr>
          <w:rFonts w:ascii="Arial" w:hAnsi="Arial" w:cs="Arial"/>
          <w:color w:val="000000" w:themeColor="text1"/>
          <w:sz w:val="22"/>
          <w:szCs w:val="22"/>
        </w:rPr>
        <w:t xml:space="preserve">Bu kalıntı etkiler </w:t>
      </w:r>
      <w:r w:rsidRPr="00453BDF">
        <w:rPr>
          <w:rFonts w:ascii="Arial" w:hAnsi="Arial" w:cs="Arial"/>
          <w:i/>
          <w:sz w:val="22"/>
          <w:szCs w:val="22"/>
        </w:rPr>
        <w:t xml:space="preserve">"postensefalitik davranış bozukluğu" </w:t>
      </w:r>
      <w:r>
        <w:rPr>
          <w:rFonts w:ascii="Arial" w:hAnsi="Arial" w:cs="Arial"/>
          <w:sz w:val="22"/>
          <w:szCs w:val="22"/>
        </w:rPr>
        <w:t xml:space="preserve">olarak isimlendirilmiştir </w:t>
      </w:r>
      <w:r w:rsidR="00BC3BBB">
        <w:rPr>
          <w:rFonts w:ascii="Arial" w:hAnsi="Arial" w:cs="Arial"/>
          <w:sz w:val="22"/>
          <w:szCs w:val="22"/>
        </w:rPr>
        <w:fldChar w:fldCharType="begin" w:fldLock="1"/>
      </w:r>
      <w:r w:rsidR="0037573A">
        <w:rPr>
          <w:rFonts w:ascii="Arial" w:hAnsi="Arial" w:cs="Arial"/>
          <w:sz w:val="22"/>
          <w:szCs w:val="22"/>
        </w:rPr>
        <w:instrText>ADDIN CSL_CITATION { "citationItems" : [ { "id" : "ITEM-1", "itemData" : { "ISBN" : "978-1462517725", "author" : [ { "dropping-particle" : "", "family" : "Barkley", "given" : "R A", "non-dropping-particle" : "", "parse-names" : false, "suffix" : "" } ], "id" : "ITEM-1", "issued" : { "date-parts" : [ [ "2006" ] ] }, "title" : "Attention-deficit/hyperactivity disorder: a handbook for diagnosic and treatment", "type" : "article-journal" }, "uris" : [ "http://www.mendeley.com/documents/?uuid=4593ff08-5ba1-48b1-ae4e-5f4ed3a5d094" ] }, { "id" : "ITEM-2", "itemData" : { "DOI" : "10.1007/3-7985-1553-0", "ISBN" : "3-7985-1552-2", "author" : [ { "dropping-particle" : "", "family" : "Rothenberger", "given" : "Aribert", "non-dropping-particle" : "", "parse-names" : false, "suffix" : "" }, { "dropping-particle" : "", "family" : "Neum\u00e4rker", "given" : "Klaus-J\u00fcrgen", "non-dropping-particle" : "", "parse-names" : false, "suffix" : "" } ], "id" : "ITEM-2", "issued" : { "date-parts" : [ [ "2005" ] ] }, "title" : "Wissenschaftsgeschichte der ADHS", "type" : "article-journal" }, "uris" : [ "http://www.mendeley.com/documents/?uuid=78065d33-bf4e-4745-935d-88a8d782186f" ] } ], "mendeley" : { "formattedCitation" : "(37, 41)", "plainTextFormattedCitation" : "(37, 41)", "previouslyFormattedCitation" : "(37, 41)" }, "properties" : { "noteIndex" : 1 }, "schema" : "https://github.com/citation-style-language/schema/raw/master/csl-citation.json" }</w:instrText>
      </w:r>
      <w:r w:rsidR="00BC3BBB">
        <w:rPr>
          <w:rFonts w:ascii="Arial" w:hAnsi="Arial" w:cs="Arial"/>
          <w:sz w:val="22"/>
          <w:szCs w:val="22"/>
        </w:rPr>
        <w:fldChar w:fldCharType="separate"/>
      </w:r>
      <w:r w:rsidR="00BF1F00" w:rsidRPr="00BF1F00">
        <w:rPr>
          <w:rFonts w:ascii="Arial" w:hAnsi="Arial" w:cs="Arial"/>
          <w:noProof/>
          <w:sz w:val="22"/>
          <w:szCs w:val="22"/>
        </w:rPr>
        <w:t>(37, 41)</w:t>
      </w:r>
      <w:r w:rsidR="00BC3BBB">
        <w:rPr>
          <w:rFonts w:ascii="Arial" w:hAnsi="Arial" w:cs="Arial"/>
          <w:sz w:val="22"/>
          <w:szCs w:val="22"/>
        </w:rPr>
        <w:fldChar w:fldCharType="end"/>
      </w:r>
      <w:r w:rsidRPr="00453BDF">
        <w:rPr>
          <w:rFonts w:ascii="Arial" w:hAnsi="Arial" w:cs="Arial"/>
          <w:sz w:val="22"/>
          <w:szCs w:val="22"/>
        </w:rPr>
        <w:t>.</w:t>
      </w:r>
      <w:r>
        <w:rPr>
          <w:rFonts w:ascii="Arial" w:hAnsi="Arial" w:cs="Arial"/>
          <w:color w:val="4F81BD" w:themeColor="accent1"/>
          <w:sz w:val="22"/>
          <w:szCs w:val="22"/>
        </w:rPr>
        <w:t xml:space="preserve"> </w:t>
      </w:r>
      <w:r w:rsidRPr="00453BDF">
        <w:rPr>
          <w:rFonts w:ascii="Arial" w:hAnsi="Arial" w:cs="Arial"/>
          <w:color w:val="000000" w:themeColor="text1"/>
          <w:sz w:val="22"/>
          <w:szCs w:val="22"/>
        </w:rPr>
        <w:t xml:space="preserve">Etkilenen çocukların çoğu </w:t>
      </w:r>
      <w:r>
        <w:rPr>
          <w:rFonts w:ascii="Arial" w:hAnsi="Arial" w:cs="Arial"/>
          <w:color w:val="000000" w:themeColor="text1"/>
          <w:sz w:val="22"/>
          <w:szCs w:val="22"/>
        </w:rPr>
        <w:t>günümüzde bildiğimiz haliyle</w:t>
      </w:r>
      <w:r w:rsidRPr="00453BDF">
        <w:rPr>
          <w:rFonts w:ascii="Arial" w:hAnsi="Arial" w:cs="Arial"/>
          <w:color w:val="000000" w:themeColor="text1"/>
          <w:sz w:val="22"/>
          <w:szCs w:val="22"/>
        </w:rPr>
        <w:t xml:space="preserve"> DEHB kriterlerini karşılamasa da, </w:t>
      </w:r>
      <w:r w:rsidRPr="00453BDF">
        <w:rPr>
          <w:rFonts w:ascii="Arial" w:hAnsi="Arial" w:cs="Arial"/>
          <w:i/>
          <w:color w:val="000000" w:themeColor="text1"/>
          <w:sz w:val="22"/>
          <w:szCs w:val="22"/>
        </w:rPr>
        <w:t>"postensefalitik davranış bozukluğu"</w:t>
      </w:r>
      <w:r w:rsidRPr="00453BDF">
        <w:rPr>
          <w:rFonts w:ascii="Arial" w:hAnsi="Arial" w:cs="Arial"/>
          <w:color w:val="000000" w:themeColor="text1"/>
          <w:sz w:val="22"/>
          <w:szCs w:val="22"/>
        </w:rPr>
        <w:t xml:space="preserve"> çocuklarda hiperaktivite </w:t>
      </w:r>
      <w:r w:rsidRPr="00453BDF">
        <w:rPr>
          <w:rFonts w:ascii="Arial" w:hAnsi="Arial" w:cs="Arial"/>
          <w:color w:val="000000" w:themeColor="text1"/>
          <w:sz w:val="22"/>
          <w:szCs w:val="22"/>
        </w:rPr>
        <w:lastRenderedPageBreak/>
        <w:t>konusunda geniş bir merak uyandırmıştır</w:t>
      </w:r>
      <w:r>
        <w:rPr>
          <w:rFonts w:ascii="Arial" w:hAnsi="Arial" w:cs="Arial"/>
          <w:color w:val="000000" w:themeColor="text1"/>
          <w:sz w:val="22"/>
          <w:szCs w:val="22"/>
        </w:rPr>
        <w:t xml:space="preserve"> </w:t>
      </w:r>
      <w:r w:rsidR="00BC3BBB">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 "citationItems" : [ { "id" : "ITEM-1", "itemData" : { "DOI" : "10.1007/3-7985-1553-0", "ISBN" : "3-7985-1552-2", "author" : [ { "dropping-particle" : "", "family" : "Rothenberger", "given" : "Aribert", "non-dropping-particle" : "", "parse-names" : false, "suffix" : "" }, { "dropping-particle" : "", "family" : "Neum\u00e4rker", "given" : "Klaus-J\u00fcrgen", "non-dropping-particle" : "", "parse-names" : false, "suffix" : "" } ], "id" : "ITEM-1", "issued" : { "date-parts" : [ [ "2005" ] ] }, "title" : "Wissenschaftsgeschichte der ADHS", "type" : "article-journal" }, "uris" : [ "http://www.mendeley.com/documents/?uuid=78065d33-bf4e-4745-935d-88a8d782186f" ] } ], "mendeley" : { "formattedCitation" : "(41)", "plainTextFormattedCitation" : "(41)", "previouslyFormattedCitation" : "(41)" }, "properties" : { "noteIndex" : 1 }, "schema" : "https://github.com/citation-style-language/schema/raw/master/csl-citation.json" }</w:instrText>
      </w:r>
      <w:r w:rsidR="00BC3BBB">
        <w:rPr>
          <w:rFonts w:ascii="Arial" w:hAnsi="Arial" w:cs="Arial"/>
          <w:color w:val="000000" w:themeColor="text1"/>
          <w:sz w:val="22"/>
          <w:szCs w:val="22"/>
        </w:rPr>
        <w:fldChar w:fldCharType="separate"/>
      </w:r>
      <w:r w:rsidRPr="00F74A96">
        <w:rPr>
          <w:rFonts w:ascii="Arial" w:hAnsi="Arial" w:cs="Arial"/>
          <w:noProof/>
          <w:color w:val="000000" w:themeColor="text1"/>
          <w:sz w:val="22"/>
          <w:szCs w:val="22"/>
        </w:rPr>
        <w:t>(41)</w:t>
      </w:r>
      <w:r w:rsidR="00BC3BBB">
        <w:rPr>
          <w:rFonts w:ascii="Arial" w:hAnsi="Arial" w:cs="Arial"/>
          <w:color w:val="000000" w:themeColor="text1"/>
          <w:sz w:val="22"/>
          <w:szCs w:val="22"/>
        </w:rPr>
        <w:fldChar w:fldCharType="end"/>
      </w:r>
      <w:r>
        <w:rPr>
          <w:rFonts w:ascii="Arial" w:hAnsi="Arial" w:cs="Arial"/>
          <w:color w:val="4F81BD" w:themeColor="accent1"/>
          <w:sz w:val="22"/>
          <w:szCs w:val="22"/>
        </w:rPr>
        <w:t xml:space="preserve">. </w:t>
      </w:r>
      <w:r w:rsidRPr="00453BDF">
        <w:rPr>
          <w:rFonts w:ascii="Arial" w:hAnsi="Arial" w:cs="Arial"/>
          <w:color w:val="000000" w:themeColor="text1"/>
          <w:sz w:val="22"/>
          <w:szCs w:val="22"/>
        </w:rPr>
        <w:t xml:space="preserve">1932 yılında </w:t>
      </w:r>
      <w:r w:rsidRPr="00453BDF">
        <w:rPr>
          <w:rFonts w:ascii="Arial" w:hAnsi="Arial" w:cs="Arial"/>
          <w:sz w:val="22"/>
          <w:szCs w:val="22"/>
        </w:rPr>
        <w:t>Franz Kramer ve Hans Pollnow</w:t>
      </w:r>
      <w:r>
        <w:rPr>
          <w:rFonts w:ascii="Arial" w:hAnsi="Arial" w:cs="Arial"/>
          <w:sz w:val="22"/>
          <w:szCs w:val="22"/>
        </w:rPr>
        <w:t xml:space="preserve"> </w:t>
      </w:r>
      <w:r w:rsidRPr="00453BDF">
        <w:rPr>
          <w:rFonts w:ascii="Arial" w:hAnsi="Arial" w:cs="Arial"/>
          <w:sz w:val="22"/>
          <w:szCs w:val="22"/>
        </w:rPr>
        <w:t>tarafından tanımlanan</w:t>
      </w:r>
      <w:r>
        <w:rPr>
          <w:rFonts w:ascii="Arial" w:hAnsi="Arial" w:cs="Arial"/>
          <w:i/>
          <w:sz w:val="22"/>
          <w:szCs w:val="22"/>
        </w:rPr>
        <w:t xml:space="preserve"> </w:t>
      </w:r>
      <w:r w:rsidRPr="00453BDF">
        <w:rPr>
          <w:rFonts w:ascii="Arial" w:hAnsi="Arial" w:cs="Arial"/>
          <w:i/>
          <w:sz w:val="22"/>
          <w:szCs w:val="22"/>
        </w:rPr>
        <w:t>hiperkinetik hastalı</w:t>
      </w:r>
      <w:r>
        <w:rPr>
          <w:rFonts w:ascii="Arial" w:hAnsi="Arial" w:cs="Arial"/>
          <w:i/>
          <w:sz w:val="22"/>
          <w:szCs w:val="22"/>
        </w:rPr>
        <w:t>ğın</w:t>
      </w:r>
      <w:r w:rsidRPr="00453BDF">
        <w:rPr>
          <w:rFonts w:ascii="Arial" w:hAnsi="Arial" w:cs="Arial"/>
          <w:i/>
          <w:sz w:val="22"/>
          <w:szCs w:val="22"/>
        </w:rPr>
        <w:t xml:space="preserve"> </w:t>
      </w:r>
      <w:r w:rsidR="00BC3BBB" w:rsidRPr="00B40BB3">
        <w:rPr>
          <w:rFonts w:ascii="Arial" w:hAnsi="Arial" w:cs="Arial"/>
          <w:sz w:val="22"/>
          <w:szCs w:val="22"/>
        </w:rPr>
        <w:fldChar w:fldCharType="begin" w:fldLock="1"/>
      </w:r>
      <w:r>
        <w:rPr>
          <w:rFonts w:ascii="Arial" w:hAnsi="Arial" w:cs="Arial"/>
          <w:sz w:val="22"/>
          <w:szCs w:val="22"/>
        </w:rPr>
        <w:instrText>ADDIN CSL_CITATION { "citationItems" : [ { "id" : "ITEM-1", "itemData" : { "author" : [ { "dropping-particle" : "", "family" : "Kramer F", "given" : "Pollnow H", "non-dropping-particle" : "", "parse-names" : false, "suffix" : "" } ], "container-title" : "Mschr Psychiat Neurol", "id" : "ITEM-1", "issued" : { "date-parts" : [ [ "1932" ] ] }, "page" : "21\u201340", "title" : "Uber eine hyperkinetische Erkrankung im Kindesalter. Aus der Psychiatrischen und Nerven-Klinik der Charite", "type" : "article-journal", "volume" : "82" }, "uris" : [ "http://www.mendeley.com/documents/?uuid=cde86b0d-4bbf-431a-a661-e52559e8bd46" ] } ], "mendeley" : { "formattedCitation" : "(42)", "plainTextFormattedCitation" : "(42)", "previouslyFormattedCitation" : "(42)" }, "properties" : { "noteIndex" : 2 }, "schema" : "https://github.com/citation-style-language/schema/raw/master/csl-citation.json" }</w:instrText>
      </w:r>
      <w:r w:rsidR="00BC3BBB" w:rsidRPr="00B40BB3">
        <w:rPr>
          <w:rFonts w:ascii="Arial" w:hAnsi="Arial" w:cs="Arial"/>
          <w:sz w:val="22"/>
          <w:szCs w:val="22"/>
        </w:rPr>
        <w:fldChar w:fldCharType="separate"/>
      </w:r>
      <w:r w:rsidRPr="00F74A96">
        <w:rPr>
          <w:rFonts w:ascii="Arial" w:hAnsi="Arial" w:cs="Arial"/>
          <w:noProof/>
          <w:sz w:val="22"/>
          <w:szCs w:val="22"/>
        </w:rPr>
        <w:t>(42)</w:t>
      </w:r>
      <w:r w:rsidR="00BC3BBB" w:rsidRPr="00B40BB3">
        <w:rPr>
          <w:rFonts w:ascii="Arial" w:hAnsi="Arial" w:cs="Arial"/>
          <w:sz w:val="22"/>
          <w:szCs w:val="22"/>
        </w:rPr>
        <w:fldChar w:fldCharType="end"/>
      </w:r>
      <w:r w:rsidRPr="00B40BB3">
        <w:rPr>
          <w:rFonts w:ascii="Arial" w:hAnsi="Arial" w:cs="Arial"/>
          <w:sz w:val="22"/>
          <w:szCs w:val="22"/>
        </w:rPr>
        <w:t xml:space="preserve"> </w:t>
      </w:r>
      <w:r>
        <w:rPr>
          <w:rFonts w:ascii="Arial" w:hAnsi="Arial" w:cs="Arial"/>
          <w:color w:val="000000" w:themeColor="text1"/>
          <w:sz w:val="22"/>
          <w:szCs w:val="22"/>
        </w:rPr>
        <w:t>temel</w:t>
      </w:r>
      <w:r w:rsidRPr="00453BDF">
        <w:rPr>
          <w:rFonts w:ascii="Arial" w:hAnsi="Arial" w:cs="Arial"/>
          <w:color w:val="000000" w:themeColor="text1"/>
          <w:sz w:val="22"/>
          <w:szCs w:val="22"/>
        </w:rPr>
        <w:t xml:space="preserve"> </w:t>
      </w:r>
      <w:r>
        <w:rPr>
          <w:rFonts w:ascii="Arial" w:hAnsi="Arial" w:cs="Arial"/>
          <w:color w:val="000000" w:themeColor="text1"/>
          <w:sz w:val="22"/>
          <w:szCs w:val="22"/>
        </w:rPr>
        <w:t>belirtileri</w:t>
      </w:r>
      <w:r w:rsidRPr="00453BDF">
        <w:rPr>
          <w:rFonts w:ascii="Arial" w:hAnsi="Arial" w:cs="Arial"/>
          <w:color w:val="000000" w:themeColor="text1"/>
          <w:sz w:val="22"/>
          <w:szCs w:val="22"/>
        </w:rPr>
        <w:t>, günümüzün DEHB kavramına çok benzemektedir</w:t>
      </w:r>
      <w:r>
        <w:rPr>
          <w:rFonts w:ascii="Arial" w:hAnsi="Arial" w:cs="Arial"/>
          <w:color w:val="000000" w:themeColor="text1"/>
          <w:sz w:val="22"/>
          <w:szCs w:val="22"/>
        </w:rPr>
        <w:t xml:space="preserve"> </w:t>
      </w:r>
      <w:r w:rsidR="00BC3BBB">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 "citationItems" : [ { "id" : "ITEM-1", "itemData" : { "DOI" : "10.1007/s12402-010-0045-8", "ISBN" : "1866-6116", "ISSN" : "1866-6116", "abstract" : "The contemporary concept of attention deficit hyperactivity disorder (ADHD) as defined in the DSM-IV-TR (American Psychiatric Association 2000) is relatively new. Excessive hyperactive, inattentive, and impulsive children have been described in the literature since the nineteenth century. Some of the early depictions and etiological theories of hyperactivity were similar to current descriptions of ADHD. Detailed studies of the behavior of hyperactive children and increasing knowledge of brain function have changed the concepts of the fundamental behavioral and neuropathological deficits underlying the disorder. This article presents an overview of the conceptual history of modern-day ADHD.", "author" : [ { "dropping-particle" : "", "family" : "Lange", "given" : "Klaus", "non-dropping-particle" : "", "parse-names" : false, "suffix" : "" }, { "dropping-particle" : "", "family" : "Reichl", "given" : "Susanne", "non-dropping-particle" : "", "parse-names" : false, "suffix" : "" }, { "dropping-particle" : "", "family" : "Lange", "given" : "Katharina", "non-dropping-particle" : "", "parse-names" : false, "suffix" : "" }, { "dropping-particle" : "", "family" : "Tucha", "given" : "Lara", "non-dropping-particle" : "", "parse-names" : false, "suffix" : "" }, { "dropping-particle" : "", "family" : "Tucha", "given" : "Oliver", "non-dropping-particle" : "", "parse-names" : false, "suffix" : "" } ], "container-title" : "ADHD Attention Deficit and Hyperactivity Disorders", "id" : "ITEM-1", "issue" : "4", "issued" : { "date-parts" : [ [ "2010" ] ] }, "page" : "241-255", "title" : "The history of attention deficit hyperactivity disorder", "type" : "article-journal", "volume" : "2" }, "uris" : [ "http://www.mendeley.com/documents/?uuid=9651aeca-9690-4f3d-928d-8bc83211dbf3" ] } ], "mendeley" : { "formattedCitation" : "(35)", "plainTextFormattedCitation" : "(35)", "previouslyFormattedCitation" : "(35)" }, "properties" : { "noteIndex" : 1 }, "schema" : "https://github.com/citation-style-language/schema/raw/master/csl-citation.json" }</w:instrText>
      </w:r>
      <w:r w:rsidR="00BC3BBB">
        <w:rPr>
          <w:rFonts w:ascii="Arial" w:hAnsi="Arial" w:cs="Arial"/>
          <w:color w:val="000000" w:themeColor="text1"/>
          <w:sz w:val="22"/>
          <w:szCs w:val="22"/>
        </w:rPr>
        <w:fldChar w:fldCharType="separate"/>
      </w:r>
      <w:r w:rsidRPr="00F74A96">
        <w:rPr>
          <w:rFonts w:ascii="Arial" w:hAnsi="Arial" w:cs="Arial"/>
          <w:noProof/>
          <w:color w:val="000000" w:themeColor="text1"/>
          <w:sz w:val="22"/>
          <w:szCs w:val="22"/>
        </w:rPr>
        <w:t>(35)</w:t>
      </w:r>
      <w:r w:rsidR="00BC3BBB">
        <w:rPr>
          <w:rFonts w:ascii="Arial" w:hAnsi="Arial" w:cs="Arial"/>
          <w:color w:val="000000" w:themeColor="text1"/>
          <w:sz w:val="22"/>
          <w:szCs w:val="22"/>
        </w:rPr>
        <w:fldChar w:fldCharType="end"/>
      </w:r>
      <w:r>
        <w:rPr>
          <w:rFonts w:ascii="Arial" w:hAnsi="Arial" w:cs="Arial"/>
          <w:color w:val="000000" w:themeColor="text1"/>
          <w:sz w:val="22"/>
          <w:szCs w:val="22"/>
        </w:rPr>
        <w:t>.</w:t>
      </w:r>
      <w:r w:rsidRPr="0011792E">
        <w:rPr>
          <w:rFonts w:ascii="Arial" w:hAnsi="Arial" w:cs="Arial"/>
          <w:color w:val="E36C0A" w:themeColor="accent6" w:themeShade="BF"/>
          <w:sz w:val="22"/>
          <w:szCs w:val="22"/>
        </w:rPr>
        <w:t xml:space="preserve"> </w:t>
      </w:r>
      <w:r>
        <w:rPr>
          <w:rFonts w:ascii="Arial" w:hAnsi="Arial" w:cs="Arial"/>
          <w:color w:val="000000" w:themeColor="text1"/>
          <w:sz w:val="22"/>
          <w:szCs w:val="22"/>
        </w:rPr>
        <w:t>Ayrıca</w:t>
      </w:r>
      <w:r w:rsidRPr="00453BDF">
        <w:rPr>
          <w:rFonts w:ascii="Arial" w:hAnsi="Arial" w:cs="Arial"/>
          <w:color w:val="000000" w:themeColor="text1"/>
          <w:sz w:val="22"/>
          <w:szCs w:val="22"/>
        </w:rPr>
        <w:t xml:space="preserve"> Kramer ve Pollnow</w:t>
      </w:r>
      <w:r>
        <w:rPr>
          <w:rFonts w:ascii="Arial" w:hAnsi="Arial" w:cs="Arial"/>
          <w:color w:val="000000" w:themeColor="text1"/>
          <w:sz w:val="22"/>
          <w:szCs w:val="22"/>
        </w:rPr>
        <w:t>i</w:t>
      </w:r>
      <w:r w:rsidRPr="00453BDF">
        <w:rPr>
          <w:rFonts w:ascii="Arial" w:hAnsi="Arial" w:cs="Arial"/>
          <w:color w:val="000000" w:themeColor="text1"/>
          <w:sz w:val="22"/>
          <w:szCs w:val="22"/>
        </w:rPr>
        <w:t xml:space="preserve"> çocukların ilgisini çeken bazı etkinliklerde saatlerce sebat ettiklerini de fark etmişlerdir</w:t>
      </w:r>
      <w:r>
        <w:rPr>
          <w:rFonts w:ascii="Arial" w:hAnsi="Arial" w:cs="Arial"/>
          <w:color w:val="000000" w:themeColor="text1"/>
          <w:sz w:val="22"/>
          <w:szCs w:val="22"/>
        </w:rPr>
        <w:t xml:space="preserve"> </w:t>
      </w:r>
      <w:r w:rsidR="00BC3BBB">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 "citationItems" : [ { "id" : "ITEM-1", "itemData" : { "author" : [ { "dropping-particle" : "", "family" : "Kramer F", "given" : "Pollnow H", "non-dropping-particle" : "", "parse-names" : false, "suffix" : "" } ], "container-title" : "Mschr Psychiat Neurol", "id" : "ITEM-1", "issued" : { "date-parts" : [ [ "1932" ] ] }, "page" : "21\u201340", "title" : "Uber eine hyperkinetische Erkrankung im Kindesalter. Aus der Psychiatrischen und Nerven-Klinik der Charite", "type" : "article-journal", "volume" : "82" }, "uris" : [ "http://www.mendeley.com/documents/?uuid=cde86b0d-4bbf-431a-a661-e52559e8bd46" ] } ], "mendeley" : { "formattedCitation" : "(42)", "plainTextFormattedCitation" : "(42)", "previouslyFormattedCitation" : "(42)" }, "properties" : { "noteIndex" : 2 }, "schema" : "https://github.com/citation-style-language/schema/raw/master/csl-citation.json" }</w:instrText>
      </w:r>
      <w:r w:rsidR="00BC3BBB">
        <w:rPr>
          <w:rFonts w:ascii="Arial" w:hAnsi="Arial" w:cs="Arial"/>
          <w:color w:val="000000" w:themeColor="text1"/>
          <w:sz w:val="22"/>
          <w:szCs w:val="22"/>
        </w:rPr>
        <w:fldChar w:fldCharType="separate"/>
      </w:r>
      <w:r w:rsidRPr="00F74A96">
        <w:rPr>
          <w:rFonts w:ascii="Arial" w:hAnsi="Arial" w:cs="Arial"/>
          <w:noProof/>
          <w:color w:val="000000" w:themeColor="text1"/>
          <w:sz w:val="22"/>
          <w:szCs w:val="22"/>
        </w:rPr>
        <w:t>(42)</w:t>
      </w:r>
      <w:r w:rsidR="00BC3BBB">
        <w:rPr>
          <w:rFonts w:ascii="Arial" w:hAnsi="Arial" w:cs="Arial"/>
          <w:color w:val="000000" w:themeColor="text1"/>
          <w:sz w:val="22"/>
          <w:szCs w:val="22"/>
        </w:rPr>
        <w:fldChar w:fldCharType="end"/>
      </w:r>
      <w:r>
        <w:rPr>
          <w:rFonts w:ascii="Arial" w:hAnsi="Arial" w:cs="Arial"/>
          <w:color w:val="000000" w:themeColor="text1"/>
          <w:sz w:val="22"/>
          <w:szCs w:val="22"/>
        </w:rPr>
        <w:t xml:space="preserve">. </w:t>
      </w:r>
      <w:r w:rsidRPr="00453BDF">
        <w:rPr>
          <w:rFonts w:ascii="Arial" w:hAnsi="Arial" w:cs="Arial"/>
          <w:color w:val="000000" w:themeColor="text1"/>
          <w:sz w:val="22"/>
          <w:szCs w:val="22"/>
        </w:rPr>
        <w:t>1937'de Charles Bradley çeşitli davranış bozukluğu olan çocuklarda stimulan ilaçların (benzedrine) olumlu etkisini bildirmiştir</w:t>
      </w:r>
      <w:r>
        <w:rPr>
          <w:rFonts w:ascii="Arial" w:hAnsi="Arial" w:cs="Arial"/>
          <w:color w:val="000000" w:themeColor="text1"/>
          <w:sz w:val="22"/>
          <w:szCs w:val="22"/>
        </w:rPr>
        <w:t xml:space="preserve"> </w:t>
      </w:r>
      <w:r w:rsidR="00BC3BBB">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 "citationItems" : [ { "id" : "ITEM-1", "itemData" : { "author" : [ { "dropping-particle" : "", "family" : "Bradley", "given" : "C.", "non-dropping-particle" : "", "parse-names" : false, "suffix" : "" } ], "container-title" : "American Journal of Psychiatry", "id" : "ITEM-1", "issued" : { "date-parts" : [ [ "1973" ] ] }, "page" : "577-585", "title" : "The Behavior of Children receiving Benzedrine", "type" : "article-journal", "volume" : "94" }, "uris" : [ "http://www.mendeley.com/documents/?uuid=97c5a6e2-adae-4279-ac5c-dfe302a0c10c" ] } ], "mendeley" : { "formattedCitation" : "(43)", "plainTextFormattedCitation" : "(43)", "previouslyFormattedCitation" : "(43)" }, "properties" : { "noteIndex" : 2 }, "schema" : "https://github.com/citation-style-language/schema/raw/master/csl-citation.json" }</w:instrText>
      </w:r>
      <w:r w:rsidR="00BC3BBB">
        <w:rPr>
          <w:rFonts w:ascii="Arial" w:hAnsi="Arial" w:cs="Arial"/>
          <w:color w:val="000000" w:themeColor="text1"/>
          <w:sz w:val="22"/>
          <w:szCs w:val="22"/>
        </w:rPr>
        <w:fldChar w:fldCharType="separate"/>
      </w:r>
      <w:r w:rsidRPr="00F74A96">
        <w:rPr>
          <w:rFonts w:ascii="Arial" w:hAnsi="Arial" w:cs="Arial"/>
          <w:noProof/>
          <w:color w:val="000000" w:themeColor="text1"/>
          <w:sz w:val="22"/>
          <w:szCs w:val="22"/>
        </w:rPr>
        <w:t>(43)</w:t>
      </w:r>
      <w:r w:rsidR="00BC3BBB">
        <w:rPr>
          <w:rFonts w:ascii="Arial" w:hAnsi="Arial" w:cs="Arial"/>
          <w:color w:val="000000" w:themeColor="text1"/>
          <w:sz w:val="22"/>
          <w:szCs w:val="22"/>
        </w:rPr>
        <w:fldChar w:fldCharType="end"/>
      </w:r>
      <w:r>
        <w:rPr>
          <w:rFonts w:ascii="Arial" w:hAnsi="Arial" w:cs="Arial"/>
          <w:color w:val="000000" w:themeColor="text1"/>
          <w:sz w:val="22"/>
          <w:szCs w:val="22"/>
        </w:rPr>
        <w:t xml:space="preserve">. </w:t>
      </w:r>
      <w:r w:rsidRPr="00453BDF">
        <w:rPr>
          <w:rFonts w:ascii="Arial" w:hAnsi="Arial" w:cs="Arial"/>
          <w:color w:val="000000" w:themeColor="text1"/>
          <w:sz w:val="22"/>
          <w:szCs w:val="22"/>
        </w:rPr>
        <w:t>Günümüz DEHB tedavisinin ilk seçeneklerinden</w:t>
      </w:r>
      <w:r>
        <w:rPr>
          <w:rFonts w:ascii="Arial" w:hAnsi="Arial" w:cs="Arial"/>
          <w:color w:val="000000" w:themeColor="text1"/>
          <w:sz w:val="22"/>
          <w:szCs w:val="22"/>
        </w:rPr>
        <w:t xml:space="preserve"> metilfenidat (</w:t>
      </w:r>
      <w:r w:rsidRPr="00245A96">
        <w:rPr>
          <w:rFonts w:ascii="Arial" w:hAnsi="Arial" w:cs="Arial"/>
          <w:sz w:val="22"/>
          <w:szCs w:val="22"/>
        </w:rPr>
        <w:t>MPH</w:t>
      </w:r>
      <w:r>
        <w:rPr>
          <w:rFonts w:ascii="Arial" w:hAnsi="Arial" w:cs="Arial"/>
          <w:color w:val="000000" w:themeColor="text1"/>
          <w:sz w:val="22"/>
          <w:szCs w:val="22"/>
        </w:rPr>
        <w:t xml:space="preserve">) </w:t>
      </w:r>
      <w:r w:rsidR="00BC3BBB">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 "citationItems" : [ { "id" : "ITEM-1", "itemData" : { "DOI" : "10.1002/hup.579", "ISBN" : "0885-6222 (Print)\\r0885-6222 (Linking)", "ISSN" : "08856222", "PMID" : "15079851", "abstract" : "kein Abstract im Artikel vorhanden", "author" : [ { "dropping-particle" : "", "family" : "Leonard", "given" : "Brian E.", "non-dropping-particle" : "", "parse-names" : false, "suffix" : "" }, { "dropping-particle" : "", "family" : "McCartan", "given" : "Denise", "non-dropping-particle" : "", "parse-names" : false, "suffix" : "" }, { "dropping-particle" : "", "family" : "White", "given" : "John", "non-dropping-particle" : "", "parse-names" : false, "suffix" : "" }, { "dropping-particle" : "", "family" : "King", "given" : "David J.", "non-dropping-particle" : "", "parse-names" : false, "suffix" : "" } ], "container-title" : "Human Psychopharmacology", "id" : "ITEM-1", "issue" : "3", "issued" : { "date-parts" : [ [ "2004" ] ] }, "page" : "151-180", "title" : "Methylphenidate: A review of its neuropharmacological, neuropsychological and adverse clinical effects", "type" : "article-journal", "volume" : "19" }, "uris" : [ "http://www.mendeley.com/documents/?uuid=ae71f115-4f55-4f39-a45a-7c37659d3962" ] } ], "mendeley" : { "formattedCitation" : "(44)", "plainTextFormattedCitation" : "(44)", "previouslyFormattedCitation" : "(44)" }, "properties" : { "noteIndex" : 2 }, "schema" : "https://github.com/citation-style-language/schema/raw/master/csl-citation.json" }</w:instrText>
      </w:r>
      <w:r w:rsidR="00BC3BBB">
        <w:rPr>
          <w:rFonts w:ascii="Arial" w:hAnsi="Arial" w:cs="Arial"/>
          <w:color w:val="000000" w:themeColor="text1"/>
          <w:sz w:val="22"/>
          <w:szCs w:val="22"/>
        </w:rPr>
        <w:fldChar w:fldCharType="separate"/>
      </w:r>
      <w:r w:rsidRPr="00F74A96">
        <w:rPr>
          <w:rFonts w:ascii="Arial" w:hAnsi="Arial" w:cs="Arial"/>
          <w:noProof/>
          <w:color w:val="000000" w:themeColor="text1"/>
          <w:sz w:val="22"/>
          <w:szCs w:val="22"/>
        </w:rPr>
        <w:t>(44)</w:t>
      </w:r>
      <w:r w:rsidR="00BC3BBB">
        <w:rPr>
          <w:rFonts w:ascii="Arial" w:hAnsi="Arial" w:cs="Arial"/>
          <w:color w:val="000000" w:themeColor="text1"/>
          <w:sz w:val="22"/>
          <w:szCs w:val="22"/>
        </w:rPr>
        <w:fldChar w:fldCharType="end"/>
      </w:r>
      <w:r>
        <w:rPr>
          <w:rFonts w:ascii="Arial" w:hAnsi="Arial" w:cs="Arial"/>
          <w:color w:val="000000" w:themeColor="text1"/>
          <w:sz w:val="22"/>
          <w:szCs w:val="22"/>
        </w:rPr>
        <w:t xml:space="preserve"> </w:t>
      </w:r>
      <w:r w:rsidRPr="00453BDF">
        <w:rPr>
          <w:rFonts w:ascii="Arial" w:hAnsi="Arial" w:cs="Arial"/>
          <w:color w:val="000000" w:themeColor="text1"/>
          <w:sz w:val="22"/>
          <w:szCs w:val="22"/>
        </w:rPr>
        <w:t>ilk defa Leandro Panizzon tarafından 1944 yılında sentezlenmiş</w:t>
      </w:r>
      <w:r>
        <w:rPr>
          <w:rFonts w:ascii="Arial" w:hAnsi="Arial" w:cs="Arial"/>
          <w:color w:val="000000" w:themeColor="text1"/>
          <w:sz w:val="22"/>
          <w:szCs w:val="22"/>
        </w:rPr>
        <w:t xml:space="preserve"> ve</w:t>
      </w:r>
      <w:r w:rsidRPr="00453BDF">
        <w:rPr>
          <w:rFonts w:ascii="Arial" w:hAnsi="Arial" w:cs="Arial"/>
          <w:color w:val="000000" w:themeColor="text1"/>
          <w:sz w:val="22"/>
          <w:szCs w:val="22"/>
        </w:rPr>
        <w:t xml:space="preserve"> 1954 yılında “Ritalin</w:t>
      </w:r>
      <w:r w:rsidRPr="00051B13">
        <w:rPr>
          <w:rFonts w:ascii="Arial" w:hAnsi="Arial" w:cs="Arial"/>
          <w:color w:val="000000" w:themeColor="text1"/>
          <w:sz w:val="22"/>
          <w:szCs w:val="22"/>
          <w:vertAlign w:val="superscript"/>
        </w:rPr>
        <w:t>®</w:t>
      </w:r>
      <w:r w:rsidRPr="00453BDF">
        <w:rPr>
          <w:rFonts w:ascii="Arial" w:hAnsi="Arial" w:cs="Arial"/>
          <w:color w:val="000000" w:themeColor="text1"/>
          <w:sz w:val="22"/>
          <w:szCs w:val="22"/>
        </w:rPr>
        <w:t>” ismi ile pazarlanmıştır</w:t>
      </w:r>
      <w:r>
        <w:rPr>
          <w:rFonts w:ascii="Arial" w:hAnsi="Arial" w:cs="Arial"/>
          <w:color w:val="000000" w:themeColor="text1"/>
          <w:sz w:val="22"/>
          <w:szCs w:val="22"/>
        </w:rPr>
        <w:t xml:space="preserve"> </w:t>
      </w:r>
      <w:r w:rsidR="00BC3BBB">
        <w:rPr>
          <w:rFonts w:ascii="Arial" w:hAnsi="Arial" w:cs="Arial"/>
          <w:color w:val="000000" w:themeColor="text1"/>
          <w:sz w:val="22"/>
          <w:szCs w:val="22"/>
        </w:rPr>
        <w:fldChar w:fldCharType="begin" w:fldLock="1"/>
      </w:r>
      <w:r w:rsidR="0037573A">
        <w:rPr>
          <w:rFonts w:ascii="Arial" w:hAnsi="Arial" w:cs="Arial"/>
          <w:color w:val="000000" w:themeColor="text1"/>
          <w:sz w:val="22"/>
          <w:szCs w:val="22"/>
        </w:rPr>
        <w:instrText>ADDIN CSL_CITATION { "citationItems" : [ { "id" : "ITEM-1", "itemData" : { "DOI" : "10.4088/PCC.v02n0502", "ISBN" : "1523-5998 (Print)\\n1523-5998 (Linking)", "ISSN" : "1523-5998", "PMID" : "15014637", "abstract" : "Methylphenidate is a central nervous system stimulant drug that has become the primary drug of choice in treating attention-deficit/hyperactivity disorder in children. Side effects are usually mild and are generally well tolerated by patients. Along with increases in prescribing frequency, the potential for abuse has increased. Intranasal abuse produces effects rapidly that are similar to the effects of cocaine in both onset and type. The clinical picture of stimulant abuse produces a wide array of psychiatric symptoms. There is little in the literature to differentiate methylphenidate from other stimulants when they are abused. The need for education of all involved with the use of methylphenidate is discussed to help prevent an increasing pattern of methylphenidate abuse.", "author" : [ { "dropping-particle" : "", "family" : "Morton", "given" : "W. Alexander", "non-dropping-particle" : "", "parse-names" : false, "suffix" : "" }, { "dropping-particle" : "", "family" : "Stockton", "given" : "Gwendolyn G.", "non-dropping-particle" : "", "parse-names" : false, "suffix" : "" } ], "container-title" : "Primary Care Companion to The Journal of Clinical Psychiatry", "id" : "ITEM-1", "issue" : "5", "issued" : { "date-parts" : [ [ "2000" ] ] }, "page" : "159-164", "title" : "Methylphenidate Abuse and Psychiatric Side Effects", "type" : "article-journal", "volume" : "2" }, "uris" : [ "http://www.mendeley.com/documents/?uuid=1bba73fb-264f-4704-9dbe-81ce52a6624b" ] }, { "id" : "ITEM-2", "itemData" : { "DOI" : "10.1007/3-7985-1553-0", "ISBN" : "3-7985-1552-2", "author" : [ { "dropping-particle" : "", "family" : "Rothenberger", "given" : "Aribert", "non-dropping-particle" : "", "parse-names" : false, "suffix" : "" }, { "dropping-particle" : "", "family" : "Neum\u00e4rker", "given" : "Klaus-J\u00fcrgen", "non-dropping-particle" : "", "parse-names" : false, "suffix" : "" } ], "id" : "ITEM-2", "issued" : { "date-parts" : [ [ "2005" ] ] }, "title" : "Wissenschaftsgeschichte der ADHS", "type" : "article-journal" }, "uris" : [ "http://www.mendeley.com/documents/?uuid=78065d33-bf4e-4745-935d-88a8d782186f" ] } ], "mendeley" : { "formattedCitation" : "(41, 45)", "plainTextFormattedCitation" : "(41, 45)", "previouslyFormattedCitation" : "(41, 45)" }, "properties" : { "noteIndex" : 2 }, "schema" : "https://github.com/citation-style-language/schema/raw/master/csl-citation.json" }</w:instrText>
      </w:r>
      <w:r w:rsidR="00BC3BBB">
        <w:rPr>
          <w:rFonts w:ascii="Arial" w:hAnsi="Arial" w:cs="Arial"/>
          <w:color w:val="000000" w:themeColor="text1"/>
          <w:sz w:val="22"/>
          <w:szCs w:val="22"/>
        </w:rPr>
        <w:fldChar w:fldCharType="separate"/>
      </w:r>
      <w:r w:rsidR="00BF1F00" w:rsidRPr="00BF1F00">
        <w:rPr>
          <w:rFonts w:ascii="Arial" w:hAnsi="Arial" w:cs="Arial"/>
          <w:noProof/>
          <w:color w:val="000000" w:themeColor="text1"/>
          <w:sz w:val="22"/>
          <w:szCs w:val="22"/>
        </w:rPr>
        <w:t>(41, 45)</w:t>
      </w:r>
      <w:r w:rsidR="00BC3BBB">
        <w:rPr>
          <w:rFonts w:ascii="Arial" w:hAnsi="Arial" w:cs="Arial"/>
          <w:color w:val="000000" w:themeColor="text1"/>
          <w:sz w:val="22"/>
          <w:szCs w:val="22"/>
        </w:rPr>
        <w:fldChar w:fldCharType="end"/>
      </w:r>
      <w:r w:rsidRPr="00453BDF">
        <w:rPr>
          <w:rFonts w:ascii="Arial" w:hAnsi="Arial" w:cs="Arial"/>
          <w:color w:val="000000" w:themeColor="text1"/>
          <w:sz w:val="22"/>
          <w:szCs w:val="22"/>
        </w:rPr>
        <w:t>.</w:t>
      </w:r>
      <w:r>
        <w:rPr>
          <w:rFonts w:ascii="Arial" w:hAnsi="Arial" w:cs="Arial"/>
          <w:color w:val="000000" w:themeColor="text1"/>
          <w:sz w:val="22"/>
          <w:szCs w:val="22"/>
        </w:rPr>
        <w:t xml:space="preserve"> </w:t>
      </w:r>
      <w:r w:rsidRPr="00453BDF">
        <w:rPr>
          <w:rFonts w:ascii="Arial" w:hAnsi="Arial" w:cs="Arial"/>
          <w:sz w:val="22"/>
          <w:szCs w:val="22"/>
        </w:rPr>
        <w:t>1930 ve 1940’larda yapılan çalışmalar</w:t>
      </w:r>
      <w:r>
        <w:rPr>
          <w:rFonts w:ascii="Arial" w:hAnsi="Arial" w:cs="Arial"/>
          <w:sz w:val="22"/>
          <w:szCs w:val="22"/>
        </w:rPr>
        <w:t>,</w:t>
      </w:r>
      <w:r w:rsidRPr="00453BDF">
        <w:rPr>
          <w:rFonts w:ascii="Arial" w:hAnsi="Arial" w:cs="Arial"/>
          <w:sz w:val="22"/>
          <w:szCs w:val="22"/>
        </w:rPr>
        <w:t xml:space="preserve"> beyin hasarı ile anormal davranışlar arasındaki üstünkörü ilişki fikrini desteklemiştir</w:t>
      </w:r>
      <w:r>
        <w:rPr>
          <w:rFonts w:ascii="Arial" w:hAnsi="Arial" w:cs="Arial"/>
          <w:sz w:val="22"/>
          <w:szCs w:val="22"/>
        </w:rPr>
        <w:t xml:space="preserve"> </w:t>
      </w:r>
      <w:r w:rsidR="00BC3BBB">
        <w:rPr>
          <w:rFonts w:ascii="Arial" w:hAnsi="Arial" w:cs="Arial"/>
          <w:sz w:val="22"/>
          <w:szCs w:val="22"/>
        </w:rPr>
        <w:fldChar w:fldCharType="begin" w:fldLock="1"/>
      </w:r>
      <w:r>
        <w:rPr>
          <w:rFonts w:ascii="Arial" w:hAnsi="Arial" w:cs="Arial"/>
          <w:sz w:val="22"/>
          <w:szCs w:val="22"/>
        </w:rPr>
        <w:instrText>ADDIN CSL_CITATION { "citationItems" : [ { "id" : "ITEM-1", "itemData" : { "author" : [ { "dropping-particle" : "", "family" : "Ross  &amp; Ross, S. A.", "given" : "D M", "non-dropping-particle" : "", "parse-names" : false, "suffix" : "" } ], "id" : "ITEM-1", "issued" : { "date-parts" : [ [ "1976" ] ] }, "title" : "Hyperactivity: Research, theory, and action", "type" : "article-journal" }, "uris" : [ "http://www.mendeley.com/documents/?uuid=e739d035-d56d-4367-975e-3494b261a268" ] } ], "mendeley" : { "formattedCitation" : "(40)", "plainTextFormattedCitation" : "(40)", "previouslyFormattedCitation" : "(40)" }, "properties" : { "noteIndex" : 2 }, "schema" : "https://github.com/citation-style-language/schema/raw/master/csl-citation.json" }</w:instrText>
      </w:r>
      <w:r w:rsidR="00BC3BBB">
        <w:rPr>
          <w:rFonts w:ascii="Arial" w:hAnsi="Arial" w:cs="Arial"/>
          <w:sz w:val="22"/>
          <w:szCs w:val="22"/>
        </w:rPr>
        <w:fldChar w:fldCharType="separate"/>
      </w:r>
      <w:r w:rsidRPr="00F74A96">
        <w:rPr>
          <w:rFonts w:ascii="Arial" w:hAnsi="Arial" w:cs="Arial"/>
          <w:noProof/>
          <w:sz w:val="22"/>
          <w:szCs w:val="22"/>
        </w:rPr>
        <w:t>(40)</w:t>
      </w:r>
      <w:r w:rsidR="00BC3BBB">
        <w:rPr>
          <w:rFonts w:ascii="Arial" w:hAnsi="Arial" w:cs="Arial"/>
          <w:sz w:val="22"/>
          <w:szCs w:val="22"/>
        </w:rPr>
        <w:fldChar w:fldCharType="end"/>
      </w:r>
      <w:r>
        <w:rPr>
          <w:rFonts w:ascii="Arial" w:hAnsi="Arial" w:cs="Arial"/>
          <w:sz w:val="22"/>
          <w:szCs w:val="22"/>
        </w:rPr>
        <w:t xml:space="preserve">. </w:t>
      </w:r>
      <w:r w:rsidRPr="00453BDF">
        <w:rPr>
          <w:rFonts w:ascii="Arial" w:hAnsi="Arial" w:cs="Arial"/>
          <w:i/>
          <w:color w:val="000000" w:themeColor="text1"/>
          <w:sz w:val="22"/>
          <w:szCs w:val="22"/>
        </w:rPr>
        <w:t>“Beyin hasarlı çocuk”</w:t>
      </w:r>
      <w:r w:rsidRPr="00453BDF">
        <w:rPr>
          <w:rFonts w:ascii="Arial" w:hAnsi="Arial" w:cs="Arial"/>
          <w:color w:val="000000" w:themeColor="text1"/>
          <w:sz w:val="22"/>
          <w:szCs w:val="22"/>
        </w:rPr>
        <w:t xml:space="preserve"> kavramı</w:t>
      </w:r>
      <w:r>
        <w:rPr>
          <w:rFonts w:ascii="Arial" w:hAnsi="Arial" w:cs="Arial"/>
          <w:color w:val="000000" w:themeColor="text1"/>
          <w:sz w:val="22"/>
          <w:szCs w:val="22"/>
        </w:rPr>
        <w:t xml:space="preserve"> </w:t>
      </w:r>
      <w:r w:rsidRPr="00453BDF">
        <w:rPr>
          <w:rFonts w:ascii="Arial" w:hAnsi="Arial" w:cs="Arial"/>
          <w:color w:val="000000" w:themeColor="text1"/>
          <w:sz w:val="22"/>
          <w:szCs w:val="22"/>
        </w:rPr>
        <w:t xml:space="preserve">bu dönemde ortaya </w:t>
      </w:r>
      <w:r>
        <w:rPr>
          <w:rFonts w:ascii="Arial" w:hAnsi="Arial" w:cs="Arial"/>
          <w:color w:val="000000" w:themeColor="text1"/>
          <w:sz w:val="22"/>
          <w:szCs w:val="22"/>
        </w:rPr>
        <w:t xml:space="preserve">atılmıştır </w:t>
      </w:r>
      <w:r w:rsidR="00BC3BBB">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 "citationItems" : [ { "id" : "ITEM-1", "itemData" : { "DOI" : "10.1001/jama.1948.02900040070024", "ISBN" : "0022-0663", "ISSN" : "1939-2176", "abstract" : "Reviews the book, \"Psychopathology and Education of the Brain-Injured Child\" by Alfred A. Strauss and Laura E. Lehtinen (see record 1948-02192-000). This book is about children physically handicapped or sound who show intellectual or personality aberrations as a result of injury to the brain substance. The book itself is divided into two parts. Eight chapters are devoted to psychopathology which composes Part I. Part II is composed of four chapters on the education of the brain-injured child. Also there is an appendix which includes an unpublished essay on the brain-injured deaf child written by Mary Agnes Blair, references and an index. Positive feedback is given about this book, where the reviewer states that it is the most compact and comprehensive volume on this topic. (PsycINFO Database Record (c) 2012 APA, all rights reserved)", "author" : [ { "dropping-particle" : "", "family" : "Meltzer", "given" : "H", "non-dropping-particle" : "", "parse-names" : false, "suffix" : "" } ], "container-title" : "Journal of Educational Psychology", "id" : "ITEM-1", "issue" : "2", "issued" : { "date-parts" : [ [ "1950" ] ] }, "page" : "123-124", "title" : "Psychopathology and Education of the Brain-Injured Child: Review.", "type" : "article-journal", "volume" : "41" }, "uris" : [ "http://www.mendeley.com/documents/?uuid=e77811a6-b414-4a6c-895a-97502e29ef4b" ] } ], "mendeley" : { "formattedCitation" : "(46)", "plainTextFormattedCitation" : "(46)", "previouslyFormattedCitation" : "(46)" }, "properties" : { "noteIndex" : 2 }, "schema" : "https://github.com/citation-style-language/schema/raw/master/csl-citation.json" }</w:instrText>
      </w:r>
      <w:r w:rsidR="00BC3BBB">
        <w:rPr>
          <w:rFonts w:ascii="Arial" w:hAnsi="Arial" w:cs="Arial"/>
          <w:color w:val="000000" w:themeColor="text1"/>
          <w:sz w:val="22"/>
          <w:szCs w:val="22"/>
        </w:rPr>
        <w:fldChar w:fldCharType="separate"/>
      </w:r>
      <w:r w:rsidRPr="00F74A96">
        <w:rPr>
          <w:rFonts w:ascii="Arial" w:hAnsi="Arial" w:cs="Arial"/>
          <w:noProof/>
          <w:color w:val="000000" w:themeColor="text1"/>
          <w:sz w:val="22"/>
          <w:szCs w:val="22"/>
        </w:rPr>
        <w:t>(46)</w:t>
      </w:r>
      <w:r w:rsidR="00BC3BBB">
        <w:rPr>
          <w:rFonts w:ascii="Arial" w:hAnsi="Arial" w:cs="Arial"/>
          <w:color w:val="000000" w:themeColor="text1"/>
          <w:sz w:val="22"/>
          <w:szCs w:val="22"/>
        </w:rPr>
        <w:fldChar w:fldCharType="end"/>
      </w:r>
      <w:r w:rsidRPr="00453BDF">
        <w:rPr>
          <w:rFonts w:ascii="Arial" w:hAnsi="Arial" w:cs="Arial"/>
          <w:color w:val="000000" w:themeColor="text1"/>
          <w:sz w:val="22"/>
          <w:szCs w:val="22"/>
        </w:rPr>
        <w:t>.</w:t>
      </w:r>
      <w:r w:rsidRPr="00453BDF">
        <w:rPr>
          <w:rFonts w:ascii="Arial" w:hAnsi="Arial" w:cs="Arial"/>
          <w:color w:val="4F81BD" w:themeColor="accent1"/>
          <w:sz w:val="22"/>
          <w:szCs w:val="22"/>
        </w:rPr>
        <w:t xml:space="preserve"> </w:t>
      </w:r>
      <w:r w:rsidRPr="00453BDF">
        <w:rPr>
          <w:rFonts w:ascii="Arial" w:hAnsi="Arial" w:cs="Arial"/>
          <w:color w:val="000000" w:themeColor="text1"/>
          <w:sz w:val="22"/>
          <w:szCs w:val="22"/>
        </w:rPr>
        <w:t>Bu</w:t>
      </w:r>
      <w:r>
        <w:rPr>
          <w:rFonts w:ascii="Arial" w:hAnsi="Arial" w:cs="Arial"/>
          <w:color w:val="000000" w:themeColor="text1"/>
          <w:sz w:val="22"/>
          <w:szCs w:val="22"/>
        </w:rPr>
        <w:t xml:space="preserve"> kavramı, </w:t>
      </w:r>
      <w:r w:rsidRPr="00453BDF">
        <w:rPr>
          <w:rFonts w:ascii="Arial" w:hAnsi="Arial" w:cs="Arial"/>
          <w:color w:val="000000" w:themeColor="text1"/>
          <w:sz w:val="22"/>
          <w:szCs w:val="22"/>
        </w:rPr>
        <w:t xml:space="preserve">1950’lerde beyin hasarı objektif olarak gösterilemese bile, hiperaktif davranışa neden olduğu varsayımıyla desteklenen </w:t>
      </w:r>
      <w:r w:rsidRPr="00453BDF">
        <w:rPr>
          <w:rFonts w:ascii="Arial" w:hAnsi="Arial" w:cs="Arial"/>
          <w:i/>
          <w:color w:val="000000" w:themeColor="text1"/>
          <w:sz w:val="22"/>
          <w:szCs w:val="22"/>
        </w:rPr>
        <w:t>“minimal beyin hasarı”</w:t>
      </w:r>
      <w:r w:rsidRPr="00453BDF">
        <w:rPr>
          <w:rFonts w:ascii="Arial" w:hAnsi="Arial" w:cs="Arial"/>
          <w:color w:val="000000" w:themeColor="text1"/>
          <w:sz w:val="22"/>
          <w:szCs w:val="22"/>
        </w:rPr>
        <w:t xml:space="preserve"> kavramı takip etmiş</w:t>
      </w:r>
      <w:r>
        <w:rPr>
          <w:rFonts w:ascii="Arial" w:hAnsi="Arial" w:cs="Arial"/>
          <w:color w:val="000000" w:themeColor="text1"/>
          <w:sz w:val="22"/>
          <w:szCs w:val="22"/>
        </w:rPr>
        <w:t xml:space="preserve">tir </w:t>
      </w:r>
      <w:r w:rsidR="00BC3BBB">
        <w:rPr>
          <w:rFonts w:ascii="Arial" w:hAnsi="Arial" w:cs="Arial"/>
          <w:color w:val="000000" w:themeColor="text1"/>
          <w:sz w:val="22"/>
          <w:szCs w:val="22"/>
        </w:rPr>
        <w:fldChar w:fldCharType="begin" w:fldLock="1"/>
      </w:r>
      <w:r w:rsidR="0037573A">
        <w:rPr>
          <w:rFonts w:ascii="Arial" w:hAnsi="Arial" w:cs="Arial"/>
          <w:color w:val="000000" w:themeColor="text1"/>
          <w:sz w:val="22"/>
          <w:szCs w:val="22"/>
        </w:rPr>
        <w:instrText>ADDIN CSL_CITATION { "citationItems" : [ { "id" : "ITEM-1", "itemData" : { "author" : [ { "dropping-particle" : "", "family" : "Ross  &amp; Ross, S. A.", "given" : "D M", "non-dropping-particle" : "", "parse-names" : false, "suffix" : "" } ], "id" : "ITEM-1", "issued" : { "date-parts" : [ [ "1976" ] ] }, "title" : "Hyperactivity: Research, theory, and action", "type" : "article-journal" }, "uris" : [ "http://www.mendeley.com/documents/?uuid=e739d035-d56d-4367-975e-3494b261a268" ] }, { "id" : "ITEM-2", "itemData" : { "ISBN" : "978-1462517725", "author" : [ { "dropping-particle" : "", "family" : "Barkley", "given" : "R A", "non-dropping-particle" : "", "parse-names" : false, "suffix" : "" } ], "id" : "ITEM-2", "issued" : { "date-parts" : [ [ "2006" ] ] }, "title" : "Attention-deficit/hyperactivity disorder: a handbook for diagnosic and treatment", "type" : "article-journal" }, "uris" : [ "http://www.mendeley.com/documents/?uuid=4593ff08-5ba1-48b1-ae4e-5f4ed3a5d094" ] } ], "mendeley" : { "formattedCitation" : "(37, 40)", "plainTextFormattedCitation" : "(37, 40)", "previouslyFormattedCitation" : "(37, 40)" }, "properties" : { "noteIndex" : 2 }, "schema" : "https://github.com/citation-style-language/schema/raw/master/csl-citation.json" }</w:instrText>
      </w:r>
      <w:r w:rsidR="00BC3BBB">
        <w:rPr>
          <w:rFonts w:ascii="Arial" w:hAnsi="Arial" w:cs="Arial"/>
          <w:color w:val="000000" w:themeColor="text1"/>
          <w:sz w:val="22"/>
          <w:szCs w:val="22"/>
        </w:rPr>
        <w:fldChar w:fldCharType="separate"/>
      </w:r>
      <w:r w:rsidR="00BF1F00" w:rsidRPr="00BF1F00">
        <w:rPr>
          <w:rFonts w:ascii="Arial" w:hAnsi="Arial" w:cs="Arial"/>
          <w:noProof/>
          <w:color w:val="000000" w:themeColor="text1"/>
          <w:sz w:val="22"/>
          <w:szCs w:val="22"/>
        </w:rPr>
        <w:t>(37, 40)</w:t>
      </w:r>
      <w:r w:rsidR="00BC3BBB">
        <w:rPr>
          <w:rFonts w:ascii="Arial" w:hAnsi="Arial" w:cs="Arial"/>
          <w:color w:val="000000" w:themeColor="text1"/>
          <w:sz w:val="22"/>
          <w:szCs w:val="22"/>
        </w:rPr>
        <w:fldChar w:fldCharType="end"/>
      </w:r>
      <w:r>
        <w:rPr>
          <w:rFonts w:ascii="Arial" w:hAnsi="Arial" w:cs="Arial"/>
          <w:color w:val="000000" w:themeColor="text1"/>
          <w:sz w:val="22"/>
          <w:szCs w:val="22"/>
        </w:rPr>
        <w:t>.</w:t>
      </w:r>
      <w:r>
        <w:rPr>
          <w:rFonts w:ascii="Arial" w:hAnsi="Arial" w:cs="Arial"/>
          <w:color w:val="E36C0A" w:themeColor="accent6" w:themeShade="BF"/>
          <w:sz w:val="22"/>
          <w:szCs w:val="22"/>
        </w:rPr>
        <w:t xml:space="preserve"> </w:t>
      </w:r>
      <w:r>
        <w:rPr>
          <w:rFonts w:ascii="Arial" w:hAnsi="Arial" w:cs="Arial"/>
          <w:color w:val="000000" w:themeColor="text1"/>
          <w:sz w:val="22"/>
          <w:szCs w:val="22"/>
        </w:rPr>
        <w:t>S</w:t>
      </w:r>
      <w:r w:rsidRPr="00453BDF">
        <w:rPr>
          <w:rFonts w:ascii="Arial" w:hAnsi="Arial" w:cs="Arial"/>
          <w:color w:val="000000" w:themeColor="text1"/>
          <w:sz w:val="22"/>
          <w:szCs w:val="22"/>
        </w:rPr>
        <w:t>onraki incelemeler</w:t>
      </w:r>
      <w:r>
        <w:rPr>
          <w:rFonts w:ascii="Arial" w:hAnsi="Arial" w:cs="Arial"/>
          <w:color w:val="000000" w:themeColor="text1"/>
          <w:sz w:val="22"/>
          <w:szCs w:val="22"/>
        </w:rPr>
        <w:t xml:space="preserve"> ise</w:t>
      </w:r>
      <w:r w:rsidRPr="00453BDF">
        <w:rPr>
          <w:rFonts w:ascii="Arial" w:hAnsi="Arial" w:cs="Arial"/>
          <w:color w:val="000000" w:themeColor="text1"/>
          <w:sz w:val="22"/>
          <w:szCs w:val="22"/>
        </w:rPr>
        <w:t xml:space="preserve"> </w:t>
      </w:r>
      <w:r w:rsidRPr="00453BDF">
        <w:rPr>
          <w:rFonts w:ascii="Arial" w:hAnsi="Arial" w:cs="Arial"/>
          <w:i/>
          <w:color w:val="000000" w:themeColor="text1"/>
          <w:sz w:val="22"/>
          <w:szCs w:val="22"/>
        </w:rPr>
        <w:t>“minimal beyin hasarı”</w:t>
      </w:r>
      <w:r w:rsidRPr="00453BDF">
        <w:rPr>
          <w:rFonts w:ascii="Arial" w:hAnsi="Arial" w:cs="Arial"/>
          <w:color w:val="000000" w:themeColor="text1"/>
          <w:sz w:val="22"/>
          <w:szCs w:val="22"/>
        </w:rPr>
        <w:t xml:space="preserve">  tanısını destekleyecek anatomik hasarın veya hasar öyküsünün genellikle olmadığını ortaya koymuştur</w:t>
      </w:r>
      <w:r>
        <w:rPr>
          <w:rFonts w:ascii="Arial" w:hAnsi="Arial" w:cs="Arial"/>
          <w:color w:val="000000" w:themeColor="text1"/>
          <w:sz w:val="22"/>
          <w:szCs w:val="22"/>
        </w:rPr>
        <w:t xml:space="preserve"> </w:t>
      </w:r>
      <w:r w:rsidR="00BC3BBB">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 "citationItems" : [ { "id" : "ITEM-1", "itemData" : { "author" : [ { "dropping-particle" : "", "family" : "Bax", "given" : "M.", "non-dropping-particle" : "", "parse-names" : false, "suffix" : "" }, { "dropping-particle" : "", "family" : "MacKeith", "given" : "R.", "non-dropping-particle" : "", "parse-names" : false, "suffix" : "" } ], "id" : "ITEM-1", "issued" : { "date-parts" : [ [ "1963" ] ] }, "title" : "Minimal cerebral dysfunction. Little Club Clinics in Developmental Medicine", "type" : "article-journal" }, "uris" : [ "http://www.mendeley.com/documents/?uuid=b4b049de-562b-4d20-b246-2a8703d03882" ] } ], "mendeley" : { "formattedCitation" : "(47)", "plainTextFormattedCitation" : "(47)", "previouslyFormattedCitation" : "(47)" }, "properties" : { "noteIndex" : 2 }, "schema" : "https://github.com/citation-style-language/schema/raw/master/csl-citation.json" }</w:instrText>
      </w:r>
      <w:r w:rsidR="00BC3BBB">
        <w:rPr>
          <w:rFonts w:ascii="Arial" w:hAnsi="Arial" w:cs="Arial"/>
          <w:color w:val="000000" w:themeColor="text1"/>
          <w:sz w:val="22"/>
          <w:szCs w:val="22"/>
        </w:rPr>
        <w:fldChar w:fldCharType="separate"/>
      </w:r>
      <w:r w:rsidRPr="00F74A96">
        <w:rPr>
          <w:rFonts w:ascii="Arial" w:hAnsi="Arial" w:cs="Arial"/>
          <w:noProof/>
          <w:color w:val="000000" w:themeColor="text1"/>
          <w:sz w:val="22"/>
          <w:szCs w:val="22"/>
        </w:rPr>
        <w:t>(47)</w:t>
      </w:r>
      <w:r w:rsidR="00BC3BBB">
        <w:rPr>
          <w:rFonts w:ascii="Arial" w:hAnsi="Arial" w:cs="Arial"/>
          <w:color w:val="000000" w:themeColor="text1"/>
          <w:sz w:val="22"/>
          <w:szCs w:val="22"/>
        </w:rPr>
        <w:fldChar w:fldCharType="end"/>
      </w:r>
      <w:r w:rsidRPr="00453BDF">
        <w:rPr>
          <w:rFonts w:ascii="Arial" w:hAnsi="Arial" w:cs="Arial"/>
          <w:color w:val="000000" w:themeColor="text1"/>
          <w:sz w:val="22"/>
          <w:szCs w:val="22"/>
        </w:rPr>
        <w:t xml:space="preserve">. </w:t>
      </w:r>
      <w:r w:rsidRPr="00453BDF">
        <w:rPr>
          <w:rFonts w:ascii="Arial" w:hAnsi="Arial" w:cs="Arial"/>
          <w:color w:val="000000" w:themeColor="text1"/>
          <w:sz w:val="22"/>
          <w:szCs w:val="22"/>
          <w:shd w:val="clear" w:color="auto" w:fill="FFFFFF"/>
        </w:rPr>
        <w:t xml:space="preserve">Bu sebeple </w:t>
      </w:r>
      <w:r w:rsidRPr="00453BDF">
        <w:rPr>
          <w:rFonts w:ascii="Arial" w:hAnsi="Arial" w:cs="Arial"/>
          <w:i/>
          <w:color w:val="000000" w:themeColor="text1"/>
          <w:sz w:val="22"/>
          <w:szCs w:val="22"/>
          <w:shd w:val="clear" w:color="auto" w:fill="FFFFFF"/>
        </w:rPr>
        <w:t>"minimal beyin hasarı"</w:t>
      </w:r>
      <w:r w:rsidRPr="00453BDF">
        <w:rPr>
          <w:rFonts w:ascii="Arial" w:hAnsi="Arial" w:cs="Arial"/>
          <w:color w:val="000000" w:themeColor="text1"/>
          <w:sz w:val="22"/>
          <w:szCs w:val="22"/>
          <w:shd w:val="clear" w:color="auto" w:fill="FFFFFF"/>
        </w:rPr>
        <w:t xml:space="preserve"> teriminin</w:t>
      </w:r>
      <w:r>
        <w:rPr>
          <w:rFonts w:ascii="Arial" w:hAnsi="Arial" w:cs="Arial"/>
          <w:color w:val="000000" w:themeColor="text1"/>
          <w:sz w:val="22"/>
          <w:szCs w:val="22"/>
          <w:shd w:val="clear" w:color="auto" w:fill="FFFFFF"/>
        </w:rPr>
        <w:t xml:space="preserve"> </w:t>
      </w:r>
      <w:r w:rsidRPr="00453BDF">
        <w:rPr>
          <w:rFonts w:ascii="Arial" w:hAnsi="Arial" w:cs="Arial"/>
          <w:i/>
          <w:color w:val="000000" w:themeColor="text1"/>
          <w:sz w:val="22"/>
          <w:szCs w:val="22"/>
          <w:shd w:val="clear" w:color="auto" w:fill="FFFFFF"/>
        </w:rPr>
        <w:t>"minimal beyin disfonksiyonu(</w:t>
      </w:r>
      <w:r w:rsidRPr="00245A96">
        <w:rPr>
          <w:rFonts w:ascii="Arial" w:hAnsi="Arial" w:cs="Arial"/>
          <w:i/>
          <w:sz w:val="22"/>
          <w:szCs w:val="22"/>
          <w:shd w:val="clear" w:color="auto" w:fill="FFFFFF"/>
        </w:rPr>
        <w:t>MBD</w:t>
      </w:r>
      <w:r w:rsidRPr="00453BDF">
        <w:rPr>
          <w:rFonts w:ascii="Arial" w:hAnsi="Arial" w:cs="Arial"/>
          <w:i/>
          <w:color w:val="000000" w:themeColor="text1"/>
          <w:sz w:val="22"/>
          <w:szCs w:val="22"/>
          <w:shd w:val="clear" w:color="auto" w:fill="FFFFFF"/>
        </w:rPr>
        <w:t>)"</w:t>
      </w:r>
      <w:r w:rsidRPr="00453BDF">
        <w:rPr>
          <w:rFonts w:ascii="Arial" w:hAnsi="Arial" w:cs="Arial"/>
          <w:color w:val="000000" w:themeColor="text1"/>
          <w:sz w:val="22"/>
          <w:szCs w:val="22"/>
          <w:shd w:val="clear" w:color="auto" w:fill="FFFFFF"/>
        </w:rPr>
        <w:t xml:space="preserve"> ile değiştirilmesi gündeme gelmiştir</w:t>
      </w:r>
      <w:r>
        <w:rPr>
          <w:rFonts w:ascii="Arial" w:hAnsi="Arial" w:cs="Arial"/>
          <w:color w:val="000000" w:themeColor="text1"/>
          <w:sz w:val="22"/>
          <w:szCs w:val="22"/>
          <w:shd w:val="clear" w:color="auto" w:fill="FFFFFF"/>
        </w:rPr>
        <w:t xml:space="preserve"> </w:t>
      </w:r>
      <w:r w:rsidR="00BC3BBB">
        <w:rPr>
          <w:rFonts w:ascii="Arial" w:hAnsi="Arial" w:cs="Arial"/>
          <w:color w:val="000000" w:themeColor="text1"/>
          <w:sz w:val="22"/>
          <w:szCs w:val="22"/>
          <w:shd w:val="clear" w:color="auto" w:fill="FFFFFF"/>
        </w:rPr>
        <w:fldChar w:fldCharType="begin" w:fldLock="1"/>
      </w:r>
      <w:r w:rsidR="0037573A">
        <w:rPr>
          <w:rFonts w:ascii="Arial" w:hAnsi="Arial" w:cs="Arial"/>
          <w:color w:val="000000" w:themeColor="text1"/>
          <w:sz w:val="22"/>
          <w:szCs w:val="22"/>
          <w:shd w:val="clear" w:color="auto" w:fill="FFFFFF"/>
        </w:rPr>
        <w:instrText>ADDIN CSL_CITATION { "citationItems" : [ { "id" : "ITEM-1", "itemData" : { "author" : [ { "dropping-particle" : "", "family" : "Ross  &amp; Ross, S. A.", "given" : "D M", "non-dropping-particle" : "", "parse-names" : false, "suffix" : "" } ], "id" : "ITEM-1", "issued" : { "date-parts" : [ [ "1976" ] ] }, "title" : "Hyperactivity: Research, theory, and action", "type" : "article-journal" }, "uris" : [ "http://www.mendeley.com/documents/?uuid=e739d035-d56d-4367-975e-3494b261a268" ] }, { "id" : "ITEM-2", "itemData" : { "DOI" : "10.1007/3-7985-1553-0", "ISBN" : "3-7985-1552-2", "author" : [ { "dropping-particle" : "", "family" : "Rothenberger", "given" : "Aribert", "non-dropping-particle" : "", "parse-names" : false, "suffix" : "" }, { "dropping-particle" : "", "family" : "Neum\u00e4rker", "given" : "Klaus-J\u00fcrgen", "non-dropping-particle" : "", "parse-names" : false, "suffix" : "" } ], "id" : "ITEM-2", "issued" : { "date-parts" : [ [ "2005" ] ] }, "title" : "Wissenschaftsgeschichte der ADHS", "type" : "article-journal" }, "uris" : [ "http://www.mendeley.com/documents/?uuid=78065d33-bf4e-4745-935d-88a8d782186f" ] } ], "mendeley" : { "formattedCitation" : "(40, 41)", "plainTextFormattedCitation" : "(40, 41)", "previouslyFormattedCitation" : "(40, 41)" }, "properties" : { "noteIndex" : 2 }, "schema" : "https://github.com/citation-style-language/schema/raw/master/csl-citation.json" }</w:instrText>
      </w:r>
      <w:r w:rsidR="00BC3BBB">
        <w:rPr>
          <w:rFonts w:ascii="Arial" w:hAnsi="Arial" w:cs="Arial"/>
          <w:color w:val="000000" w:themeColor="text1"/>
          <w:sz w:val="22"/>
          <w:szCs w:val="22"/>
          <w:shd w:val="clear" w:color="auto" w:fill="FFFFFF"/>
        </w:rPr>
        <w:fldChar w:fldCharType="separate"/>
      </w:r>
      <w:r w:rsidR="00BF1F00" w:rsidRPr="00BF1F00">
        <w:rPr>
          <w:rFonts w:ascii="Arial" w:hAnsi="Arial" w:cs="Arial"/>
          <w:noProof/>
          <w:color w:val="000000" w:themeColor="text1"/>
          <w:sz w:val="22"/>
          <w:szCs w:val="22"/>
          <w:shd w:val="clear" w:color="auto" w:fill="FFFFFF"/>
        </w:rPr>
        <w:t>(40, 41)</w:t>
      </w:r>
      <w:r w:rsidR="00BC3BBB">
        <w:rPr>
          <w:rFonts w:ascii="Arial" w:hAnsi="Arial" w:cs="Arial"/>
          <w:color w:val="000000" w:themeColor="text1"/>
          <w:sz w:val="22"/>
          <w:szCs w:val="22"/>
          <w:shd w:val="clear" w:color="auto" w:fill="FFFFFF"/>
        </w:rPr>
        <w:fldChar w:fldCharType="end"/>
      </w:r>
      <w:r w:rsidRPr="00453BDF">
        <w:rPr>
          <w:rFonts w:ascii="Arial" w:hAnsi="Arial" w:cs="Arial"/>
          <w:color w:val="212121"/>
          <w:sz w:val="22"/>
          <w:szCs w:val="22"/>
          <w:shd w:val="clear" w:color="auto" w:fill="FFFFFF"/>
        </w:rPr>
        <w:t>.</w:t>
      </w:r>
      <w:r>
        <w:rPr>
          <w:rFonts w:ascii="Arial" w:hAnsi="Arial" w:cs="Arial"/>
          <w:color w:val="212121"/>
          <w:sz w:val="22"/>
          <w:szCs w:val="22"/>
          <w:shd w:val="clear" w:color="auto" w:fill="FFFFFF"/>
        </w:rPr>
        <w:t xml:space="preserve"> </w:t>
      </w:r>
      <w:r w:rsidRPr="00453BDF">
        <w:rPr>
          <w:rFonts w:ascii="Arial" w:hAnsi="Arial" w:cs="Arial"/>
          <w:color w:val="000000" w:themeColor="text1"/>
          <w:sz w:val="22"/>
          <w:szCs w:val="22"/>
        </w:rPr>
        <w:t>DEHB’yi tanımlayan üç ana bulgu olan dikkat eksikliği, dürtüsellik ve hiperaktivite kavramı</w:t>
      </w:r>
      <w:r>
        <w:rPr>
          <w:rFonts w:ascii="Arial" w:hAnsi="Arial" w:cs="Arial"/>
          <w:color w:val="000000" w:themeColor="text1"/>
          <w:sz w:val="22"/>
          <w:szCs w:val="22"/>
        </w:rPr>
        <w:t xml:space="preserve">, </w:t>
      </w:r>
      <w:r w:rsidRPr="00453BDF">
        <w:rPr>
          <w:rFonts w:ascii="Arial" w:hAnsi="Arial" w:cs="Arial"/>
          <w:color w:val="000000" w:themeColor="text1"/>
          <w:sz w:val="22"/>
          <w:szCs w:val="22"/>
        </w:rPr>
        <w:t xml:space="preserve">MBD tanımıyla ile birlikte </w:t>
      </w:r>
      <w:r>
        <w:rPr>
          <w:rFonts w:ascii="Arial" w:hAnsi="Arial" w:cs="Arial"/>
          <w:color w:val="000000" w:themeColor="text1"/>
          <w:sz w:val="22"/>
          <w:szCs w:val="22"/>
        </w:rPr>
        <w:t xml:space="preserve">gündeme gelmiştir </w:t>
      </w:r>
      <w:r w:rsidR="00BC3BBB">
        <w:rPr>
          <w:rFonts w:ascii="Arial" w:hAnsi="Arial" w:cs="Arial"/>
          <w:color w:val="000000" w:themeColor="text1"/>
          <w:sz w:val="22"/>
          <w:szCs w:val="22"/>
        </w:rPr>
        <w:fldChar w:fldCharType="begin" w:fldLock="1"/>
      </w:r>
      <w:r w:rsidR="0037573A">
        <w:rPr>
          <w:rFonts w:ascii="Arial" w:hAnsi="Arial" w:cs="Arial"/>
          <w:color w:val="000000" w:themeColor="text1"/>
          <w:sz w:val="22"/>
          <w:szCs w:val="22"/>
        </w:rPr>
        <w:instrText>ADDIN CSL_CITATION { "citationItems" : [ { "id" : "ITEM-1", "itemData" : { "DOI" : "10.1007/s12402-010-0045-8", "ISBN" : "1866-6116", "ISSN" : "1866-6116", "abstract" : "The contemporary concept of attention deficit hyperactivity disorder (ADHD) as defined in the DSM-IV-TR (American Psychiatric Association 2000) is relatively new. Excessive hyperactive, inattentive, and impulsive children have been described in the literature since the nineteenth century. Some of the early depictions and etiological theories of hyperactivity were similar to current descriptions of ADHD. Detailed studies of the behavior of hyperactive children and increasing knowledge of brain function have changed the concepts of the fundamental behavioral and neuropathological deficits underlying the disorder. This article presents an overview of the conceptual history of modern-day ADHD.", "author" : [ { "dropping-particle" : "", "family" : "Lange", "given" : "Klaus", "non-dropping-particle" : "", "parse-names" : false, "suffix" : "" }, { "dropping-particle" : "", "family" : "Reichl", "given" : "Susanne", "non-dropping-particle" : "", "parse-names" : false, "suffix" : "" }, { "dropping-particle" : "", "family" : "Lange", "given" : "Katharina", "non-dropping-particle" : "", "parse-names" : false, "suffix" : "" }, { "dropping-particle" : "", "family" : "Tucha", "given" : "Lara", "non-dropping-particle" : "", "parse-names" : false, "suffix" : "" }, { "dropping-particle" : "", "family" : "Tucha", "given" : "Oliver", "non-dropping-particle" : "", "parse-names" : false, "suffix" : "" } ], "container-title" : "ADHD Attention Deficit and Hyperactivity Disorders", "id" : "ITEM-1", "issue" : "4", "issued" : { "date-parts" : [ [ "2010" ] ] }, "page" : "241-255", "title" : "The history of attention deficit hyperactivity disorder", "type" : "article-journal", "volume" : "2" }, "uris" : [ "http://www.mendeley.com/documents/?uuid=9651aeca-9690-4f3d-928d-8bc83211dbf3" ] }, { "id" : "ITEM-2", "itemData" : { "author" : [ { "dropping-particle" : "", "family" : "Conners", "given" : "CK", "non-dropping-particle" : "", "parse-names" : false, "suffix" : "" } ], "container-title" : "Journal of Attention Disorders", "id" : "ITEM-2", "issue" : "4", "issued" : { "date-parts" : [ [ "2000" ] ] }, "page" : "173-191", "title" : "Attention-Deficit/Hyperactivity Disorder - Historical Development and Overview", "type" : "article-journal", "volume" : "3" }, "uris" : [ "http://www.mendeley.com/documents/?uuid=d58bbff5-5a27-4c4a-acc7-e606fe917e32" ] } ], "mendeley" : { "formattedCitation" : "(35, 48)", "plainTextFormattedCitation" : "(35, 48)", "previouslyFormattedCitation" : "(35, 48)" }, "properties" : { "noteIndex" : 2 }, "schema" : "https://github.com/citation-style-language/schema/raw/master/csl-citation.json" }</w:instrText>
      </w:r>
      <w:r w:rsidR="00BC3BBB">
        <w:rPr>
          <w:rFonts w:ascii="Arial" w:hAnsi="Arial" w:cs="Arial"/>
          <w:color w:val="000000" w:themeColor="text1"/>
          <w:sz w:val="22"/>
          <w:szCs w:val="22"/>
        </w:rPr>
        <w:fldChar w:fldCharType="separate"/>
      </w:r>
      <w:r w:rsidR="00BF1F00" w:rsidRPr="00BF1F00">
        <w:rPr>
          <w:rFonts w:ascii="Arial" w:hAnsi="Arial" w:cs="Arial"/>
          <w:noProof/>
          <w:color w:val="000000" w:themeColor="text1"/>
          <w:sz w:val="22"/>
          <w:szCs w:val="22"/>
        </w:rPr>
        <w:t>(35, 48)</w:t>
      </w:r>
      <w:r w:rsidR="00BC3BBB">
        <w:rPr>
          <w:rFonts w:ascii="Arial" w:hAnsi="Arial" w:cs="Arial"/>
          <w:color w:val="000000" w:themeColor="text1"/>
          <w:sz w:val="22"/>
          <w:szCs w:val="22"/>
        </w:rPr>
        <w:fldChar w:fldCharType="end"/>
      </w:r>
      <w:r>
        <w:rPr>
          <w:rFonts w:ascii="Arial" w:hAnsi="Arial" w:cs="Arial"/>
          <w:color w:val="000000" w:themeColor="text1"/>
          <w:sz w:val="22"/>
          <w:szCs w:val="22"/>
        </w:rPr>
        <w:t>.</w:t>
      </w:r>
      <w:r>
        <w:rPr>
          <w:rFonts w:ascii="Arial" w:hAnsi="Arial" w:cs="Arial"/>
          <w:color w:val="E36C0A" w:themeColor="accent6" w:themeShade="BF"/>
          <w:sz w:val="22"/>
          <w:szCs w:val="22"/>
        </w:rPr>
        <w:t xml:space="preserve"> </w:t>
      </w:r>
      <w:r w:rsidRPr="00453BDF">
        <w:rPr>
          <w:rFonts w:ascii="Arial" w:hAnsi="Arial" w:cs="Arial"/>
          <w:sz w:val="22"/>
          <w:szCs w:val="22"/>
        </w:rPr>
        <w:t>MBD</w:t>
      </w:r>
      <w:r>
        <w:rPr>
          <w:rFonts w:ascii="Arial" w:hAnsi="Arial" w:cs="Arial"/>
          <w:sz w:val="22"/>
          <w:szCs w:val="22"/>
        </w:rPr>
        <w:t xml:space="preserve"> terimi</w:t>
      </w:r>
      <w:r w:rsidRPr="00453BDF">
        <w:rPr>
          <w:rFonts w:ascii="Arial" w:hAnsi="Arial" w:cs="Arial"/>
          <w:sz w:val="22"/>
          <w:szCs w:val="22"/>
        </w:rPr>
        <w:t xml:space="preserve"> çok genel ve heteroje</w:t>
      </w:r>
      <w:r>
        <w:rPr>
          <w:rFonts w:ascii="Arial" w:hAnsi="Arial" w:cs="Arial"/>
          <w:sz w:val="22"/>
          <w:szCs w:val="22"/>
        </w:rPr>
        <w:t xml:space="preserve">n olması nedeniyle eleştirilmiş ve </w:t>
      </w:r>
      <w:r w:rsidRPr="00453BDF">
        <w:rPr>
          <w:rFonts w:ascii="Arial" w:hAnsi="Arial" w:cs="Arial"/>
          <w:sz w:val="22"/>
          <w:szCs w:val="22"/>
        </w:rPr>
        <w:t>sonradan “hiperaktivite”, “öğrenme bozukluğu”, “disleksi” ve “ dil bozuklukları” gibi birden çok</w:t>
      </w:r>
      <w:r>
        <w:rPr>
          <w:rFonts w:ascii="Arial" w:hAnsi="Arial" w:cs="Arial"/>
          <w:sz w:val="22"/>
          <w:szCs w:val="22"/>
        </w:rPr>
        <w:t xml:space="preserve"> </w:t>
      </w:r>
      <w:r w:rsidRPr="00453BDF">
        <w:rPr>
          <w:rFonts w:ascii="Arial" w:hAnsi="Arial" w:cs="Arial"/>
          <w:sz w:val="22"/>
          <w:szCs w:val="22"/>
        </w:rPr>
        <w:t>ve özgün tanısal terim ile değiştirilmiştir</w:t>
      </w:r>
      <w:r>
        <w:rPr>
          <w:rFonts w:ascii="Arial" w:hAnsi="Arial" w:cs="Arial"/>
          <w:sz w:val="22"/>
          <w:szCs w:val="22"/>
        </w:rPr>
        <w:t xml:space="preserve"> </w:t>
      </w:r>
      <w:r w:rsidR="00BC3BBB">
        <w:rPr>
          <w:rFonts w:ascii="Arial" w:hAnsi="Arial" w:cs="Arial"/>
          <w:sz w:val="22"/>
          <w:szCs w:val="22"/>
        </w:rPr>
        <w:fldChar w:fldCharType="begin" w:fldLock="1"/>
      </w:r>
      <w:r w:rsidR="0037573A">
        <w:rPr>
          <w:rFonts w:ascii="Arial" w:hAnsi="Arial" w:cs="Arial"/>
          <w:sz w:val="22"/>
          <w:szCs w:val="22"/>
        </w:rPr>
        <w:instrText>ADDIN CSL_CITATION { "citationItems" : [ { "id" : "ITEM-1", "itemData" : { "ISBN" : "978-1462517725", "author" : [ { "dropping-particle" : "", "family" : "Barkley", "given" : "R A", "non-dropping-particle" : "", "parse-names" : false, "suffix" : "" } ], "id" : "ITEM-1", "issued" : { "date-parts" : [ [ "2006" ] ] }, "title" : "Attention-deficit/hyperactivity disorder: a handbook for diagnosic and treatment", "type" : "article-journal" }, "uris" : [ "http://www.mendeley.com/documents/?uuid=4593ff08-5ba1-48b1-ae4e-5f4ed3a5d094" ] }, { "id" : "ITEM-2", "itemData" : { "DOI" : "10.1007/3-7985-1553-0", "ISBN" : "3-7985-1552-2", "author" : [ { "dropping-particle" : "", "family" : "Rothenberger", "given" : "Aribert", "non-dropping-particle" : "", "parse-names" : false, "suffix" : "" }, { "dropping-particle" : "", "family" : "Neum\u00e4rker", "given" : "Klaus-J\u00fcrgen", "non-dropping-particle" : "", "parse-names" : false, "suffix" : "" } ], "id" : "ITEM-2", "issued" : { "date-parts" : [ [ "2005" ] ] }, "title" : "Wissenschaftsgeschichte der ADHS", "type" : "article-journal" }, "uris" : [ "http://www.mendeley.com/documents/?uuid=78065d33-bf4e-4745-935d-88a8d782186f" ] } ], "mendeley" : { "formattedCitation" : "(37, 41)", "plainTextFormattedCitation" : "(37, 41)", "previouslyFormattedCitation" : "(37, 41)" }, "properties" : { "noteIndex" : 2 }, "schema" : "https://github.com/citation-style-language/schema/raw/master/csl-citation.json" }</w:instrText>
      </w:r>
      <w:r w:rsidR="00BC3BBB">
        <w:rPr>
          <w:rFonts w:ascii="Arial" w:hAnsi="Arial" w:cs="Arial"/>
          <w:sz w:val="22"/>
          <w:szCs w:val="22"/>
        </w:rPr>
        <w:fldChar w:fldCharType="separate"/>
      </w:r>
      <w:r w:rsidR="00BF1F00" w:rsidRPr="00BF1F00">
        <w:rPr>
          <w:rFonts w:ascii="Arial" w:hAnsi="Arial" w:cs="Arial"/>
          <w:noProof/>
          <w:sz w:val="22"/>
          <w:szCs w:val="22"/>
        </w:rPr>
        <w:t>(37, 41)</w:t>
      </w:r>
      <w:r w:rsidR="00BC3BBB">
        <w:rPr>
          <w:rFonts w:ascii="Arial" w:hAnsi="Arial" w:cs="Arial"/>
          <w:sz w:val="22"/>
          <w:szCs w:val="22"/>
        </w:rPr>
        <w:fldChar w:fldCharType="end"/>
      </w:r>
      <w:r>
        <w:rPr>
          <w:rFonts w:ascii="Arial" w:hAnsi="Arial" w:cs="Arial"/>
          <w:sz w:val="22"/>
          <w:szCs w:val="22"/>
        </w:rPr>
        <w:t xml:space="preserve">. </w:t>
      </w:r>
      <w:r w:rsidRPr="00453BDF">
        <w:rPr>
          <w:rFonts w:ascii="Arial" w:hAnsi="Arial" w:cs="Arial"/>
          <w:sz w:val="22"/>
          <w:szCs w:val="22"/>
        </w:rPr>
        <w:t>19</w:t>
      </w:r>
      <w:r>
        <w:rPr>
          <w:rFonts w:ascii="Arial" w:hAnsi="Arial" w:cs="Arial"/>
          <w:sz w:val="22"/>
          <w:szCs w:val="22"/>
        </w:rPr>
        <w:t>68 yılında</w:t>
      </w:r>
      <w:r w:rsidRPr="00453BDF">
        <w:rPr>
          <w:rFonts w:ascii="Arial" w:hAnsi="Arial" w:cs="Arial"/>
          <w:sz w:val="22"/>
          <w:szCs w:val="22"/>
        </w:rPr>
        <w:t xml:space="preserve"> bu kavram </w:t>
      </w:r>
      <w:r w:rsidRPr="00453BDF">
        <w:rPr>
          <w:rFonts w:ascii="Arial" w:hAnsi="Arial" w:cs="Arial"/>
          <w:i/>
          <w:sz w:val="22"/>
          <w:szCs w:val="22"/>
        </w:rPr>
        <w:t>“Çocukluktaki Hiperkinetik Reaksiyon”</w:t>
      </w:r>
      <w:r>
        <w:rPr>
          <w:rFonts w:ascii="Arial" w:hAnsi="Arial" w:cs="Arial"/>
          <w:i/>
          <w:sz w:val="22"/>
          <w:szCs w:val="22"/>
        </w:rPr>
        <w:t xml:space="preserve"> </w:t>
      </w:r>
      <w:r w:rsidRPr="00453BDF">
        <w:rPr>
          <w:rFonts w:ascii="Arial" w:hAnsi="Arial" w:cs="Arial"/>
          <w:sz w:val="22"/>
          <w:szCs w:val="22"/>
        </w:rPr>
        <w:t xml:space="preserve">olarak </w:t>
      </w:r>
      <w:r w:rsidRPr="00E74B47">
        <w:rPr>
          <w:rFonts w:ascii="Arial" w:hAnsi="Arial" w:cs="Arial"/>
          <w:sz w:val="22"/>
          <w:szCs w:val="22"/>
        </w:rPr>
        <w:t>Diagnostic and Statistical Manual</w:t>
      </w:r>
      <w:r>
        <w:rPr>
          <w:rFonts w:ascii="Arial" w:hAnsi="Arial" w:cs="Arial"/>
          <w:sz w:val="22"/>
          <w:szCs w:val="22"/>
        </w:rPr>
        <w:t xml:space="preserve"> of Mental Disorders (</w:t>
      </w:r>
      <w:r w:rsidRPr="00245A96">
        <w:rPr>
          <w:rFonts w:ascii="Arial" w:hAnsi="Arial" w:cs="Arial"/>
          <w:sz w:val="22"/>
          <w:szCs w:val="22"/>
        </w:rPr>
        <w:t>DSM</w:t>
      </w:r>
      <w:r>
        <w:rPr>
          <w:rFonts w:ascii="Arial" w:hAnsi="Arial" w:cs="Arial"/>
          <w:sz w:val="22"/>
          <w:szCs w:val="22"/>
        </w:rPr>
        <w:t>)</w:t>
      </w:r>
      <w:r w:rsidRPr="00453BDF">
        <w:rPr>
          <w:rFonts w:ascii="Arial" w:hAnsi="Arial" w:cs="Arial"/>
          <w:sz w:val="22"/>
          <w:szCs w:val="22"/>
        </w:rPr>
        <w:t>-</w:t>
      </w:r>
      <w:r>
        <w:rPr>
          <w:rFonts w:ascii="Arial" w:hAnsi="Arial" w:cs="Arial"/>
          <w:sz w:val="22"/>
          <w:szCs w:val="22"/>
        </w:rPr>
        <w:t>II’y</w:t>
      </w:r>
      <w:r w:rsidRPr="00453BDF">
        <w:rPr>
          <w:rFonts w:ascii="Arial" w:hAnsi="Arial" w:cs="Arial"/>
          <w:sz w:val="22"/>
          <w:szCs w:val="22"/>
        </w:rPr>
        <w:t>e</w:t>
      </w:r>
      <w:r>
        <w:rPr>
          <w:rFonts w:ascii="Arial" w:hAnsi="Arial" w:cs="Arial"/>
          <w:sz w:val="22"/>
          <w:szCs w:val="22"/>
        </w:rPr>
        <w:t xml:space="preserve"> girmiş </w:t>
      </w:r>
      <w:r w:rsidR="00BC3BBB">
        <w:rPr>
          <w:rFonts w:ascii="Arial" w:hAnsi="Arial" w:cs="Arial"/>
          <w:sz w:val="22"/>
          <w:szCs w:val="22"/>
        </w:rPr>
        <w:fldChar w:fldCharType="begin" w:fldLock="1"/>
      </w:r>
      <w:r>
        <w:rPr>
          <w:rFonts w:ascii="Arial" w:hAnsi="Arial" w:cs="Arial"/>
          <w:sz w:val="22"/>
          <w:szCs w:val="22"/>
        </w:rPr>
        <w:instrText>ADDIN CSL_CITATION { "citationItems" : [ { "id" : "ITEM-1", "itemData" : { "author" : [ { "dropping-particle" : "", "family" : "American Psychiatric Association", "given" : "", "non-dropping-particle" : "", "parse-names" : false, "suffix" : "" } ], "id" : "ITEM-1", "issued" : { "date-parts" : [ [ "1968" ] ] }, "publisher-place" : "Washington DC", "title" : "Diagnostic and Statistical Manual of Mental Disorders (DSM - II)", "type" : "book" }, "uris" : [ "http://www.mendeley.com/documents/?uuid=60095f8f-2057-4f33-9dd7-80dc5ebb6d32" ] } ], "mendeley" : { "formattedCitation" : "(49)", "plainTextFormattedCitation" : "(49)", "previouslyFormattedCitation" : "(49)" }, "properties" : { "noteIndex" : 2 }, "schema" : "https://github.com/citation-style-language/schema/raw/master/csl-citation.json" }</w:instrText>
      </w:r>
      <w:r w:rsidR="00BC3BBB">
        <w:rPr>
          <w:rFonts w:ascii="Arial" w:hAnsi="Arial" w:cs="Arial"/>
          <w:sz w:val="22"/>
          <w:szCs w:val="22"/>
        </w:rPr>
        <w:fldChar w:fldCharType="separate"/>
      </w:r>
      <w:r w:rsidRPr="00F74A96">
        <w:rPr>
          <w:rFonts w:ascii="Arial" w:hAnsi="Arial" w:cs="Arial"/>
          <w:noProof/>
          <w:sz w:val="22"/>
          <w:szCs w:val="22"/>
        </w:rPr>
        <w:t>(49)</w:t>
      </w:r>
      <w:r w:rsidR="00BC3BBB">
        <w:rPr>
          <w:rFonts w:ascii="Arial" w:hAnsi="Arial" w:cs="Arial"/>
          <w:sz w:val="22"/>
          <w:szCs w:val="22"/>
        </w:rPr>
        <w:fldChar w:fldCharType="end"/>
      </w:r>
      <w:r>
        <w:rPr>
          <w:rFonts w:ascii="Arial" w:hAnsi="Arial" w:cs="Arial"/>
          <w:sz w:val="22"/>
          <w:szCs w:val="22"/>
        </w:rPr>
        <w:t xml:space="preserve"> </w:t>
      </w:r>
      <w:r w:rsidRPr="00453BDF">
        <w:rPr>
          <w:rFonts w:ascii="Arial" w:hAnsi="Arial" w:cs="Arial"/>
          <w:sz w:val="22"/>
          <w:szCs w:val="22"/>
        </w:rPr>
        <w:t xml:space="preserve">ve bu </w:t>
      </w:r>
      <w:r>
        <w:rPr>
          <w:rFonts w:ascii="Arial" w:hAnsi="Arial" w:cs="Arial"/>
          <w:sz w:val="22"/>
          <w:szCs w:val="22"/>
        </w:rPr>
        <w:t>sayede</w:t>
      </w:r>
      <w:r w:rsidRPr="00453BDF">
        <w:rPr>
          <w:rFonts w:ascii="Arial" w:hAnsi="Arial" w:cs="Arial"/>
          <w:sz w:val="22"/>
          <w:szCs w:val="22"/>
        </w:rPr>
        <w:t xml:space="preserve"> “hiperaktivite”</w:t>
      </w:r>
      <w:r>
        <w:rPr>
          <w:rFonts w:ascii="Arial" w:hAnsi="Arial" w:cs="Arial"/>
          <w:sz w:val="22"/>
          <w:szCs w:val="22"/>
        </w:rPr>
        <w:t xml:space="preserve"> </w:t>
      </w:r>
      <w:r w:rsidRPr="00453BDF">
        <w:rPr>
          <w:rFonts w:ascii="Arial" w:hAnsi="Arial" w:cs="Arial"/>
          <w:sz w:val="22"/>
          <w:szCs w:val="22"/>
        </w:rPr>
        <w:t>resmi</w:t>
      </w:r>
      <w:r>
        <w:rPr>
          <w:rFonts w:ascii="Arial" w:hAnsi="Arial" w:cs="Arial"/>
          <w:sz w:val="22"/>
          <w:szCs w:val="22"/>
        </w:rPr>
        <w:t xml:space="preserve"> </w:t>
      </w:r>
      <w:r w:rsidRPr="00453BDF">
        <w:rPr>
          <w:rFonts w:ascii="Arial" w:hAnsi="Arial" w:cs="Arial"/>
          <w:sz w:val="22"/>
          <w:szCs w:val="22"/>
        </w:rPr>
        <w:t>tanısal</w:t>
      </w:r>
      <w:r>
        <w:rPr>
          <w:rFonts w:ascii="Arial" w:hAnsi="Arial" w:cs="Arial"/>
          <w:sz w:val="22"/>
          <w:szCs w:val="22"/>
        </w:rPr>
        <w:t xml:space="preserve"> </w:t>
      </w:r>
      <w:r w:rsidRPr="00453BDF">
        <w:rPr>
          <w:rFonts w:ascii="Arial" w:hAnsi="Arial" w:cs="Arial"/>
          <w:sz w:val="22"/>
          <w:szCs w:val="22"/>
        </w:rPr>
        <w:t>terminolojiye dâhil</w:t>
      </w:r>
      <w:r>
        <w:rPr>
          <w:rFonts w:ascii="Arial" w:hAnsi="Arial" w:cs="Arial"/>
          <w:sz w:val="22"/>
          <w:szCs w:val="22"/>
        </w:rPr>
        <w:t xml:space="preserve"> </w:t>
      </w:r>
      <w:r w:rsidRPr="00453BDF">
        <w:rPr>
          <w:rFonts w:ascii="Arial" w:hAnsi="Arial" w:cs="Arial"/>
          <w:sz w:val="22"/>
          <w:szCs w:val="22"/>
        </w:rPr>
        <w:t>edilmiştir</w:t>
      </w:r>
      <w:r>
        <w:rPr>
          <w:rFonts w:ascii="Arial" w:hAnsi="Arial" w:cs="Arial"/>
          <w:sz w:val="22"/>
          <w:szCs w:val="22"/>
        </w:rPr>
        <w:t xml:space="preserve"> </w:t>
      </w:r>
      <w:r w:rsidR="00BC3BBB">
        <w:rPr>
          <w:rFonts w:ascii="Arial" w:hAnsi="Arial" w:cs="Arial"/>
          <w:sz w:val="22"/>
          <w:szCs w:val="22"/>
        </w:rPr>
        <w:fldChar w:fldCharType="begin" w:fldLock="1"/>
      </w:r>
      <w:r>
        <w:rPr>
          <w:rFonts w:ascii="Arial" w:hAnsi="Arial" w:cs="Arial"/>
          <w:sz w:val="22"/>
          <w:szCs w:val="22"/>
        </w:rPr>
        <w:instrText>ADDIN CSL_CITATION { "citationItems" : [ { "id" : "ITEM-1", "itemData" : { "DOI" : "10.1176/appi.ajp.160.6.1025", "ISBN" : "0002-953X (Print)\\r0002-953X (Linking)", "ISSN" : "0002953X", "PMID" : "12777256", "author" : [ { "dropping-particle" : "", "family" : "Volkmar", "given" : "Fred R.", "non-dropping-particle" : "", "parse-names" : false, "suffix" : "" } ], "container-title" : "American Journal of Psychiatry", "id" : "ITEM-1", "issue" : "6", "issued" : { "date-parts" : [ [ "2003" ] ] }, "page" : "1025-1027", "title" : "Changing perspectives on ADHD", "type" : "article-journal", "volume" : "160" }, "uris" : [ "http://www.mendeley.com/documents/?uuid=a493e296-c25a-447e-be10-6011418a723a" ] } ], "mendeley" : { "formattedCitation" : "(50)", "plainTextFormattedCitation" : "(50)", "previouslyFormattedCitation" : "(50)" }, "properties" : { "noteIndex" : 2 }, "schema" : "https://github.com/citation-style-language/schema/raw/master/csl-citation.json" }</w:instrText>
      </w:r>
      <w:r w:rsidR="00BC3BBB">
        <w:rPr>
          <w:rFonts w:ascii="Arial" w:hAnsi="Arial" w:cs="Arial"/>
          <w:sz w:val="22"/>
          <w:szCs w:val="22"/>
        </w:rPr>
        <w:fldChar w:fldCharType="separate"/>
      </w:r>
      <w:r w:rsidRPr="00F74A96">
        <w:rPr>
          <w:rFonts w:ascii="Arial" w:hAnsi="Arial" w:cs="Arial"/>
          <w:noProof/>
          <w:sz w:val="22"/>
          <w:szCs w:val="22"/>
        </w:rPr>
        <w:t>(50)</w:t>
      </w:r>
      <w:r w:rsidR="00BC3BBB">
        <w:rPr>
          <w:rFonts w:ascii="Arial" w:hAnsi="Arial" w:cs="Arial"/>
          <w:sz w:val="22"/>
          <w:szCs w:val="22"/>
        </w:rPr>
        <w:fldChar w:fldCharType="end"/>
      </w:r>
      <w:r w:rsidRPr="00453BDF">
        <w:rPr>
          <w:rFonts w:ascii="Arial" w:hAnsi="Arial" w:cs="Arial"/>
          <w:sz w:val="22"/>
          <w:szCs w:val="22"/>
        </w:rPr>
        <w:t>.</w:t>
      </w:r>
      <w:r>
        <w:rPr>
          <w:rFonts w:ascii="Arial" w:hAnsi="Arial" w:cs="Arial"/>
          <w:sz w:val="22"/>
          <w:szCs w:val="22"/>
        </w:rPr>
        <w:t xml:space="preserve"> </w:t>
      </w:r>
      <w:r w:rsidRPr="00453BDF">
        <w:rPr>
          <w:rFonts w:ascii="Arial" w:hAnsi="Arial" w:cs="Arial"/>
          <w:color w:val="000000" w:themeColor="text1"/>
          <w:sz w:val="22"/>
          <w:szCs w:val="22"/>
        </w:rPr>
        <w:t>Hiperakt</w:t>
      </w:r>
      <w:r>
        <w:rPr>
          <w:rFonts w:ascii="Arial" w:hAnsi="Arial" w:cs="Arial"/>
          <w:color w:val="000000" w:themeColor="text1"/>
          <w:sz w:val="22"/>
          <w:szCs w:val="22"/>
        </w:rPr>
        <w:t>ivite üzerine hakim olan ilgi, 70’li yıllarda</w:t>
      </w:r>
      <w:r w:rsidRPr="00453BDF">
        <w:rPr>
          <w:rFonts w:ascii="Arial" w:hAnsi="Arial" w:cs="Arial"/>
          <w:color w:val="000000" w:themeColor="text1"/>
          <w:sz w:val="22"/>
          <w:szCs w:val="22"/>
        </w:rPr>
        <w:t xml:space="preserve"> dikkat eksikliği yönüne kaymış</w:t>
      </w:r>
      <w:r>
        <w:rPr>
          <w:rFonts w:ascii="Arial" w:hAnsi="Arial" w:cs="Arial"/>
          <w:color w:val="000000" w:themeColor="text1"/>
          <w:sz w:val="22"/>
          <w:szCs w:val="22"/>
        </w:rPr>
        <w:t xml:space="preserve"> </w:t>
      </w:r>
      <w:r w:rsidR="00BC3BBB">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 "citationItems" : [ { "id" : "ITEM-1", "itemData" : { "DOI" : "10.1007/3-7985-1553-0", "ISBN" : "3-7985-1552-2", "author" : [ { "dropping-particle" : "", "family" : "Rothenberger", "given" : "Aribert", "non-dropping-particle" : "", "parse-names" : false, "suffix" : "" }, { "dropping-particle" : "", "family" : "Neum\u00e4rker", "given" : "Klaus-J\u00fcrgen", "non-dropping-particle" : "", "parse-names" : false, "suffix" : "" } ], "id" : "ITEM-1", "issued" : { "date-parts" : [ [ "2005" ] ] }, "title" : "Wissenschaftsgeschichte der ADHS", "type" : "article-journal" }, "uris" : [ "http://www.mendeley.com/documents/?uuid=78065d33-bf4e-4745-935d-88a8d782186f" ] } ], "mendeley" : { "formattedCitation" : "(41)", "plainTextFormattedCitation" : "(41)", "previouslyFormattedCitation" : "(41)" }, "properties" : { "noteIndex" : 2 }, "schema" : "https://github.com/citation-style-language/schema/raw/master/csl-citation.json" }</w:instrText>
      </w:r>
      <w:r w:rsidR="00BC3BBB">
        <w:rPr>
          <w:rFonts w:ascii="Arial" w:hAnsi="Arial" w:cs="Arial"/>
          <w:color w:val="000000" w:themeColor="text1"/>
          <w:sz w:val="22"/>
          <w:szCs w:val="22"/>
        </w:rPr>
        <w:fldChar w:fldCharType="separate"/>
      </w:r>
      <w:r w:rsidRPr="00F74A96">
        <w:rPr>
          <w:rFonts w:ascii="Arial" w:hAnsi="Arial" w:cs="Arial"/>
          <w:noProof/>
          <w:color w:val="000000" w:themeColor="text1"/>
          <w:sz w:val="22"/>
          <w:szCs w:val="22"/>
        </w:rPr>
        <w:t>(41)</w:t>
      </w:r>
      <w:r w:rsidR="00BC3BBB">
        <w:rPr>
          <w:rFonts w:ascii="Arial" w:hAnsi="Arial" w:cs="Arial"/>
          <w:color w:val="000000" w:themeColor="text1"/>
          <w:sz w:val="22"/>
          <w:szCs w:val="22"/>
        </w:rPr>
        <w:fldChar w:fldCharType="end"/>
      </w:r>
      <w:r w:rsidRPr="00453BDF">
        <w:rPr>
          <w:rFonts w:ascii="Arial" w:hAnsi="Arial" w:cs="Arial"/>
          <w:color w:val="000000" w:themeColor="text1"/>
          <w:sz w:val="22"/>
          <w:szCs w:val="22"/>
        </w:rPr>
        <w:t>,</w:t>
      </w:r>
      <w:r>
        <w:rPr>
          <w:rFonts w:ascii="Arial" w:hAnsi="Arial" w:cs="Arial"/>
          <w:color w:val="000000" w:themeColor="text1"/>
          <w:sz w:val="22"/>
          <w:szCs w:val="22"/>
        </w:rPr>
        <w:t xml:space="preserve"> </w:t>
      </w:r>
      <w:r w:rsidRPr="00453BDF">
        <w:rPr>
          <w:rFonts w:ascii="Arial" w:hAnsi="Arial" w:cs="Arial"/>
          <w:color w:val="000000" w:themeColor="text1"/>
          <w:sz w:val="22"/>
          <w:szCs w:val="22"/>
        </w:rPr>
        <w:t>yapılan çalışmalarla birlikte dikkat ile ilişkili bulgular önem kazanmıştır</w:t>
      </w:r>
      <w:r>
        <w:rPr>
          <w:rFonts w:ascii="Arial" w:hAnsi="Arial" w:cs="Arial"/>
          <w:color w:val="000000" w:themeColor="text1"/>
          <w:sz w:val="22"/>
          <w:szCs w:val="22"/>
        </w:rPr>
        <w:t xml:space="preserve"> </w:t>
      </w:r>
      <w:r w:rsidR="00BC3BBB">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 "citationItems" : [ { "id" : "ITEM-1", "itemData" : { "DOI" : "10.1037/h0082313", "ISBN" : "1879-2669", "ISSN" : "0008-400X", "abstract" : "Used data from the author's research program and other previous studies to (a) investigate the specific disabilities of hyperactive children; and (b) evaluate the effectiveness of stimulant drugs, particularly methylphenidate, on the measures found to differentiate between hyperactives and normals (e.g., the Continuous Performance Test). It is argued that a core group of symptoms involving inability to sustain attention and to control impulsivity can account for most of the deficits found in the hyperactive group. It also appears that the stimulants exert their main effect on these deficits. Correlational and factor analytic studies suggest that the same constellation of abilities underlies the behavior of normal children in several areas of cognitive and social functioning. (French summary) (69 ref.) (PsycINFO Database Record (c) 2010 APA, all rights reserved)", "author" : [ { "dropping-particle" : "", "family" : "Douglas", "given" : "V. I.", "non-dropping-particle" : "", "parse-names" : false, "suffix" : "" } ], "container-title" : "Canadian Journal of Behavioural Science/Revue canadienne des sciences du comportement", "id" : "ITEM-1", "issue" : "4", "issued" : { "date-parts" : [ [ "1972" ] ] }, "page" : "259-282", "title" : "Stop, look and listen: The problem of sustained attention and impulse control in hyperactive and normal children.", "type" : "article-journal", "volume" : "4" }, "uris" : [ "http://www.mendeley.com/documents/?uuid=8a415442-6467-4e67-add8-0b28c6925444" ] } ], "mendeley" : { "formattedCitation" : "(51)", "plainTextFormattedCitation" : "(51)", "previouslyFormattedCitation" : "(51)" }, "properties" : { "noteIndex" : 2 }, "schema" : "https://github.com/citation-style-language/schema/raw/master/csl-citation.json" }</w:instrText>
      </w:r>
      <w:r w:rsidR="00BC3BBB">
        <w:rPr>
          <w:rFonts w:ascii="Arial" w:hAnsi="Arial" w:cs="Arial"/>
          <w:color w:val="000000" w:themeColor="text1"/>
          <w:sz w:val="22"/>
          <w:szCs w:val="22"/>
        </w:rPr>
        <w:fldChar w:fldCharType="separate"/>
      </w:r>
      <w:r w:rsidRPr="00F74A96">
        <w:rPr>
          <w:rFonts w:ascii="Arial" w:hAnsi="Arial" w:cs="Arial"/>
          <w:noProof/>
          <w:color w:val="000000" w:themeColor="text1"/>
          <w:sz w:val="22"/>
          <w:szCs w:val="22"/>
        </w:rPr>
        <w:t>(51)</w:t>
      </w:r>
      <w:r w:rsidR="00BC3BBB">
        <w:rPr>
          <w:rFonts w:ascii="Arial" w:hAnsi="Arial" w:cs="Arial"/>
          <w:color w:val="000000" w:themeColor="text1"/>
          <w:sz w:val="22"/>
          <w:szCs w:val="22"/>
        </w:rPr>
        <w:fldChar w:fldCharType="end"/>
      </w:r>
      <w:r w:rsidRPr="00453BDF">
        <w:rPr>
          <w:rFonts w:ascii="Arial" w:hAnsi="Arial" w:cs="Arial"/>
          <w:color w:val="000000" w:themeColor="text1"/>
          <w:sz w:val="22"/>
          <w:szCs w:val="22"/>
        </w:rPr>
        <w:t xml:space="preserve">. </w:t>
      </w:r>
      <w:r w:rsidRPr="00453BDF">
        <w:rPr>
          <w:rFonts w:ascii="Arial" w:hAnsi="Arial" w:cs="Arial"/>
          <w:color w:val="000000"/>
          <w:sz w:val="22"/>
          <w:szCs w:val="22"/>
        </w:rPr>
        <w:t>Bozukluğun 1980 yılında DSM-III’te “</w:t>
      </w:r>
      <w:r>
        <w:rPr>
          <w:rFonts w:ascii="Arial" w:hAnsi="Arial" w:cs="Arial"/>
          <w:i/>
          <w:sz w:val="22"/>
          <w:szCs w:val="22"/>
        </w:rPr>
        <w:t>d</w:t>
      </w:r>
      <w:r w:rsidRPr="00453BDF">
        <w:rPr>
          <w:rFonts w:ascii="Arial" w:hAnsi="Arial" w:cs="Arial"/>
          <w:i/>
          <w:sz w:val="22"/>
          <w:szCs w:val="22"/>
        </w:rPr>
        <w:t xml:space="preserve">ikkat </w:t>
      </w:r>
      <w:r>
        <w:rPr>
          <w:rFonts w:ascii="Arial" w:hAnsi="Arial" w:cs="Arial"/>
          <w:i/>
          <w:sz w:val="22"/>
          <w:szCs w:val="22"/>
        </w:rPr>
        <w:t>e</w:t>
      </w:r>
      <w:r w:rsidRPr="00453BDF">
        <w:rPr>
          <w:rFonts w:ascii="Arial" w:hAnsi="Arial" w:cs="Arial"/>
          <w:i/>
          <w:sz w:val="22"/>
          <w:szCs w:val="22"/>
        </w:rPr>
        <w:t xml:space="preserve">ksikliği </w:t>
      </w:r>
      <w:r>
        <w:rPr>
          <w:rFonts w:ascii="Arial" w:hAnsi="Arial" w:cs="Arial"/>
          <w:i/>
          <w:sz w:val="22"/>
          <w:szCs w:val="22"/>
        </w:rPr>
        <w:t>b</w:t>
      </w:r>
      <w:r w:rsidRPr="00453BDF">
        <w:rPr>
          <w:rFonts w:ascii="Arial" w:hAnsi="Arial" w:cs="Arial"/>
          <w:i/>
          <w:sz w:val="22"/>
          <w:szCs w:val="22"/>
        </w:rPr>
        <w:t>ozukluğu</w:t>
      </w:r>
      <w:r>
        <w:rPr>
          <w:rFonts w:ascii="Arial" w:hAnsi="Arial" w:cs="Arial"/>
          <w:i/>
          <w:sz w:val="22"/>
          <w:szCs w:val="22"/>
        </w:rPr>
        <w:t xml:space="preserve"> </w:t>
      </w:r>
      <w:r w:rsidRPr="00453BDF">
        <w:rPr>
          <w:rFonts w:ascii="Arial" w:hAnsi="Arial" w:cs="Arial"/>
          <w:i/>
          <w:sz w:val="22"/>
          <w:szCs w:val="22"/>
        </w:rPr>
        <w:t>(</w:t>
      </w:r>
      <w:r w:rsidRPr="00245A96">
        <w:rPr>
          <w:rFonts w:ascii="Arial" w:hAnsi="Arial" w:cs="Arial"/>
          <w:i/>
          <w:sz w:val="22"/>
          <w:szCs w:val="22"/>
        </w:rPr>
        <w:t>DEB</w:t>
      </w:r>
      <w:r w:rsidRPr="00453BDF">
        <w:rPr>
          <w:rFonts w:ascii="Arial" w:hAnsi="Arial" w:cs="Arial"/>
          <w:i/>
          <w:sz w:val="22"/>
          <w:szCs w:val="22"/>
        </w:rPr>
        <w:t>)</w:t>
      </w:r>
      <w:r>
        <w:rPr>
          <w:rFonts w:ascii="Arial" w:hAnsi="Arial" w:cs="Arial"/>
          <w:i/>
          <w:sz w:val="22"/>
          <w:szCs w:val="22"/>
        </w:rPr>
        <w:t xml:space="preserve"> </w:t>
      </w:r>
      <w:r w:rsidRPr="00453BDF">
        <w:rPr>
          <w:rFonts w:ascii="Arial" w:hAnsi="Arial" w:cs="Arial"/>
          <w:i/>
          <w:sz w:val="22"/>
          <w:szCs w:val="22"/>
        </w:rPr>
        <w:t xml:space="preserve">(hiperaktiviteli veya hiperaktivitesiz)” </w:t>
      </w:r>
      <w:r w:rsidRPr="00453BDF">
        <w:rPr>
          <w:rFonts w:ascii="Arial" w:hAnsi="Arial" w:cs="Arial"/>
          <w:sz w:val="22"/>
          <w:szCs w:val="22"/>
        </w:rPr>
        <w:t>olarak yeniden</w:t>
      </w:r>
      <w:r>
        <w:rPr>
          <w:rFonts w:ascii="Arial" w:hAnsi="Arial" w:cs="Arial"/>
          <w:sz w:val="22"/>
          <w:szCs w:val="22"/>
        </w:rPr>
        <w:t xml:space="preserve"> </w:t>
      </w:r>
      <w:r w:rsidRPr="00391C01">
        <w:rPr>
          <w:rFonts w:ascii="Arial" w:hAnsi="Arial" w:cs="Arial"/>
          <w:sz w:val="22"/>
          <w:szCs w:val="22"/>
        </w:rPr>
        <w:t xml:space="preserve">isimlendirilmesiyle </w:t>
      </w:r>
      <w:r w:rsidR="00BC3BBB" w:rsidRPr="00391C01">
        <w:rPr>
          <w:rFonts w:ascii="Arial" w:hAnsi="Arial" w:cs="Arial"/>
          <w:sz w:val="22"/>
          <w:szCs w:val="22"/>
        </w:rPr>
        <w:fldChar w:fldCharType="begin" w:fldLock="1"/>
      </w:r>
      <w:r>
        <w:rPr>
          <w:rFonts w:ascii="Arial" w:hAnsi="Arial" w:cs="Arial"/>
          <w:sz w:val="22"/>
          <w:szCs w:val="22"/>
        </w:rPr>
        <w:instrText>ADDIN CSL_CITATION { "citationItems" : [ { "id" : "ITEM-1", "itemData" : { "DOI" : "10.1176/appi.books.9780890425596", "ISBN" : "0-89042-555-8", "ISSN" : "00845345", "PMID" : "21741095", "abstract" : "1 online resource (xliv, 947 pages) : illustrations", "author" : [ { "dropping-particle" : "", "family" : "American Psychiatric Association", "given" : "", "non-dropping-particle" : "", "parse-names" : false, "suffix" : "" } ], "container-title" : "Washington, DC: American Psychiatric Association", "id" : "ITEM-1", "issued" : { "date-parts" : [ [ "1980" ] ] }, "title" : "Diagnostic and Statistical Manual of Mental Disorders (DSM III)", "type" : "book" }, "uris" : [ "http://www.mendeley.com/documents/?uuid=c2803c81-9a81-4598-8a2c-be5461d23d83" ] } ], "mendeley" : { "formattedCitation" : "(52)", "plainTextFormattedCitation" : "(52)", "previouslyFormattedCitation" : "(52)" }, "properties" : { "noteIndex" : 2 }, "schema" : "https://github.com/citation-style-language/schema/raw/master/csl-citation.json" }</w:instrText>
      </w:r>
      <w:r w:rsidR="00BC3BBB" w:rsidRPr="00391C01">
        <w:rPr>
          <w:rFonts w:ascii="Arial" w:hAnsi="Arial" w:cs="Arial"/>
          <w:sz w:val="22"/>
          <w:szCs w:val="22"/>
        </w:rPr>
        <w:fldChar w:fldCharType="separate"/>
      </w:r>
      <w:r w:rsidRPr="00F74A96">
        <w:rPr>
          <w:rFonts w:ascii="Arial" w:hAnsi="Arial" w:cs="Arial"/>
          <w:noProof/>
          <w:sz w:val="22"/>
          <w:szCs w:val="22"/>
        </w:rPr>
        <w:t>(52)</w:t>
      </w:r>
      <w:r w:rsidR="00BC3BBB" w:rsidRPr="00391C01">
        <w:rPr>
          <w:rFonts w:ascii="Arial" w:hAnsi="Arial" w:cs="Arial"/>
          <w:sz w:val="22"/>
          <w:szCs w:val="22"/>
        </w:rPr>
        <w:fldChar w:fldCharType="end"/>
      </w:r>
      <w:r w:rsidRPr="00391C01">
        <w:rPr>
          <w:rFonts w:ascii="Arial" w:hAnsi="Arial" w:cs="Arial"/>
          <w:sz w:val="22"/>
          <w:szCs w:val="22"/>
        </w:rPr>
        <w:t>, “hiperaktivite” tanı koyabilmek için olmazsa olmaz kriter olmaktan çıkmıştır.</w:t>
      </w:r>
      <w:r w:rsidR="00BC3BBB" w:rsidRPr="00391C01">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 "citationItems" : [ { "id" : "ITEM-1", "itemData" : { "author" : [ { "dropping-particle" : "", "family" : "Conners", "given" : "CK", "non-dropping-particle" : "", "parse-names" : false, "suffix" : "" } ], "container-title" : "Journal of Attention Disorders", "id" : "ITEM-1", "issue" : "4", "issued" : { "date-parts" : [ [ "2000" ] ] }, "page" : "173-191", "title" : "Attention-Deficit/Hyperactivity Disorder - Historical Development and Overview", "type" : "article-journal", "volume" : "3" }, "uris" : [ "http://www.mendeley.com/documents/?uuid=d58bbff5-5a27-4c4a-acc7-e606fe917e32" ] } ], "mendeley" : { "formattedCitation" : "(48)", "plainTextFormattedCitation" : "(48)", "previouslyFormattedCitation" : "(48)" }, "properties" : { "noteIndex" : 2 }, "schema" : "https://github.com/citation-style-language/schema/raw/master/csl-citation.json" }</w:instrText>
      </w:r>
      <w:r w:rsidR="00BC3BBB" w:rsidRPr="00391C01">
        <w:rPr>
          <w:rFonts w:ascii="Arial" w:hAnsi="Arial" w:cs="Arial"/>
          <w:color w:val="000000" w:themeColor="text1"/>
          <w:sz w:val="22"/>
          <w:szCs w:val="22"/>
        </w:rPr>
        <w:fldChar w:fldCharType="separate"/>
      </w:r>
      <w:r w:rsidRPr="00F74A96">
        <w:rPr>
          <w:rFonts w:ascii="Arial" w:hAnsi="Arial" w:cs="Arial"/>
          <w:noProof/>
          <w:color w:val="000000" w:themeColor="text1"/>
          <w:sz w:val="22"/>
          <w:szCs w:val="22"/>
        </w:rPr>
        <w:t>(48)</w:t>
      </w:r>
      <w:r w:rsidR="00BC3BBB" w:rsidRPr="00391C01">
        <w:rPr>
          <w:rFonts w:ascii="Arial" w:hAnsi="Arial" w:cs="Arial"/>
          <w:color w:val="000000" w:themeColor="text1"/>
          <w:sz w:val="22"/>
          <w:szCs w:val="22"/>
        </w:rPr>
        <w:fldChar w:fldCharType="end"/>
      </w:r>
      <w:r w:rsidRPr="00391C01">
        <w:rPr>
          <w:rFonts w:ascii="Arial" w:hAnsi="Arial" w:cs="Arial"/>
          <w:color w:val="000000" w:themeColor="text1"/>
          <w:sz w:val="22"/>
          <w:szCs w:val="22"/>
        </w:rPr>
        <w:t>.</w:t>
      </w:r>
      <w:r>
        <w:rPr>
          <w:rFonts w:ascii="Arial" w:hAnsi="Arial" w:cs="Arial"/>
          <w:color w:val="000000" w:themeColor="text1"/>
          <w:sz w:val="22"/>
          <w:szCs w:val="22"/>
        </w:rPr>
        <w:t xml:space="preserve"> </w:t>
      </w:r>
      <w:r w:rsidRPr="00453BDF">
        <w:rPr>
          <w:rFonts w:ascii="Arial" w:hAnsi="Arial" w:cs="Arial"/>
          <w:color w:val="000000" w:themeColor="text1"/>
          <w:sz w:val="22"/>
          <w:szCs w:val="22"/>
        </w:rPr>
        <w:t>Bununla birlikte DSM-III</w:t>
      </w:r>
      <w:r>
        <w:rPr>
          <w:rFonts w:ascii="Arial" w:hAnsi="Arial" w:cs="Arial"/>
          <w:color w:val="000000" w:themeColor="text1"/>
          <w:sz w:val="22"/>
          <w:szCs w:val="22"/>
        </w:rPr>
        <w:t>,</w:t>
      </w:r>
      <w:r w:rsidRPr="00453BDF">
        <w:rPr>
          <w:rFonts w:ascii="Arial" w:hAnsi="Arial" w:cs="Arial"/>
          <w:color w:val="000000" w:themeColor="text1"/>
          <w:sz w:val="22"/>
          <w:szCs w:val="22"/>
        </w:rPr>
        <w:t xml:space="preserve"> bozukluğun belirtileri için belirli bir kesme puanı, başlangıç yaşı ve belirtilerin süresi için bir anahat </w:t>
      </w:r>
      <w:r>
        <w:rPr>
          <w:rFonts w:ascii="Arial" w:hAnsi="Arial" w:cs="Arial"/>
          <w:color w:val="000000" w:themeColor="text1"/>
          <w:sz w:val="22"/>
          <w:szCs w:val="22"/>
        </w:rPr>
        <w:t xml:space="preserve">kazandırmış </w:t>
      </w:r>
      <w:r w:rsidRPr="00453BDF">
        <w:rPr>
          <w:rFonts w:ascii="Arial" w:hAnsi="Arial" w:cs="Arial"/>
          <w:color w:val="000000" w:themeColor="text1"/>
          <w:sz w:val="22"/>
          <w:szCs w:val="22"/>
        </w:rPr>
        <w:t>ve diğer çocukluk çağı psikiyatrik raha</w:t>
      </w:r>
      <w:r>
        <w:rPr>
          <w:rFonts w:ascii="Arial" w:hAnsi="Arial" w:cs="Arial"/>
          <w:color w:val="000000" w:themeColor="text1"/>
          <w:sz w:val="22"/>
          <w:szCs w:val="22"/>
        </w:rPr>
        <w:t>tsızlıklarının dışlanması koşulunu da getirmiştir</w:t>
      </w:r>
      <w:r w:rsidRPr="00453BDF">
        <w:rPr>
          <w:rFonts w:ascii="Arial" w:hAnsi="Arial" w:cs="Arial"/>
          <w:color w:val="000000" w:themeColor="text1"/>
          <w:sz w:val="22"/>
          <w:szCs w:val="22"/>
        </w:rPr>
        <w:t>. DEB</w:t>
      </w:r>
      <w:r>
        <w:rPr>
          <w:rFonts w:ascii="Arial" w:hAnsi="Arial" w:cs="Arial"/>
          <w:color w:val="000000" w:themeColor="text1"/>
          <w:sz w:val="22"/>
          <w:szCs w:val="22"/>
        </w:rPr>
        <w:t xml:space="preserve"> </w:t>
      </w:r>
      <w:r>
        <w:rPr>
          <w:rFonts w:ascii="Arial" w:hAnsi="Arial" w:cs="Arial"/>
          <w:sz w:val="22"/>
          <w:szCs w:val="22"/>
        </w:rPr>
        <w:t>tanımlarken</w:t>
      </w:r>
      <w:r w:rsidRPr="00453BDF">
        <w:rPr>
          <w:rFonts w:ascii="Arial" w:hAnsi="Arial" w:cs="Arial"/>
          <w:sz w:val="22"/>
          <w:szCs w:val="22"/>
        </w:rPr>
        <w:t xml:space="preserve"> hiperaktivitesiz alt tip ile hiperaktiviteli alt tipin niteliksel olarak benzer mi</w:t>
      </w:r>
      <w:r>
        <w:rPr>
          <w:rFonts w:ascii="Arial" w:hAnsi="Arial" w:cs="Arial"/>
          <w:sz w:val="22"/>
          <w:szCs w:val="22"/>
        </w:rPr>
        <w:t xml:space="preserve"> oldukları, yoksa her ikisinin </w:t>
      </w:r>
      <w:r w:rsidRPr="00453BDF">
        <w:rPr>
          <w:rFonts w:ascii="Arial" w:hAnsi="Arial" w:cs="Arial"/>
          <w:sz w:val="22"/>
          <w:szCs w:val="22"/>
        </w:rPr>
        <w:t xml:space="preserve">farklı psikiyatrik bozukluklar mı </w:t>
      </w:r>
      <w:r>
        <w:rPr>
          <w:rFonts w:ascii="Arial" w:hAnsi="Arial" w:cs="Arial"/>
          <w:sz w:val="22"/>
          <w:szCs w:val="22"/>
        </w:rPr>
        <w:t xml:space="preserve">olduğunu konusu netleşmemiştir </w:t>
      </w:r>
      <w:r w:rsidR="00BC3BBB">
        <w:rPr>
          <w:rFonts w:ascii="Arial" w:hAnsi="Arial" w:cs="Arial"/>
          <w:sz w:val="22"/>
          <w:szCs w:val="22"/>
        </w:rPr>
        <w:fldChar w:fldCharType="begin" w:fldLock="1"/>
      </w:r>
      <w:r>
        <w:rPr>
          <w:rFonts w:ascii="Arial" w:hAnsi="Arial" w:cs="Arial"/>
          <w:sz w:val="22"/>
          <w:szCs w:val="22"/>
        </w:rPr>
        <w:instrText>ADDIN CSL_CITATION { "citationItems" : [ { "id" : "ITEM-1", "itemData" : { "ISBN" : "978-1462517725", "author" : [ { "dropping-particle" : "", "family" : "Barkley", "given" : "R A", "non-dropping-particle" : "", "parse-names" : false, "suffix" : "" } ], "id" : "ITEM-1", "issued" : { "date-parts" : [ [ "2006" ] ] }, "title" : "Attention-deficit/hyperactivity disorder: a handbook for diagnosic and treatment", "type" : "article-journal" }, "uris" : [ "http://www.mendeley.com/documents/?uuid=4593ff08-5ba1-48b1-ae4e-5f4ed3a5d094" ] } ], "mendeley" : { "formattedCitation" : "(37)", "plainTextFormattedCitation" : "(37)", "previouslyFormattedCitation" : "(37)" }, "properties" : { "noteIndex" : 2 }, "schema" : "https://github.com/citation-style-language/schema/raw/master/csl-citation.json" }</w:instrText>
      </w:r>
      <w:r w:rsidR="00BC3BBB">
        <w:rPr>
          <w:rFonts w:ascii="Arial" w:hAnsi="Arial" w:cs="Arial"/>
          <w:sz w:val="22"/>
          <w:szCs w:val="22"/>
        </w:rPr>
        <w:fldChar w:fldCharType="separate"/>
      </w:r>
      <w:r w:rsidRPr="00F74A96">
        <w:rPr>
          <w:rFonts w:ascii="Arial" w:hAnsi="Arial" w:cs="Arial"/>
          <w:noProof/>
          <w:sz w:val="22"/>
          <w:szCs w:val="22"/>
        </w:rPr>
        <w:t>(37)</w:t>
      </w:r>
      <w:r w:rsidR="00BC3BBB">
        <w:rPr>
          <w:rFonts w:ascii="Arial" w:hAnsi="Arial" w:cs="Arial"/>
          <w:sz w:val="22"/>
          <w:szCs w:val="22"/>
        </w:rPr>
        <w:fldChar w:fldCharType="end"/>
      </w:r>
      <w:r w:rsidRPr="00453BDF">
        <w:rPr>
          <w:rFonts w:ascii="Arial" w:hAnsi="Arial" w:cs="Arial"/>
          <w:sz w:val="22"/>
          <w:szCs w:val="22"/>
        </w:rPr>
        <w:t xml:space="preserve">. </w:t>
      </w:r>
      <w:r w:rsidRPr="00453BDF">
        <w:rPr>
          <w:rFonts w:ascii="Arial" w:hAnsi="Arial" w:cs="Arial"/>
          <w:color w:val="000000" w:themeColor="text1"/>
          <w:sz w:val="22"/>
          <w:szCs w:val="22"/>
        </w:rPr>
        <w:t>1987’de</w:t>
      </w:r>
      <w:r>
        <w:rPr>
          <w:rFonts w:ascii="Arial" w:hAnsi="Arial" w:cs="Arial"/>
          <w:color w:val="000000" w:themeColor="text1"/>
          <w:sz w:val="22"/>
          <w:szCs w:val="22"/>
        </w:rPr>
        <w:t xml:space="preserve"> </w:t>
      </w:r>
      <w:r w:rsidRPr="00453BDF">
        <w:rPr>
          <w:rFonts w:ascii="Arial" w:hAnsi="Arial" w:cs="Arial"/>
          <w:color w:val="000000" w:themeColor="text1"/>
          <w:sz w:val="22"/>
          <w:szCs w:val="22"/>
        </w:rPr>
        <w:t>ö</w:t>
      </w:r>
      <w:r>
        <w:rPr>
          <w:rFonts w:ascii="Arial" w:hAnsi="Arial" w:cs="Arial"/>
          <w:color w:val="000000" w:themeColor="text1"/>
          <w:sz w:val="22"/>
          <w:szCs w:val="22"/>
          <w:shd w:val="clear" w:color="auto" w:fill="FFFFFF"/>
        </w:rPr>
        <w:t xml:space="preserve">zellikle ampirik-kanıta dayalı geçerlilik </w:t>
      </w:r>
      <w:r w:rsidRPr="00453BDF">
        <w:rPr>
          <w:rFonts w:ascii="Arial" w:hAnsi="Arial" w:cs="Arial"/>
          <w:color w:val="000000" w:themeColor="text1"/>
          <w:sz w:val="22"/>
          <w:szCs w:val="22"/>
          <w:shd w:val="clear" w:color="auto" w:fill="FFFFFF"/>
        </w:rPr>
        <w:t>açısından</w:t>
      </w:r>
      <w:r>
        <w:rPr>
          <w:rFonts w:ascii="Arial" w:hAnsi="Arial" w:cs="Arial"/>
          <w:color w:val="000000" w:themeColor="text1"/>
          <w:sz w:val="22"/>
          <w:szCs w:val="22"/>
          <w:shd w:val="clear" w:color="auto" w:fill="FFFFFF"/>
        </w:rPr>
        <w:t xml:space="preserve"> tanı</w:t>
      </w:r>
      <w:r w:rsidRPr="00453BDF">
        <w:rPr>
          <w:rFonts w:ascii="Arial" w:hAnsi="Arial" w:cs="Arial"/>
          <w:color w:val="000000" w:themeColor="text1"/>
          <w:sz w:val="22"/>
          <w:szCs w:val="22"/>
          <w:shd w:val="clear" w:color="auto" w:fill="FFFFFF"/>
        </w:rPr>
        <w:t xml:space="preserve"> kriterleri</w:t>
      </w:r>
      <w:r>
        <w:rPr>
          <w:rFonts w:ascii="Arial" w:hAnsi="Arial" w:cs="Arial"/>
          <w:color w:val="000000" w:themeColor="text1"/>
          <w:sz w:val="22"/>
          <w:szCs w:val="22"/>
          <w:shd w:val="clear" w:color="auto" w:fill="FFFFFF"/>
        </w:rPr>
        <w:t>ni</w:t>
      </w:r>
      <w:r w:rsidRPr="00453BDF">
        <w:rPr>
          <w:rFonts w:ascii="Arial" w:hAnsi="Arial" w:cs="Arial"/>
          <w:color w:val="000000" w:themeColor="text1"/>
          <w:sz w:val="22"/>
          <w:szCs w:val="22"/>
          <w:shd w:val="clear" w:color="auto" w:fill="FFFFFF"/>
        </w:rPr>
        <w:t xml:space="preserve"> daha da iyileştirmek için,</w:t>
      </w:r>
      <w:r>
        <w:rPr>
          <w:rFonts w:ascii="Arial" w:hAnsi="Arial" w:cs="Arial"/>
          <w:color w:val="000000" w:themeColor="text1"/>
          <w:sz w:val="22"/>
          <w:szCs w:val="22"/>
          <w:shd w:val="clear" w:color="auto" w:fill="FFFFFF"/>
        </w:rPr>
        <w:t xml:space="preserve"> </w:t>
      </w:r>
      <w:r w:rsidRPr="00453BDF">
        <w:rPr>
          <w:rFonts w:ascii="Arial" w:hAnsi="Arial" w:cs="Arial"/>
          <w:sz w:val="22"/>
          <w:szCs w:val="22"/>
        </w:rPr>
        <w:t>DSM-III-R’de</w:t>
      </w:r>
      <w:r>
        <w:rPr>
          <w:rFonts w:ascii="Arial" w:hAnsi="Arial" w:cs="Arial"/>
          <w:sz w:val="22"/>
          <w:szCs w:val="22"/>
        </w:rPr>
        <w:t xml:space="preserve"> </w:t>
      </w:r>
      <w:r w:rsidR="00BC3BBB">
        <w:rPr>
          <w:rFonts w:ascii="Arial" w:hAnsi="Arial" w:cs="Arial"/>
          <w:sz w:val="22"/>
          <w:szCs w:val="22"/>
        </w:rPr>
        <w:fldChar w:fldCharType="begin" w:fldLock="1"/>
      </w:r>
      <w:r>
        <w:rPr>
          <w:rFonts w:ascii="Arial" w:hAnsi="Arial" w:cs="Arial"/>
          <w:sz w:val="22"/>
          <w:szCs w:val="22"/>
        </w:rPr>
        <w:instrText>ADDIN CSL_CITATION { "citationItems" : [ { "id" : "ITEM-1", "itemData" : { "ISBN" : "0890420181\\r089042019X (soft)", "PMID" : "531491", "author" : [ { "dropping-particle" : "", "family" : "American Psychiatric Association", "given" : "", "non-dropping-particle" : "", "parse-names" : false, "suffix" : "" } ], "edition" : "3rd Edn Re", "id" : "ITEM-1", "issued" : { "date-parts" : [ [ "1987" ] ] }, "number-of-pages" : "xxix, 567 p.", "publisher-place" : "Washington DC", "title" : "Diagnostic and statistical manual of mental disorders : DSM-III-R", "type" : "book" }, "uris" : [ "http://www.mendeley.com/documents/?uuid=7397c8a3-44ea-4853-937a-5d83daa7d15a" ] } ], "mendeley" : { "formattedCitation" : "(53)", "plainTextFormattedCitation" : "(53)", "previouslyFormattedCitation" : "(53)" }, "properties" : { "noteIndex" : 2 }, "schema" : "https://github.com/citation-style-language/schema/raw/master/csl-citation.json" }</w:instrText>
      </w:r>
      <w:r w:rsidR="00BC3BBB">
        <w:rPr>
          <w:rFonts w:ascii="Arial" w:hAnsi="Arial" w:cs="Arial"/>
          <w:sz w:val="22"/>
          <w:szCs w:val="22"/>
        </w:rPr>
        <w:fldChar w:fldCharType="separate"/>
      </w:r>
      <w:r w:rsidRPr="00F74A96">
        <w:rPr>
          <w:rFonts w:ascii="Arial" w:hAnsi="Arial" w:cs="Arial"/>
          <w:noProof/>
          <w:sz w:val="22"/>
          <w:szCs w:val="22"/>
        </w:rPr>
        <w:t>(53)</w:t>
      </w:r>
      <w:r w:rsidR="00BC3BBB">
        <w:rPr>
          <w:rFonts w:ascii="Arial" w:hAnsi="Arial" w:cs="Arial"/>
          <w:sz w:val="22"/>
          <w:szCs w:val="22"/>
        </w:rPr>
        <w:fldChar w:fldCharType="end"/>
      </w:r>
      <w:r>
        <w:rPr>
          <w:rFonts w:ascii="Arial" w:hAnsi="Arial" w:cs="Arial"/>
          <w:sz w:val="22"/>
          <w:szCs w:val="22"/>
        </w:rPr>
        <w:t xml:space="preserve"> </w:t>
      </w:r>
      <w:r w:rsidRPr="00453BDF">
        <w:rPr>
          <w:rFonts w:ascii="Arial" w:hAnsi="Arial" w:cs="Arial"/>
          <w:color w:val="000000" w:themeColor="text1"/>
          <w:sz w:val="22"/>
          <w:szCs w:val="22"/>
        </w:rPr>
        <w:t xml:space="preserve">iki alt </w:t>
      </w:r>
      <w:r w:rsidRPr="00453BDF">
        <w:rPr>
          <w:rFonts w:ascii="Arial" w:hAnsi="Arial" w:cs="Arial"/>
          <w:color w:val="000000" w:themeColor="text1"/>
          <w:sz w:val="22"/>
          <w:szCs w:val="22"/>
        </w:rPr>
        <w:lastRenderedPageBreak/>
        <w:t>tip kavramı ortadan kaldırıl</w:t>
      </w:r>
      <w:r>
        <w:rPr>
          <w:rFonts w:ascii="Arial" w:hAnsi="Arial" w:cs="Arial"/>
          <w:color w:val="000000" w:themeColor="text1"/>
          <w:sz w:val="22"/>
          <w:szCs w:val="22"/>
        </w:rPr>
        <w:t>mış</w:t>
      </w:r>
      <w:r w:rsidRPr="00453BDF">
        <w:rPr>
          <w:rFonts w:ascii="Arial" w:hAnsi="Arial" w:cs="Arial"/>
          <w:color w:val="000000" w:themeColor="text1"/>
          <w:sz w:val="22"/>
          <w:szCs w:val="22"/>
        </w:rPr>
        <w:t xml:space="preserve"> ve bozukluk </w:t>
      </w:r>
      <w:r w:rsidRPr="00453BDF">
        <w:rPr>
          <w:rFonts w:ascii="Arial" w:hAnsi="Arial" w:cs="Arial"/>
          <w:i/>
          <w:sz w:val="22"/>
          <w:szCs w:val="22"/>
        </w:rPr>
        <w:t>“Dikkat Eksikliği Hiperaktivite Bozukluğu”</w:t>
      </w:r>
      <w:r>
        <w:rPr>
          <w:rFonts w:ascii="Arial" w:hAnsi="Arial" w:cs="Arial"/>
          <w:i/>
          <w:sz w:val="22"/>
          <w:szCs w:val="22"/>
        </w:rPr>
        <w:t xml:space="preserve"> </w:t>
      </w:r>
      <w:r w:rsidRPr="00453BDF">
        <w:rPr>
          <w:rFonts w:ascii="Arial" w:hAnsi="Arial" w:cs="Arial"/>
          <w:color w:val="000000" w:themeColor="text1"/>
          <w:sz w:val="22"/>
          <w:szCs w:val="22"/>
        </w:rPr>
        <w:t>olarak yeniden adlandırıl</w:t>
      </w:r>
      <w:r>
        <w:rPr>
          <w:rFonts w:ascii="Arial" w:hAnsi="Arial" w:cs="Arial"/>
          <w:color w:val="000000" w:themeColor="text1"/>
          <w:sz w:val="22"/>
          <w:szCs w:val="22"/>
        </w:rPr>
        <w:t>mıştır</w:t>
      </w:r>
      <w:r w:rsidRPr="00453BDF">
        <w:rPr>
          <w:rFonts w:ascii="Arial" w:hAnsi="Arial" w:cs="Arial"/>
          <w:color w:val="000000" w:themeColor="text1"/>
          <w:sz w:val="22"/>
          <w:szCs w:val="22"/>
        </w:rPr>
        <w:t>.</w:t>
      </w:r>
      <w:r>
        <w:rPr>
          <w:rFonts w:ascii="Arial" w:hAnsi="Arial" w:cs="Arial"/>
          <w:color w:val="000000" w:themeColor="text1"/>
          <w:sz w:val="22"/>
          <w:szCs w:val="22"/>
        </w:rPr>
        <w:t xml:space="preserve"> </w:t>
      </w:r>
      <w:r w:rsidRPr="00453BDF">
        <w:rPr>
          <w:rFonts w:ascii="Arial" w:hAnsi="Arial" w:cs="Arial"/>
          <w:color w:val="000000" w:themeColor="text1"/>
          <w:sz w:val="22"/>
          <w:szCs w:val="22"/>
        </w:rPr>
        <w:t>Dikkatsizlik, dürtüsellik ve hiperaktivite belirtileri tek bir kesme değeri</w:t>
      </w:r>
      <w:r>
        <w:rPr>
          <w:rFonts w:ascii="Arial" w:hAnsi="Arial" w:cs="Arial"/>
          <w:color w:val="000000" w:themeColor="text1"/>
          <w:sz w:val="22"/>
          <w:szCs w:val="22"/>
        </w:rPr>
        <w:t xml:space="preserve"> </w:t>
      </w:r>
      <w:r w:rsidRPr="00453BDF">
        <w:rPr>
          <w:rFonts w:ascii="Arial" w:hAnsi="Arial" w:cs="Arial"/>
          <w:color w:val="000000" w:themeColor="text1"/>
          <w:sz w:val="22"/>
          <w:szCs w:val="22"/>
        </w:rPr>
        <w:t>olan bir liste haline getiril</w:t>
      </w:r>
      <w:r>
        <w:rPr>
          <w:rFonts w:ascii="Arial" w:hAnsi="Arial" w:cs="Arial"/>
          <w:color w:val="000000" w:themeColor="text1"/>
          <w:sz w:val="22"/>
          <w:szCs w:val="22"/>
        </w:rPr>
        <w:t>miştir</w:t>
      </w:r>
      <w:r w:rsidRPr="00453BDF">
        <w:rPr>
          <w:rFonts w:ascii="Arial" w:hAnsi="Arial" w:cs="Arial"/>
          <w:color w:val="000000" w:themeColor="text1"/>
          <w:sz w:val="22"/>
          <w:szCs w:val="22"/>
        </w:rPr>
        <w:t>. Bu belirtiler ampirik olarak derecelendirme ölçekleri ve bir saha denemesinden elde edilmiştir</w:t>
      </w:r>
      <w:r>
        <w:rPr>
          <w:rFonts w:ascii="Arial" w:hAnsi="Arial" w:cs="Arial"/>
          <w:color w:val="000000" w:themeColor="text1"/>
          <w:sz w:val="22"/>
          <w:szCs w:val="22"/>
        </w:rPr>
        <w:t xml:space="preserve"> </w:t>
      </w:r>
      <w:r w:rsidR="00BC3BBB">
        <w:rPr>
          <w:rFonts w:ascii="Arial" w:hAnsi="Arial" w:cs="Arial"/>
          <w:color w:val="000000" w:themeColor="text1"/>
          <w:sz w:val="22"/>
          <w:szCs w:val="22"/>
        </w:rPr>
        <w:fldChar w:fldCharType="begin" w:fldLock="1"/>
      </w:r>
      <w:r w:rsidR="0037573A">
        <w:rPr>
          <w:rFonts w:ascii="Arial" w:hAnsi="Arial" w:cs="Arial"/>
          <w:color w:val="000000" w:themeColor="text1"/>
          <w:sz w:val="22"/>
          <w:szCs w:val="22"/>
        </w:rPr>
        <w:instrText>ADDIN CSL_CITATION { "citationItems" : [ { "id" : "ITEM-1", "itemData" : { "ISBN" : "978-1462517725", "author" : [ { "dropping-particle" : "", "family" : "Barkley", "given" : "R A", "non-dropping-particle" : "", "parse-names" : false, "suffix" : "" } ], "id" : "ITEM-1", "issued" : { "date-parts" : [ [ "2006" ] ] }, "title" : "Attention-deficit/hyperactivity disorder: a handbook for diagnosic and treatment", "type" : "article-journal" }, "uris" : [ "http://www.mendeley.com/documents/?uuid=4593ff08-5ba1-48b1-ae4e-5f4ed3a5d094" ] }, { "id" : "ITEM-2", "itemData" : { "author" : [ { "dropping-particle" : "", "family" : "Conners", "given" : "CK", "non-dropping-particle" : "", "parse-names" : false, "suffix" : "" } ], "container-title" : "Journal of Attention Disorders", "id" : "ITEM-2", "issue" : "4", "issued" : { "date-parts" : [ [ "2000" ] ] }, "page" : "173-191", "title" : "Attention-Deficit/Hyperactivity Disorder - Historical Development and Overview", "type" : "article-journal", "volume" : "3" }, "uris" : [ "http://www.mendeley.com/documents/?uuid=d58bbff5-5a27-4c4a-acc7-e606fe917e32" ] } ], "mendeley" : { "formattedCitation" : "(37, 48)", "plainTextFormattedCitation" : "(37, 48)", "previouslyFormattedCitation" : "(37, 48)" }, "properties" : { "noteIndex" : 2 }, "schema" : "https://github.com/citation-style-language/schema/raw/master/csl-citation.json" }</w:instrText>
      </w:r>
      <w:r w:rsidR="00BC3BBB">
        <w:rPr>
          <w:rFonts w:ascii="Arial" w:hAnsi="Arial" w:cs="Arial"/>
          <w:color w:val="000000" w:themeColor="text1"/>
          <w:sz w:val="22"/>
          <w:szCs w:val="22"/>
        </w:rPr>
        <w:fldChar w:fldCharType="separate"/>
      </w:r>
      <w:r w:rsidR="00BF1F00" w:rsidRPr="00BF1F00">
        <w:rPr>
          <w:rFonts w:ascii="Arial" w:hAnsi="Arial" w:cs="Arial"/>
          <w:noProof/>
          <w:color w:val="000000" w:themeColor="text1"/>
          <w:sz w:val="22"/>
          <w:szCs w:val="22"/>
        </w:rPr>
        <w:t>(37, 48)</w:t>
      </w:r>
      <w:r w:rsidR="00BC3BBB">
        <w:rPr>
          <w:rFonts w:ascii="Arial" w:hAnsi="Arial" w:cs="Arial"/>
          <w:color w:val="000000" w:themeColor="text1"/>
          <w:sz w:val="22"/>
          <w:szCs w:val="22"/>
        </w:rPr>
        <w:fldChar w:fldCharType="end"/>
      </w:r>
      <w:r w:rsidRPr="00453BDF">
        <w:rPr>
          <w:rFonts w:ascii="Arial" w:hAnsi="Arial" w:cs="Arial"/>
          <w:color w:val="000000" w:themeColor="text1"/>
          <w:sz w:val="22"/>
          <w:szCs w:val="22"/>
        </w:rPr>
        <w:t>.</w:t>
      </w:r>
      <w:r w:rsidRPr="00453BDF">
        <w:rPr>
          <w:rFonts w:ascii="Arial" w:hAnsi="Arial" w:cs="Arial"/>
          <w:sz w:val="22"/>
          <w:szCs w:val="22"/>
        </w:rPr>
        <w:t xml:space="preserve"> </w:t>
      </w:r>
      <w:r w:rsidRPr="00453BDF">
        <w:rPr>
          <w:rFonts w:ascii="Arial" w:hAnsi="Arial" w:cs="Arial"/>
          <w:color w:val="000000" w:themeColor="text1"/>
          <w:sz w:val="22"/>
          <w:szCs w:val="22"/>
          <w:shd w:val="clear" w:color="auto" w:fill="FFFFFF"/>
        </w:rPr>
        <w:t>"Hiperaktivitesiz DEB" alt tipi ise kaldırılmış ve "ayrım yapılmamış DEB" adında kalıntı bir kategoriye a</w:t>
      </w:r>
      <w:r>
        <w:rPr>
          <w:rFonts w:ascii="Arial" w:hAnsi="Arial" w:cs="Arial"/>
          <w:color w:val="000000" w:themeColor="text1"/>
          <w:sz w:val="22"/>
          <w:szCs w:val="22"/>
          <w:shd w:val="clear" w:color="auto" w:fill="FFFFFF"/>
        </w:rPr>
        <w:t>lı</w:t>
      </w:r>
      <w:r w:rsidRPr="00453BDF">
        <w:rPr>
          <w:rFonts w:ascii="Arial" w:hAnsi="Arial" w:cs="Arial"/>
          <w:color w:val="000000" w:themeColor="text1"/>
          <w:sz w:val="22"/>
          <w:szCs w:val="22"/>
          <w:shd w:val="clear" w:color="auto" w:fill="FFFFFF"/>
        </w:rPr>
        <w:t>nmıştır</w:t>
      </w:r>
      <w:r>
        <w:rPr>
          <w:rFonts w:ascii="Arial" w:hAnsi="Arial" w:cs="Arial"/>
          <w:color w:val="000000" w:themeColor="text1"/>
          <w:sz w:val="22"/>
          <w:szCs w:val="22"/>
          <w:shd w:val="clear" w:color="auto" w:fill="FFFFFF"/>
        </w:rPr>
        <w:t xml:space="preserve"> </w:t>
      </w:r>
      <w:r w:rsidR="00BC3BBB">
        <w:rPr>
          <w:rFonts w:ascii="Arial" w:hAnsi="Arial" w:cs="Arial"/>
          <w:color w:val="000000" w:themeColor="text1"/>
          <w:sz w:val="22"/>
          <w:szCs w:val="22"/>
          <w:shd w:val="clear" w:color="auto" w:fill="FFFFFF"/>
        </w:rPr>
        <w:fldChar w:fldCharType="begin" w:fldLock="1"/>
      </w:r>
      <w:r>
        <w:rPr>
          <w:rFonts w:ascii="Arial" w:hAnsi="Arial" w:cs="Arial"/>
          <w:color w:val="000000" w:themeColor="text1"/>
          <w:sz w:val="22"/>
          <w:szCs w:val="22"/>
          <w:shd w:val="clear" w:color="auto" w:fill="FFFFFF"/>
        </w:rPr>
        <w:instrText>ADDIN CSL_CITATION { "citationItems" : [ { "id" : "ITEM-1", "itemData" : { "DOI" : "10.1007/3-7985-1553-0", "ISBN" : "3-7985-1552-2", "author" : [ { "dropping-particle" : "", "family" : "Rothenberger", "given" : "Aribert", "non-dropping-particle" : "", "parse-names" : false, "suffix" : "" }, { "dropping-particle" : "", "family" : "Neum\u00e4rker", "given" : "Klaus-J\u00fcrgen", "non-dropping-particle" : "", "parse-names" : false, "suffix" : "" } ], "id" : "ITEM-1", "issued" : { "date-parts" : [ [ "2005" ] ] }, "title" : "Wissenschaftsgeschichte der ADHS", "type" : "article-journal" }, "uris" : [ "http://www.mendeley.com/documents/?uuid=78065d33-bf4e-4745-935d-88a8d782186f" ] } ], "mendeley" : { "formattedCitation" : "(41)", "plainTextFormattedCitation" : "(41)", "previouslyFormattedCitation" : "(41)" }, "properties" : { "noteIndex" : 2 }, "schema" : "https://github.com/citation-style-language/schema/raw/master/csl-citation.json" }</w:instrText>
      </w:r>
      <w:r w:rsidR="00BC3BBB">
        <w:rPr>
          <w:rFonts w:ascii="Arial" w:hAnsi="Arial" w:cs="Arial"/>
          <w:color w:val="000000" w:themeColor="text1"/>
          <w:sz w:val="22"/>
          <w:szCs w:val="22"/>
          <w:shd w:val="clear" w:color="auto" w:fill="FFFFFF"/>
        </w:rPr>
        <w:fldChar w:fldCharType="separate"/>
      </w:r>
      <w:r w:rsidRPr="00F74A96">
        <w:rPr>
          <w:rFonts w:ascii="Arial" w:hAnsi="Arial" w:cs="Arial"/>
          <w:noProof/>
          <w:color w:val="000000" w:themeColor="text1"/>
          <w:sz w:val="22"/>
          <w:szCs w:val="22"/>
          <w:shd w:val="clear" w:color="auto" w:fill="FFFFFF"/>
        </w:rPr>
        <w:t>(41)</w:t>
      </w:r>
      <w:r w:rsidR="00BC3BBB">
        <w:rPr>
          <w:rFonts w:ascii="Arial" w:hAnsi="Arial" w:cs="Arial"/>
          <w:color w:val="000000" w:themeColor="text1"/>
          <w:sz w:val="22"/>
          <w:szCs w:val="22"/>
          <w:shd w:val="clear" w:color="auto" w:fill="FFFFFF"/>
        </w:rPr>
        <w:fldChar w:fldCharType="end"/>
      </w:r>
      <w:r w:rsidRPr="00453BDF">
        <w:rPr>
          <w:rFonts w:ascii="Arial" w:hAnsi="Arial" w:cs="Arial"/>
          <w:color w:val="000000" w:themeColor="text1"/>
          <w:sz w:val="22"/>
          <w:szCs w:val="22"/>
          <w:shd w:val="clear" w:color="auto" w:fill="FFFFFF"/>
        </w:rPr>
        <w:t>.</w:t>
      </w:r>
      <w:r>
        <w:rPr>
          <w:rFonts w:ascii="Arial" w:hAnsi="Arial" w:cs="Arial"/>
          <w:color w:val="000000" w:themeColor="text1"/>
          <w:sz w:val="22"/>
          <w:szCs w:val="22"/>
          <w:shd w:val="clear" w:color="auto" w:fill="FFFFFF"/>
        </w:rPr>
        <w:t xml:space="preserve"> </w:t>
      </w:r>
      <w:r w:rsidRPr="00453BDF">
        <w:rPr>
          <w:rFonts w:ascii="Arial" w:hAnsi="Arial" w:cs="Arial"/>
          <w:color w:val="000000" w:themeColor="text1"/>
          <w:sz w:val="22"/>
          <w:szCs w:val="22"/>
        </w:rPr>
        <w:t xml:space="preserve">1990’ların sonuna </w:t>
      </w:r>
      <w:r>
        <w:rPr>
          <w:rFonts w:ascii="Arial" w:hAnsi="Arial" w:cs="Arial"/>
          <w:color w:val="000000" w:themeColor="text1"/>
          <w:sz w:val="22"/>
          <w:szCs w:val="22"/>
        </w:rPr>
        <w:t>doğru</w:t>
      </w:r>
      <w:r w:rsidRPr="00453BDF">
        <w:rPr>
          <w:rFonts w:ascii="Arial" w:hAnsi="Arial" w:cs="Arial"/>
          <w:color w:val="000000" w:themeColor="text1"/>
          <w:sz w:val="22"/>
          <w:szCs w:val="22"/>
        </w:rPr>
        <w:t xml:space="preserve"> beyin görüntüleme yöntemlerinin yapısal anormallikleri ortaya koymasıyla</w:t>
      </w:r>
      <w:r>
        <w:rPr>
          <w:rFonts w:ascii="Arial" w:hAnsi="Arial" w:cs="Arial"/>
          <w:color w:val="000000" w:themeColor="text1"/>
          <w:sz w:val="22"/>
          <w:szCs w:val="22"/>
        </w:rPr>
        <w:t>, beyin</w:t>
      </w:r>
      <w:r w:rsidRPr="00453BDF">
        <w:rPr>
          <w:rFonts w:ascii="Arial" w:hAnsi="Arial" w:cs="Arial"/>
          <w:color w:val="000000" w:themeColor="text1"/>
          <w:sz w:val="22"/>
          <w:szCs w:val="22"/>
        </w:rPr>
        <w:t xml:space="preserve"> disfonksiyonuna yönelik tarihsel yorumlamalar</w:t>
      </w:r>
      <w:r>
        <w:rPr>
          <w:rFonts w:ascii="Arial" w:hAnsi="Arial" w:cs="Arial"/>
          <w:color w:val="000000" w:themeColor="text1"/>
          <w:sz w:val="22"/>
          <w:szCs w:val="22"/>
        </w:rPr>
        <w:t xml:space="preserve"> </w:t>
      </w:r>
      <w:r w:rsidRPr="00453BDF">
        <w:rPr>
          <w:rFonts w:ascii="Arial" w:hAnsi="Arial" w:cs="Arial"/>
          <w:color w:val="000000" w:themeColor="text1"/>
          <w:sz w:val="22"/>
          <w:szCs w:val="22"/>
        </w:rPr>
        <w:t>tekrar destek görmüştür</w:t>
      </w:r>
      <w:r>
        <w:rPr>
          <w:rFonts w:ascii="Arial" w:hAnsi="Arial" w:cs="Arial"/>
          <w:color w:val="000000" w:themeColor="text1"/>
          <w:sz w:val="22"/>
          <w:szCs w:val="22"/>
        </w:rPr>
        <w:t xml:space="preserve"> </w:t>
      </w:r>
      <w:r w:rsidR="00BC3BBB">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 "citationItems" : [ { "id" : "ITEM-1", "itemData" : { "ISBN" : "978-1462517725", "author" : [ { "dropping-particle" : "", "family" : "Barkley", "given" : "R A", "non-dropping-particle" : "", "parse-names" : false, "suffix" : "" } ], "id" : "ITEM-1", "issued" : { "date-parts" : [ [ "2006" ] ] }, "title" : "Attention-deficit/hyperactivity disorder: a handbook for diagnosic and treatment", "type" : "article-journal" }, "uris" : [ "http://www.mendeley.com/documents/?uuid=4593ff08-5ba1-48b1-ae4e-5f4ed3a5d094" ] } ], "mendeley" : { "formattedCitation" : "(37)", "plainTextFormattedCitation" : "(37)", "previouslyFormattedCitation" : "(37)" }, "properties" : { "noteIndex" : 3 }, "schema" : "https://github.com/citation-style-language/schema/raw/master/csl-citation.json" }</w:instrText>
      </w:r>
      <w:r w:rsidR="00BC3BBB">
        <w:rPr>
          <w:rFonts w:ascii="Arial" w:hAnsi="Arial" w:cs="Arial"/>
          <w:color w:val="000000" w:themeColor="text1"/>
          <w:sz w:val="22"/>
          <w:szCs w:val="22"/>
        </w:rPr>
        <w:fldChar w:fldCharType="separate"/>
      </w:r>
      <w:r w:rsidRPr="00F74A96">
        <w:rPr>
          <w:rFonts w:ascii="Arial" w:hAnsi="Arial" w:cs="Arial"/>
          <w:noProof/>
          <w:color w:val="000000" w:themeColor="text1"/>
          <w:sz w:val="22"/>
          <w:szCs w:val="22"/>
        </w:rPr>
        <w:t>(37)</w:t>
      </w:r>
      <w:r w:rsidR="00BC3BBB">
        <w:rPr>
          <w:rFonts w:ascii="Arial" w:hAnsi="Arial" w:cs="Arial"/>
          <w:color w:val="000000" w:themeColor="text1"/>
          <w:sz w:val="22"/>
          <w:szCs w:val="22"/>
        </w:rPr>
        <w:fldChar w:fldCharType="end"/>
      </w:r>
      <w:r w:rsidRPr="00453BDF">
        <w:rPr>
          <w:rFonts w:ascii="Arial" w:hAnsi="Arial" w:cs="Arial"/>
          <w:color w:val="000000" w:themeColor="text1"/>
          <w:sz w:val="22"/>
          <w:szCs w:val="22"/>
        </w:rPr>
        <w:t>.</w:t>
      </w:r>
      <w:r>
        <w:rPr>
          <w:rFonts w:ascii="Arial" w:hAnsi="Arial" w:cs="Arial"/>
          <w:color w:val="000000" w:themeColor="text1"/>
          <w:sz w:val="22"/>
          <w:szCs w:val="22"/>
        </w:rPr>
        <w:t xml:space="preserve"> </w:t>
      </w:r>
      <w:r w:rsidRPr="00453BDF">
        <w:rPr>
          <w:rFonts w:ascii="Arial" w:hAnsi="Arial" w:cs="Arial"/>
          <w:color w:val="000000" w:themeColor="text1"/>
          <w:sz w:val="22"/>
          <w:szCs w:val="22"/>
        </w:rPr>
        <w:t>Daha ileriki</w:t>
      </w:r>
      <w:r>
        <w:rPr>
          <w:rFonts w:ascii="Arial" w:hAnsi="Arial" w:cs="Arial"/>
          <w:color w:val="000000" w:themeColor="text1"/>
          <w:sz w:val="22"/>
          <w:szCs w:val="22"/>
        </w:rPr>
        <w:t xml:space="preserve"> yıllarda yapılan</w:t>
      </w:r>
      <w:r w:rsidRPr="00453BDF">
        <w:rPr>
          <w:rFonts w:ascii="Arial" w:hAnsi="Arial" w:cs="Arial"/>
          <w:color w:val="000000" w:themeColor="text1"/>
          <w:sz w:val="22"/>
          <w:szCs w:val="22"/>
        </w:rPr>
        <w:t xml:space="preserve"> çalışmalar </w:t>
      </w:r>
      <w:r>
        <w:rPr>
          <w:rFonts w:ascii="Arial" w:hAnsi="Arial" w:cs="Arial"/>
          <w:color w:val="000000" w:themeColor="text1"/>
          <w:sz w:val="22"/>
          <w:szCs w:val="22"/>
        </w:rPr>
        <w:t xml:space="preserve">da </w:t>
      </w:r>
      <w:r w:rsidRPr="00453BDF">
        <w:rPr>
          <w:rFonts w:ascii="Arial" w:hAnsi="Arial" w:cs="Arial"/>
          <w:color w:val="000000" w:themeColor="text1"/>
          <w:sz w:val="22"/>
          <w:szCs w:val="22"/>
        </w:rPr>
        <w:t xml:space="preserve">bozukluğun genetik </w:t>
      </w:r>
      <w:r w:rsidRPr="00E5089E">
        <w:rPr>
          <w:rFonts w:ascii="Arial" w:hAnsi="Arial" w:cs="Arial"/>
          <w:color w:val="000000" w:themeColor="text1"/>
          <w:sz w:val="22"/>
          <w:szCs w:val="22"/>
        </w:rPr>
        <w:t>bileşenlerini saptama adına önemli veriler ortaya koymutur</w:t>
      </w:r>
      <w:r>
        <w:rPr>
          <w:rFonts w:ascii="Arial" w:hAnsi="Arial" w:cs="Arial"/>
          <w:color w:val="000000" w:themeColor="text1"/>
          <w:sz w:val="22"/>
          <w:szCs w:val="22"/>
        </w:rPr>
        <w:t xml:space="preserve"> </w:t>
      </w:r>
      <w:r w:rsidR="00BC3BBB">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 "citationItems" : [ { "id" : "ITEM-1", "itemData" : { "author" : [ { "dropping-particle" : "", "family" : "Biederman", "given" : "Joseph", "non-dropping-particle" : "", "parse-names" : false, "suffix" : "" }, { "dropping-particle" : "V", "family" : "Faraone", "given" : "Stephen", "non-dropping-particle" : "", "parse-names" : false, "suffix" : "" }, { "dropping-particle" : "", "family" : "Keenan", "given" : "Kate", "non-dropping-particle" : "", "parse-names" : false, "suffix" : "" }, { "dropping-particle" : "", "family" : "Knee", "given" : "Debra", "non-dropping-particle" : "", "parse-names" : false, "suffix" : "" }, { "dropping-particle" : "", "family" : "Tsuang", "given" : "Ming T", "non-dropping-particle" : "", "parse-names" : false, "suffix" : "" } ], "container-title" : "Journal of Amer \u2026", "id" : "ITEM-1", "issue" : "4", "issued" : { "date-parts" : [ [ "1990" ] ] }, "page" : "526-533", "title" : "Family-genetic and psychosocial risk factors in DSM-III attention deficit disorder", "type" : "article-journal", "volume" : "29" }, "uris" : [ "http://www.mendeley.com/documents/?uuid=a870738c-6fcc-423b-8b1d-df982d60c8a3" ] } ], "mendeley" : { "formattedCitation" : "(54)", "plainTextFormattedCitation" : "(54)", "previouslyFormattedCitation" : "(54)" }, "properties" : { "noteIndex" : 3 }, "schema" : "https://github.com/citation-style-language/schema/raw/master/csl-citation.json" }</w:instrText>
      </w:r>
      <w:r w:rsidR="00BC3BBB">
        <w:rPr>
          <w:rFonts w:ascii="Arial" w:hAnsi="Arial" w:cs="Arial"/>
          <w:color w:val="000000" w:themeColor="text1"/>
          <w:sz w:val="22"/>
          <w:szCs w:val="22"/>
        </w:rPr>
        <w:fldChar w:fldCharType="separate"/>
      </w:r>
      <w:r w:rsidRPr="00F74A96">
        <w:rPr>
          <w:rFonts w:ascii="Arial" w:hAnsi="Arial" w:cs="Arial"/>
          <w:noProof/>
          <w:color w:val="000000" w:themeColor="text1"/>
          <w:sz w:val="22"/>
          <w:szCs w:val="22"/>
        </w:rPr>
        <w:t>(54)</w:t>
      </w:r>
      <w:r w:rsidR="00BC3BBB">
        <w:rPr>
          <w:rFonts w:ascii="Arial" w:hAnsi="Arial" w:cs="Arial"/>
          <w:color w:val="000000" w:themeColor="text1"/>
          <w:sz w:val="22"/>
          <w:szCs w:val="22"/>
        </w:rPr>
        <w:fldChar w:fldCharType="end"/>
      </w:r>
      <w:r>
        <w:rPr>
          <w:rFonts w:ascii="Arial" w:hAnsi="Arial" w:cs="Arial"/>
          <w:color w:val="000000" w:themeColor="text1"/>
          <w:sz w:val="22"/>
          <w:szCs w:val="22"/>
        </w:rPr>
        <w:t xml:space="preserve">. </w:t>
      </w:r>
      <w:r w:rsidRPr="00E5089E">
        <w:rPr>
          <w:rFonts w:ascii="Arial" w:hAnsi="Arial" w:cs="Arial"/>
          <w:color w:val="000000" w:themeColor="text1"/>
          <w:sz w:val="22"/>
          <w:szCs w:val="22"/>
        </w:rPr>
        <w:t>DEHB,  1990’lı yıllar ve sonrasında, sadece çocukluk çağına ait bir bozukluk olmaktan çıkmış,</w:t>
      </w:r>
      <w:r>
        <w:rPr>
          <w:rFonts w:ascii="Arial" w:hAnsi="Arial" w:cs="Arial"/>
          <w:color w:val="000000" w:themeColor="text1"/>
          <w:sz w:val="22"/>
          <w:szCs w:val="22"/>
        </w:rPr>
        <w:t xml:space="preserve"> bir</w:t>
      </w:r>
      <w:r w:rsidRPr="00453BDF">
        <w:rPr>
          <w:rFonts w:ascii="Arial" w:hAnsi="Arial" w:cs="Arial"/>
          <w:color w:val="000000" w:themeColor="text1"/>
          <w:sz w:val="22"/>
          <w:szCs w:val="22"/>
        </w:rPr>
        <w:t xml:space="preserve">çok </w:t>
      </w:r>
      <w:r>
        <w:rPr>
          <w:rFonts w:ascii="Arial" w:hAnsi="Arial" w:cs="Arial"/>
          <w:color w:val="000000" w:themeColor="text1"/>
          <w:sz w:val="22"/>
          <w:szCs w:val="22"/>
        </w:rPr>
        <w:t>vakada</w:t>
      </w:r>
      <w:r w:rsidRPr="00453BDF">
        <w:rPr>
          <w:rFonts w:ascii="Arial" w:hAnsi="Arial" w:cs="Arial"/>
          <w:color w:val="000000" w:themeColor="text1"/>
          <w:sz w:val="22"/>
          <w:szCs w:val="22"/>
        </w:rPr>
        <w:t xml:space="preserve"> erişkinlikte</w:t>
      </w:r>
      <w:r>
        <w:rPr>
          <w:rFonts w:ascii="Arial" w:hAnsi="Arial" w:cs="Arial"/>
          <w:color w:val="000000" w:themeColor="text1"/>
          <w:sz w:val="22"/>
          <w:szCs w:val="22"/>
        </w:rPr>
        <w:t xml:space="preserve"> de</w:t>
      </w:r>
      <w:r w:rsidRPr="00453BDF">
        <w:rPr>
          <w:rFonts w:ascii="Arial" w:hAnsi="Arial" w:cs="Arial"/>
          <w:color w:val="000000" w:themeColor="text1"/>
          <w:sz w:val="22"/>
          <w:szCs w:val="22"/>
        </w:rPr>
        <w:t xml:space="preserve"> devam eden kronik bir rahatsızlık olarak tanı</w:t>
      </w:r>
      <w:r>
        <w:rPr>
          <w:rFonts w:ascii="Arial" w:hAnsi="Arial" w:cs="Arial"/>
          <w:color w:val="000000" w:themeColor="text1"/>
          <w:sz w:val="22"/>
          <w:szCs w:val="22"/>
        </w:rPr>
        <w:t>mlan</w:t>
      </w:r>
      <w:r w:rsidRPr="00453BDF">
        <w:rPr>
          <w:rFonts w:ascii="Arial" w:hAnsi="Arial" w:cs="Arial"/>
          <w:color w:val="000000" w:themeColor="text1"/>
          <w:sz w:val="22"/>
          <w:szCs w:val="22"/>
        </w:rPr>
        <w:t>mıştır</w:t>
      </w:r>
      <w:r>
        <w:rPr>
          <w:rFonts w:ascii="Arial" w:hAnsi="Arial" w:cs="Arial"/>
          <w:color w:val="000000" w:themeColor="text1"/>
          <w:sz w:val="22"/>
          <w:szCs w:val="22"/>
        </w:rPr>
        <w:t xml:space="preserve"> </w:t>
      </w:r>
      <w:r w:rsidR="00BC3BBB">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 "citationItems" : [ { "id" : "ITEM-1", "itemData" : { "author" : [ { "dropping-particle" : "", "family" : "D\u00f6pfner", "given" : "Manfred", "non-dropping-particle" : "", "parse-names" : false, "suffix" : "" }, { "dropping-particle" : "", "family" : "Sch\u00fcrmann", "given" : "Stephanie", "non-dropping-particle" : "", "parse-names" : false, "suffix" : "" }, { "dropping-particle" : "", "family" : "Lehmkuhl", "given" : "Gerd", "non-dropping-particle" : "", "parse-names" : false, "suffix" : "" } ], "container-title" : "Fallbuch der Klinischen Kinderpsychologie.Erkl\u00e4rungsans\u00e4tze und Interventionsverfahren", "id" : "ITEM-1", "issued" : { "date-parts" : [ [ "1997" ] ] }, "number-of-pages" : "35-57", "title" : "Hyperkinetische St\u00f6rungen", "type" : "book" }, "uris" : [ "http://www.mendeley.com/documents/?uuid=16121729-03ce-45ea-9d19-cb946536a178" ] } ], "mendeley" : { "formattedCitation" : "(55)", "plainTextFormattedCitation" : "(55)", "previouslyFormattedCitation" : "(55)" }, "properties" : { "noteIndex" : 3 }, "schema" : "https://github.com/citation-style-language/schema/raw/master/csl-citation.json" }</w:instrText>
      </w:r>
      <w:r w:rsidR="00BC3BBB">
        <w:rPr>
          <w:rFonts w:ascii="Arial" w:hAnsi="Arial" w:cs="Arial"/>
          <w:color w:val="000000" w:themeColor="text1"/>
          <w:sz w:val="22"/>
          <w:szCs w:val="22"/>
        </w:rPr>
        <w:fldChar w:fldCharType="separate"/>
      </w:r>
      <w:r w:rsidRPr="00F74A96">
        <w:rPr>
          <w:rFonts w:ascii="Arial" w:hAnsi="Arial" w:cs="Arial"/>
          <w:noProof/>
          <w:color w:val="000000" w:themeColor="text1"/>
          <w:sz w:val="22"/>
          <w:szCs w:val="22"/>
        </w:rPr>
        <w:t>(55)</w:t>
      </w:r>
      <w:r w:rsidR="00BC3BBB">
        <w:rPr>
          <w:rFonts w:ascii="Arial" w:hAnsi="Arial" w:cs="Arial"/>
          <w:color w:val="000000" w:themeColor="text1"/>
          <w:sz w:val="22"/>
          <w:szCs w:val="22"/>
        </w:rPr>
        <w:fldChar w:fldCharType="end"/>
      </w:r>
      <w:r w:rsidRPr="00453BDF">
        <w:rPr>
          <w:rFonts w:ascii="Arial" w:hAnsi="Arial" w:cs="Arial"/>
          <w:color w:val="000000" w:themeColor="text1"/>
          <w:sz w:val="22"/>
          <w:szCs w:val="22"/>
        </w:rPr>
        <w:t>.</w:t>
      </w:r>
      <w:r>
        <w:rPr>
          <w:rFonts w:ascii="Arial" w:hAnsi="Arial" w:cs="Arial"/>
          <w:color w:val="4F81BD" w:themeColor="accent1"/>
          <w:sz w:val="22"/>
          <w:szCs w:val="22"/>
        </w:rPr>
        <w:t xml:space="preserve"> </w:t>
      </w:r>
      <w:r w:rsidRPr="00453BDF">
        <w:rPr>
          <w:rFonts w:ascii="Arial" w:hAnsi="Arial" w:cs="Arial"/>
          <w:color w:val="000000" w:themeColor="text1"/>
          <w:sz w:val="22"/>
          <w:szCs w:val="22"/>
          <w:shd w:val="clear" w:color="auto" w:fill="FFFFFF"/>
        </w:rPr>
        <w:t>DSM-III-R’de daha heterojen</w:t>
      </w:r>
      <w:r>
        <w:rPr>
          <w:rFonts w:ascii="Arial" w:hAnsi="Arial" w:cs="Arial"/>
          <w:color w:val="000000" w:themeColor="text1"/>
          <w:sz w:val="22"/>
          <w:szCs w:val="22"/>
          <w:shd w:val="clear" w:color="auto" w:fill="FFFFFF"/>
        </w:rPr>
        <w:t xml:space="preserve"> bir bozukluk</w:t>
      </w:r>
      <w:r w:rsidRPr="00453BDF">
        <w:rPr>
          <w:rFonts w:ascii="Arial" w:hAnsi="Arial" w:cs="Arial"/>
          <w:color w:val="000000" w:themeColor="text1"/>
          <w:sz w:val="22"/>
          <w:szCs w:val="22"/>
          <w:shd w:val="clear" w:color="auto" w:fill="FFFFFF"/>
        </w:rPr>
        <w:t xml:space="preserve"> olan DEHB</w:t>
      </w:r>
      <w:r>
        <w:rPr>
          <w:rFonts w:ascii="Arial" w:hAnsi="Arial" w:cs="Arial"/>
          <w:color w:val="000000" w:themeColor="text1"/>
          <w:sz w:val="22"/>
          <w:szCs w:val="22"/>
          <w:shd w:val="clear" w:color="auto" w:fill="FFFFFF"/>
        </w:rPr>
        <w:t xml:space="preserve"> </w:t>
      </w:r>
      <w:r w:rsidR="00BC3BBB">
        <w:rPr>
          <w:rFonts w:ascii="Arial" w:hAnsi="Arial" w:cs="Arial"/>
          <w:color w:val="000000" w:themeColor="text1"/>
          <w:sz w:val="22"/>
          <w:szCs w:val="22"/>
          <w:shd w:val="clear" w:color="auto" w:fill="FFFFFF"/>
        </w:rPr>
        <w:fldChar w:fldCharType="begin" w:fldLock="1"/>
      </w:r>
      <w:r>
        <w:rPr>
          <w:rFonts w:ascii="Arial" w:hAnsi="Arial" w:cs="Arial"/>
          <w:color w:val="000000" w:themeColor="text1"/>
          <w:sz w:val="22"/>
          <w:szCs w:val="22"/>
          <w:shd w:val="clear" w:color="auto" w:fill="FFFFFF"/>
        </w:rPr>
        <w:instrText>ADDIN CSL_CITATION { "citationItems" : [ { "id" : "ITEM-1", "itemData" : { "abstract" : "OBJECTIVE: Optimal diagnostic thresholds were determined for DSM-IV attention deficit hyperactivity disorder, and the psychometric properties were compared to alternative definitions. METHOD: Structured diagnostic interviews of multiple informants for 380 clinic-referred youths aged 4-17 years were conducted. In addition, standardized clinicians' validation diagnoses of attention deficit disorder were obtained to assess agreement with clinical judgment. Measures of impairment were obtained to assess the accuracy of identifying youth with an impairing condition. RESULTS: Three subtypes of attention deficit hyperactivity disorder (predominantly inattentive, predominantly hyperactive-impulsive, and combined types) were distinguished on the basis of the degree of deviance on separate dimensions of inattention and hyperactivity-impulsivity. These three subtypes were found to differ in terms of types of impairment, age, and sex ratio, but not ethnicity. In terms of case identification of attention deficit hyperactivity disorder, DSM-IV was found to be very similar to DSM-III-R, except that DSM-IV identified more impaired girls and preschool children. CONCLUSIONS: These results support the decision to subdivide the heterogeneous category of DSM-III-R attention deficit hyperactivity disorder into three subtypes. The resulting DSM-IV definition appears to be somewhat less biased toward the symptom pattern typical of elementary school boys.", "author" : [ { "dropping-particle" : "", "family" : "BB", "given" : "Lahey", "non-dropping-particle" : "", "parse-names" : false, "suffix" : "" }, { "dropping-particle" : "", "family" : "B", "given" : "Applegate", "non-dropping-particle" : "", "parse-names" : false, "suffix" : "" }, { "dropping-particle" : "", "family" : "K", "given" : "McBurnett", "non-dropping-particle" : "", "parse-names" : false, "suffix" : "" }, { "dropping-particle" : "", "family" : "J", "given" : "Biederman", "non-dropping-particle" : "", "parse-names" : false, "suffix" : "" }, { "dropping-particle" : "", "family" : "L", "given" : "Greenhill", "non-dropping-particle" : "", "parse-names" : false, "suffix" : "" }, { "dropping-particle" : "", "family" : "GW", "given" : "Hynd", "non-dropping-particle" : "", "parse-names" : false, "suffix" : "" }, { "dropping-particle" : "", "family" : "RA", "given" : "Barkley", "non-dropping-particle" : "", "parse-names" : false, "suffix" : "" }, { "dropping-particle" : "", "family" : "J", "given" : "Newcorn", "non-dropping-particle" : "", "parse-names" : false, "suffix" : "" }, { "dropping-particle" : "", "family" : "P", "given" : "Jensen", "non-dropping-particle" : "", "parse-names" : false, "suffix" : "" }, { "dropping-particle" : "", "family" : "Richters J", "given" : "", "non-dropping-particle" : "", "parse-names" : false, "suffix" : "" }, { "dropping-particle" : "", "family" : "B", "given" : "Garfinkel", "non-dropping-particle" : "", "parse-names" : false, "suffix" : "" }, { "dropping-particle" : "", "family" : "L", "given" : "Kerdyk", "non-dropping-particle" : "", "parse-names" : false, "suffix" : "" }, { "dropping-particle" : "", "family" : "PJ", "given" : "Frick", "non-dropping-particle" : "", "parse-names" : false, "suffix" : "" }, { "dropping-particle" : "", "family" : "T", "given" : "Ollendick", "non-dropping-particle" : "", "parse-names" : false, "suffix" : "" }, { "dropping-particle" : "", "family" : "D", "given" : "Perez", "non-dropping-particle" : "", "parse-names" : false, "suffix" : "" }, { "dropping-particle" : "", "family" : "EL", "given" : "Hart", "non-dropping-particle" : "", "parse-names" : false, "suffix" : "" }, { "dropping-particle" : "", "family" : "I", "given" : "Waldman", "non-dropping-particle" : "", "parse-names" : false, "suffix" : "" }, { "dropping-particle" : "", "family" : "D", "given" : "Shaffer", "non-dropping-particle" : "", "parse-names" : false, "suffix" : "" } ], "container-title" : "The American journal of psychiatry", "id" : "ITEM-1", "issue" : "11", "issued" : { "date-parts" : [ [ "1994" ] ] }, "page" : "1673-1685", "title" : "DSM-IV field trials for attention deficit hyperactivity disorder in children and adolescents", "type" : "article-journal", "volume" : "151" }, "uris" : [ "http://www.mendeley.com/documents/?uuid=7b631e86-df9c-43b4-8ede-1683e40ad40f" ] } ], "mendeley" : { "formattedCitation" : "(56)", "plainTextFormattedCitation" : "(56)", "previouslyFormattedCitation" : "(56)" }, "properties" : { "noteIndex" : 3 }, "schema" : "https://github.com/citation-style-language/schema/raw/master/csl-citation.json" }</w:instrText>
      </w:r>
      <w:r w:rsidR="00BC3BBB">
        <w:rPr>
          <w:rFonts w:ascii="Arial" w:hAnsi="Arial" w:cs="Arial"/>
          <w:color w:val="000000" w:themeColor="text1"/>
          <w:sz w:val="22"/>
          <w:szCs w:val="22"/>
          <w:shd w:val="clear" w:color="auto" w:fill="FFFFFF"/>
        </w:rPr>
        <w:fldChar w:fldCharType="separate"/>
      </w:r>
      <w:r w:rsidRPr="00F74A96">
        <w:rPr>
          <w:rFonts w:ascii="Arial" w:hAnsi="Arial" w:cs="Arial"/>
          <w:noProof/>
          <w:color w:val="000000" w:themeColor="text1"/>
          <w:sz w:val="22"/>
          <w:szCs w:val="22"/>
          <w:shd w:val="clear" w:color="auto" w:fill="FFFFFF"/>
        </w:rPr>
        <w:t>(56)</w:t>
      </w:r>
      <w:r w:rsidR="00BC3BBB">
        <w:rPr>
          <w:rFonts w:ascii="Arial" w:hAnsi="Arial" w:cs="Arial"/>
          <w:color w:val="000000" w:themeColor="text1"/>
          <w:sz w:val="22"/>
          <w:szCs w:val="22"/>
          <w:shd w:val="clear" w:color="auto" w:fill="FFFFFF"/>
        </w:rPr>
        <w:fldChar w:fldCharType="end"/>
      </w:r>
      <w:r w:rsidRPr="00453BDF">
        <w:rPr>
          <w:rFonts w:ascii="Arial" w:hAnsi="Arial" w:cs="Arial"/>
          <w:color w:val="000000" w:themeColor="text1"/>
          <w:sz w:val="22"/>
          <w:szCs w:val="22"/>
          <w:shd w:val="clear" w:color="auto" w:fill="FFFFFF"/>
        </w:rPr>
        <w:t xml:space="preserve">, </w:t>
      </w:r>
      <w:r w:rsidRPr="00453BDF">
        <w:rPr>
          <w:rFonts w:ascii="Arial" w:hAnsi="Arial" w:cs="Arial"/>
          <w:color w:val="000000" w:themeColor="text1"/>
          <w:sz w:val="22"/>
          <w:szCs w:val="22"/>
        </w:rPr>
        <w:t>1994 yılında DSM-IV</w:t>
      </w:r>
      <w:r>
        <w:rPr>
          <w:rFonts w:ascii="Arial" w:hAnsi="Arial" w:cs="Arial"/>
          <w:color w:val="000000" w:themeColor="text1"/>
          <w:sz w:val="22"/>
          <w:szCs w:val="22"/>
        </w:rPr>
        <w:t xml:space="preserve"> ile birlikte</w:t>
      </w:r>
      <w:r w:rsidRPr="00453BDF">
        <w:rPr>
          <w:rFonts w:ascii="Arial" w:hAnsi="Arial" w:cs="Arial"/>
          <w:color w:val="000000" w:themeColor="text1"/>
          <w:sz w:val="22"/>
          <w:szCs w:val="22"/>
        </w:rPr>
        <w:t xml:space="preserve"> </w:t>
      </w:r>
      <w:r w:rsidRPr="00453BDF">
        <w:rPr>
          <w:rFonts w:ascii="Arial" w:hAnsi="Arial" w:cs="Arial"/>
          <w:i/>
          <w:color w:val="000000" w:themeColor="text1"/>
          <w:sz w:val="22"/>
          <w:szCs w:val="22"/>
        </w:rPr>
        <w:t>“</w:t>
      </w:r>
      <w:r w:rsidRPr="00453BDF">
        <w:rPr>
          <w:rFonts w:ascii="Arial" w:hAnsi="Arial" w:cs="Arial"/>
          <w:i/>
          <w:sz w:val="22"/>
          <w:szCs w:val="22"/>
        </w:rPr>
        <w:t>dikkat eksikliği baskın tip”</w:t>
      </w:r>
      <w:r w:rsidRPr="00453BDF">
        <w:rPr>
          <w:rFonts w:ascii="Arial" w:hAnsi="Arial" w:cs="Arial"/>
          <w:sz w:val="22"/>
          <w:szCs w:val="22"/>
        </w:rPr>
        <w:t>,</w:t>
      </w:r>
      <w:r w:rsidRPr="00453BDF">
        <w:rPr>
          <w:rFonts w:ascii="Arial" w:hAnsi="Arial" w:cs="Arial"/>
          <w:i/>
          <w:sz w:val="22"/>
          <w:szCs w:val="22"/>
        </w:rPr>
        <w:t>“hiperaktivite baskın tip”</w:t>
      </w:r>
      <w:r w:rsidRPr="00453BDF">
        <w:rPr>
          <w:rFonts w:ascii="Arial" w:hAnsi="Arial" w:cs="Arial"/>
          <w:sz w:val="22"/>
          <w:szCs w:val="22"/>
        </w:rPr>
        <w:t xml:space="preserve"> ve “</w:t>
      </w:r>
      <w:r w:rsidRPr="00453BDF">
        <w:rPr>
          <w:rFonts w:ascii="Arial" w:hAnsi="Arial" w:cs="Arial"/>
          <w:i/>
          <w:sz w:val="22"/>
          <w:szCs w:val="22"/>
        </w:rPr>
        <w:t>bileşik tip”</w:t>
      </w:r>
      <w:r w:rsidRPr="00453BDF">
        <w:rPr>
          <w:rFonts w:ascii="Arial" w:hAnsi="Arial" w:cs="Arial"/>
          <w:sz w:val="22"/>
          <w:szCs w:val="22"/>
        </w:rPr>
        <w:t xml:space="preserve"> olmak üzere üç alt tip halinde sınıflandırılmıştır </w:t>
      </w:r>
      <w:r w:rsidR="00BC3BBB">
        <w:rPr>
          <w:rFonts w:ascii="Arial" w:hAnsi="Arial" w:cs="Arial"/>
          <w:sz w:val="22"/>
          <w:szCs w:val="22"/>
        </w:rPr>
        <w:fldChar w:fldCharType="begin" w:fldLock="1"/>
      </w:r>
      <w:r>
        <w:rPr>
          <w:rFonts w:ascii="Arial" w:hAnsi="Arial" w:cs="Arial"/>
          <w:sz w:val="22"/>
          <w:szCs w:val="22"/>
        </w:rPr>
        <w:instrText>ADDIN CSL_CITATION { "citationItems" : [ { "id" : "ITEM-1", "itemData" : { "author" : [ { "dropping-particle" : "", "family" : "American Psychiatric Association", "given" : "", "non-dropping-particle" : "", "parse-names" : false, "suffix" : "" } ], "id" : "ITEM-1", "issued" : { "date-parts" : [ [ "1994" ] ] }, "title" : "Diagnostic and Statistical Manual of Mental Disorders (DSM-IV)", "type" : "book" }, "uris" : [ "http://www.mendeley.com/documents/?uuid=a9baa8f0-9fd6-4733-82cf-11ce03bbe466" ] } ], "mendeley" : { "formattedCitation" : "(57)", "plainTextFormattedCitation" : "(57)", "previouslyFormattedCitation" : "(57)" }, "properties" : { "noteIndex" : 3 }, "schema" : "https://github.com/citation-style-language/schema/raw/master/csl-citation.json" }</w:instrText>
      </w:r>
      <w:r w:rsidR="00BC3BBB">
        <w:rPr>
          <w:rFonts w:ascii="Arial" w:hAnsi="Arial" w:cs="Arial"/>
          <w:sz w:val="22"/>
          <w:szCs w:val="22"/>
        </w:rPr>
        <w:fldChar w:fldCharType="separate"/>
      </w:r>
      <w:r w:rsidRPr="00F74A96">
        <w:rPr>
          <w:rFonts w:ascii="Arial" w:hAnsi="Arial" w:cs="Arial"/>
          <w:noProof/>
          <w:sz w:val="22"/>
          <w:szCs w:val="22"/>
        </w:rPr>
        <w:t>(57)</w:t>
      </w:r>
      <w:r w:rsidR="00BC3BBB">
        <w:rPr>
          <w:rFonts w:ascii="Arial" w:hAnsi="Arial" w:cs="Arial"/>
          <w:sz w:val="22"/>
          <w:szCs w:val="22"/>
        </w:rPr>
        <w:fldChar w:fldCharType="end"/>
      </w:r>
      <w:r w:rsidRPr="00453BDF">
        <w:rPr>
          <w:rFonts w:ascii="Arial" w:hAnsi="Arial" w:cs="Arial"/>
          <w:color w:val="4F81BD" w:themeColor="accent1"/>
          <w:sz w:val="22"/>
          <w:szCs w:val="22"/>
        </w:rPr>
        <w:t xml:space="preserve">. </w:t>
      </w:r>
      <w:r w:rsidRPr="00453BDF">
        <w:rPr>
          <w:rFonts w:ascii="Arial" w:hAnsi="Arial" w:cs="Arial"/>
          <w:color w:val="000000" w:themeColor="text1"/>
          <w:sz w:val="22"/>
          <w:szCs w:val="22"/>
        </w:rPr>
        <w:t>DE</w:t>
      </w:r>
      <w:r w:rsidRPr="00453BDF">
        <w:rPr>
          <w:rFonts w:ascii="Arial" w:hAnsi="Arial" w:cs="Arial"/>
          <w:color w:val="000000" w:themeColor="text1"/>
          <w:sz w:val="22"/>
          <w:szCs w:val="22"/>
          <w:shd w:val="clear" w:color="auto" w:fill="FFFFFF"/>
        </w:rPr>
        <w:t>HB'nin</w:t>
      </w:r>
      <w:r>
        <w:rPr>
          <w:rFonts w:ascii="Arial" w:hAnsi="Arial" w:cs="Arial"/>
          <w:color w:val="000000" w:themeColor="text1"/>
          <w:sz w:val="22"/>
          <w:szCs w:val="22"/>
          <w:shd w:val="clear" w:color="auto" w:fill="FFFFFF"/>
        </w:rPr>
        <w:t xml:space="preserve"> bu</w:t>
      </w:r>
      <w:r w:rsidRPr="00453BDF">
        <w:rPr>
          <w:rFonts w:ascii="Arial" w:hAnsi="Arial" w:cs="Arial"/>
          <w:color w:val="000000" w:themeColor="text1"/>
          <w:sz w:val="22"/>
          <w:szCs w:val="22"/>
          <w:shd w:val="clear" w:color="auto" w:fill="FFFFFF"/>
        </w:rPr>
        <w:t xml:space="preserve"> üç alt tipi, yapılandırılmış tanısal görüşmelere, doğrulama tanılarına ve </w:t>
      </w:r>
      <w:r w:rsidRPr="00F71665">
        <w:rPr>
          <w:rFonts w:ascii="Arial" w:hAnsi="Arial" w:cs="Arial"/>
          <w:color w:val="000000" w:themeColor="text1"/>
          <w:sz w:val="22"/>
          <w:szCs w:val="22"/>
          <w:shd w:val="clear" w:color="auto" w:fill="FFFFFF"/>
        </w:rPr>
        <w:t xml:space="preserve">o dönem yapılan büyük bir saha çalışmasına dayanılarak tanımlanmıştır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"abstract" : "OBJECTIVE: Optimal diagnostic thresholds were determined for DSM-IV attention deficit hyperactivity disorder, and the psychometric properties were compared to alternative definitions. METHOD: Structured diagnostic interviews of multiple informants for 380 clinic-referred youths aged 4-17 years were conducted. In addition, standardized clinicians' validation diagnoses of attention deficit disorder were obtained to assess agreement with clinical judgment. Measures of impairment were obtained to assess the accuracy of identifying youth with an impairing condition. RESULTS: Three subtypes of attention deficit hyperactivity disorder (predominantly inattentive, predominantly hyperactive-impulsive, and combined types) were distinguished on the basis of the degree of deviance on separate dimensions of inattention and hyperactivity-impulsivity. These three subtypes were found to differ in terms of types of impairment, age, and sex ratio, but not ethnicity. In terms of case identification of attention deficit hyperactivity disorder, DSM-IV was found to be very similar to DSM-III-R, except that DSM-IV identified more impaired girls and preschool children. CONCLUSIONS: These results support the decision to subdivide the heterogeneous category of DSM-III-R attention deficit hyperactivity disorder into three subtypes. The resulting DSM-IV definition appears to be somewhat less biased toward the symptom pattern typical of elementary school boys.", "author" : [ { "dropping-particle" : "", "family" : "BB", "given" : "Lahey", "non-dropping-particle" : "", "parse-names" : false, "suffix" : "" }, { "dropping-particle" : "", "family" : "B", "given" : "Applegate", "non-dropping-particle" : "", "parse-names" : false, "suffix" : "" }, { "dropping-particle" : "", "family" : "K", "given" : "McBurnett", "non-dropping-particle" : "", "parse-names" : false, "suffix" : "" }, { "dropping-particle" : "", "family" : "J", "given" : "Biederman", "non-dropping-particle" : "", "parse-names" : false, "suffix" : "" }, { "dropping-particle" : "", "family" : "L", "given" : "Greenhill", "non-dropping-particle" : "", "parse-names" : false, "suffix" : "" }, { "dropping-particle" : "", "family" : "GW", "given" : "Hynd", "non-dropping-particle" : "", "parse-names" : false, "suffix" : "" }, { "dropping-particle" : "", "family" : "RA", "given" : "Barkley", "non-dropping-particle" : "", "parse-names" : false, "suffix" : "" }, { "dropping-particle" : "", "family" : "J", "given" : "Newcorn", "non-dropping-particle" : "", "parse-names" : false, "suffix" : "" }, { "dropping-particle" : "", "family" : "P", "given" : "Jensen", "non-dropping-particle" : "", "parse-names" : false, "suffix" : "" }, { "dropping-particle" : "", "family" : "Richters J", "given" : "", "non-dropping-particle" : "", "parse-names" : false, "suffix" : "" }, { "dropping-particle" : "", "family" : "B", "given" : "Garfinkel", "non-dropping-particle" : "", "parse-names" : false, "suffix" : "" }, { "dropping-particle" : "", "family" : "L", "given" : "Kerdyk", "non-dropping-particle" : "", "parse-names" : false, "suffix" : "" }, { "dropping-particle" : "", "family" : "PJ", "given" : "Frick", "non-dropping-particle" : "", "parse-names" : false, "suffix" : "" }, { "dropping-particle" : "", "family" : "T", "given" : "Ollendick", "non-dropping-particle" : "", "parse-names" : false, "suffix" : "" }, { "dropping-particle" : "", "family" : "D", "given" : "Perez", "non-dropping-particle" : "", "parse-names" : false, "suffix" : "" }, { "dropping-particle" : "", "family" : "EL", "given" : "Hart", "non-dropping-particle" : "", "parse-names" : false, "suffix" : "" }, { "dropping-particle" : "", "family" : "I", "given" : "Waldman", "non-dropping-particle" : "", "parse-names" : false, "suffix" : "" }, { "dropping-particle" : "", "family" : "D", "given" : "Shaffer", "non-dropping-particle" : "", "parse-names" : false, "suffix" : "" } ], "container-title" : "The American journal of psychiatry", "id" : "ITEM-1", "issue" : "11", "issued" : { "date-parts" : [ [ "1994" ] ] }, "page" : "1673-1685", "title" : "DSM-IV field trials for attention deficit hyperactivity disorder in children and adolescents", "type" : "article-journal", "volume" : "151" }, "uris" : [ "http://www.mendeley.com/documents/?uuid=7b631e86-df9c-43b4-8ede-1683e40ad40f" ] } ], "mendeley" : { "formattedCitation" : "(56)", "plainTextFormattedCitation" : "(56)", "previouslyFormattedCitation" : "(56)" }, "properties" : { "noteIndex" : 3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(56)</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000000" w:themeColor="text1"/>
          <w:sz w:val="22"/>
          <w:szCs w:val="22"/>
          <w:shd w:val="clear" w:color="auto" w:fill="FFFFFF"/>
        </w:rPr>
        <w:t>.</w:t>
      </w:r>
      <w:r w:rsidRPr="00F71665">
        <w:rPr>
          <w:rFonts w:ascii="Arial" w:hAnsi="Arial" w:cs="Arial"/>
          <w:color w:val="E36C0A" w:themeColor="accent6" w:themeShade="BF"/>
          <w:sz w:val="22"/>
          <w:szCs w:val="22"/>
        </w:rPr>
        <w:t xml:space="preserve"> </w:t>
      </w:r>
      <w:r w:rsidRPr="00F71665">
        <w:rPr>
          <w:rFonts w:ascii="Arial" w:hAnsi="Arial" w:cs="Arial"/>
          <w:color w:val="000000" w:themeColor="text1"/>
          <w:sz w:val="22"/>
          <w:szCs w:val="22"/>
        </w:rPr>
        <w:t xml:space="preserve">2000 yılında yayımlanan DSM-IV-TR’de </w:t>
      </w:r>
      <w:r w:rsidR="00BC3BBB" w:rsidRPr="00F71665">
        <w:rPr>
          <w:rFonts w:ascii="Arial" w:hAnsi="Arial" w:cs="Arial"/>
          <w:color w:val="000000" w:themeColor="text1"/>
          <w:sz w:val="22"/>
          <w:szCs w:val="22"/>
        </w:rPr>
        <w:fldChar w:fldCharType="begin" w:fldLock="1"/>
      </w:r>
      <w:r w:rsidRPr="00F71665">
        <w:rPr>
          <w:rFonts w:ascii="Arial" w:hAnsi="Arial" w:cs="Arial"/>
          <w:color w:val="000000" w:themeColor="text1"/>
          <w:sz w:val="22"/>
          <w:szCs w:val="22"/>
        </w:rPr>
        <w:instrText>ADDIN CSL_CITATION { "citationItems" : [ { "id" : "ITEM-1", "itemData" : { "author" : [ { "dropping-particle" : "", "family" : "American Psychiatric Association", "given" : "", "non-dropping-particle" : "", "parse-names" : false, "suffix" : "" } ], "container-title" : "Washington, DC: American Psychiatric Association", "edition" : "4th edn Te", "id" : "ITEM-1", "issued" : { "date-parts" : [ [ "2000" ] ] }, "publisher-place" : "Washington DC)", "title" : "Diagnostic and Statistical Manual of Mental Disorders (DSM-IV-TR)", "type" : "book" }, "uris" : [ "http://www.mendeley.com/documents/?uuid=0dd79969-c0b8-4ffa-b324-8aa1b68df8f1" ] } ], "mendeley" : { "formattedCitation" : "(58)", "plainTextFormattedCitation" : "(58)", "previouslyFormattedCitation" : "(58)" }, "properties" : { "noteIndex" : 3 }, "schema" : "https://github.com/citation-style-language/schema/raw/master/csl-citation.json" }</w:instrText>
      </w:r>
      <w:r w:rsidR="00BC3BBB" w:rsidRPr="00F71665">
        <w:rPr>
          <w:rFonts w:ascii="Arial" w:hAnsi="Arial" w:cs="Arial"/>
          <w:color w:val="000000" w:themeColor="text1"/>
          <w:sz w:val="22"/>
          <w:szCs w:val="22"/>
        </w:rPr>
        <w:fldChar w:fldCharType="separate"/>
      </w:r>
      <w:r w:rsidRPr="00F71665">
        <w:rPr>
          <w:rFonts w:ascii="Arial" w:hAnsi="Arial" w:cs="Arial"/>
          <w:noProof/>
          <w:color w:val="000000" w:themeColor="text1"/>
          <w:sz w:val="22"/>
          <w:szCs w:val="22"/>
        </w:rPr>
        <w:t>(58)</w:t>
      </w:r>
      <w:r w:rsidR="00BC3BBB" w:rsidRPr="00F71665">
        <w:rPr>
          <w:rFonts w:ascii="Arial" w:hAnsi="Arial" w:cs="Arial"/>
          <w:color w:val="000000" w:themeColor="text1"/>
          <w:sz w:val="22"/>
          <w:szCs w:val="22"/>
        </w:rPr>
        <w:fldChar w:fldCharType="end"/>
      </w:r>
      <w:r w:rsidRPr="00F71665">
        <w:rPr>
          <w:rFonts w:ascii="Arial" w:hAnsi="Arial" w:cs="Arial"/>
          <w:color w:val="4F81BD" w:themeColor="accent1"/>
          <w:sz w:val="22"/>
          <w:szCs w:val="22"/>
        </w:rPr>
        <w:t xml:space="preserve">) </w:t>
      </w:r>
      <w:r w:rsidRPr="00F71665">
        <w:rPr>
          <w:rFonts w:ascii="Arial" w:hAnsi="Arial" w:cs="Arial"/>
          <w:color w:val="000000" w:themeColor="text1"/>
          <w:sz w:val="22"/>
          <w:szCs w:val="22"/>
        </w:rPr>
        <w:t xml:space="preserve">bu bozuklukla ilgili değişiklik yapılmamıştır </w:t>
      </w:r>
      <w:r w:rsidR="00BC3BBB" w:rsidRPr="00F71665">
        <w:rPr>
          <w:rFonts w:ascii="Arial" w:hAnsi="Arial" w:cs="Arial"/>
          <w:color w:val="000000" w:themeColor="text1"/>
          <w:sz w:val="22"/>
          <w:szCs w:val="22"/>
        </w:rPr>
        <w:fldChar w:fldCharType="begin" w:fldLock="1"/>
      </w:r>
      <w:r w:rsidRPr="00F71665">
        <w:rPr>
          <w:rFonts w:ascii="Arial" w:hAnsi="Arial" w:cs="Arial"/>
          <w:color w:val="000000" w:themeColor="text1"/>
          <w:sz w:val="22"/>
          <w:szCs w:val="22"/>
        </w:rPr>
        <w:instrText>ADDIN CSL_CITATION { "citationItems" : [ { "id" : "ITEM-1", "itemData" : { "DOI" : "10.1007/s12402-010-0045-8", "ISBN" : "1866-6116", "ISSN" : "1866-6116", "abstract" : "The contemporary concept of attention deficit hyperactivity disorder (ADHD) as defined in the DSM-IV-TR (American Psychiatric Association 2000) is relatively new. Excessive hyperactive, inattentive, and impulsive children have been described in the literature since the nineteenth century. Some of the early depictions and etiological theories of hyperactivity were similar to current descriptions of ADHD. Detailed studies of the behavior of hyperactive children and increasing knowledge of brain function have changed the concepts of the fundamental behavioral and neuropathological deficits underlying the disorder. This article presents an overview of the conceptual history of modern-day ADHD.", "author" : [ { "dropping-particle" : "", "family" : "Lange", "given" : "Klaus", "non-dropping-particle" : "", "parse-names" : false, "suffix" : "" }, { "dropping-particle" : "", "family" : "Reichl", "given" : "Susanne", "non-dropping-particle" : "", "parse-names" : false, "suffix" : "" }, { "dropping-particle" : "", "family" : "Lange", "given" : "Katharina", "non-dropping-particle" : "", "parse-names" : false, "suffix" : "" }, { "dropping-particle" : "", "family" : "Tucha", "given" : "Lara", "non-dropping-particle" : "", "parse-names" : false, "suffix" : "" }, { "dropping-particle" : "", "family" : "Tucha", "given" : "Oliver", "non-dropping-particle" : "", "parse-names" : false, "suffix" : "" } ], "container-title" : "ADHD Attention Deficit and Hyperactivity Disorders", "id" : "ITEM-1", "issue" : "4", "issued" : { "date-parts" : [ [ "2010" ] ] }, "page" : "241-255", "title" : "The history of attention deficit hyperactivity disorder", "type" : "article-journal", "volume" : "2" }, "uris" : [ "http://www.mendeley.com/documents/?uuid=9651aeca-9690-4f3d-928d-8bc83211dbf3" ] } ], "mendeley" : { "formattedCitation" : "(35)", "plainTextFormattedCitation" : "(35)", "previouslyFormattedCitation" : "(35)" }, "properties" : { "noteIndex" : 3 }, "schema" : "https://github.com/citation-style-language/schema/raw/master/csl-citation.json" }</w:instrText>
      </w:r>
      <w:r w:rsidR="00BC3BBB" w:rsidRPr="00F71665">
        <w:rPr>
          <w:rFonts w:ascii="Arial" w:hAnsi="Arial" w:cs="Arial"/>
          <w:color w:val="000000" w:themeColor="text1"/>
          <w:sz w:val="22"/>
          <w:szCs w:val="22"/>
        </w:rPr>
        <w:fldChar w:fldCharType="separate"/>
      </w:r>
      <w:r w:rsidRPr="00F71665">
        <w:rPr>
          <w:rFonts w:ascii="Arial" w:hAnsi="Arial" w:cs="Arial"/>
          <w:noProof/>
          <w:color w:val="000000" w:themeColor="text1"/>
          <w:sz w:val="22"/>
          <w:szCs w:val="22"/>
        </w:rPr>
        <w:t>(35)</w:t>
      </w:r>
      <w:r w:rsidR="00BC3BBB" w:rsidRPr="00F71665">
        <w:rPr>
          <w:rFonts w:ascii="Arial" w:hAnsi="Arial" w:cs="Arial"/>
          <w:color w:val="000000" w:themeColor="text1"/>
          <w:sz w:val="22"/>
          <w:szCs w:val="22"/>
        </w:rPr>
        <w:fldChar w:fldCharType="end"/>
      </w:r>
      <w:r w:rsidRPr="00F71665">
        <w:rPr>
          <w:rFonts w:ascii="Arial" w:hAnsi="Arial" w:cs="Arial"/>
          <w:color w:val="000000" w:themeColor="text1"/>
          <w:sz w:val="22"/>
          <w:szCs w:val="22"/>
        </w:rPr>
        <w:t xml:space="preserve">. </w:t>
      </w:r>
      <w:r w:rsidRPr="00F71665">
        <w:rPr>
          <w:rFonts w:ascii="Arial" w:hAnsi="Arial" w:cs="Arial"/>
          <w:sz w:val="22"/>
          <w:szCs w:val="22"/>
          <w:shd w:val="clear" w:color="auto" w:fill="FFFFFF"/>
        </w:rPr>
        <w:t xml:space="preserve">DSM-V’te ise DEHB, </w:t>
      </w:r>
      <w:r w:rsidRPr="00F71665">
        <w:rPr>
          <w:rFonts w:ascii="Arial" w:hAnsi="Arial" w:cs="Arial"/>
          <w:i/>
          <w:sz w:val="22"/>
          <w:szCs w:val="22"/>
          <w:shd w:val="clear" w:color="auto" w:fill="FFFFFF"/>
        </w:rPr>
        <w:t>"Nörogelişimsel Bozukluklar"</w:t>
      </w:r>
      <w:r w:rsidRPr="00F71665">
        <w:rPr>
          <w:rFonts w:ascii="Arial" w:hAnsi="Arial" w:cs="Arial"/>
          <w:sz w:val="22"/>
          <w:szCs w:val="22"/>
          <w:shd w:val="clear" w:color="auto" w:fill="FFFFFF"/>
        </w:rPr>
        <w:t xml:space="preserve"> başlığı altında sınıflandırılmış, erişkin DEHB için gerekli olan belirti sayısı azaltılmıştır. DSM-IV'te tanımlanan üç alt tipte değişiklik yapılmamış, fakat </w:t>
      </w:r>
      <w:r w:rsidRPr="00F71665">
        <w:rPr>
          <w:rFonts w:ascii="Arial" w:hAnsi="Arial" w:cs="Arial"/>
          <w:i/>
          <w:sz w:val="22"/>
          <w:szCs w:val="22"/>
          <w:shd w:val="clear" w:color="auto" w:fill="FFFFFF"/>
        </w:rPr>
        <w:t>"alt tip"</w:t>
      </w:r>
      <w:r w:rsidRPr="00F71665">
        <w:rPr>
          <w:rFonts w:ascii="Arial" w:hAnsi="Arial" w:cs="Arial"/>
          <w:sz w:val="22"/>
          <w:szCs w:val="22"/>
          <w:shd w:val="clear" w:color="auto" w:fill="FFFFFF"/>
        </w:rPr>
        <w:t xml:space="preserve"> yerine </w:t>
      </w:r>
      <w:r w:rsidRPr="00F71665">
        <w:rPr>
          <w:rFonts w:ascii="Arial" w:hAnsi="Arial" w:cs="Arial"/>
          <w:i/>
          <w:sz w:val="22"/>
          <w:szCs w:val="22"/>
          <w:shd w:val="clear" w:color="auto" w:fill="FFFFFF"/>
        </w:rPr>
        <w:t xml:space="preserve">"görünüm" </w:t>
      </w:r>
      <w:r w:rsidRPr="00F71665">
        <w:rPr>
          <w:rFonts w:ascii="Arial" w:hAnsi="Arial" w:cs="Arial"/>
          <w:sz w:val="22"/>
          <w:szCs w:val="22"/>
          <w:shd w:val="clear" w:color="auto" w:fill="FFFFFF"/>
        </w:rPr>
        <w:t xml:space="preserve">ifadesi kullanılmıştır. Semptomların başlangıcı için 7 yaş yerine 12 yaşından önce ifadesi kullanılmıştır. Ayrıca dışlama ölçütlerinden </w:t>
      </w:r>
      <w:r w:rsidRPr="00F71665">
        <w:rPr>
          <w:rFonts w:ascii="Arial" w:hAnsi="Arial" w:cs="Arial"/>
          <w:i/>
          <w:sz w:val="22"/>
          <w:szCs w:val="22"/>
          <w:shd w:val="clear" w:color="auto" w:fill="FFFFFF"/>
        </w:rPr>
        <w:t>"Yaygın Gelişimsel Bozukluklar"</w:t>
      </w:r>
      <w:r w:rsidRPr="00F71665">
        <w:rPr>
          <w:rFonts w:ascii="Arial" w:hAnsi="Arial" w:cs="Arial"/>
          <w:sz w:val="22"/>
          <w:szCs w:val="22"/>
          <w:shd w:val="clear" w:color="auto" w:fill="FFFFFF"/>
        </w:rPr>
        <w:t xml:space="preserve"> kaldırılmıştır </w:t>
      </w:r>
      <w:r w:rsidR="00BC3BBB" w:rsidRPr="00F71665">
        <w:rPr>
          <w:rFonts w:ascii="Arial" w:hAnsi="Arial" w:cs="Arial"/>
          <w:sz w:val="22"/>
          <w:szCs w:val="22"/>
          <w:shd w:val="clear" w:color="auto" w:fill="FFFFFF"/>
        </w:rPr>
        <w:fldChar w:fldCharType="begin" w:fldLock="1"/>
      </w:r>
      <w:r w:rsidRPr="00F71665">
        <w:rPr>
          <w:rFonts w:ascii="Arial" w:hAnsi="Arial" w:cs="Arial"/>
          <w:sz w:val="22"/>
          <w:szCs w:val="22"/>
          <w:shd w:val="clear" w:color="auto" w:fill="FFFFFF"/>
        </w:rPr>
        <w:instrText>ADDIN CSL_CITATION { "citationItems" : [ { "id" : "ITEM-1", "itemData" : { "DOI" : "10.1176/appi.books.9780890425596.744053", "ISBN" : "0890425558", "ISSN" : "2317-1782", "PMID" : "24413388", "author" : [ { "dropping-particle" : "", "family" : "American Psychiatric Association", "given" : "", "non-dropping-particle" : "", "parse-names" : false, "suffix" : "" } ], "edition" : "2013", "id" : "ITEM-1", "issued" : { "date-parts" : [ [ "2013" ] ] }, "number-of-pages" : "992", "publisher" : "American Psychiatric Publishing", "title" : "Diagnostic and Statistical Manual of Mental Disorders, Diagnostic and Statistical Manual of Mental Disorders, Fifth Edition (DSM-5).", "type" : "book" }, "uris" : [ "http://www.mendeley.com/documents/?uuid=3426bcb2-a514-4229-8139-12fcdd42b8e2" ] } ], "mendeley" : { "formattedCitation" : "(2)", "plainTextFormattedCitation" : "(2)", "previouslyFormattedCitation" : "(2)" }, "properties" : { "noteIndex" : 3 }, "schema" : "https://github.com/citation-style-language/schema/raw/master/csl-citation.json" }</w:instrText>
      </w:r>
      <w:r w:rsidR="00BC3BBB" w:rsidRPr="00F71665">
        <w:rPr>
          <w:rFonts w:ascii="Arial" w:hAnsi="Arial" w:cs="Arial"/>
          <w:sz w:val="22"/>
          <w:szCs w:val="22"/>
          <w:shd w:val="clear" w:color="auto" w:fill="FFFFFF"/>
        </w:rPr>
        <w:fldChar w:fldCharType="separate"/>
      </w:r>
      <w:r w:rsidRPr="00F71665">
        <w:rPr>
          <w:rFonts w:ascii="Arial" w:hAnsi="Arial" w:cs="Arial"/>
          <w:noProof/>
          <w:sz w:val="22"/>
          <w:szCs w:val="22"/>
          <w:shd w:val="clear" w:color="auto" w:fill="FFFFFF"/>
        </w:rPr>
        <w:t>(2)</w:t>
      </w:r>
      <w:r w:rsidR="00BC3BBB" w:rsidRPr="00F71665">
        <w:rPr>
          <w:rFonts w:ascii="Arial" w:hAnsi="Arial" w:cs="Arial"/>
          <w:sz w:val="22"/>
          <w:szCs w:val="22"/>
          <w:shd w:val="clear" w:color="auto" w:fill="FFFFFF"/>
        </w:rPr>
        <w:fldChar w:fldCharType="end"/>
      </w:r>
      <w:r w:rsidRPr="00F71665">
        <w:rPr>
          <w:rFonts w:ascii="Arial" w:hAnsi="Arial" w:cs="Arial"/>
          <w:sz w:val="22"/>
          <w:szCs w:val="22"/>
          <w:shd w:val="clear" w:color="auto" w:fill="FFFFFF"/>
        </w:rPr>
        <w:t>.</w:t>
      </w:r>
    </w:p>
    <w:p w:rsidR="00C60153" w:rsidRPr="00F71665" w:rsidRDefault="00C60153" w:rsidP="00C60153">
      <w:pPr>
        <w:autoSpaceDE w:val="0"/>
        <w:autoSpaceDN w:val="0"/>
        <w:adjustRightInd w:val="0"/>
        <w:spacing w:line="360" w:lineRule="auto"/>
        <w:ind w:firstLine="708"/>
        <w:jc w:val="both"/>
        <w:rPr>
          <w:rFonts w:ascii="Arial" w:hAnsi="Arial" w:cs="Arial"/>
          <w:b/>
          <w:color w:val="000000" w:themeColor="text1"/>
          <w:sz w:val="22"/>
          <w:szCs w:val="22"/>
          <w:shd w:val="clear" w:color="auto" w:fill="FFFFFF"/>
        </w:rPr>
      </w:pPr>
      <w:r w:rsidRPr="00F71665">
        <w:rPr>
          <w:rFonts w:ascii="Arial" w:hAnsi="Arial" w:cs="Arial"/>
          <w:b/>
          <w:color w:val="000000" w:themeColor="text1"/>
          <w:sz w:val="22"/>
          <w:szCs w:val="22"/>
          <w:shd w:val="clear" w:color="auto" w:fill="FFFFFF"/>
        </w:rPr>
        <w:t>EPİDEMİYOLOJİ</w:t>
      </w:r>
    </w:p>
    <w:p w:rsidR="00F71665" w:rsidRPr="00456824" w:rsidRDefault="00C60153" w:rsidP="00F71665">
      <w:pPr>
        <w:pStyle w:val="HTMLncedenBiimlendirilmi"/>
        <w:shd w:val="clear" w:color="auto" w:fill="FFFFFF"/>
        <w:spacing w:line="360" w:lineRule="auto"/>
        <w:jc w:val="both"/>
        <w:rPr>
          <w:rFonts w:ascii="Arial" w:hAnsi="Arial" w:cs="Arial"/>
          <w:color w:val="212121"/>
          <w:sz w:val="22"/>
          <w:szCs w:val="22"/>
          <w:lang w:eastAsia="en-US"/>
        </w:rPr>
      </w:pPr>
      <w:r w:rsidRPr="00F71665">
        <w:rPr>
          <w:rFonts w:ascii="Arial" w:hAnsi="Arial" w:cs="Arial"/>
          <w:color w:val="212121"/>
          <w:sz w:val="22"/>
          <w:szCs w:val="22"/>
          <w:shd w:val="clear" w:color="auto" w:fill="FFFFFF"/>
        </w:rPr>
        <w:t xml:space="preserve">Polanczyk ve ark. 2007 yılında dünya genelinde yürütülmüş olan 102 çalışmayı gözden geçirerek DEHB prevalansı hakkında literatürün ilk kapsamlı derlemesini yayınlamışlardır. DSM'nin üç versiyonundan (III, III-R veya IV) veya ICD'nin son versiyonlarından (9 veya 10) tanı kriterlerine uyan çalışmalar dahil edilmiş ve meta analiz % 5.29'luk bir havuz prevelans (pooled prevalence) oranı ile sonuçlanmıştır [% 95 güven aralığı (CI) 5.01-5.56]. Çalışmada, </w:t>
      </w:r>
      <w:r w:rsidRPr="00F71665">
        <w:rPr>
          <w:rFonts w:ascii="Arial" w:hAnsi="Arial" w:cs="Arial"/>
          <w:sz w:val="22"/>
          <w:szCs w:val="22"/>
          <w:shd w:val="clear" w:color="auto" w:fill="FFFFFF"/>
        </w:rPr>
        <w:t xml:space="preserve">Afrika ve Orta Doğu'daki yaygınlık oranlarının Kuzey Amerika oranlarından farklılaştığı, başka bir ifade ile çalışmaların yapıldığı coğrafi bölgenin heterojenite ile ilişkili olduğu; </w:t>
      </w:r>
      <w:r w:rsidRPr="00F71665">
        <w:rPr>
          <w:rFonts w:ascii="Arial" w:hAnsi="Arial" w:cs="Arial"/>
          <w:color w:val="212121"/>
          <w:sz w:val="22"/>
          <w:szCs w:val="22"/>
          <w:shd w:val="clear" w:color="auto" w:fill="FFFFFF"/>
        </w:rPr>
        <w:t xml:space="preserve">Avrupa, Okyanusya, Güney Amerika ve Asya'daki tahminler ile Kuzey Amerika'daki tahminler arasında ise farklılık saptanmadığı rapor edilmiştir </w:t>
      </w:r>
      <w:r w:rsidR="00BC3BBB" w:rsidRPr="00F71665">
        <w:rPr>
          <w:rFonts w:ascii="Arial" w:hAnsi="Arial" w:cs="Arial"/>
          <w:color w:val="212121"/>
          <w:sz w:val="22"/>
          <w:szCs w:val="22"/>
          <w:shd w:val="clear" w:color="auto" w:fill="FFFFFF"/>
        </w:rPr>
        <w:fldChar w:fldCharType="begin" w:fldLock="1"/>
      </w:r>
      <w:r w:rsidRPr="00F71665">
        <w:rPr>
          <w:rFonts w:ascii="Arial" w:hAnsi="Arial" w:cs="Arial"/>
          <w:color w:val="212121"/>
          <w:sz w:val="22"/>
          <w:szCs w:val="22"/>
          <w:shd w:val="clear" w:color="auto" w:fill="FFFFFF"/>
        </w:rPr>
        <w:instrText>ADDIN CSL_CITATION { "citationItems" : [ { "id" : "ITEM-1", "itemData" : { "author" : [ { "dropping-particle" : "", "family" : "Polanczyk G, de Lima MS, Horta BL, Biederman J", "given" : "Rohde LA.", "non-dropping-particle" : "", "parse-names" : false, "suffix" : "" } ], "container-title" : "Am J Psychiatry.", "id" : "ITEM-1", "issued" : { "date-parts" : [ [ "2007" ] ] }, "page" : "942\u2013948", "title" : "The worldwide prevalence of ADHD: a systematic review and metaregression analysis.", "type" : "article-journal", "volume" : "164" }, "uris" : [ "http://www.mendeley.com/documents/?uuid=3f9232d0-5b04-4ce9-9595-4c5e46145da2" ] } ], "mendeley" : { "formattedCitation" : "(3)", "plainTextFormattedCitation" : "(3)", "previouslyFormattedCitation" : "(3)" }, "properties" : { "noteIndex" : 3 }, "schema" : "https://github.com/citation-style-language/schema/raw/master/csl-citation.json" }</w:instrText>
      </w:r>
      <w:r w:rsidR="00BC3BBB" w:rsidRPr="00F71665">
        <w:rPr>
          <w:rFonts w:ascii="Arial" w:hAnsi="Arial" w:cs="Arial"/>
          <w:color w:val="212121"/>
          <w:sz w:val="22"/>
          <w:szCs w:val="22"/>
          <w:shd w:val="clear" w:color="auto" w:fill="FFFFFF"/>
        </w:rPr>
        <w:fldChar w:fldCharType="separate"/>
      </w:r>
      <w:r w:rsidRPr="00F71665">
        <w:rPr>
          <w:rFonts w:ascii="Arial" w:hAnsi="Arial" w:cs="Arial"/>
          <w:noProof/>
          <w:color w:val="212121"/>
          <w:sz w:val="22"/>
          <w:szCs w:val="22"/>
          <w:shd w:val="clear" w:color="auto" w:fill="FFFFFF"/>
        </w:rPr>
        <w:t>(3)</w:t>
      </w:r>
      <w:r w:rsidR="00BC3BBB" w:rsidRPr="00F71665">
        <w:rPr>
          <w:rFonts w:ascii="Arial" w:hAnsi="Arial" w:cs="Arial"/>
          <w:color w:val="212121"/>
          <w:sz w:val="22"/>
          <w:szCs w:val="22"/>
          <w:shd w:val="clear" w:color="auto" w:fill="FFFFFF"/>
        </w:rPr>
        <w:fldChar w:fldCharType="end"/>
      </w:r>
      <w:r w:rsidRPr="00F71665">
        <w:rPr>
          <w:rFonts w:ascii="Arial" w:hAnsi="Arial" w:cs="Arial"/>
          <w:color w:val="212121"/>
          <w:sz w:val="22"/>
          <w:szCs w:val="22"/>
          <w:shd w:val="clear" w:color="auto" w:fill="FFFFFF"/>
        </w:rPr>
        <w:t xml:space="preserve">. 2012'de Willcutt, yalnızca DSM-IV tanı ölçütlerini kullanan çalışmaları dahil ederek DEHB prevelansı ile ilgili literatürün </w:t>
      </w:r>
      <w:r w:rsidRPr="00F71665">
        <w:rPr>
          <w:rFonts w:ascii="Arial" w:hAnsi="Arial" w:cs="Arial"/>
          <w:color w:val="212121"/>
          <w:sz w:val="22"/>
          <w:szCs w:val="22"/>
          <w:shd w:val="clear" w:color="auto" w:fill="FFFFFF"/>
        </w:rPr>
        <w:lastRenderedPageBreak/>
        <w:t>ikinci kapsamlı derlemesini yayınlamıştır. 86 çalışmanın sonuçlarının metaanaliz</w:t>
      </w:r>
      <w:r>
        <w:rPr>
          <w:rFonts w:ascii="Arial" w:hAnsi="Arial" w:cs="Arial"/>
          <w:color w:val="212121"/>
          <w:sz w:val="22"/>
          <w:szCs w:val="22"/>
          <w:shd w:val="clear" w:color="auto" w:fill="FFFFFF"/>
        </w:rPr>
        <w:t xml:space="preserve"> </w:t>
      </w:r>
      <w:r w:rsidRPr="00F71665">
        <w:rPr>
          <w:rFonts w:ascii="Arial" w:hAnsi="Arial" w:cs="Arial"/>
          <w:color w:val="212121"/>
          <w:sz w:val="22"/>
          <w:szCs w:val="22"/>
          <w:shd w:val="clear" w:color="auto" w:fill="FFFFFF"/>
        </w:rPr>
        <w:t xml:space="preserve">edildiği bu çalışmada çocuk ve ergenlerdeki DEHB prevelansı </w:t>
      </w:r>
      <w:r w:rsidRPr="00F71665">
        <w:rPr>
          <w:rFonts w:ascii="Arial" w:hAnsi="Arial" w:cs="Arial"/>
          <w:color w:val="000000"/>
          <w:sz w:val="22"/>
          <w:szCs w:val="22"/>
          <w:shd w:val="clear" w:color="auto" w:fill="FFFFFF"/>
        </w:rPr>
        <w:t xml:space="preserve">5.9% - 7.1% olarak saptanmıştır. Daha önceki tespitlerle uyumlu olarak, bir kez daha </w:t>
      </w:r>
      <w:r w:rsidRPr="00F71665">
        <w:rPr>
          <w:rFonts w:ascii="Arial" w:hAnsi="Arial" w:cs="Arial"/>
          <w:color w:val="212121"/>
          <w:sz w:val="22"/>
          <w:szCs w:val="22"/>
          <w:shd w:val="clear" w:color="auto" w:fill="FFFFFF"/>
        </w:rPr>
        <w:t xml:space="preserve">çalışmanın yapıldığı ülke veya coğrafi bölgenin değişkenliği açıklamadığı bulgulanmıştır. </w:t>
      </w:r>
      <w:r w:rsidR="00BC3BBB" w:rsidRPr="00F71665">
        <w:rPr>
          <w:rFonts w:ascii="Arial" w:hAnsi="Arial" w:cs="Arial"/>
          <w:color w:val="212121"/>
          <w:sz w:val="22"/>
          <w:szCs w:val="22"/>
          <w:shd w:val="clear" w:color="auto" w:fill="FFFFFF"/>
        </w:rPr>
        <w:fldChar w:fldCharType="begin" w:fldLock="1"/>
      </w:r>
      <w:r w:rsidRPr="00F71665">
        <w:rPr>
          <w:rFonts w:ascii="Arial" w:hAnsi="Arial" w:cs="Arial"/>
          <w:color w:val="212121"/>
          <w:sz w:val="22"/>
          <w:szCs w:val="22"/>
          <w:shd w:val="clear" w:color="auto" w:fill="FFFFFF"/>
        </w:rPr>
        <w:instrText>ADDIN CSL_CITATION { "citationItems" : [ { "id" : "ITEM-1", "itemData" : { "DOI" : "10.1007/s13311-012-0135-8", "ISBN" : "1933-7213", "ISSN" : "19337213", "PMID" : "22976615", "abstract" : "This article describes a comprehensive meta-analysis that was conducted to estimate the prevalence of attention-deficit/hyperactivity disorder (ADHD), as defined by the Diagnostic and Statistical Manual of Mental Disorders, fourth edition (DSM-IV). A systematic literature review identified 86 studies of children and adolescents (N{\\thinspace}={\\thinspace}163,688 individuals) and 11 studies of adults (N{\\thinspace}={\\thinspace}14,112 individuals) that met inclusion criteria for the meta-analysis, more than half of which were published after the only previous meta-analysis of the prevalence of ADHD was completed. Although prevalence estimates reported by individual studies varied widely, pooled results suggest that the prevalence of DSM-IV ADHD is similar, whether ADHD is defined by parent ratings, teacher ratings, or a best estimate diagnostic procedure in children and adolescents (5.9--7.1 {%}), or by self-report measures in young adults (5.0 {%}). Analyses of diagnostic subtypes indicated that the predominantly inattentive type is the most common subtype in the population, but individuals with the combined type are more likely to be referred for clinical services. Additional research is needed to determine the etiology of the higher prevalence of ADHD in males than females and to clarify whether the prevalence of ADHD varies as a function of socioeconomic status or ethnicity. Finally, there were no significant prevalent differences between countries or regions of the world after controlling for differences in the diagnostic algorithms used to define ADHD. These results provide important support for the diagnostic validity of ADHD, and argue against the hypothesis that ADHD is a cultural construct that is restricted to the United States or any other specific culture.", "author" : [ { "dropping-particle" : "", "family" : "Willcutt", "given" : "Erik G.", "non-dropping-particle" : "", "parse-names" : false, "suffix" : "" } ], "container-title" : "Neurotherapeutics", "id" : "ITEM-1", "issue" : "3", "issued" : { "date-parts" : [ [ "2012" ] ] }, "page" : "490-499", "title" : "The Prevalence of DSM-IV Attention-Deficit/Hyperactivity Disorder: A Meta-Analytic Review", "type" : "article-journal", "volume" : "9" }, "uris" : [ "http://www.mendeley.com/documents/?uuid=0e5b7b62-ca38-4960-bfb4-406ab0fd45b2" ] } ], "mendeley" : { "formattedCitation" : "(59)", "plainTextFormattedCitation" : "(59)", "previouslyFormattedCitation" : "(59)" }, "properties" : { "noteIndex" : 3 }, "schema" : "https://github.com/citation-style-language/schema/raw/master/csl-citation.json" }</w:instrText>
      </w:r>
      <w:r w:rsidR="00BC3BBB" w:rsidRPr="00F71665">
        <w:rPr>
          <w:rFonts w:ascii="Arial" w:hAnsi="Arial" w:cs="Arial"/>
          <w:color w:val="212121"/>
          <w:sz w:val="22"/>
          <w:szCs w:val="22"/>
          <w:shd w:val="clear" w:color="auto" w:fill="FFFFFF"/>
        </w:rPr>
        <w:fldChar w:fldCharType="separate"/>
      </w:r>
      <w:r w:rsidRPr="00F71665">
        <w:rPr>
          <w:rFonts w:ascii="Arial" w:hAnsi="Arial" w:cs="Arial"/>
          <w:noProof/>
          <w:color w:val="212121"/>
          <w:sz w:val="22"/>
          <w:szCs w:val="22"/>
          <w:shd w:val="clear" w:color="auto" w:fill="FFFFFF"/>
        </w:rPr>
        <w:t>(59)</w:t>
      </w:r>
      <w:r w:rsidR="00BC3BBB" w:rsidRPr="00F71665">
        <w:rPr>
          <w:rFonts w:ascii="Arial" w:hAnsi="Arial" w:cs="Arial"/>
          <w:color w:val="212121"/>
          <w:sz w:val="22"/>
          <w:szCs w:val="22"/>
          <w:shd w:val="clear" w:color="auto" w:fill="FFFFFF"/>
        </w:rPr>
        <w:fldChar w:fldCharType="end"/>
      </w:r>
      <w:r w:rsidRPr="00F71665">
        <w:rPr>
          <w:rFonts w:ascii="Arial" w:hAnsi="Arial" w:cs="Arial"/>
          <w:color w:val="212121"/>
          <w:sz w:val="22"/>
          <w:szCs w:val="22"/>
          <w:shd w:val="clear" w:color="auto" w:fill="FFFFFF"/>
        </w:rPr>
        <w:t>. DEHB epidemiyolojisinde bir başka merak alanı da</w:t>
      </w:r>
      <w:r w:rsidRPr="00F71665">
        <w:rPr>
          <w:rFonts w:ascii="Arial" w:hAnsi="Arial" w:cs="Arial"/>
          <w:iCs/>
          <w:sz w:val="22"/>
          <w:szCs w:val="22"/>
          <w:lang w:val="en-US"/>
        </w:rPr>
        <w:t xml:space="preserve">, son </w:t>
      </w:r>
      <w:r w:rsidRPr="00F71665">
        <w:rPr>
          <w:rFonts w:ascii="Arial" w:hAnsi="Arial" w:cs="Arial"/>
          <w:sz w:val="22"/>
          <w:szCs w:val="22"/>
          <w:lang w:eastAsia="en-US"/>
        </w:rPr>
        <w:t xml:space="preserve">yıllarda daha fazla çocuk ve ergene teşhis konuluyor olması gerçeğinden yola çıkarak, DEHB yaygınlığında yıllar içinde gerçekten bir artış olup olmadığı sorusudur. Buna yönelik olarak  yapılan bir araştırmada, </w:t>
      </w:r>
      <w:r w:rsidRPr="00F71665">
        <w:rPr>
          <w:rFonts w:ascii="Arial" w:hAnsi="Arial" w:cs="Arial"/>
          <w:sz w:val="22"/>
          <w:szCs w:val="22"/>
          <w:shd w:val="clear" w:color="auto" w:fill="FFFFFF"/>
        </w:rPr>
        <w:t xml:space="preserve">135 çalışma çok değişkenli analize dahil edilmiş ve son otuz yılda, standardize edilmiş tanı yöntemleri uygulandığında, toplumdaki DEHB kriterlerine uyan çocuk sayısında artış olduğuna dair herhangi bir kanıt elde edilmemiştir. </w:t>
      </w:r>
      <w:r w:rsidRPr="00F71665">
        <w:rPr>
          <w:rFonts w:ascii="Arial" w:hAnsi="Arial" w:cs="Arial"/>
          <w:color w:val="212121"/>
          <w:sz w:val="22"/>
          <w:szCs w:val="22"/>
          <w:lang w:eastAsia="en-US"/>
        </w:rPr>
        <w:t xml:space="preserve">DEHB prevalans tahminlerindeki değişkenliğin çoğunlukla çalışmaların metodolojik karakteristikleri ile ilgili olduğu ve bunun önceki çalışmalarla uyumlu olduğu ifade edilmiştir </w:t>
      </w:r>
      <w:r w:rsidR="00BC3BBB" w:rsidRPr="00F71665">
        <w:rPr>
          <w:rFonts w:ascii="Arial" w:hAnsi="Arial" w:cs="Arial"/>
          <w:color w:val="212121"/>
          <w:sz w:val="22"/>
          <w:szCs w:val="22"/>
          <w:lang w:eastAsia="en-US"/>
        </w:rPr>
        <w:fldChar w:fldCharType="begin" w:fldLock="1"/>
      </w:r>
      <w:r w:rsidRPr="00F71665">
        <w:rPr>
          <w:rFonts w:ascii="Arial" w:hAnsi="Arial" w:cs="Arial"/>
          <w:color w:val="212121"/>
          <w:sz w:val="22"/>
          <w:szCs w:val="22"/>
          <w:lang w:eastAsia="en-US"/>
        </w:rPr>
        <w:instrText>ADDIN CSL_CITATION { "citationItems" : [ { "id" : "ITEM-1", "itemData" : { "DOI" : "10.1093/ije/dyt261", "ISBN" : "1464-3685 (Electronic) 0300-5771 (Linking)", "ISSN" : "14643685", "PMID" : "24464188", "abstract" : "BACKGROUND: Previous studies have identified significant variability in attention-deficit / hyperactivity disorder (ADHD) prevalence estimates worldwide, largely explained by methodological procedures. However, increasing rates of ADHD diagnosis and treatment throughout the past few decades have fuelled concerns about whether the true prevalence of the disorder has increased over time. METHODS: We updated the two most comprehensive systematic reviews on ADHD prevalence available in the literature. Meta-regression analyses were conducted to test the effect of year of study in the context of both methodological variables that determined variability in ADHD prevalence (diagnostic criteria, impairment criterion and source of information), and the geographical location of studies. RESULTS: We identified 154 original studies and included 135 in the multivariate analysis. Methodological procedures investigated were significantly associated with heterogeneity of studies. Geographical location and year of study were not associated with variability in ADHD prevalence estimates. CONCLUSIONS: Confirming previous findings, variability in ADHD prevalence estimates is mostly explained by methodological characteristics of the studies. In the past three decades, there has been no evidence to suggest an increase in the number of children in the community who meet criteria for ADHD when standardized diagnostic procedures are followed.", "author" : [ { "dropping-particle" : "V.", "family" : "Polanczyk", "given" : "Guilherme", "non-dropping-particle" : "", "parse-names" : false, "suffix" : "" }, { "dropping-particle" : "", "family" : "Willcutt", "given" : "Erik G.", "non-dropping-particle" : "", "parse-names" : false, "suffix" : "" }, { "dropping-particle" : "", "family" : "Salum", "given" : "Giovanni a.", "non-dropping-particle" : "", "parse-names" : false, "suffix" : "" }, { "dropping-particle" : "", "family" : "Kieling", "given" : "Christian", "non-dropping-particle" : "", "parse-names" : false, "suffix" : "" }, { "dropping-particle" : "", "family" : "Rohde", "given" : "Luis a.", "non-dropping-particle" : "", "parse-names" : false, "suffix" : "" } ], "container-title" : "Int J Epidemiol", "id" : "ITEM-1", "issue" : "2", "issued" : { "date-parts" : [ [ "2014" ] ] }, "page" : "434-442", "title" : "ADHD prevalence estimates across three decades: An updated systematic review and meta-regression analysis", "type" : "article-journal", "volume" : "43" }, "uris" : [ "http://www.mendeley.com/documents/?uuid=f4104e8b-ab41-472a-a320-1e78801e8514" ] } ], "mendeley" : { "formattedCitation" : "(60)", "plainTextFormattedCitation" : "(60)", "previouslyFormattedCitation" : "(60)" }, "properties" : { "noteIndex" : 3 }, "schema" : "https://github.com/citation-style-language/schema/raw/master/csl-citation.json" }</w:instrText>
      </w:r>
      <w:r w:rsidR="00BC3BBB" w:rsidRPr="00F71665">
        <w:rPr>
          <w:rFonts w:ascii="Arial" w:hAnsi="Arial" w:cs="Arial"/>
          <w:color w:val="212121"/>
          <w:sz w:val="22"/>
          <w:szCs w:val="22"/>
          <w:lang w:eastAsia="en-US"/>
        </w:rPr>
        <w:fldChar w:fldCharType="separate"/>
      </w:r>
      <w:r w:rsidRPr="00F71665">
        <w:rPr>
          <w:rFonts w:ascii="Arial" w:hAnsi="Arial" w:cs="Arial"/>
          <w:noProof/>
          <w:color w:val="212121"/>
          <w:sz w:val="22"/>
          <w:szCs w:val="22"/>
          <w:lang w:eastAsia="en-US"/>
        </w:rPr>
        <w:t>(60)</w:t>
      </w:r>
      <w:r w:rsidR="00BC3BBB" w:rsidRPr="00F71665">
        <w:rPr>
          <w:rFonts w:ascii="Arial" w:hAnsi="Arial" w:cs="Arial"/>
          <w:color w:val="212121"/>
          <w:sz w:val="22"/>
          <w:szCs w:val="22"/>
          <w:lang w:eastAsia="en-US"/>
        </w:rPr>
        <w:fldChar w:fldCharType="end"/>
      </w:r>
      <w:r w:rsidRPr="00F71665">
        <w:rPr>
          <w:rFonts w:ascii="Arial" w:hAnsi="Arial" w:cs="Arial"/>
          <w:color w:val="212121"/>
          <w:sz w:val="22"/>
          <w:szCs w:val="22"/>
          <w:lang w:eastAsia="en-US"/>
        </w:rPr>
        <w:t xml:space="preserve">. </w:t>
      </w:r>
    </w:p>
    <w:p w:rsidR="00C60153" w:rsidRPr="00F71665" w:rsidRDefault="00C60153" w:rsidP="00C60153">
      <w:pPr>
        <w:spacing w:line="360" w:lineRule="auto"/>
        <w:jc w:val="both"/>
        <w:rPr>
          <w:rFonts w:ascii="Arial" w:hAnsi="Arial" w:cs="Arial"/>
          <w:b/>
          <w:color w:val="000000" w:themeColor="text1"/>
          <w:sz w:val="22"/>
          <w:szCs w:val="22"/>
        </w:rPr>
      </w:pPr>
      <w:r w:rsidRPr="00F71665">
        <w:rPr>
          <w:rFonts w:ascii="Arial" w:hAnsi="Arial" w:cs="Arial"/>
          <w:b/>
          <w:color w:val="000000" w:themeColor="text1"/>
          <w:sz w:val="22"/>
          <w:szCs w:val="22"/>
        </w:rPr>
        <w:tab/>
        <w:t>ETİYOLOJİ</w:t>
      </w:r>
    </w:p>
    <w:p w:rsidR="00C60153" w:rsidRPr="00F71665" w:rsidRDefault="00C60153" w:rsidP="00C60153">
      <w:pPr>
        <w:spacing w:line="360" w:lineRule="auto"/>
        <w:jc w:val="both"/>
        <w:rPr>
          <w:rFonts w:ascii="Arial" w:hAnsi="Arial" w:cs="Arial"/>
          <w:color w:val="548DD4" w:themeColor="text2" w:themeTint="99"/>
          <w:sz w:val="22"/>
          <w:szCs w:val="22"/>
        </w:rPr>
      </w:pPr>
      <w:r w:rsidRPr="00F71665">
        <w:rPr>
          <w:rFonts w:ascii="Arial" w:hAnsi="Arial" w:cs="Arial"/>
          <w:sz w:val="22"/>
          <w:szCs w:val="22"/>
        </w:rPr>
        <w:tab/>
        <w:t xml:space="preserve">En çok çalışılan psikiyatrik bozukluklardan biri olmasına rağmen, DEHB'nin kesin nedeni hala bilinmemektedir </w:t>
      </w:r>
      <w:r w:rsidR="00BC3BBB" w:rsidRPr="00F71665">
        <w:rPr>
          <w:rFonts w:ascii="Arial" w:hAnsi="Arial" w:cs="Arial"/>
          <w:sz w:val="22"/>
          <w:szCs w:val="22"/>
        </w:rPr>
        <w:fldChar w:fldCharType="begin" w:fldLock="1"/>
      </w:r>
      <w:r w:rsidRPr="00F71665">
        <w:rPr>
          <w:rFonts w:ascii="Arial" w:hAnsi="Arial" w:cs="Arial"/>
          <w:sz w:val="22"/>
          <w:szCs w:val="22"/>
        </w:rPr>
        <w:instrText>ADDIN CSL_CITATION { "citationItems" : [ { "id" : "ITEM-1", "itemData" : { "DOI" : "10.1016/j.biopsych.2009.05.032", "ISBN" : "1873-2402 (Electronic)\\r0006-3223 (Linking)", "PMID" : "19596120", "abstract" : "BACKGROUND: It is widely considered that exposure to maternal cigarette smoking in pregnancy has risk effects on offspring attention-deficit/hyperactivity disorder (ADHD). This view is supported by consistent observations of association. It is, however, impossible to be certain of adequate control for confounding factors with observational designs. We use a novel \"natural experiment\" design that separates prenatal environmental from alternative inherited effects. METHODS: The design is based on offspring conceived with Assisted Reproductive Technologies recruited from 20 fertility clinics in the United Kingdom and United States who were: 1) genetically unrelated, and 2) related to the woman who underwent the pregnancy. If maternal smoking in pregnancy has true risk effects, association will be observed with ADHD regardless of whether mother and offspring are related or unrelated. Data were obtained from 815 families of children ages 4 years-11 years with parent questionnaires and antenatal records. Birth weight was used as a comparison outcome. The key outcome considered was child ADHD symptoms. RESULTS: Association between smoking in pregnancy and lower birth weight was found in unrelated and related mother-offspring pairs, consistent with a true risk effect. However, for ADHD symptoms, the magnitude of association was significantly higher in the related pairs (beta = .102, p &lt; .02) than in the unrelated pairs (beta= -.052, p &gt; .10), suggesting inherited effects. CONCLUSIONS: Our findings highlight the need to test causal hypotheses with genetically sensitive designs. Inherited confounds are not necessarily removed by statistical controls. The previously observed association between maternal smoking in pregnancy and ADHD might represent an inherited effect.", "author" : [ { "dropping-particle" : "", "family" : "Thapar", "given" : "A", "non-dropping-particle" : "", "parse-names" : false, "suffix" : "" }, { "dropping-particle" : "", "family" : "Rice", "given" : "F", "non-dropping-particle" : "", "parse-names" : false, "suffix" : "" }, { "dropping-particle" : "", "family" : "Hay", "given" : "D", "non-dropping-particle" : "", "parse-names" : false, "suffix" : "" }, { "dropping-particle" : "", "family" : "Boivin", "given" : "J", "non-dropping-particle" : "", "parse-names" : false, "suffix" : "" }, { "dropping-particle" : "", "family" : "Langley", "given" : "K", "non-dropping-particle" : "", "parse-names" : false, "suffix" : "" }, { "dropping-particle" : "", "family" : "Bree", "given" : "M", "non-dropping-particle" : "van den", "parse-names" : false, "suffix" : "" }, { "dropping-particle" : "", "family" : "Rutter", "given" : "M", "non-dropping-particle" : "", "parse-names" : false, "suffix" : "" }, { "dropping-particle" : "", "family" : "Harold", "given" : "G", "non-dropping-particle" : "", "parse-names" : false, "suffix" : "" } ], "container-title" : "Biological Psychiatry", "id" : "ITEM-1", "issue" : "8", "issued" : { "date-parts" : [ [ "2009" ] ] }, "page" : "722-727", "title" : "Prenatal smoking might not cause attention-deficit/hyperactivity disorder: evidence from a novel design", "type" : "article-journal", "volume" : "66" }, "uris" : [ "http://www.mendeley.com/documents/?uuid=3a26096a-05a0-40ba-8306-85968c89c65e" ] } ], "mendeley" : { "formattedCitation" : "(61)", "plainTextFormattedCitation" : "(61)", "previouslyFormattedCitation" : "(61)" }, "properties" : { "noteIndex" : 4 }, "schema" : "https://github.com/citation-style-language/schema/raw/master/csl-citation.json" }</w:instrText>
      </w:r>
      <w:r w:rsidR="00BC3BBB" w:rsidRPr="00F71665">
        <w:rPr>
          <w:rFonts w:ascii="Arial" w:hAnsi="Arial" w:cs="Arial"/>
          <w:sz w:val="22"/>
          <w:szCs w:val="22"/>
        </w:rPr>
        <w:fldChar w:fldCharType="separate"/>
      </w:r>
      <w:r w:rsidRPr="00F71665">
        <w:rPr>
          <w:rFonts w:ascii="Arial" w:hAnsi="Arial" w:cs="Arial"/>
          <w:noProof/>
          <w:sz w:val="22"/>
          <w:szCs w:val="22"/>
        </w:rPr>
        <w:t>(61)</w:t>
      </w:r>
      <w:r w:rsidR="00BC3BBB" w:rsidRPr="00F71665">
        <w:rPr>
          <w:rFonts w:ascii="Arial" w:hAnsi="Arial" w:cs="Arial"/>
          <w:sz w:val="22"/>
          <w:szCs w:val="22"/>
        </w:rPr>
        <w:fldChar w:fldCharType="end"/>
      </w:r>
      <w:r w:rsidRPr="00F71665">
        <w:rPr>
          <w:rFonts w:ascii="Arial" w:hAnsi="Arial" w:cs="Arial"/>
          <w:sz w:val="22"/>
          <w:szCs w:val="22"/>
        </w:rPr>
        <w:t xml:space="preserve">. Bu bozukluk için biyomedikal laboratuvar testi yoktur, tanı, belirtilerin gözlenmesine dayanmaktadır. Fakat ilaç tedavilerindeki etkinlik ve bozukluğun kalıtsal doğası araştırmacıları altta yatan nörobiyolojik etiyolojiyi incelemeye itmiştir </w:t>
      </w:r>
      <w:r w:rsidR="00BC3BBB" w:rsidRPr="00F71665">
        <w:rPr>
          <w:rFonts w:ascii="Arial" w:hAnsi="Arial" w:cs="Arial"/>
          <w:sz w:val="22"/>
          <w:szCs w:val="22"/>
        </w:rPr>
        <w:fldChar w:fldCharType="begin" w:fldLock="1"/>
      </w:r>
      <w:r w:rsidRPr="00F71665">
        <w:rPr>
          <w:rFonts w:ascii="Arial" w:hAnsi="Arial" w:cs="Arial"/>
          <w:sz w:val="22"/>
          <w:szCs w:val="22"/>
        </w:rPr>
        <w:instrText>ADDIN CSL_CITATION { "citationItems" : [ { "id" : "ITEM-1", "itemData" : { "DOI" : "10.1016/j.neuropharm.2009.07.026", "ISBN" : "1873-7064 (Electronic) 0028-3908 (Linking)", "ISSN" : "00283908", "PMID" : "19627998", "abstract" : "Attention-deficit hyperactivity disorder (ADHD) is a prevalent and debilitating disorder diagnosed on the basis of persistent and developmentally-inappropriate levels of overactivity, inattention and impulsivity. The etiology and pathophysiology of ADHD is incompletely understood. There is evidence of a genetic basis for ADHD but it is likely to involve many genes of small individual effect. Differences in the dimensions of the frontal lobes, caudate nucleus, and cerebellar vermis have been demonstrated. Neuropsychological testing has revealed a number of well documented differences between children with and without ADHD. These occur in two main domains: executive function and motivation although neither of these is specific to ADHD. In view of the recent advances in the neurobiology of reinforcement, we concentrate in this review on altered reinforcement mechanisms. Among the motivational differences, many pieces of evidence indicate that an altered response to reinforcement may play a central role in the symptoms of ADHD. In particular, sensitivity to delay of reinforcement appears to be a reliable finding. We review neurobiological mechanisms of reinforcement and discuss how these may be altered in ADHD, with particular focus on the neurotransmitter dopamine and its actions at the cellular and systems level. We describe how dopamine cell firing activity is normally associated with reinforcing events, and transfers to earlier time-points in the behavioural sequence as reinforcement becomes more predictable. We discuss how a failure of this transfer may give rise to many symptoms of ADHD, and propose that methylphenidate might act to compensate for the proposed dopamine transfer deficit. \u00a9 2009 Elsevier Ltd. All rights reserved.", "author" : [ { "dropping-particle" : "", "family" : "Tripp", "given" : "Gail", "non-dropping-particle" : "", "parse-names" : false, "suffix" : "" }, { "dropping-particle" : "", "family" : "Wickens", "given" : "Jeffery R.", "non-dropping-particle" : "", "parse-names" : false, "suffix" : "" } ], "container-title" : "Neuropharmacology", "id" : "ITEM-1", "issue" : "7-8", "issued" : { "date-parts" : [ [ "2009", "12" ] ] }, "page" : "579-589", "title" : "Neurobiology of ADHD", "type" : "article-journal", "volume" : "57" }, "uris" : [ "http://www.mendeley.com/documents/?uuid=6c731f74-9c32-47bb-b2c3-3289c3a15a4d" ] } ], "mendeley" : { "formattedCitation" : "(62)", "plainTextFormattedCitation" : "(62)", "previouslyFormattedCitation" : "(62)" }, "properties" : { "noteIndex" : 4 }, "schema" : "https://github.com/citation-style-language/schema/raw/master/csl-citation.json" }</w:instrText>
      </w:r>
      <w:r w:rsidR="00BC3BBB" w:rsidRPr="00F71665">
        <w:rPr>
          <w:rFonts w:ascii="Arial" w:hAnsi="Arial" w:cs="Arial"/>
          <w:sz w:val="22"/>
          <w:szCs w:val="22"/>
        </w:rPr>
        <w:fldChar w:fldCharType="separate"/>
      </w:r>
      <w:r w:rsidRPr="00F71665">
        <w:rPr>
          <w:rFonts w:ascii="Arial" w:hAnsi="Arial" w:cs="Arial"/>
          <w:noProof/>
          <w:sz w:val="22"/>
          <w:szCs w:val="22"/>
        </w:rPr>
        <w:t>(62)</w:t>
      </w:r>
      <w:r w:rsidR="00BC3BBB" w:rsidRPr="00F71665">
        <w:rPr>
          <w:rFonts w:ascii="Arial" w:hAnsi="Arial" w:cs="Arial"/>
          <w:sz w:val="22"/>
          <w:szCs w:val="22"/>
        </w:rPr>
        <w:fldChar w:fldCharType="end"/>
      </w:r>
      <w:r w:rsidRPr="00F71665">
        <w:rPr>
          <w:rFonts w:ascii="Arial" w:hAnsi="Arial" w:cs="Arial"/>
          <w:sz w:val="22"/>
          <w:szCs w:val="22"/>
        </w:rPr>
        <w:t>.</w:t>
      </w:r>
      <w:r w:rsidRPr="00F71665">
        <w:rPr>
          <w:rFonts w:ascii="Arial" w:hAnsi="Arial" w:cs="Arial"/>
          <w:color w:val="548DD4" w:themeColor="text2" w:themeTint="99"/>
          <w:sz w:val="22"/>
          <w:szCs w:val="22"/>
        </w:rPr>
        <w:t xml:space="preserve"> </w:t>
      </w:r>
      <w:r w:rsidRPr="00F71665">
        <w:rPr>
          <w:rFonts w:ascii="Arial" w:hAnsi="Arial" w:cs="Arial"/>
          <w:sz w:val="22"/>
          <w:szCs w:val="22"/>
        </w:rPr>
        <w:t xml:space="preserve">Bozukluğun ortaya çıkmasında genetik, biyolojik ve çevresel faktöler birbirinden ayrışmamıştır, çünkü etkilerinin iç içe geçmiş olduğunu gösteren çok sayıda kanıt bulunmaktadır. </w:t>
      </w:r>
      <w:r w:rsidRPr="00F71665">
        <w:rPr>
          <w:rFonts w:ascii="Arial" w:hAnsi="Arial" w:cs="Arial"/>
          <w:color w:val="000000" w:themeColor="text1"/>
          <w:sz w:val="22"/>
          <w:szCs w:val="22"/>
          <w:shd w:val="clear" w:color="auto" w:fill="FFFFFF"/>
        </w:rPr>
        <w:t xml:space="preserve">Prenatal sigara maruziyeti veya akran reddi gibi önemli çevresel risk faktörleri ebeveyn ve çocukların genetik eğilimlerinden etkilenmektedir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"ISBN" : "1405110619", "abstract" : "Why is the topic of genes and behavior controversial? -- Causes and risks -- How much is nature and how much nurture? -- The heritability of different mental disorders and traits -- Environmentally mediated risks -- Patterns of inheritance -- What genes do -- Finding and understanding specific susceptibility genes -- Gene-environment interplay -- What environments do to genes.", "author" : [ { "dropping-particle" : "", "family" : "Rutter", "given" : "Michael", "non-dropping-particle" : "", "parse-names" : false, "suffix" : "" } ], "id" : "ITEM-1", "issued" : { "date-parts" : [ [ "2006" ] ] }, "number-of-pages" : "280", "publisher" : "Blackwell Pub", "title" : "Genes and behavior : nature--nurture interplay explained", "type" : "book" }, "uris" : [ "http://www.mendeley.com/documents/?uuid=0a7e7190-c345-3403-9102-431004f36a8f" ] } ], "mendeley" : { "formattedCitation" : "(63)", "plainTextFormattedCitation" : "(63)", "previouslyFormattedCitation" : "(63)" }, "properties" : { "noteIndex" : 4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(63)</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000000" w:themeColor="text1"/>
          <w:sz w:val="22"/>
          <w:szCs w:val="22"/>
          <w:shd w:val="clear" w:color="auto" w:fill="FFFFFF"/>
        </w:rPr>
        <w:t xml:space="preserve">. Dolayısıyla, çevresel risklerin DEHB ile ilişkileri tamamen veya kısmen genetik bozukluklar yoluyla ortaya çıkabildiği gibi, çevresel mekanizmalar aracılığıyla genetik riskler fenotip üzerinde etkili olabilir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"DOI" : "10.1111/j.1469-7610.2012.02611.x", "ISBN" : "1469-7610", "ISSN" : "00219630", "PMID" : "22963644", "abstract" : "BACKGROUND: Attention deficit hyperactivity disorder (ADHD) and its possible causes still attract controversy. Genes, pre and perinatal risks, psychosocial factors and environmental toxins have all been considered as potential risk factors.\\n\\nMETHOD: This review (focussing on literature published since 1997, selected from a search of PubMed) critically considers putative risk factors with a focus on genetics and selected environmental risks, examines their relationships with ADHD and discusses the likelihood that these risks are causal as well as some of the main implications.\\n\\nRESULTS: No single risk factor explains ADHD. Both inherited and noninherited factors contribute and their effects are interdependent. ADHD is familial and heritable. Research into the inherited and molecular genetic contributions to ADHD suggest an important overlap with other neurodevelopmental problems, notably, autism spectrum disorders. Having a biological relative with ADHD, large, rare copy number variants, some small effect size candidate gene variants, extreme early adversity, pre and postnatal exposure to lead and low birth weight/prematurity have been most consistently found as risk factors, but none are yet known to be definitely causal. There is a large literature documenting associations between ADHD and a wide variety of putative environmental risks that can, at present, only be regarded as correlates. Findings from research designs that go beyond simply testing for association are beginning to contest the robustness of some environmental exposures previously thought to be ADHD risk factors.\\n\\nCONCLUSIONS: The genetic risks implicated in ADHD generally tend to have small effect sizes or be rare and often increase risk of many other types of psychopathology. Thus, they cannot be used for prediction, genetic testing or diagnostic purposes beyond what is predicted by a family history. There is a need to consider the possibility of parents and siblings being similarly affected and how this might impact on engagement with families, influence interventions and require integration with adult services. Genetic contributions to disorder do not necessarily mean that medications are the treatment of choice. We also consider how findings might influence the conceptualisation of ADHD, public health policy implications and why it is unhelpful and incorrect to dichotomise genetic/biological and environmental explanations. It is essential that practitioners can interpret genet\u2026", "author" : [ { "dropping-particle" : "", "family" : "Thapar", "given" : "Anita", "non-dropping-particle" : "", "parse-names" : false, "suffix" : "" }, { "dropping-particle" : "", "family" : "Cooper", "given" : "Miriam", "non-dropping-particle" : "", "parse-names" : false, "suffix" : "" }, { "dropping-particle" : "", "family" : "Eyre", "given" : "Olga", "non-dropping-particle" : "", "parse-names" : false, "suffix" : "" }, { "dropping-particle" : "", "family" : "Langley", "given" : "Kate", "non-dropping-particle" : "", "parse-names" : false, "suffix" : "" } ], "container-title" : "Journal of Child Psychology and Psychiatry and Allied Disciplines", "id" : "ITEM-1", "issue" : "1", "issued" : { "date-parts" : [ [ "2013" ] ] }, "page" : "3-16", "title" : "Practitioner review: What have we learnt about the causes of ADHD?", "type" : "article-journal", "volume" : "54" }, "uris" : [ "http://www.mendeley.com/documents/?uuid=6229169f-fc76-4a8e-81e3-e672fd626975" ] } ], "mendeley" : { "formattedCitation" : "(6)", "plainTextFormattedCitation" : "(6)", "previouslyFormattedCitation" : "(6)" }, "properties" : { "noteIndex" : 4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(6)</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000000" w:themeColor="text1"/>
          <w:sz w:val="22"/>
          <w:szCs w:val="22"/>
          <w:shd w:val="clear" w:color="auto" w:fill="FFFFFF"/>
        </w:rPr>
        <w:t xml:space="preserve">. Genetik riskler ayrıca çevresel etkenlere karşı verilen cevabı değiştirerek, bireyin bozukluğa yatkınlığını da değiştirmektedir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"DOI" : "10.1016/j.jaac.2010.01.025", "ISBN" : "0391-1977 (Print)\\r0391-1977 (Linking)", "ISSN" : "08908567", "PMID" : "20732623", "abstract" : "Objective: To summarize and evaluate the state of knowledge regarding the role of measured gene-by-environment interactions in relation to attention-deficit/hyperactivity disorder. Method: A selective review of methodologic issues was followed by a systematic search for relevant articles on measured gene-by-environment interactions; the search yielded 16 studies, which are discussed in qualitative fashion. Results: Relatively consistent evidence points to the interaction of genotype with psychosocial factors in the development of attention-deficit/hyperactivity disorder. The next step is to identify the mechanisms on the environment side and the gene combinations on the genetic side accounting for this effect. In contrast, evidence for gene-by-environment interactions involving pre- and perinatal risk factors is generally negative or unreplicated. The aggregate effect size for psychosocial interaction with genotype is more than double that for the interaction of pre- and perinatal risks with genotype. Only a small fraction of candidate environments and gene markers has been studied, and multivariate methods to integrate multiple gene or environment markers have yet to be implemented. Conclusions: Gene-by-environment interaction appears likely to prove fruitful in understanding the etiology of attention-deficit/hyperactivity disorder. Findings to date already suggest new avenues of investigation particularly involving psychosocial mechanisms and their interplay with genotype. Further pursuit of theoretically promising leads is recommended. ?? 2010 American Academy of Child and Adolescent Psychiatry.", "author" : [ { "dropping-particle" : "", "family" : "Nigg", "given" : "Joel", "non-dropping-particle" : "", "parse-names" : false, "suffix" : "" }, { "dropping-particle" : "", "family" : "Nikolas", "given" : "Molly", "non-dropping-particle" : "", "parse-names" : false, "suffix" : "" }, { "dropping-particle" : "", "family" : "Burt", "given" : "S. Alexandra", "non-dropping-particle" : "", "parse-names" : false, "suffix" : "" } ], "container-title" : "Journal of the American Academy of Child and Adolescent Psychiatry", "id" : "ITEM-1", "issue" : "9", "issued" : { "date-parts" : [ [ "2010" ] ] }, "page" : "863-873", "title" : "Measured gene-by-environment interaction in relation to attention-deficit/hyperactivity disorder", "type" : "article-journal", "volume" : "49" }, "uris" : [ "http://www.mendeley.com/documents/?uuid=0c00626d-7425-4e1e-bc8b-a65eaae6ff21" ] } ], "mendeley" : { "formattedCitation" : "(64)", "plainTextFormattedCitation" : "(64)", "previouslyFormattedCitation" : "(64)" }, "properties" : { "noteIndex" : 4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(64)</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000000" w:themeColor="text1"/>
          <w:sz w:val="22"/>
          <w:szCs w:val="22"/>
          <w:shd w:val="clear" w:color="auto" w:fill="FFFFFF"/>
        </w:rPr>
        <w:t>.</w:t>
      </w:r>
    </w:p>
    <w:p w:rsidR="00C60153" w:rsidRPr="00F71665" w:rsidRDefault="00C60153" w:rsidP="00C60153">
      <w:pPr>
        <w:autoSpaceDE w:val="0"/>
        <w:autoSpaceDN w:val="0"/>
        <w:adjustRightInd w:val="0"/>
        <w:spacing w:line="360" w:lineRule="auto"/>
        <w:jc w:val="both"/>
        <w:rPr>
          <w:rFonts w:ascii="Arial" w:hAnsi="Arial" w:cs="Arial"/>
          <w:sz w:val="22"/>
          <w:szCs w:val="22"/>
        </w:rPr>
      </w:pPr>
      <w:r w:rsidRPr="00F71665">
        <w:rPr>
          <w:rFonts w:ascii="Arial" w:hAnsi="Arial" w:cs="Arial"/>
          <w:b/>
          <w:color w:val="000000"/>
          <w:sz w:val="22"/>
          <w:szCs w:val="22"/>
        </w:rPr>
        <w:tab/>
        <w:t>Genetik</w:t>
      </w:r>
    </w:p>
    <w:p w:rsidR="00C60153" w:rsidRPr="00F71665" w:rsidRDefault="00C60153" w:rsidP="00F71665">
      <w:pPr>
        <w:autoSpaceDE w:val="0"/>
        <w:autoSpaceDN w:val="0"/>
        <w:adjustRightInd w:val="0"/>
        <w:spacing w:line="360" w:lineRule="auto"/>
        <w:ind w:firstLine="708"/>
        <w:jc w:val="both"/>
        <w:rPr>
          <w:rFonts w:ascii="Arial" w:hAnsi="Arial" w:cs="Arial"/>
          <w:sz w:val="22"/>
          <w:szCs w:val="22"/>
        </w:rPr>
      </w:pPr>
      <w:r w:rsidRPr="00F71665">
        <w:rPr>
          <w:rFonts w:ascii="Arial" w:hAnsi="Arial" w:cs="Arial"/>
          <w:color w:val="000000" w:themeColor="text1"/>
          <w:sz w:val="22"/>
          <w:szCs w:val="22"/>
        </w:rPr>
        <w:t xml:space="preserve">%76 kalıtsallık ile DEHB, en kalıtsal psikiyatrik bozukluklardan biri olarak kabul edilir </w:t>
      </w:r>
      <w:r w:rsidR="00BC3BBB" w:rsidRPr="00F71665">
        <w:rPr>
          <w:rFonts w:ascii="Arial" w:hAnsi="Arial" w:cs="Arial"/>
          <w:color w:val="000000" w:themeColor="text1"/>
          <w:sz w:val="22"/>
          <w:szCs w:val="22"/>
        </w:rPr>
        <w:fldChar w:fldCharType="begin" w:fldLock="1"/>
      </w:r>
      <w:r w:rsidRPr="00F71665">
        <w:rPr>
          <w:rFonts w:ascii="Arial" w:hAnsi="Arial" w:cs="Arial"/>
          <w:color w:val="000000" w:themeColor="text1"/>
          <w:sz w:val="22"/>
          <w:szCs w:val="22"/>
        </w:rPr>
        <w:instrText>ADDIN CSL_CITATION { "citationItems" : [ { "id" : "ITEM-1", "itemData" : { "DOI" : "10.1016/j.biopsych.2004.11.024", "ISSN" : "00063223", "PMID" : "15950004", "abstract" : "Results of behavioral genetic and molecular genetic studies have converged to suggest that both genetic and nongenetic factors contribute to the development of attention-deficit/hyperactivity disorder (ADHD). We review this literature, with a particular emphasis on molecular genetic studies. Family, twin, and adoption studies provide compelling evidence that genes play a strong role in mediating susceptibility to ADHD. This fact is most clearly seen in the 20 extant twin studies, which estimate the heritability of ADHD to be .76. Molecular genetic studies suggest that the genetic architecture of ADHD is complex. The few genome-wide scans conducted thus far are not conclusive. In contrast, the many candidate gene studies of ADHD have produced substantial evidence implicating several genes in the etiology of the disorder. For the eight genes for which the same variant has been studied in three or more case-control or family-based studies, seven show statistically significant evidence of association with ADHD on the basis of the pooled odds ratio across studies: DRD4, DRD5, DAT, DBH, 5-HTT, HTR1B, and SNAP-25.", "author" : [ { "dropping-particle" : "V.", "family" : "Faraone", "given" : "Stephen", "non-dropping-particle" : "", "parse-names" : false, "suffix" : "" }, { "dropping-particle" : "", "family" : "Perlis", "given" : "Roy H.", "non-dropping-particle" : "", "parse-names" : false, "suffix" : "" }, { "dropping-particle" : "", "family" : "Doyle", "given" : "Alysa E.", "non-dropping-particle" : "", "parse-names" : false, "suffix" : "" }, { "dropping-particle" : "", "family" : "Smoller", "given" : "Jordan W.", "non-dropping-particle" : "", "parse-names" : false, "suffix" : "" }, { "dropping-particle" : "", "family" : "Goralnick", "given" : "Jennifer J.", "non-dropping-particle" : "", "parse-names" : false, "suffix" : "" }, { "dropping-particle" : "", "family" : "Holmgren", "given" : "Meredith A.", "non-dropping-particle" : "", "parse-names" : false, "suffix" : "" }, { "dropping-particle" : "", "family" : "Sklar", "given" : "Pamela", "non-dropping-particle" : "", "parse-names" : false, "suffix" : "" } ], "container-title" : "Biological Psychiatry", "id" : "ITEM-1", "issue" : "11", "issued" : { "date-parts" : [ [ "2005", "6", "1" ] ] }, "page" : "1313-1323", "title" : "Molecular Genetics of Attention-Deficit/Hyperactivity Disorder", "type" : "article-journal", "volume" : "57" }, "uris" : [ "http://www.mendeley.com/documents/?uuid=d5d6a7b0-e245-374e-8099-a239f6852667" ] } ], "mendeley" : { "formattedCitation" : "(5)", "plainTextFormattedCitation" : "(5)", "previouslyFormattedCitation" : "(5)" }, "properties" : { "noteIndex" : 4 }, "schema" : "https://github.com/citation-style-language/schema/raw/master/csl-citation.json" }</w:instrText>
      </w:r>
      <w:r w:rsidR="00BC3BBB" w:rsidRPr="00F71665">
        <w:rPr>
          <w:rFonts w:ascii="Arial" w:hAnsi="Arial" w:cs="Arial"/>
          <w:color w:val="000000" w:themeColor="text1"/>
          <w:sz w:val="22"/>
          <w:szCs w:val="22"/>
        </w:rPr>
        <w:fldChar w:fldCharType="separate"/>
      </w:r>
      <w:r w:rsidRPr="00F71665">
        <w:rPr>
          <w:rFonts w:ascii="Arial" w:hAnsi="Arial" w:cs="Arial"/>
          <w:noProof/>
          <w:color w:val="000000" w:themeColor="text1"/>
          <w:sz w:val="22"/>
          <w:szCs w:val="22"/>
        </w:rPr>
        <w:t>(5)</w:t>
      </w:r>
      <w:r w:rsidR="00BC3BBB" w:rsidRPr="00F71665">
        <w:rPr>
          <w:rFonts w:ascii="Arial" w:hAnsi="Arial" w:cs="Arial"/>
          <w:color w:val="000000" w:themeColor="text1"/>
          <w:sz w:val="22"/>
          <w:szCs w:val="22"/>
        </w:rPr>
        <w:fldChar w:fldCharType="end"/>
      </w:r>
      <w:r w:rsidRPr="00F71665">
        <w:rPr>
          <w:rFonts w:ascii="Arial" w:hAnsi="Arial" w:cs="Arial"/>
          <w:color w:val="000000" w:themeColor="text1"/>
          <w:sz w:val="22"/>
          <w:szCs w:val="22"/>
        </w:rPr>
        <w:t xml:space="preserve">. </w:t>
      </w:r>
      <w:r w:rsidRPr="00F71665">
        <w:rPr>
          <w:rFonts w:ascii="Arial" w:hAnsi="Arial" w:cs="Arial"/>
          <w:color w:val="000000" w:themeColor="text1"/>
          <w:sz w:val="22"/>
          <w:szCs w:val="22"/>
          <w:shd w:val="clear" w:color="auto" w:fill="FFFFFF"/>
        </w:rPr>
        <w:t xml:space="preserve">Bununla birlikte, DEHB’nin ortaya çıkmasında etkisi olan temel bir genetik risk faktörünün tespit edimemiş olması, DEHB'nin çoklu genetik risk değişkenleri arasındaki etkileşim sonucu ortaya çıktığını düşündürmektedir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"DOI" : "10.1111/j.1469-7610.2012.02611.x", "ISBN" : "1469-7610", "ISSN" : "00219630", "PMID" : "22963644", "abstract" : "BACKGROUND: Attention deficit hyperactivity disorder (ADHD) and its possible causes still attract controversy. Genes, pre and perinatal risks, psychosocial factors and environmental toxins have all been considered as potential risk factors.\\n\\nMETHOD: This review (focussing on literature published since 1997, selected from a search of PubMed) critically considers putative risk factors with a focus on genetics and selected environmental risks, examines their relationships with ADHD and discusses the likelihood that these risks are causal as well as some of the main implications.\\n\\nRESULTS: No single risk factor explains ADHD. Both inherited and noninherited factors contribute and their effects are interdependent. ADHD is familial and heritable. Research into the inherited and molecular genetic contributions to ADHD suggest an important overlap with other neurodevelopmental problems, notably, autism spectrum disorders. Having a biological relative with ADHD, large, rare copy number variants, some small effect size candidate gene variants, extreme early adversity, pre and postnatal exposure to lead and low birth weight/prematurity have been most consistently found as risk factors, but none are yet known to be definitely causal. There is a large literature documenting associations between ADHD and a wide variety of putative environmental risks that can, at present, only be regarded as correlates. Findings from research designs that go beyond simply testing for association are beginning to contest the robustness of some environmental exposures previously thought to be ADHD risk factors.\\n\\nCONCLUSIONS: The genetic risks implicated in ADHD generally tend to have small effect sizes or be rare and often increase risk of many other types of psychopathology. Thus, they cannot be used for prediction, genetic testing or diagnostic purposes beyond what is predicted by a family history. There is a need to consider the possibility of parents and siblings being similarly affected and how this might impact on engagement with families, influence interventions and require integration with adult services. Genetic contributions to disorder do not necessarily mean that medications are the treatment of choice. We also consider how findings might influence the conceptualisation of ADHD, public health policy implications and why it is unhelpful and incorrect to dichotomise genetic/biological and environmental explanations. It is essential that practitioners can interpret genet\u2026", "author" : [ { "dropping-particle" : "", "family" : "Thapar", "given" : "Anita", "non-dropping-particle" : "", "parse-names" : false, "suffix" : "" }, { "dropping-particle" : "", "family" : "Cooper", "given" : "Miriam", "non-dropping-particle" : "", "parse-names" : false, "suffix" : "" }, { "dropping-particle" : "", "family" : "Eyre", "given" : "Olga", "non-dropping-particle" : "", "parse-names" : false, "suffix" : "" }, { "dropping-particle" : "", "family" : "Langley", "given" : "Kate", "non-dropping-particle" : "", "parse-names" : false, "suffix" : "" } ], "container-title" : "Journal of Child Psychology and Psychiatry and Allied Disciplines", "id" : "ITEM-1", "issue" : "1", "issued" : { "date-parts" : [ [ "2013" ] ] }, "page" : "3-16", "title" : "Practitioner review: What have we learnt about the causes of ADHD?", "type" : "article-journal", "volume" : "54" }, "uris" : [ "http://www.mendeley.com/documents/?uuid=6229169f-fc76-4a8e-81e3-e672fd626975" ] } ], "mendeley" : { "formattedCitation" : "(6)", "plainTextFormattedCitation" : "(6)", "previouslyFormattedCitation" : "(6)" }, "properties" : { "noteIndex" : 4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(6)</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212121"/>
          <w:sz w:val="22"/>
          <w:szCs w:val="22"/>
          <w:shd w:val="clear" w:color="auto" w:fill="FFFFFF"/>
        </w:rPr>
        <w:t>.</w:t>
      </w:r>
      <w:r w:rsidRPr="00F71665">
        <w:rPr>
          <w:rFonts w:ascii="Arial" w:hAnsi="Arial" w:cs="Arial"/>
          <w:color w:val="E36C0A" w:themeColor="accent6" w:themeShade="BF"/>
          <w:sz w:val="22"/>
          <w:szCs w:val="22"/>
        </w:rPr>
        <w:t xml:space="preserve"> </w:t>
      </w:r>
      <w:r w:rsidRPr="00F71665">
        <w:rPr>
          <w:rFonts w:ascii="Arial" w:hAnsi="Arial" w:cs="Arial"/>
          <w:sz w:val="22"/>
          <w:szCs w:val="22"/>
          <w:shd w:val="clear" w:color="auto" w:fill="FFFFFF"/>
        </w:rPr>
        <w:t xml:space="preserve">DEHB'li çocuklarda dopamin ile ilgl yolaklarda değişikliklerin gözlenmesi ve dopamin agonisti olan metilfenidatın yararlı terapötik etkileri nedeniyle şimdiye dek birçok araştırma dopaminerjik sistem ile ilgili genler üzerine odaklanmıştır </w:t>
      </w:r>
      <w:r w:rsidR="00BC3BBB" w:rsidRPr="00F71665">
        <w:rPr>
          <w:rFonts w:ascii="Arial" w:hAnsi="Arial" w:cs="Arial"/>
          <w:sz w:val="22"/>
          <w:szCs w:val="22"/>
          <w:shd w:val="clear" w:color="auto" w:fill="FFFFFF"/>
        </w:rPr>
        <w:fldChar w:fldCharType="begin" w:fldLock="1"/>
      </w:r>
      <w:r w:rsidRPr="00F71665">
        <w:rPr>
          <w:rFonts w:ascii="Arial" w:hAnsi="Arial" w:cs="Arial"/>
          <w:sz w:val="22"/>
          <w:szCs w:val="22"/>
          <w:shd w:val="clear" w:color="auto" w:fill="FFFFFF"/>
        </w:rPr>
        <w:instrText>ADDIN CSL_CITATION { "citationItems" : [ { "id" : "ITEM-1", "itemData" : { "DOI" : "10.1016/j.biopsych.2005.03.036", "ISBN" : "0006-3223 (Print)", "ISSN" : "00063223", "PMID" : "15950001", "abstract" : "There is converging evidence of the role of catecholamine dysregulation in the underlying pathophysiology of attention-deficit/hyperactivity disorder (ADHD). The dopamine transporter (DAT) is known to be a key regulator of dopamine, and recent genetic, treatment, and imaging studies have highlighted the role of DAT in ADHD. There is an emerging literature on in vivo neuroreceptor imaging of DAT in ADHD and control subjects reported by a number of groups internationally. A comprehensive review of existing imaging studies of DAT binding in ADHD shows that six of eight independent studies by six different groups have reported increased DAT binding in (mostly) treatment-n\u00e4ve children and adults with ADHD. Although there is fair agreement regarding the presence and direction of abnormal DAT binding, there remains disagreement as to the magnitude of the finding and the importance of many potentially confounding variables, including clinical characteristics and imaging methodology. Three studies by three different groups have reported decreased DAT binding after methylphenidate treatment. Interpretation of the latter finding awaits clarification of the issue of timing of drug administration and imaging to disentangle receptor occupancy from downregulation. \u00a9 2005 Society of Biological Psychiatry.", "author" : [ { "dropping-particle" : "", "family" : "Spencer", "given" : "Thomas J.", "non-dropping-particle" : "", "parse-names" : false, "suffix" : "" }, { "dropping-particle" : "", "family" : "Biederman", "given" : "Joseph", "non-dropping-particle" : "", "parse-names" : false, "suffix" : "" }, { "dropping-particle" : "", "family" : "Madras", "given" : "Bertha K.", "non-dropping-particle" : "", "parse-names" : false, "suffix" : "" }, { "dropping-particle" : "V.", "family" : "Faraone", "given" : "Stephen", "non-dropping-particle" : "", "parse-names" : false, "suffix" : "" }, { "dropping-particle" : "", "family" : "Dougherty", "given" : "Darin D.", "non-dropping-particle" : "", "parse-names" : false, "suffix" : "" }, { "dropping-particle" : "", "family" : "Bonab", "given" : "Ali A.", "non-dropping-particle" : "", "parse-names" : false, "suffix" : "" }, { "dropping-particle" : "", "family" : "Fischman", "given" : "Alan J.", "non-dropping-particle" : "", "parse-names" : false, "suffix" : "" } ], "container-title" : "Biological Psychiatry", "id" : "ITEM-1", "issue" : "11", "issued" : { "date-parts" : [ [ "2005" ] ] }, "page" : "1293-1300", "title" : "In vivo neuroreceptor imaging in attention-deficit/hyperactivity disorder: A focus on the dopamine transporter", "type" : "article-journal", "volume" : "57" }, "uris" : [ "http://www.mendeley.com/documents/?uuid=4e0cb7fb-3ee0-41c9-938f-860eae834828" ] } ], "mendeley" : { "formattedCitation" : "(65)", "plainTextFormattedCitation" : "(65)", "previouslyFormattedCitation" : "(65)" }, "properties" : { "noteIndex" : 4 }, "schema" : "https://github.com/citation-style-language/schema/raw/master/csl-citation.json" }</w:instrText>
      </w:r>
      <w:r w:rsidR="00BC3BBB" w:rsidRPr="00F71665">
        <w:rPr>
          <w:rFonts w:ascii="Arial" w:hAnsi="Arial" w:cs="Arial"/>
          <w:sz w:val="22"/>
          <w:szCs w:val="22"/>
          <w:shd w:val="clear" w:color="auto" w:fill="FFFFFF"/>
        </w:rPr>
        <w:fldChar w:fldCharType="separate"/>
      </w:r>
      <w:r w:rsidRPr="00F71665">
        <w:rPr>
          <w:rFonts w:ascii="Arial" w:hAnsi="Arial" w:cs="Arial"/>
          <w:noProof/>
          <w:sz w:val="22"/>
          <w:szCs w:val="22"/>
          <w:shd w:val="clear" w:color="auto" w:fill="FFFFFF"/>
        </w:rPr>
        <w:t>(65)</w:t>
      </w:r>
      <w:r w:rsidR="00BC3BBB" w:rsidRPr="00F71665">
        <w:rPr>
          <w:rFonts w:ascii="Arial" w:hAnsi="Arial" w:cs="Arial"/>
          <w:sz w:val="22"/>
          <w:szCs w:val="22"/>
          <w:shd w:val="clear" w:color="auto" w:fill="FFFFFF"/>
        </w:rPr>
        <w:fldChar w:fldCharType="end"/>
      </w:r>
      <w:r w:rsidRPr="00F71665">
        <w:rPr>
          <w:rFonts w:ascii="Arial" w:hAnsi="Arial" w:cs="Arial"/>
          <w:color w:val="212121"/>
          <w:sz w:val="22"/>
          <w:szCs w:val="22"/>
          <w:shd w:val="clear" w:color="auto" w:fill="FFFFFF"/>
        </w:rPr>
        <w:t xml:space="preserve">. </w:t>
      </w:r>
      <w:r w:rsidRPr="00F71665">
        <w:rPr>
          <w:rFonts w:ascii="Arial" w:hAnsi="Arial" w:cs="Arial"/>
          <w:sz w:val="22"/>
          <w:szCs w:val="22"/>
        </w:rPr>
        <w:t xml:space="preserve">Yaygın </w:t>
      </w:r>
      <w:r w:rsidRPr="00F71665">
        <w:rPr>
          <w:rFonts w:ascii="Arial" w:hAnsi="Arial" w:cs="Arial"/>
          <w:sz w:val="22"/>
          <w:szCs w:val="22"/>
        </w:rPr>
        <w:lastRenderedPageBreak/>
        <w:t xml:space="preserve">olarak çalışılan aday genler üzerine yürütülmüş olan bir bir meta-analiz çalışması, dopamin transporter  (DAT1), dopamin reseptörleri (DRD4 ve DRD5) ve serotonin transporter (5HTT) gen varyantları ile DEHB arasında orta derecede ilişki ortaya çıkarmıştır </w:t>
      </w:r>
      <w:r w:rsidR="00BC3BBB" w:rsidRPr="00F71665">
        <w:rPr>
          <w:rFonts w:ascii="Arial" w:hAnsi="Arial" w:cs="Arial"/>
          <w:sz w:val="22"/>
          <w:szCs w:val="22"/>
        </w:rPr>
        <w:fldChar w:fldCharType="begin" w:fldLock="1"/>
      </w:r>
      <w:r w:rsidRPr="00F71665">
        <w:rPr>
          <w:rFonts w:ascii="Arial" w:hAnsi="Arial" w:cs="Arial"/>
          <w:sz w:val="22"/>
          <w:szCs w:val="22"/>
        </w:rPr>
        <w:instrText>ADDIN CSL_CITATION { "citationItems" : [ { "id" : "ITEM-1", "itemData" : { "DOI" : "10.1007/s00439-009-0694-x", "ISSN" : "1432-1203", "PMID" : "19506906", "abstract" : "Quantitative genetic studies (i.e., twin and adoption studies) suggest that genetic influences contribute substantially to the development of attention deficit hyperactivity disorder (ADHD). Over the past 15 years, considerable efforts have been made to identify genes involved in the etiology of this disorder resulting in a large and often conflicting literature of candidate gene associations for ADHD. The first aim of the present study was to conduct a comprehensive meta-analytic review of this literature to determine which candidate genes show consistent evidence of association with childhood ADHD across studies. The second aim was to test for heterogeneity across studies in the effect sizes for each candidate gene as its presence might suggest moderating variables that could explain inconsistent results. Significant associations were identified for several candidate genes including DAT1, DRD4, DRD5, 5HTT, HTR1B, and SNAP25. Further, significant heterogeneity was observed for the associations between ADHD and DAT1, DRD4, DRD5, DBH, ADRA2A, 5HTT, TPH2, MAOA, and SNAP25, suggesting that future studies should explore potential moderators of these associations (e.g., ADHD subtype diagnoses, gender, exposure to environmental risk factors). We conclude with a discussion of these findings in relation to emerging themes relevant to future studies of the genetics of ADHD.", "author" : [ { "dropping-particle" : "", "family" : "Gizer", "given" : "Ian R", "non-dropping-particle" : "", "parse-names" : false, "suffix" : "" }, { "dropping-particle" : "", "family" : "Ficks", "given" : "Courtney", "non-dropping-particle" : "", "parse-names" : false, "suffix" : "" }, { "dropping-particle" : "", "family" : "Waldman", "given" : "Irwin D", "non-dropping-particle" : "", "parse-names" : false, "suffix" : "" } ], "container-title" : "Human genetics", "id" : "ITEM-1", "issue" : "1", "issued" : { "date-parts" : [ [ "2009", "7", "9" ] ] }, "page" : "51-90", "title" : "Candidate gene studies of ADHD: a meta-analytic review.", "type" : "article-journal", "volume" : "126" }, "uris" : [ "http://www.mendeley.com/documents/?uuid=76a74d1e-e5e5-3786-95d9-5415ff9686c0" ] } ], "mendeley" : { "formattedCitation" : "(66)", "plainTextFormattedCitation" : "(66)", "previouslyFormattedCitation" : "(66)" }, "properties" : { "noteIndex" : 4 }, "schema" : "https://github.com/citation-style-language/schema/raw/master/csl-citation.json" }</w:instrText>
      </w:r>
      <w:r w:rsidR="00BC3BBB" w:rsidRPr="00F71665">
        <w:rPr>
          <w:rFonts w:ascii="Arial" w:hAnsi="Arial" w:cs="Arial"/>
          <w:sz w:val="22"/>
          <w:szCs w:val="22"/>
        </w:rPr>
        <w:fldChar w:fldCharType="separate"/>
      </w:r>
      <w:r w:rsidRPr="00F71665">
        <w:rPr>
          <w:rFonts w:ascii="Arial" w:hAnsi="Arial" w:cs="Arial"/>
          <w:noProof/>
          <w:sz w:val="22"/>
          <w:szCs w:val="22"/>
        </w:rPr>
        <w:t>(66)</w:t>
      </w:r>
      <w:r w:rsidR="00BC3BBB" w:rsidRPr="00F71665">
        <w:rPr>
          <w:rFonts w:ascii="Arial" w:hAnsi="Arial" w:cs="Arial"/>
          <w:sz w:val="22"/>
          <w:szCs w:val="22"/>
        </w:rPr>
        <w:fldChar w:fldCharType="end"/>
      </w:r>
      <w:r w:rsidRPr="00F71665">
        <w:rPr>
          <w:rFonts w:ascii="Arial" w:hAnsi="Arial" w:cs="Arial"/>
          <w:sz w:val="22"/>
          <w:szCs w:val="22"/>
        </w:rPr>
        <w:t>.</w:t>
      </w:r>
      <w:r w:rsidRPr="00F71665">
        <w:rPr>
          <w:rFonts w:ascii="Arial" w:hAnsi="Arial" w:cs="Arial"/>
          <w:color w:val="4F81BD" w:themeColor="accent1"/>
          <w:sz w:val="22"/>
          <w:szCs w:val="22"/>
          <w:shd w:val="clear" w:color="auto" w:fill="FFFFFF"/>
        </w:rPr>
        <w:t xml:space="preserve"> </w:t>
      </w:r>
      <w:r w:rsidRPr="00F71665">
        <w:rPr>
          <w:rFonts w:ascii="Arial" w:hAnsi="Arial" w:cs="Arial"/>
          <w:color w:val="000000" w:themeColor="text1"/>
          <w:sz w:val="22"/>
          <w:szCs w:val="22"/>
        </w:rPr>
        <w:t>Genom çapında taramalarda da (</w:t>
      </w:r>
      <w:r w:rsidRPr="00F71665">
        <w:rPr>
          <w:rFonts w:ascii="Arial" w:hAnsi="Arial" w:cs="Arial"/>
          <w:sz w:val="22"/>
          <w:szCs w:val="22"/>
        </w:rPr>
        <w:t>genome wide association study - GWAS</w:t>
      </w:r>
      <w:r w:rsidRPr="00F71665">
        <w:rPr>
          <w:rFonts w:ascii="Arial" w:hAnsi="Arial" w:cs="Arial"/>
          <w:color w:val="000000" w:themeColor="text1"/>
          <w:sz w:val="22"/>
          <w:szCs w:val="22"/>
        </w:rPr>
        <w:t xml:space="preserve">) henüz tek bir aday gen belirlenememiştir </w:t>
      </w:r>
      <w:r w:rsidR="00BC3BBB" w:rsidRPr="00F71665">
        <w:rPr>
          <w:rFonts w:ascii="Arial" w:hAnsi="Arial" w:cs="Arial"/>
          <w:color w:val="000000" w:themeColor="text1"/>
          <w:sz w:val="22"/>
          <w:szCs w:val="22"/>
        </w:rPr>
        <w:fldChar w:fldCharType="begin" w:fldLock="1"/>
      </w:r>
      <w:r w:rsidRPr="00F71665">
        <w:rPr>
          <w:rFonts w:ascii="Arial" w:hAnsi="Arial" w:cs="Arial"/>
          <w:color w:val="000000" w:themeColor="text1"/>
          <w:sz w:val="22"/>
          <w:szCs w:val="22"/>
        </w:rPr>
        <w:instrText>ADDIN CSL_CITATION { "citationItems" : [ { "id" : "ITEM-1", "itemData" : { "author" : [ { "dropping-particle" : "", "family" : "Franke", "given" : "B", "non-dropping-particle" : "", "parse-names" : false, "suffix" : "" }, { "dropping-particle" : "", "family" : "Neale", "given" : "B", "non-dropping-particle" : "", "parse-names" : false, "suffix" : "" }, { "dropping-particle" : "", "family" : "Faraone", "given" : "S", "non-dropping-particle" : "", "parse-names" : false, "suffix" : "" } ], "container-title" : "Hum Genet", "id" : "ITEM-1", "issued" : { "date-parts" : [ [ "2009" ] ] }, "page" : "13-50", "title" : "Genome-wide association studies in ADHD", "type" : "article-journal", "volume" : "126" }, "uris" : [ "http://www.mendeley.com/documents/?uuid=6fe4de73-987e-4bda-b0d6-747975deb667" ] } ], "mendeley" : { "formattedCitation" : "(67)", "plainTextFormattedCitation" : "(67)", "previouslyFormattedCitation" : "(67)" }, "properties" : { "noteIndex" : 4 }, "schema" : "https://github.com/citation-style-language/schema/raw/master/csl-citation.json" }</w:instrText>
      </w:r>
      <w:r w:rsidR="00BC3BBB" w:rsidRPr="00F71665">
        <w:rPr>
          <w:rFonts w:ascii="Arial" w:hAnsi="Arial" w:cs="Arial"/>
          <w:color w:val="000000" w:themeColor="text1"/>
          <w:sz w:val="22"/>
          <w:szCs w:val="22"/>
        </w:rPr>
        <w:fldChar w:fldCharType="separate"/>
      </w:r>
      <w:r w:rsidRPr="00F71665">
        <w:rPr>
          <w:rFonts w:ascii="Arial" w:hAnsi="Arial" w:cs="Arial"/>
          <w:noProof/>
          <w:color w:val="000000" w:themeColor="text1"/>
          <w:sz w:val="22"/>
          <w:szCs w:val="22"/>
        </w:rPr>
        <w:t>(67)</w:t>
      </w:r>
      <w:r w:rsidR="00BC3BBB" w:rsidRPr="00F71665">
        <w:rPr>
          <w:rFonts w:ascii="Arial" w:hAnsi="Arial" w:cs="Arial"/>
          <w:color w:val="000000" w:themeColor="text1"/>
          <w:sz w:val="22"/>
          <w:szCs w:val="22"/>
        </w:rPr>
        <w:fldChar w:fldCharType="end"/>
      </w:r>
      <w:r w:rsidRPr="00F71665">
        <w:rPr>
          <w:rFonts w:ascii="Arial" w:hAnsi="Arial" w:cs="Arial"/>
          <w:color w:val="000000" w:themeColor="text1"/>
          <w:sz w:val="22"/>
          <w:szCs w:val="22"/>
        </w:rPr>
        <w:t>. Yetersiz örneklem büyüklüklerinin de bu durumla ilişkili olabileceği belirtilmiştir</w:t>
      </w:r>
      <w:r w:rsidRPr="00F71665">
        <w:rPr>
          <w:rFonts w:ascii="Arial" w:hAnsi="Arial" w:cs="Arial"/>
          <w:color w:val="000000" w:themeColor="text1"/>
          <w:sz w:val="22"/>
          <w:szCs w:val="22"/>
          <w:shd w:val="clear" w:color="auto" w:fill="FFFFFF"/>
        </w:rPr>
        <w:t xml:space="preserve">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"DOI" : "10.1111/j.1469-7610.2012.02611.x", "ISBN" : "1469-7610", "ISSN" : "00219630", "PMID" : "22963644", "abstract" : "BACKGROUND: Attention deficit hyperactivity disorder (ADHD) and its possible causes still attract controversy. Genes, pre and perinatal risks, psychosocial factors and environmental toxins have all been considered as potential risk factors.\\n\\nMETHOD: This review (focussing on literature published since 1997, selected from a search of PubMed) critically considers putative risk factors with a focus on genetics and selected environmental risks, examines their relationships with ADHD and discusses the likelihood that these risks are causal as well as some of the main implications.\\n\\nRESULTS: No single risk factor explains ADHD. Both inherited and noninherited factors contribute and their effects are interdependent. ADHD is familial and heritable. Research into the inherited and molecular genetic contributions to ADHD suggest an important overlap with other neurodevelopmental problems, notably, autism spectrum disorders. Having a biological relative with ADHD, large, rare copy number variants, some small effect size candidate gene variants, extreme early adversity, pre and postnatal exposure to lead and low birth weight/prematurity have been most consistently found as risk factors, but none are yet known to be definitely causal. There is a large literature documenting associations between ADHD and a wide variety of putative environmental risks that can, at present, only be regarded as correlates. Findings from research designs that go beyond simply testing for association are beginning to contest the robustness of some environmental exposures previously thought to be ADHD risk factors.\\n\\nCONCLUSIONS: The genetic risks implicated in ADHD generally tend to have small effect sizes or be rare and often increase risk of many other types of psychopathology. Thus, they cannot be used for prediction, genetic testing or diagnostic purposes beyond what is predicted by a family history. There is a need to consider the possibility of parents and siblings being similarly affected and how this might impact on engagement with families, influence interventions and require integration with adult services. Genetic contributions to disorder do not necessarily mean that medications are the treatment of choice. We also consider how findings might influence the conceptualisation of ADHD, public health policy implications and why it is unhelpful and incorrect to dichotomise genetic/biological and environmental explanations. It is essential that practitioners can interpret genet\u2026", "author" : [ { "dropping-particle" : "", "family" : "Thapar", "given" : "Anita", "non-dropping-particle" : "", "parse-names" : false, "suffix" : "" }, { "dropping-particle" : "", "family" : "Cooper", "given" : "Miriam", "non-dropping-particle" : "", "parse-names" : false, "suffix" : "" }, { "dropping-particle" : "", "family" : "Eyre", "given" : "Olga", "non-dropping-particle" : "", "parse-names" : false, "suffix" : "" }, { "dropping-particle" : "", "family" : "Langley", "given" : "Kate", "non-dropping-particle" : "", "parse-names" : false, "suffix" : "" } ], "container-title" : "Journal of Child Psychology and Psychiatry and Allied Disciplines", "id" : "ITEM-1", "issue" : "1", "issued" : { "date-parts" : [ [ "2013" ] ] }, "page" : "3-16", "title" : "Practitioner review: What have we learnt about the causes of ADHD?", "type" : "article-journal", "volume" : "54" }, "uris" : [ "http://www.mendeley.com/documents/?uuid=6229169f-fc76-4a8e-81e3-e672fd626975" ] } ], "mendeley" : { "formattedCitation" : "(6)", "plainTextFormattedCitation" : "(6)", "previouslyFormattedCitation" : "(6)" }, "properties" : { "noteIndex" : 4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(6)</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000000" w:themeColor="text1"/>
          <w:sz w:val="22"/>
          <w:szCs w:val="22"/>
          <w:shd w:val="clear" w:color="auto" w:fill="FFFFFF"/>
        </w:rPr>
        <w:t xml:space="preserve">. </w:t>
      </w:r>
      <w:r w:rsidRPr="00F71665">
        <w:rPr>
          <w:rFonts w:ascii="Arial" w:hAnsi="Arial" w:cs="Arial"/>
          <w:sz w:val="22"/>
          <w:szCs w:val="22"/>
          <w:shd w:val="clear" w:color="auto" w:fill="FFFFFF"/>
        </w:rPr>
        <w:t>İleriki bölümlerde DEHB’nin moleküler genetik çalışmalarına daha detaylı değinilecektir.</w:t>
      </w:r>
    </w:p>
    <w:p w:rsidR="00C60153" w:rsidRPr="00F71665" w:rsidRDefault="00C60153" w:rsidP="00C60153">
      <w:pPr>
        <w:spacing w:line="360" w:lineRule="auto"/>
        <w:jc w:val="both"/>
        <w:rPr>
          <w:rFonts w:ascii="Arial" w:hAnsi="Arial" w:cs="Arial"/>
          <w:b/>
          <w:sz w:val="22"/>
          <w:szCs w:val="22"/>
        </w:rPr>
      </w:pPr>
      <w:r w:rsidRPr="00F71665">
        <w:rPr>
          <w:rFonts w:ascii="Arial" w:hAnsi="Arial" w:cs="Arial"/>
          <w:b/>
          <w:sz w:val="22"/>
          <w:szCs w:val="22"/>
        </w:rPr>
        <w:tab/>
        <w:t>Beyin Yapısı</w:t>
      </w:r>
    </w:p>
    <w:p w:rsidR="00C60153" w:rsidRPr="00F71665" w:rsidRDefault="00C60153" w:rsidP="00C60153">
      <w:pPr>
        <w:spacing w:line="360" w:lineRule="auto"/>
        <w:jc w:val="both"/>
        <w:rPr>
          <w:rFonts w:ascii="Arial" w:hAnsi="Arial" w:cs="Arial"/>
          <w:color w:val="4F81BD" w:themeColor="accent1"/>
          <w:sz w:val="22"/>
          <w:szCs w:val="22"/>
          <w:shd w:val="clear" w:color="auto" w:fill="FFFFFF"/>
        </w:rPr>
      </w:pPr>
      <w:r w:rsidRPr="00F71665">
        <w:rPr>
          <w:rFonts w:ascii="Arial" w:hAnsi="Arial" w:cs="Arial"/>
          <w:sz w:val="22"/>
          <w:szCs w:val="22"/>
        </w:rPr>
        <w:tab/>
      </w:r>
      <w:r w:rsidRPr="00F71665">
        <w:rPr>
          <w:rFonts w:ascii="Arial" w:hAnsi="Arial" w:cs="Arial"/>
          <w:color w:val="000000" w:themeColor="text1"/>
          <w:sz w:val="22"/>
          <w:szCs w:val="22"/>
        </w:rPr>
        <w:t>Manyetik rezonans görüntüleme (</w:t>
      </w:r>
      <w:r w:rsidRPr="00F71665">
        <w:rPr>
          <w:rFonts w:ascii="Arial" w:hAnsi="Arial" w:cs="Arial"/>
          <w:sz w:val="22"/>
          <w:szCs w:val="22"/>
        </w:rPr>
        <w:t>MRG</w:t>
      </w:r>
      <w:r w:rsidRPr="00F71665">
        <w:rPr>
          <w:rFonts w:ascii="Arial" w:hAnsi="Arial" w:cs="Arial"/>
          <w:color w:val="000000" w:themeColor="text1"/>
          <w:sz w:val="22"/>
          <w:szCs w:val="22"/>
        </w:rPr>
        <w:t xml:space="preserve">) gibi nörogörüntüleme teknikleri DEHB tanısı olan çocukların beyninde bir takım morfolojik anormallikleri tanımlamıştır </w:t>
      </w:r>
      <w:r w:rsidR="00BC3BBB" w:rsidRPr="00F71665">
        <w:rPr>
          <w:rFonts w:ascii="Arial" w:hAnsi="Arial" w:cs="Arial"/>
          <w:color w:val="000000" w:themeColor="text1"/>
          <w:sz w:val="22"/>
          <w:szCs w:val="22"/>
        </w:rPr>
        <w:fldChar w:fldCharType="begin" w:fldLock="1"/>
      </w:r>
      <w:r w:rsidRPr="00F71665">
        <w:rPr>
          <w:rFonts w:ascii="Arial" w:hAnsi="Arial" w:cs="Arial"/>
          <w:color w:val="000000" w:themeColor="text1"/>
          <w:sz w:val="22"/>
          <w:szCs w:val="22"/>
        </w:rPr>
        <w:instrText>ADDIN CSL_CITATION { "citationItems" : [ { "id" : "ITEM-1", "itemData" : { "DOI" : "10.1111/cch.12139", "ISBN" : "0305-1862", "ISSN" : "03051862", "abstract" : "Attention-deficit hyperactivity disorder ( ADHD) is a complex disorder that can affect individuals across the lifespan. It is associated with substantial heterogeneity in terms of aetiology, clinical presentation and treatment outcome and is the subject of extensive research. Because of this, it can be difficult for clinicians to stay up to date with the most relevant findings and know how best to respond to parents' questions and concerns about the disorder and interventions. This is a narrative review that aims to summarize key findings from recent research into ADHD and its treatment that clinicians can share with families in order to increase their knowledge about ADHD and intervention options. ADHD develops as a result of complex interplay between interdependent genetic and non-genetic factors. The disorder is associated with substantial impairments in functioning and poor long-term outcomes. Pharmacological and non-pharmacological treatment options are available for symptom management and to improve function, but functioning outcomes often fail to normalize in children with ADHD. Despite extensive advances in understanding this complex disorder, it is clear that there is still a long way to go. In particular, we address the need for future non-pharmacological interventions to be more specifically targeted for ADHD symptoms and its commonly associated functioning deficits in order to ensure the best long-term outcomes for children with ADHD. [ABSTRACT FROM AUTHOR]", "author" : [ { "dropping-particle" : "", "family" : "Tarver", "given" : "J", "non-dropping-particle" : "", "parse-names" : false, "suffix" : "" }, { "dropping-particle" : "", "family" : "Daley", "given" : "D", "non-dropping-particle" : "", "parse-names" : false, "suffix" : "" }, { "dropping-particle" : "", "family" : "Sayal", "given" : "K", "non-dropping-particle" : "", "parse-names" : false, "suffix" : "" } ], "container-title" : "Child: Care, Health &amp; Development", "id" : "ITEM-1", "issue" : "6", "issued" : { "date-parts" : [ [ "2014" ] ] }, "page" : "762-774", "title" : "Attention-deficit hyperactivity disorder ( ADHD): an updated review of the essential facts.", "type" : "article-journal", "volume" : "40" }, "uris" : [ "http://www.mendeley.com/documents/?uuid=a435d2a9-aedb-4690-8342-390436c404f0" ] } ], "mendeley" : { "formattedCitation" : "(68)", "plainTextFormattedCitation" : "(68)", "previouslyFormattedCitation" : "(68)" }, "properties" : { "noteIndex" : 4 }, "schema" : "https://github.com/citation-style-language/schema/raw/master/csl-citation.json" }</w:instrText>
      </w:r>
      <w:r w:rsidR="00BC3BBB" w:rsidRPr="00F71665">
        <w:rPr>
          <w:rFonts w:ascii="Arial" w:hAnsi="Arial" w:cs="Arial"/>
          <w:color w:val="000000" w:themeColor="text1"/>
          <w:sz w:val="22"/>
          <w:szCs w:val="22"/>
        </w:rPr>
        <w:fldChar w:fldCharType="separate"/>
      </w:r>
      <w:r w:rsidRPr="00F71665">
        <w:rPr>
          <w:rFonts w:ascii="Arial" w:hAnsi="Arial" w:cs="Arial"/>
          <w:noProof/>
          <w:color w:val="000000" w:themeColor="text1"/>
          <w:sz w:val="22"/>
          <w:szCs w:val="22"/>
        </w:rPr>
        <w:t>(68)</w:t>
      </w:r>
      <w:r w:rsidR="00BC3BBB" w:rsidRPr="00F71665">
        <w:rPr>
          <w:rFonts w:ascii="Arial" w:hAnsi="Arial" w:cs="Arial"/>
          <w:color w:val="000000" w:themeColor="text1"/>
          <w:sz w:val="22"/>
          <w:szCs w:val="22"/>
        </w:rPr>
        <w:fldChar w:fldCharType="end"/>
      </w:r>
      <w:r w:rsidRPr="00F71665">
        <w:rPr>
          <w:rFonts w:ascii="Arial" w:hAnsi="Arial" w:cs="Arial"/>
          <w:color w:val="000000" w:themeColor="text1"/>
          <w:sz w:val="22"/>
          <w:szCs w:val="22"/>
        </w:rPr>
        <w:t xml:space="preserve">. </w:t>
      </w:r>
      <w:r w:rsidRPr="00F71665">
        <w:rPr>
          <w:rFonts w:ascii="Arial" w:hAnsi="Arial" w:cs="Arial"/>
          <w:color w:val="000000" w:themeColor="text1"/>
          <w:sz w:val="22"/>
          <w:szCs w:val="22"/>
          <w:shd w:val="clear" w:color="auto" w:fill="FFFFFF"/>
        </w:rPr>
        <w:t xml:space="preserve">DEHB, hem azalmış global beyin hacmi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"ISSN" : "0098-7484", "PMID" : "12365958", "abstract" : "CONTEXT Various anatomic brain abnormalities have been reported for attention-deficit/hyperactivity disorder (ADHD), with varying methods, small samples, cross-sectional designs, and without accounting for stimulant drug exposure. OBJECTIVE To compare regional brain volumes at initial scan and their change over time in medicated and previously unmedicated male and female patients with ADHD and healthy controls. DESIGN, SETTING, AND PARTICIPANTS Case-control study conducted from 1991-2001 at the National Institute of Mental Health, Bethesda, Md, of 152 children and adolescents with ADHD (age range, 5-18 years) and 139 age- and sex-matched controls (age range, 4.5-19 years) recruited from the local community, who contributed 544 anatomic magnetic resonance images. MAIN OUTCOME MEASURES Using completely automated methods, initial volumes and prospective age-related changes of total cerebrum, cerebellum, gray and white matter for the 4 major lobes, and caudate nucleus of the brain were compared in patients and controls. RESULTS On initial scan, patients with ADHD had significantly smaller brain volumes in all regions, even after adjustment for significant covariates. This global difference was reflected in smaller total cerebral volumes (-3.2%, adjusted F(1,280) = 8.30, P =.004) and in significantly smaller cerebellar volumes (-3.5%, adjusted F(1,280) = 12.29, P =.001). Compared with controls, previously unmedicated children with ADHD demonstrated significantly smaller total cerebral volumes (overall F(2,288) = 6.65; all pairwise comparisons Bonferroni corrected, -5.8%; P =.002) and cerebellar volumes (-6.2%, F( 2,288) = 8.97, P&lt;.001). Unmedicated children with ADHD also exhibited strikingly smaller total white matter volumes (F(2,288) = 11.65) compared with controls (-10.7%, P&lt;.001) and with medicated children with ADHD (-8.9%, P&lt;.001). Volumetric abnormalities persisted with age in total and regional cerebral measures (P =.002) and in the cerebellum (P =.003). Caudate nucleus volumes were initially abnormal for patients with ADHD (P =.05), but diagnostic differences disappeared as caudate volumes decreased for patients and controls during adolescence. Results were comparable for male and female patients on all measures. Frontal and temporal gray matter, caudate, and cerebellar volumes correlated significantly with parent- and clinician-rated severity measures within the ADHD sample (Pearson coefficients between -0.16 and -0.26; all P values were &lt;.05). CO\u2026", "author" : [ { "dropping-particle" : "", "family" : "Castellanos", "given" : "F Xavier", "non-dropping-particle" : "", "parse-names" : false, "suffix" : "" }, { "dropping-particle" : "", "family" : "Lee", "given" : "Patti P", "non-dropping-particle" : "", "parse-names" : false, "suffix" : "" }, { "dropping-particle" : "", "family" : "Sharp", "given" : "Wendy", "non-dropping-particle" : "", "parse-names" : false, "suffix" : "" }, { "dropping-particle" : "", "family" : "Jeffries", "given" : "Neal O", "non-dropping-particle" : "", "parse-names" : false, "suffix" : "" }, { "dropping-particle" : "", "family" : "Greenstein", "given" : "Deanna K", "non-dropping-particle" : "", "parse-names" : false, "suffix" : "" }, { "dropping-particle" : "", "family" : "Clasen", "given" : "Liv S", "non-dropping-particle" : "", "parse-names" : false, "suffix" : "" }, { "dropping-particle" : "", "family" : "Blumenthal", "given" : "Jonathan D", "non-dropping-particle" : "", "parse-names" : false, "suffix" : "" }, { "dropping-particle" : "", "family" : "James", "given" : "Regina S", "non-dropping-particle" : "", "parse-names" : false, "suffix" : "" }, { "dropping-particle" : "", "family" : "Ebens", "given" : "Christen L", "non-dropping-particle" : "", "parse-names" : false, "suffix" : "" }, { "dropping-particle" : "", "family" : "Walter", "given" : "James M", "non-dropping-particle" : "", "parse-names" : false, "suffix" : "" }, { "dropping-particle" : "", "family" : "Zijdenbos", "given" : "Alex", "non-dropping-particle" : "", "parse-names" : false, "suffix" : "" }, { "dropping-particle" : "", "family" : "Evans", "given" : "Alan C", "non-dropping-particle" : "", "parse-names" : false, "suffix" : "" }, { "dropping-particle" : "", "family" : "Giedd", "given" : "Jay N", "non-dropping-particle" : "", "parse-names" : false, "suffix" : "" }, { "dropping-particle" : "", "family" : "Rapoport", "given" : "Judith L", "non-dropping-particle" : "", "parse-names" : false, "suffix" : "" } ], "container-title" : "JAMA", "id" : "ITEM-1", "issue" : "14", "issued" : { "date-parts" : [ [ "2002", "10", "9" ] ] }, "page" : "1740-8", "title" : "Developmental trajectories of brain volume abnormalities in children and adolescents with attention-deficit/hyperactivity disorder.", "type" : "article-journal", "volume" : "288" }, "uris" : [ "http://www.mendeley.com/documents/?uuid=8e5700c8-9390-38b2-879b-9cc941393b07" ] } ], "mendeley" : { "formattedCitation" : "(69)", "plainTextFormattedCitation" : "(69)", "previouslyFormattedCitation" : "(69)" }, "properties" : { "noteIndex" : 4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(69)</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000000" w:themeColor="text1"/>
          <w:sz w:val="22"/>
          <w:szCs w:val="22"/>
          <w:shd w:val="clear" w:color="auto" w:fill="FFFFFF"/>
        </w:rPr>
        <w:t xml:space="preserve">, hem de frontostriatal devreleri oluşturan bölgelerde azalmış gri cevher hacmi gibi spesifik bölgesel anormallikler ile ilişkili bulunmuştur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"DOI" : "10.1176/appi.ajp.2011.11020281", "ISBN" : "0002-953x", "ISSN" : "15357228", "PMID" : "21865529", "abstract" : "OBJECTIVE Structural neuroimaging studies in attention-deficit hyperactivity disorder (ADHD) have been relatively inconsistent and have mainly been conducted with pediatric samples. Furthermore, there is evidence that stimulant medication may have an effect on brain structure. The authors conducted a meta-analysis of voxel-based morphometry studies in children and adults with ADHD and examined the potential effects of age and stimulant medication on regional gray matter volumes. METHOD The PubMed, ScienceDirect, Web of Knowledge, and Scopus databases were searched for articles published between 2001 and 2011. Manual searches were also conducted, and authors of studies were contacted for additional data. Coordinates were extracted from clusters of significant gray matter difference between ADHD patients and healthy comparison subjects. Metaregression methods were used to explore potential age and stimulant medication effects. RESULTS Fourteen data sets comprising 378 patients with ADHD and 344 healthy subjects met inclusion criteria. The ADHD group had global reductions in gray matter volumes, which were robustly localized in the right lentiform nucleus and extended to the caudate nucleus. Both increasing age and percentage of patients taking stimulant medication were found to be independently associated with more normal values in this region. Patients also had slightly greater gray matter volumes in the left posterior cingulate cortex. CONCLUSIONS These findings confirm that the most prominent and replicable structural abnormalities in ADHD are in the basal ganglia. They furthermore suggest that ADHD patients may progressively catch up with their developmental delay with advancing age and that use of stimulant medication may be associated with normalization of structural abnormalities in ADHD, although longitudinal studies are needed to confirm both observations.", "author" : [ { "dropping-particle" : "", "family" : "Nakao", "given" : "Tomohiro", "non-dropping-particle" : "", "parse-names" : false, "suffix" : "" }, { "dropping-particle" : "", "family" : "Radua", "given" : "Joaquim", "non-dropping-particle" : "", "parse-names" : false, "suffix" : "" }, { "dropping-particle" : "", "family" : "Rubia", "given" : "Katya", "non-dropping-particle" : "", "parse-names" : false, "suffix" : "" }, { "dropping-particle" : "", "family" : "Mataix-Cols", "given" : "David", "non-dropping-particle" : "", "parse-names" : false, "suffix" : "" } ], "container-title" : "American Journal of Psychiatry", "id" : "ITEM-1", "issue" : "11", "issued" : { "date-parts" : [ [ "2011" ] ] }, "page" : "1154-1163", "title" : "Gray matter volume abnormalities in ADHD: Voxel-based meta-analysis exploring the effects of age and stimulant medication", "type" : "article-journal", "volume" : "168" }, "uris" : [ "http://www.mendeley.com/documents/?uuid=8215e28c-118a-46e7-a844-a56ca2276631" ] } ], "mendeley" : { "formattedCitation" : "(70)", "plainTextFormattedCitation" : "(70)", "previouslyFormattedCitation" : "(70)" }, "properties" : { "noteIndex" : 4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(70)</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000000" w:themeColor="text1"/>
          <w:sz w:val="22"/>
          <w:szCs w:val="22"/>
          <w:shd w:val="clear" w:color="auto" w:fill="FFFFFF"/>
        </w:rPr>
        <w:t>.</w:t>
      </w:r>
      <w:r w:rsidRPr="00F71665">
        <w:rPr>
          <w:rFonts w:ascii="Arial" w:hAnsi="Arial" w:cs="Arial"/>
          <w:color w:val="000000" w:themeColor="text1"/>
          <w:sz w:val="22"/>
          <w:szCs w:val="22"/>
        </w:rPr>
        <w:t xml:space="preserve"> </w:t>
      </w:r>
      <w:r w:rsidRPr="00F71665">
        <w:rPr>
          <w:rFonts w:ascii="Arial" w:hAnsi="Arial" w:cs="Arial"/>
          <w:color w:val="000000" w:themeColor="text1"/>
          <w:sz w:val="22"/>
          <w:szCs w:val="22"/>
          <w:shd w:val="clear" w:color="auto" w:fill="FFFFFF"/>
        </w:rPr>
        <w:t>Saptanan diğer bir farklılık da, DEHB’li çocukların kortikal kalınlığındadır</w:t>
      </w:r>
      <w:r w:rsidRPr="00F71665">
        <w:rPr>
          <w:rFonts w:ascii="Arial" w:hAnsi="Arial" w:cs="Arial"/>
          <w:color w:val="000000" w:themeColor="text1"/>
          <w:sz w:val="22"/>
          <w:szCs w:val="22"/>
        </w:rPr>
        <w:t xml:space="preserve"> </w:t>
      </w:r>
      <w:r w:rsidR="00BC3BBB" w:rsidRPr="00F71665">
        <w:rPr>
          <w:rFonts w:ascii="Arial" w:hAnsi="Arial" w:cs="Arial"/>
          <w:color w:val="000000" w:themeColor="text1"/>
          <w:sz w:val="22"/>
          <w:szCs w:val="22"/>
        </w:rPr>
        <w:fldChar w:fldCharType="begin" w:fldLock="1"/>
      </w:r>
      <w:r w:rsidRPr="00F71665">
        <w:rPr>
          <w:rFonts w:ascii="Arial" w:hAnsi="Arial" w:cs="Arial"/>
          <w:color w:val="000000" w:themeColor="text1"/>
          <w:sz w:val="22"/>
          <w:szCs w:val="22"/>
        </w:rPr>
        <w:instrText>ADDIN CSL_CITATION { "citationItems" : [ { "id" : "ITEM-1", "itemData" : { "DOI" : "10.1016/j.jaac.2009.11.008", "ISBN" : "1527-5418 (Electronic)\\r0890-8567 (Linking)", "ISSN" : "08908567", "PMID" : "20410712", "abstract" : "Objective: Previous studies have shown smaller brain volume and less gray matter in children with attention-deficit/hyperactivity disorder (ADHD). Relatively few morphological studies have examined structures thought to subserve inhibitory control, one of the diagnostic features of ADHD. We examined one such region, the pars opercularis, predicting a thinner cortex of the inferior frontal gyrus (IFG) in children with ADHD. Method: Structural images were obtained from 49 children (24 control; 25 ADHD combined subtype) aged 9 though 15 years. Images were processed using a volumetric pipeline to provide a fully automated estimate of regional volumes of gray and white matter. A further analysis using FreeSurfer provided measures of cortical thickness for each lobe, and for 13 regions in the frontal lobe. Results: Relative to controls, children with ADHD had smaller whole brain volume and lower gray matter, but not white matter, volumes in all lobes. An analysis of frontal regions showed a significant interaction of group by region. Planned contrasts showed bilateral thinner cortex in the pars opercularis in children with ADHD. Conclusions: Children with ADHD showed both diffuse and regional gray matter abnormalities. Consistent with its putative role in response inhibition, the cortex of the pars opercularis was thinner in children with ADHD who, as expected, had significantly poorer inhibitory performance on a Go/No-go task. These differences held for both hemispheres raising the possibility that a developmental abnormality of IFG might drive development of inhibition difficulties.", "author" : [ { "dropping-particle" : "", "family" : "Batty", "given" : "Martin J.", "non-dropping-particle" : "", "parse-names" : false, "suffix" : "" }, { "dropping-particle" : "", "family" : "Liddle", "given" : "Elizabeth B.", "non-dropping-particle" : "", "parse-names" : false, "suffix" : "" }, { "dropping-particle" : "", "family" : "Pitiot", "given" : "Alain", "non-dropping-particle" : "", "parse-names" : false, "suffix" : "" }, { "dropping-particle" : "", "family" : "Toro", "given" : "Roberto", "non-dropping-particle" : "", "parse-names" : false, "suffix" : "" }, { "dropping-particle" : "", "family" : "Groom", "given" : "Madeleine J.", "non-dropping-particle" : "", "parse-names" : false, "suffix" : "" }, { "dropping-particle" : "", "family" : "Scerif", "given" : "Gaia", "non-dropping-particle" : "", "parse-names" : false, "suffix" : "" }, { "dropping-particle" : "", "family" : "Liotti", "given" : "Mario", "non-dropping-particle" : "", "parse-names" : false, "suffix" : "" }, { "dropping-particle" : "", "family" : "Liddle", "given" : "Peter F.", "non-dropping-particle" : "", "parse-names" : false, "suffix" : "" }, { "dropping-particle" : "", "family" : "Paus", "given" : "Tom\u00e1\u0161", "non-dropping-particle" : "", "parse-names" : false, "suffix" : "" }, { "dropping-particle" : "", "family" : "Hollis", "given" : "Chris", "non-dropping-particle" : "", "parse-names" : false, "suffix" : "" } ], "container-title" : "Journal of the American Academy of Child &amp; Adolescent Psychiatry", "id" : "ITEM-1", "issue" : "3", "issued" : { "date-parts" : [ [ "2010" ] ] }, "page" : "229-238", "title" : "Cortical Gray Matter in Attention-Deficit/Hyperactivity Disorder: A Structural Magnetic Resonance Imaging Study", "type" : "article-journal", "volume" : "49" }, "uris" : [ "http://www.mendeley.com/documents/?uuid=12847ea7-bc5d-41b4-a38f-c8a4918eb02c" ] } ], "mendeley" : { "formattedCitation" : "(71)", "plainTextFormattedCitation" : "(71)", "previouslyFormattedCitation" : "(71)" }, "properties" : { "noteIndex" : 5 }, "schema" : "https://github.com/citation-style-language/schema/raw/master/csl-citation.json" }</w:instrText>
      </w:r>
      <w:r w:rsidR="00BC3BBB" w:rsidRPr="00F71665">
        <w:rPr>
          <w:rFonts w:ascii="Arial" w:hAnsi="Arial" w:cs="Arial"/>
          <w:color w:val="000000" w:themeColor="text1"/>
          <w:sz w:val="22"/>
          <w:szCs w:val="22"/>
        </w:rPr>
        <w:fldChar w:fldCharType="separate"/>
      </w:r>
      <w:r w:rsidRPr="00F71665">
        <w:rPr>
          <w:rFonts w:ascii="Arial" w:hAnsi="Arial" w:cs="Arial"/>
          <w:noProof/>
          <w:color w:val="000000" w:themeColor="text1"/>
          <w:sz w:val="22"/>
          <w:szCs w:val="22"/>
        </w:rPr>
        <w:t>(71)</w:t>
      </w:r>
      <w:r w:rsidR="00BC3BBB" w:rsidRPr="00F71665">
        <w:rPr>
          <w:rFonts w:ascii="Arial" w:hAnsi="Arial" w:cs="Arial"/>
          <w:color w:val="000000" w:themeColor="text1"/>
          <w:sz w:val="22"/>
          <w:szCs w:val="22"/>
        </w:rPr>
        <w:fldChar w:fldCharType="end"/>
      </w:r>
      <w:r w:rsidRPr="00F71665">
        <w:rPr>
          <w:rFonts w:ascii="Arial" w:hAnsi="Arial" w:cs="Arial"/>
          <w:color w:val="000000" w:themeColor="text1"/>
          <w:sz w:val="22"/>
          <w:szCs w:val="22"/>
        </w:rPr>
        <w:t>. T</w:t>
      </w:r>
      <w:r w:rsidRPr="00F71665">
        <w:rPr>
          <w:rFonts w:ascii="Arial" w:hAnsi="Arial" w:cs="Arial"/>
          <w:color w:val="000000" w:themeColor="text1"/>
          <w:sz w:val="22"/>
          <w:szCs w:val="22"/>
          <w:shd w:val="clear" w:color="auto" w:fill="FFFFFF"/>
        </w:rPr>
        <w:t xml:space="preserve">ipik olarak gelişmekte olan çocuklar ile DEHB’li çocukların korteks kalınlıkları karşılaştırıldığında, DEHB grubunda kortikal kalınlığın maksimum kalınlığa kontrollere göre 3 yıl geriden ulaştığı, dolayısıyla DEHB'li çocuklarda kortikal gelişimin geciktiği ifade edilmiştir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"DOI" : "10.1073/pnas.0707741104", "ISBN" : "1091-6490 (Electronic)\\n0027-8424 (Linking)", "ISSN" : "0027-8424", "PMID" : "18024590", "abstract" : "There is controversy over the nature of the disturbance in brain development that underpins attention-deficit/hyperactivity disorder (ADHD). In particular, it is unclear whether the disorder results from a delay in brain maturation or whether it represents a complete deviation from the template of typical development. Using computational neuroanatomic techniques, we estimated cortical thickness at &gt;40,000 cerebral points from 824 magnetic resonance scans acquired prospectively on 223 children with ADHD and 223 typically developing controls. With this sample size, we could define the growth trajectory of each cortical point, delineating a phase of childhood increase followed by adolescent decrease in cortical thickness (a quadratic growth model). From these trajectories, the age of attaining peak cortical thickness was derived and used as an index of cortical maturation. We found maturation to progress in a similar manner regionally in both children with and without ADHD, with primary sensory areas attaining peak cortical thickness before polymodal, high-order association areas. However, there was a marked delay in ADHD in attaining peak thickness throughout most of the cerebrum: the median age by which 50% of the cortical points attained peak thickness for this group was 10.5 years (SE 0.01), which was significantly later than the median age of 7.5 years (SE 0.02) for typically developing controls (log rank test chi(1)(2) = 5,609, P &lt; 1.0 x 10(-20)). The delay was most prominent in prefrontal regions important for control of cognitive processes including attention and motor planning. Neuroanatomic documentation of a delay in regional cortical maturation in ADHD has not been previously reported.", "author" : [ { "dropping-particle" : "", "family" : "Shaw", "given" : "P.", "non-dropping-particle" : "", "parse-names" : false, "suffix" : "" }, { "dropping-particle" : "", "family" : "Eckstrand", "given" : "K.", "non-dropping-particle" : "", "parse-names" : false, "suffix" : "" }, { "dropping-particle" : "", "family" : "Sharp", "given" : "W.", "non-dropping-particle" : "", "parse-names" : false, "suffix" : "" }, { "dropping-particle" : "", "family" : "Blumenthal", "given" : "J.", "non-dropping-particle" : "", "parse-names" : false, "suffix" : "" }, { "dropping-particle" : "", "family" : "Lerch", "given" : "J. P.", "non-dropping-particle" : "", "parse-names" : false, "suffix" : "" }, { "dropping-particle" : "", "family" : "Greenstein", "given" : "D.", "non-dropping-particle" : "", "parse-names" : false, "suffix" : "" }, { "dropping-particle" : "", "family" : "Clasen", "given" : "L.", "non-dropping-particle" : "", "parse-names" : false, "suffix" : "" }, { "dropping-particle" : "", "family" : "Evans", "given" : "A.", "non-dropping-particle" : "", "parse-names" : false, "suffix" : "" }, { "dropping-particle" : "", "family" : "Giedd", "given" : "J.", "non-dropping-particle" : "", "parse-names" : false, "suffix" : "" }, { "dropping-particle" : "", "family" : "Rapoport", "given" : "J. L.", "non-dropping-particle" : "", "parse-names" : false, "suffix" : "" } ], "container-title" : "Proceedings of the National Academy of Sciences", "id" : "ITEM-1", "issue" : "49", "issued" : { "date-parts" : [ [ "2007" ] ] }, "page" : "19649-19654", "title" : "Attention-deficit/hyperactivity disorder is characterized by a delay in cortical maturation", "type" : "article-journal", "volume" : "104" }, "uris" : [ "http://www.mendeley.com/documents/?uuid=473ea3b8-8292-4b46-838b-c1cee078b09a" ] } ], "mendeley" : { "formattedCitation" : "(72)", "plainTextFormattedCitation" : "(72)", "previouslyFormattedCitation" : "(72)" }, "properties" : { "noteIndex" : 5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(72)</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000000" w:themeColor="text1"/>
          <w:sz w:val="22"/>
          <w:szCs w:val="22"/>
          <w:shd w:val="clear" w:color="auto" w:fill="FFFFFF"/>
        </w:rPr>
        <w:t xml:space="preserve">. </w:t>
      </w:r>
      <w:r w:rsidRPr="00F71665">
        <w:rPr>
          <w:rFonts w:ascii="Arial" w:hAnsi="Arial" w:cs="Arial"/>
          <w:sz w:val="22"/>
          <w:szCs w:val="22"/>
          <w:shd w:val="clear" w:color="auto" w:fill="FFFFFF"/>
        </w:rPr>
        <w:t xml:space="preserve">DEHB’nin </w:t>
      </w:r>
      <w:r w:rsidR="00C84BC3" w:rsidRPr="00F71665">
        <w:rPr>
          <w:rFonts w:ascii="Arial" w:hAnsi="Arial" w:cs="Arial"/>
          <w:sz w:val="22"/>
          <w:szCs w:val="22"/>
          <w:shd w:val="clear" w:color="auto" w:fill="FFFFFF"/>
        </w:rPr>
        <w:t>et</w:t>
      </w:r>
      <w:r w:rsidRPr="00F71665">
        <w:rPr>
          <w:rFonts w:ascii="Arial" w:hAnsi="Arial" w:cs="Arial"/>
          <w:sz w:val="22"/>
          <w:szCs w:val="22"/>
          <w:shd w:val="clear" w:color="auto" w:fill="FFFFFF"/>
        </w:rPr>
        <w:t xml:space="preserve">yopatogenezinde, bir takım beyin bölgeleri ve bağlantı devreleriyle ilgili karmaşık yapısal anormalliklerin ortak etkisinin olduğu düşünülmektedir </w:t>
      </w:r>
      <w:r w:rsidR="00BC3BBB" w:rsidRPr="00F71665">
        <w:rPr>
          <w:rFonts w:ascii="Arial" w:hAnsi="Arial" w:cs="Arial"/>
          <w:sz w:val="22"/>
          <w:szCs w:val="22"/>
          <w:shd w:val="clear" w:color="auto" w:fill="FFFFFF"/>
        </w:rPr>
        <w:fldChar w:fldCharType="begin" w:fldLock="1"/>
      </w:r>
      <w:r w:rsidRPr="00F71665">
        <w:rPr>
          <w:rFonts w:ascii="Arial" w:hAnsi="Arial" w:cs="Arial"/>
          <w:sz w:val="22"/>
          <w:szCs w:val="22"/>
          <w:shd w:val="clear" w:color="auto" w:fill="FFFFFF"/>
        </w:rPr>
        <w:instrText>ADDIN CSL_CITATION { "citationItems" : [ { "id" : "ITEM-1", "itemData" : { "DOI" : "10.1016/j.ejpn.2012.01.009", "ISBN" : "1866-6647 (Electronic) 1866-6116 (Linking)", "ISSN" : "10903798", "PMID" : "22306277", "abstract" : "This review, addressed mainly to clinicians, considers commonly asked questions related to the neuroimaging, neurophysiology, neurochemistry and genetics of Attention-Deficit/Hyperactivity Disorder (ADHD). It provides answers based on the most recent meta-analyses and systematic reviews, as well as additional relevant original studies. Empirical findings from neurobiological research into ADHD reflect a shift in the conceptualisation of this disorder from simple theoretical views of a few isolated dysfunctions to more complex models integrating the heterogeneity of the clinical manifestations of ADHD. Thus, findings from structural and functional neuroimaging suggest the involvement of developmentally abnormal brain networks related to cognition, attention, emotion and sensorimotor functions. Brain functioning alterations are confirmed by neurophysiological findings, showing that individuals with ADHD have elevated theta/beta power ratios, and less pronounced responses and longer latencies of event-related potentials, compared with controls. At a molecular level, alterations in any single neurotransmitter system are unlikely to explain the complexity of ADHD; rather, the disorder has been linked to dysfunctions in several systems, including the dopaminergic, adrenergic, serotoninergic and cholinergic pathways. Genetic studies showing a heritability of \u223c60-75% suggest that a plethora of genes, each one with a small but significant effect, interact with environmental factors to increase the susceptibility to ADHD. Currently, findings from neurobiological research do not have a direct application in daily clinical practice, but it is hoped that in the near future they will complement the diagnostic process and contribute to the long-term effective treatment of this impairing condition. \u00a9 2012 European Paediatric Neurology Society. Published by Elsevier Ltd. All rights reserved.", "author" : [ { "dropping-particle" : "", "family" : "Cortese", "given" : "Samuele", "non-dropping-particle" : "", "parse-names" : false, "suffix" : "" } ], "container-title" : "European Journal of Paediatric Neurology", "id" : "ITEM-1", "issue" : "5", "issued" : { "date-parts" : [ [ "2012" ] ] }, "page" : "422-433", "title" : "The neurobiology and genetics of Attention-Deficit/Hyperactivity Disorder (ADHD): What every clinician should know", "type" : "article-journal", "volume" : "16" }, "uris" : [ "http://www.mendeley.com/documents/?uuid=4af7328f-41f9-4227-86fc-25970a6a569e" ] } ], "mendeley" : { "formattedCitation" : "(73)", "plainTextFormattedCitation" : "(73)", "previouslyFormattedCitation" : "(73)" }, "properties" : { "noteIndex" : 5 }, "schema" : "https://github.com/citation-style-language/schema/raw/master/csl-citation.json" }</w:instrText>
      </w:r>
      <w:r w:rsidR="00BC3BBB" w:rsidRPr="00F71665">
        <w:rPr>
          <w:rFonts w:ascii="Arial" w:hAnsi="Arial" w:cs="Arial"/>
          <w:sz w:val="22"/>
          <w:szCs w:val="22"/>
          <w:shd w:val="clear" w:color="auto" w:fill="FFFFFF"/>
        </w:rPr>
        <w:fldChar w:fldCharType="separate"/>
      </w:r>
      <w:r w:rsidRPr="00F71665">
        <w:rPr>
          <w:rFonts w:ascii="Arial" w:hAnsi="Arial" w:cs="Arial"/>
          <w:noProof/>
          <w:sz w:val="22"/>
          <w:szCs w:val="22"/>
          <w:shd w:val="clear" w:color="auto" w:fill="FFFFFF"/>
        </w:rPr>
        <w:t>(73)</w:t>
      </w:r>
      <w:r w:rsidR="00BC3BBB" w:rsidRPr="00F71665">
        <w:rPr>
          <w:rFonts w:ascii="Arial" w:hAnsi="Arial" w:cs="Arial"/>
          <w:sz w:val="22"/>
          <w:szCs w:val="22"/>
          <w:shd w:val="clear" w:color="auto" w:fill="FFFFFF"/>
        </w:rPr>
        <w:fldChar w:fldCharType="end"/>
      </w:r>
      <w:r w:rsidRPr="00F71665">
        <w:rPr>
          <w:rFonts w:ascii="Arial" w:hAnsi="Arial" w:cs="Arial"/>
          <w:sz w:val="22"/>
          <w:szCs w:val="22"/>
          <w:shd w:val="clear" w:color="auto" w:fill="FFFFFF"/>
        </w:rPr>
        <w:t xml:space="preserve">. </w:t>
      </w:r>
      <w:r w:rsidRPr="00F71665">
        <w:rPr>
          <w:rFonts w:ascii="Arial" w:hAnsi="Arial" w:cs="Arial"/>
          <w:color w:val="000000" w:themeColor="text1"/>
          <w:sz w:val="22"/>
          <w:szCs w:val="22"/>
          <w:shd w:val="clear" w:color="auto" w:fill="FFFFFF"/>
        </w:rPr>
        <w:t>DEHB‘li çocukların etkilenmeyen kardeşlerinde de yapısal anomalilerin görülmesi, ,</w:t>
      </w:r>
      <w:r w:rsidRPr="00F71665">
        <w:rPr>
          <w:rFonts w:ascii="Arial" w:hAnsi="Arial" w:cs="Arial"/>
          <w:color w:val="000000" w:themeColor="text1"/>
          <w:sz w:val="22"/>
          <w:szCs w:val="22"/>
        </w:rPr>
        <w:t xml:space="preserve"> b</w:t>
      </w:r>
      <w:r w:rsidRPr="00F71665">
        <w:rPr>
          <w:rFonts w:ascii="Arial" w:hAnsi="Arial" w:cs="Arial"/>
          <w:color w:val="000000" w:themeColor="text1"/>
          <w:sz w:val="22"/>
          <w:szCs w:val="22"/>
          <w:shd w:val="clear" w:color="auto" w:fill="FFFFFF"/>
        </w:rPr>
        <w:t xml:space="preserve">u anomalilerden bazılarının genetik temeli olduğunu göstermiştir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"DOI" : "10.1097/00004583-200403000-00016", "ISBN" : "0890-8567 (Print)\\r0890-8567", "ISSN" : "08908567", "PMID" : "15076267", "abstract" : "ABSTRACTObjective\\nTo study the influence of increased familial risk for attention-deficit/hyperactivity disorder (ADHD) on brain morphology.\\nMethod\\nVolumetric cerebral measures based on whole brain magnetic resonance imaging scans from 30 boys with ADHD, 30 of their unaffected siblings, and 30 matched controls were compared.\\nResults\\nBoth subjects with ADHD and their unaffected siblings displayed reductions in right prefrontal gray matter and left occipital gray and white matter of up to 9.1% (p &amp;lt; .05). Right cerebellar volume was reduced by 4.9% in subjects with ADHD (p = .026) but not in their unaffected siblings (p = .308). A 4.0% reduction in intracranial volume was found in subjects with ADHD (p = .031), while a trend was observed in their unaffected siblings (p = .068).\\nConclusions\\nThe volumetric reductions in cortical gray and white matter in subjects with ADHD are also present in their unaffected siblings, suggesting that they are related to an increased familial risk for the disorder. In contrast, the cerebellum is unaffected in siblings, suggesting that the reduction in volume observed in subjects with ADHD may be more directly related to the pathophysiology of this disorder.", "author" : [ { "dropping-particle" : "", "family" : "Durston", "given" : "Sarah", "non-dropping-particle" : "", "parse-names" : false, "suffix" : "" }, { "dropping-particle" : "", "family" : "Pol", "given" : "Hilleke E. Hulshoff", "non-dropping-particle" : "", "parse-names" : false, "suffix" : "" }, { "dropping-particle" : "", "family" : "Schnack", "given" : "Hugo G.", "non-dropping-particle" : "", "parse-names" : false, "suffix" : "" }, { "dropping-particle" : "", "family" : "Buitelaar", "given" : "Jan K.", "non-dropping-particle" : "", "parse-names" : false, "suffix" : "" }, { "dropping-particle" : "", "family" : "Steenhuis", "given" : "Mark P.", "non-dropping-particle" : "", "parse-names" : false, "suffix" : "" }, { "dropping-particle" : "", "family" : "Minderaa", "given" : "Ruud B.", "non-dropping-particle" : "", "parse-names" : false, "suffix" : "" }, { "dropping-particle" : "", "family" : "Kahn", "given" : "Ren\u00e9 S.", "non-dropping-particle" : "", "parse-names" : false, "suffix" : "" }, { "dropping-particle" : "", "family" : "engeland", "given" : "Herman", "non-dropping-particle" : "van", "parse-names" : false, "suffix" : "" } ], "container-title" : "Journal of the American Academy of Child &amp; Adolescent Psychiatry", "id" : "ITEM-1", "issue" : "3", "issued" : { "date-parts" : [ [ "2004" ] ] }, "page" : "332-340", "title" : "Magnetic Resonance Imaging of Boys With Attention-Deficit/Hyperactivity Disorder and Their Unaffected Siblings", "type" : "article-journal", "volume" : "43" }, "uris" : [ "http://www.mendeley.com/documents/?uuid=e3a9fead-d74c-43e5-a3b4-10da5fada849" ] } ], "mendeley" : { "formattedCitation" : "(74)", "plainTextFormattedCitation" : "(74)", "previouslyFormattedCitation" : "(74)" }, "properties" : { "noteIndex" : 5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(74)</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212121"/>
          <w:sz w:val="22"/>
          <w:szCs w:val="22"/>
          <w:shd w:val="clear" w:color="auto" w:fill="FFFFFF"/>
        </w:rPr>
        <w:t xml:space="preserve">. </w:t>
      </w:r>
      <w:r w:rsidRPr="00F71665">
        <w:rPr>
          <w:rFonts w:ascii="Arial" w:hAnsi="Arial" w:cs="Arial"/>
          <w:color w:val="000000" w:themeColor="text1"/>
          <w:sz w:val="22"/>
          <w:szCs w:val="22"/>
          <w:shd w:val="clear" w:color="auto" w:fill="FFFFFF"/>
        </w:rPr>
        <w:t xml:space="preserve">Bununla birlikte, olumsuz yetiştirme tarzı ile azalmış korteks kalınlığı arasındaki ilişki çevresel etkilerin beyin gelişimindeki rolünü vurgulamaktadır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"DOI" : "10.1016/j.biopsych.2013.08.016", "ISBN" : "0006-3223", "ISSN" : "18732402", "PMID" : "24090797", "abstract" : "Background Children exposed to early-life psychosocial deprivation associated with institutional rearing are at markedly elevated risk of developing attention-deficit/hyperactivity disorder (ADHD). Neurodevelopmental mechanisms that explain the high prevalence of ADHD in children exposed to institutionalization are unknown. We examined whether abnormalities in cortical thickness and subcortical volume were mechanisms explaining elevations in ADHD among children raised in institutional settings. Methods Data were drawn from the Bucharest Early Intervention Project, a cohort of children raised from early infancy in institutions in Romania (n = 58) and age-matched community control subjects (n = 22). Magnetic resonance imaging data were acquired when children were aged 8 to 10 years, and ADHD symptoms were assessed using the Health and Behavior Questionnaire. Results Children reared in institutions exhibited widespread reductions in cortical thickness across prefrontal, parietal, and temporal regions relative to community control subjects. No group differences were found in the volume of subcortical structures. Reduced thickness across numerous cortical areas was associated with higher levels of ADHD symptoms. Cortical thickness in lateral orbitofrontal cortex, insula, inferior parietal cortex, precuneus, superior temporal cortex, and lingual gyrus mediated the association of institutionalization with inattention and impulsivity; additionally, supramarginal gyrus thickness mediated the association with inattention and fusiform gyrus thickness mediated the association with impulsivity. Conclusions Severe early-life deprivation disrupts cortical development resulting in reduced thickness in regions with atypical function during attention tasks in children with ADHD, including the inferior parietal cortex, precuneus, and superior temporal cortex. These reductions in thickness are a neurodevelopmental mechanism explaining elevated ADHD symptoms in children exposed to institutional rearing.", "author" : [ { "dropping-particle" : "", "family" : "McLaughlin", "given" : "Katie A.", "non-dropping-particle" : "", "parse-names" : false, "suffix" : "" }, { "dropping-particle" : "", "family" : "Sheridan", "given" : "Margaret A.", "non-dropping-particle" : "", "parse-names" : false, "suffix" : "" }, { "dropping-particle" : "", "family" : "Winter", "given" : "Warren", "non-dropping-particle" : "", "parse-names" : false, "suffix" : "" }, { "dropping-particle" : "", "family" : "Fox", "given" : "Nathan A.", "non-dropping-particle" : "", "parse-names" : false, "suffix" : "" }, { "dropping-particle" : "", "family" : "Zeanah", "given" : "Charles H.", "non-dropping-particle" : "", "parse-names" : false, "suffix" : "" }, { "dropping-particle" : "", "family" : "Nelson", "given" : "Charles A.", "non-dropping-particle" : "", "parse-names" : false, "suffix" : "" } ], "container-title" : "Biological Psychiatry", "id" : "ITEM-1", "issue" : "8", "issued" : { "date-parts" : [ [ "2014" ] ] }, "page" : "629-638", "title" : "Widespread reductions in cortical thickness following severe early-life deprivation: A neurodevelopmental pathway to attention-deficit/hyperactivity disorder", "type" : "article-journal", "volume" : "76" }, "uris" : [ "http://www.mendeley.com/documents/?uuid=6984a0bd-79fc-4956-b6a6-dd7b87eb0f30" ] } ], "mendeley" : { "formattedCitation" : "(75)", "plainTextFormattedCitation" : "(75)", "previouslyFormattedCitation" : "(75)" }, "properties" : { "noteIndex" : 5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(75)</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000000" w:themeColor="text1"/>
          <w:sz w:val="22"/>
          <w:szCs w:val="22"/>
          <w:shd w:val="clear" w:color="auto" w:fill="FFFFFF"/>
        </w:rPr>
        <w:t xml:space="preserve">. </w:t>
      </w:r>
    </w:p>
    <w:p w:rsidR="00C60153" w:rsidRPr="00F71665" w:rsidRDefault="00C60153" w:rsidP="00C60153">
      <w:pPr>
        <w:spacing w:line="360" w:lineRule="auto"/>
        <w:ind w:firstLine="708"/>
        <w:jc w:val="both"/>
        <w:rPr>
          <w:rFonts w:ascii="Arial" w:hAnsi="Arial" w:cs="Arial"/>
          <w:b/>
          <w:color w:val="000000" w:themeColor="text1"/>
          <w:sz w:val="22"/>
          <w:szCs w:val="22"/>
          <w:shd w:val="clear" w:color="auto" w:fill="FFFFFF"/>
        </w:rPr>
      </w:pPr>
      <w:r w:rsidRPr="00F71665">
        <w:rPr>
          <w:rFonts w:ascii="Arial" w:hAnsi="Arial" w:cs="Arial"/>
          <w:b/>
          <w:color w:val="000000" w:themeColor="text1"/>
          <w:sz w:val="22"/>
          <w:szCs w:val="22"/>
          <w:shd w:val="clear" w:color="auto" w:fill="FFFFFF"/>
        </w:rPr>
        <w:t>Prenatal Sigara Maruziyeti</w:t>
      </w:r>
    </w:p>
    <w:p w:rsidR="00C60153" w:rsidRPr="00F71665" w:rsidRDefault="00C60153" w:rsidP="00C60153">
      <w:pPr>
        <w:spacing w:line="360" w:lineRule="auto"/>
        <w:jc w:val="both"/>
        <w:rPr>
          <w:rFonts w:ascii="Arial" w:hAnsi="Arial" w:cs="Arial"/>
          <w:sz w:val="22"/>
          <w:szCs w:val="22"/>
          <w:shd w:val="clear" w:color="auto" w:fill="FFFFFF"/>
        </w:rPr>
      </w:pPr>
      <w:r w:rsidRPr="00F71665">
        <w:rPr>
          <w:rFonts w:ascii="Arial" w:hAnsi="Arial" w:cs="Arial"/>
          <w:b/>
          <w:color w:val="000000" w:themeColor="text1"/>
          <w:sz w:val="22"/>
          <w:szCs w:val="22"/>
          <w:shd w:val="clear" w:color="auto" w:fill="FFFFFF"/>
        </w:rPr>
        <w:tab/>
      </w:r>
      <w:r w:rsidRPr="00F71665">
        <w:rPr>
          <w:rFonts w:ascii="Arial" w:hAnsi="Arial" w:cs="Arial"/>
          <w:color w:val="000000" w:themeColor="text1"/>
          <w:sz w:val="22"/>
          <w:szCs w:val="22"/>
        </w:rPr>
        <w:t xml:space="preserve">Hamilelik döneminde maternal sigara içimi, çocuklarda DEHB için potansiyel bir çevresel risk faktörü olarak gösterilmiş ve tahmini risk oranı 2.39 olarak hesaplanmıştır </w:t>
      </w:r>
      <w:r w:rsidR="00BC3BBB" w:rsidRPr="00F71665">
        <w:rPr>
          <w:rFonts w:ascii="Arial" w:hAnsi="Arial" w:cs="Arial"/>
          <w:color w:val="000000" w:themeColor="text1"/>
          <w:sz w:val="22"/>
          <w:szCs w:val="22"/>
        </w:rPr>
        <w:fldChar w:fldCharType="begin" w:fldLock="1"/>
      </w:r>
      <w:r w:rsidRPr="00F71665">
        <w:rPr>
          <w:rFonts w:ascii="Arial" w:hAnsi="Arial" w:cs="Arial"/>
          <w:color w:val="000000" w:themeColor="text1"/>
          <w:sz w:val="22"/>
          <w:szCs w:val="22"/>
        </w:rPr>
        <w:instrText>ADDIN CSL_CITATION { "citationItems" : [ { "id" : "ITEM-1", "itemData" : { "ISBN" : "0026-4946; 0026-4946", "ISSN" : "0026-4946 (Print)", "PMID" : "16402008", "abstract" : "Attention deficit hyperactivity disorder (ADHD) is a common childhood psychiatric disorder which affects between 3% and 5% of school aged children. Despite much research, little is known regarding the aetiology of the disorder. Maternal cigarette smoking during pregnancy has been linked to a number of negative effects in offspring in infancy, childhood and even into adulthood and has been proposed as a possible risk factor for ADHD. The aim of this review was to discuss the evidence associating maternal smoking during pregnancy and ADHD as well as methodological issues concerning this association. A literature search using PubMed was employed using relevant keywords. The relevant reference sections of articles found were also searched. All English language studies published before June 2005 were assessed. A pooled odds ratio derived from case-control studies was also obtained. Despite methodological limitations, the majority of studies identify maternal smoking during pregnancy as a risk factor for ADHD behaviours. A pooled odds ratio indicates more than a two-fold increase in risk for a diagnosis of ADHD in those individuals whose mothers smoked during pregnancy (odds ratio 2.39, 95% confidence intervals 1.61, 3.52 P&lt;0.001). Maternal smoking during pregnancy is a risk factor for ADHD behaviour and diagnoses, although the mechanisms through which such risks work is unknown.", "author" : [ { "dropping-particle" : "", "family" : "Langley", "given" : "K", "non-dropping-particle" : "", "parse-names" : false, "suffix" : "" }, { "dropping-particle" : "", "family" : "Rice", "given" : "F", "non-dropping-particle" : "", "parse-names" : false, "suffix" : "" }, { "dropping-particle" : "", "family" : "Bree", "given" : "M B", "non-dropping-particle" : "van den", "parse-names" : false, "suffix" : "" }, { "dropping-particle" : "", "family" : "Thapar", "given" : "A", "non-dropping-particle" : "", "parse-names" : false, "suffix" : "" } ], "container-title" : "Minerva pediatrica", "id" : "ITEM-1", "issue" : "6", "issued" : { "date-parts" : [ [ "2005" ] ] }, "page" : "359-371", "title" : "Maternal smoking during pregnancy as an environmental risk factor for attention deficit hyperactivity disorder behaviour. A review", "type" : "article-journal", "volume" : "57" }, "uris" : [ "http://www.mendeley.com/documents/?uuid=e8246591-e80f-4230-b194-c3799d007266" ] } ], "mendeley" : { "formattedCitation" : "(76)", "plainTextFormattedCitation" : "(76)", "previouslyFormattedCitation" : "(76)" }, "properties" : { "noteIndex" : 5 }, "schema" : "https://github.com/citation-style-language/schema/raw/master/csl-citation.json" }</w:instrText>
      </w:r>
      <w:r w:rsidR="00BC3BBB" w:rsidRPr="00F71665">
        <w:rPr>
          <w:rFonts w:ascii="Arial" w:hAnsi="Arial" w:cs="Arial"/>
          <w:color w:val="000000" w:themeColor="text1"/>
          <w:sz w:val="22"/>
          <w:szCs w:val="22"/>
        </w:rPr>
        <w:fldChar w:fldCharType="separate"/>
      </w:r>
      <w:r w:rsidRPr="00F71665">
        <w:rPr>
          <w:rFonts w:ascii="Arial" w:hAnsi="Arial" w:cs="Arial"/>
          <w:noProof/>
          <w:color w:val="000000" w:themeColor="text1"/>
          <w:sz w:val="22"/>
          <w:szCs w:val="22"/>
        </w:rPr>
        <w:t>(76)</w:t>
      </w:r>
      <w:r w:rsidR="00BC3BBB" w:rsidRPr="00F71665">
        <w:rPr>
          <w:rFonts w:ascii="Arial" w:hAnsi="Arial" w:cs="Arial"/>
          <w:color w:val="000000" w:themeColor="text1"/>
          <w:sz w:val="22"/>
          <w:szCs w:val="22"/>
        </w:rPr>
        <w:fldChar w:fldCharType="end"/>
      </w:r>
      <w:r w:rsidRPr="00F71665">
        <w:rPr>
          <w:rFonts w:ascii="Arial" w:hAnsi="Arial" w:cs="Arial"/>
          <w:color w:val="000000" w:themeColor="text1"/>
          <w:sz w:val="22"/>
          <w:szCs w:val="22"/>
        </w:rPr>
        <w:t xml:space="preserve">. </w:t>
      </w:r>
      <w:r w:rsidRPr="00F71665">
        <w:rPr>
          <w:rFonts w:ascii="Arial" w:hAnsi="Arial" w:cs="Arial"/>
          <w:color w:val="000000" w:themeColor="text1"/>
          <w:sz w:val="22"/>
          <w:szCs w:val="22"/>
          <w:shd w:val="clear" w:color="auto" w:fill="FFFFFF"/>
        </w:rPr>
        <w:t xml:space="preserve">Bununla birlikte yeni kanıtlar, bu ilişkinin maternal sigara içiminin fetal beyin gelişimine zararlı etkilerinin değil, karışık genetik veya çevresel faktörlerin bir sonucu olabileceği yönündedir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"DOI" : "10.1111/cch.12139", "ISBN" : "0305-1862", "ISSN" : "03051862", "abstract" : "Attention-deficit hyperactivity disorder ( ADHD) is a complex disorder that can affect individuals across the lifespan. It is associated with substantial heterogeneity in terms of aetiology, clinical presentation and treatment outcome and is the subject of extensive research. Because of this, it can be difficult for clinicians to stay up to date with the most relevant findings and know how best to respond to parents' questions and concerns about the disorder and interventions. This is a narrative review that aims to summarize key findings from recent research into ADHD and its treatment that clinicians can share with families in order to increase their knowledge about ADHD and intervention options. ADHD develops as a result of complex interplay between interdependent genetic and non-genetic factors. The disorder is associated with substantial impairments in functioning and poor long-term outcomes. Pharmacological and non-pharmacological treatment options are available for symptom management and to improve function, but functioning outcomes often fail to normalize in children with ADHD. Despite extensive advances in understanding this complex disorder, it is clear that there is still a long way to go. In particular, we address the need for future non-pharmacological interventions to be more specifically targeted for ADHD symptoms and its commonly associated functioning deficits in order to ensure the best long-term outcomes for children with ADHD. [ABSTRACT FROM AUTHOR]", "author" : [ { "dropping-particle" : "", "family" : "Tarver", "given" : "J", "non-dropping-particle" : "", "parse-names" : false, "suffix" : "" }, { "dropping-particle" : "", "family" : "Daley", "given" : "D", "non-dropping-particle" : "", "parse-names" : false, "suffix" : "" }, { "dropping-particle" : "", "family" : "Sayal", "given" : "K", "non-dropping-particle" : "", "parse-names" : false, "suffix" : "" } ], "container-title" : "Child: Care, Health &amp; Development", "id" : "ITEM-1", "issue" : "6", "issued" : { "date-parts" : [ [ "2014" ] ] }, "page" : "762-774", "title" : "Attention-deficit hyperactivity disorder ( ADHD): an updated review of the essential facts.", "type" : "article-journal", "volume" : "40" }, "uris" : [ "http://www.mendeley.com/documents/?uuid=a435d2a9-aedb-4690-8342-390436c404f0" ] } ], "mendeley" : { "formattedCitation" : "(68)", "plainTextFormattedCitation" : "(68)", "previouslyFormattedCitation" : "(68)" }, "properties" : { "noteIndex" : 5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(68)</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000000" w:themeColor="text1"/>
          <w:sz w:val="22"/>
          <w:szCs w:val="22"/>
          <w:shd w:val="clear" w:color="auto" w:fill="FFFFFF"/>
        </w:rPr>
        <w:t xml:space="preserve">. </w:t>
      </w:r>
      <w:r w:rsidRPr="00F71665">
        <w:rPr>
          <w:rFonts w:ascii="Arial" w:hAnsi="Arial" w:cs="Arial"/>
          <w:color w:val="000000" w:themeColor="text1"/>
          <w:sz w:val="22"/>
          <w:szCs w:val="22"/>
        </w:rPr>
        <w:t xml:space="preserve">Örneğin bir çalışmada, gebelik sırasında hem annenin hem de babanın sigara içimi ile DEHB arasında ilişki saptanmış ve her iki risk faktörü arasında istatistiksel olarak anlamlı bir farklılığın bulunmadığı belirtilmiştir </w:t>
      </w:r>
      <w:r w:rsidR="00BC3BBB" w:rsidRPr="00F71665">
        <w:rPr>
          <w:rFonts w:ascii="Arial" w:hAnsi="Arial" w:cs="Arial"/>
          <w:color w:val="000000" w:themeColor="text1"/>
          <w:sz w:val="22"/>
          <w:szCs w:val="22"/>
        </w:rPr>
        <w:fldChar w:fldCharType="begin" w:fldLock="1"/>
      </w:r>
      <w:r w:rsidRPr="00F71665">
        <w:rPr>
          <w:rFonts w:ascii="Arial" w:hAnsi="Arial" w:cs="Arial"/>
          <w:color w:val="000000" w:themeColor="text1"/>
          <w:sz w:val="22"/>
          <w:szCs w:val="22"/>
        </w:rPr>
        <w:instrText>ADDIN CSL_CITATION { "citationItems" : [ { "id" : "ITEM-1", "itemData" : { "ISBN" : "0026-4946; 0026-4946", "ISSN" : "0026-4946 (Print)", "PMID" : "16402008", "abstract" : "Attention deficit hyperactivity disorder (ADHD) is a common childhood psychiatric disorder which affects between 3% and 5% of school aged children. Despite much research, little is known regarding the aetiology of the disorder. Maternal cigarette smoking during pregnancy has been linked to a number of negative effects in offspring in infancy, childhood and even into adulthood and has been proposed as a possible risk factor for ADHD. The aim of this review was to discuss the evidence associating maternal smoking during pregnancy and ADHD as well as methodological issues concerning this association. A literature search using PubMed was employed using relevant keywords. The relevant reference sections of articles found were also searched. All English language studies published before June 2005 were assessed. A pooled odds ratio derived from case-control studies was also obtained. Despite methodological limitations, the majority of studies identify maternal smoking during pregnancy as a risk factor for ADHD behaviours. A pooled odds ratio indicates more than a two-fold increase in risk for a diagnosis of ADHD in those individuals whose mothers smoked during pregnancy (odds ratio 2.39, 95% confidence intervals 1.61, 3.52 P&lt;0.001). Maternal smoking during pregnancy is a risk factor for ADHD behaviour and diagnoses, although the mechanisms through which such risks work is unknown.", "author" : [ { "dropping-particle" : "", "family" : "Langley", "given" : "K", "non-dropping-particle" : "", "parse-names" : false, "suffix" : "" }, { "dropping-particle" : "", "family" : "Rice", "given" : "F", "non-dropping-particle" : "", "parse-names" : false, "suffix" : "" }, { "dropping-particle" : "", "family" : "Bree", "given" : "M B", "non-dropping-particle" : "van den", "parse-names" : false, "suffix" : "" }, { "dropping-particle" : "", "family" : "Thapar", "given" : "A", "non-dropping-particle" : "", "parse-names" : false, "suffix" : "" } ], "container-title" : "Minerva pediatrica", "id" : "ITEM-1", "issue" : "6", "issued" : { "date-parts" : [ [ "2005" ] ] }, "page" : "359-371", "title" : "Maternal smoking during pregnancy as an environmental risk factor for attention deficit hyperactivity disorder behaviour. A review", "type" : "article-journal", "volume" : "57" }, "uris" : [ "http://www.mendeley.com/documents/?uuid=e8246591-e80f-4230-b194-c3799d007266" ] } ], "mendeley" : { "formattedCitation" : "(76)", "plainTextFormattedCitation" : "(76)", "previouslyFormattedCitation" : "(76)" }, "properties" : { "noteIndex" : 5 }, "schema" : "https://github.com/citation-style-language/schema/raw/master/csl-citation.json" }</w:instrText>
      </w:r>
      <w:r w:rsidR="00BC3BBB" w:rsidRPr="00F71665">
        <w:rPr>
          <w:rFonts w:ascii="Arial" w:hAnsi="Arial" w:cs="Arial"/>
          <w:color w:val="000000" w:themeColor="text1"/>
          <w:sz w:val="22"/>
          <w:szCs w:val="22"/>
        </w:rPr>
        <w:fldChar w:fldCharType="separate"/>
      </w:r>
      <w:r w:rsidRPr="00F71665">
        <w:rPr>
          <w:rFonts w:ascii="Arial" w:hAnsi="Arial" w:cs="Arial"/>
          <w:noProof/>
          <w:color w:val="000000" w:themeColor="text1"/>
          <w:sz w:val="22"/>
          <w:szCs w:val="22"/>
        </w:rPr>
        <w:t>(76)</w:t>
      </w:r>
      <w:r w:rsidR="00BC3BBB" w:rsidRPr="00F71665">
        <w:rPr>
          <w:rFonts w:ascii="Arial" w:hAnsi="Arial" w:cs="Arial"/>
          <w:color w:val="000000" w:themeColor="text1"/>
          <w:sz w:val="22"/>
          <w:szCs w:val="22"/>
        </w:rPr>
        <w:fldChar w:fldCharType="end"/>
      </w:r>
      <w:r w:rsidRPr="00F71665">
        <w:rPr>
          <w:rFonts w:ascii="Arial" w:hAnsi="Arial" w:cs="Arial"/>
          <w:color w:val="000000" w:themeColor="text1"/>
          <w:sz w:val="22"/>
          <w:szCs w:val="22"/>
        </w:rPr>
        <w:t xml:space="preserve">. Baba sigara içimi ile çocuktaki DEHB arasındaki ilişki, annelerin gebelik sırasında sigara içmediği ailelerde de bulgulanmıştır. </w:t>
      </w:r>
      <w:r w:rsidRPr="00F71665">
        <w:rPr>
          <w:rFonts w:ascii="Arial" w:hAnsi="Arial" w:cs="Arial"/>
          <w:color w:val="000000" w:themeColor="text1"/>
          <w:sz w:val="22"/>
          <w:szCs w:val="22"/>
          <w:shd w:val="clear" w:color="auto" w:fill="FFFFFF"/>
        </w:rPr>
        <w:t xml:space="preserve">Ek olarak, yardımcı kontrasepsiyon yoluyla oluşan gebeliklerle yapılan çalışmalar genetik olarak ilişkili ve ilişkisiz olan anne-çocuk diadlarını karşılaştırma olanağı sağlamıştır </w:t>
      </w:r>
      <w:r w:rsidR="00BC3BBB" w:rsidRPr="00F71665">
        <w:rPr>
          <w:rFonts w:ascii="Arial" w:hAnsi="Arial" w:cs="Arial"/>
          <w:color w:val="000000" w:themeColor="text1"/>
          <w:sz w:val="22"/>
          <w:szCs w:val="22"/>
          <w:shd w:val="clear" w:color="auto" w:fill="FFFFFF"/>
        </w:rPr>
        <w:lastRenderedPageBreak/>
        <w:fldChar w:fldCharType="begin" w:fldLock="1"/>
      </w:r>
      <w:r w:rsidRPr="00F71665">
        <w:rPr>
          <w:rFonts w:ascii="Arial" w:hAnsi="Arial" w:cs="Arial"/>
          <w:color w:val="000000" w:themeColor="text1"/>
          <w:sz w:val="22"/>
          <w:szCs w:val="22"/>
          <w:shd w:val="clear" w:color="auto" w:fill="FFFFFF"/>
        </w:rPr>
        <w:instrText>ADDIN CSL_CITATION { "citationItems" : [ { "id" : "ITEM-1", "itemData" : { "DOI" : "10.1111/j.1469-7610.2012.02611.x", "ISBN" : "1469-7610", "ISSN" : "00219630", "PMID" : "22963644", "abstract" : "BACKGROUND: Attention deficit hyperactivity disorder (ADHD) and its possible causes still attract controversy. Genes, pre and perinatal risks, psychosocial factors and environmental toxins have all been considered as potential risk factors.\\n\\nMETHOD: This review (focussing on literature published since 1997, selected from a search of PubMed) critically considers putative risk factors with a focus on genetics and selected environmental risks, examines their relationships with ADHD and discusses the likelihood that these risks are causal as well as some of the main implications.\\n\\nRESULTS: No single risk factor explains ADHD. Both inherited and noninherited factors contribute and their effects are interdependent. ADHD is familial and heritable. Research into the inherited and molecular genetic contributions to ADHD suggest an important overlap with other neurodevelopmental problems, notably, autism spectrum disorders. Having a biological relative with ADHD, large, rare copy number variants, some small effect size candidate gene variants, extreme early adversity, pre and postnatal exposure to lead and low birth weight/prematurity have been most consistently found as risk factors, but none are yet known to be definitely causal. There is a large literature documenting associations between ADHD and a wide variety of putative environmental risks that can, at present, only be regarded as correlates. Findings from research designs that go beyond simply testing for association are beginning to contest the robustness of some environmental exposures previously thought to be ADHD risk factors.\\n\\nCONCLUSIONS: The genetic risks implicated in ADHD generally tend to have small effect sizes or be rare and often increase risk of many other types of psychopathology. Thus, they cannot be used for prediction, genetic testing or diagnostic purposes beyond what is predicted by a family history. There is a need to consider the possibility of parents and siblings being similarly affected and how this might impact on engagement with families, influence interventions and require integration with adult services. Genetic contributions to disorder do not necessarily mean that medications are the treatment of choice. We also consider how findings might influence the conceptualisation of ADHD, public health policy implications and why it is unhelpful and incorrect to dichotomise genetic/biological and environmental explanations. It is essential that practitioners can interpret genet\u2026", "author" : [ { "dropping-particle" : "", "family" : "Thapar", "given" : "Anita", "non-dropping-particle" : "", "parse-names" : false, "suffix" : "" }, { "dropping-particle" : "", "family" : "Cooper", "given" : "Miriam", "non-dropping-particle" : "", "parse-names" : false, "suffix" : "" }, { "dropping-particle" : "", "family" : "Eyre", "given" : "Olga", "non-dropping-particle" : "", "parse-names" : false, "suffix" : "" }, { "dropping-particle" : "", "family" : "Langley", "given" : "Kate", "non-dropping-particle" : "", "parse-names" : false, "suffix" : "" } ], "container-title" : "Journal of Child Psychology and Psychiatry and Allied Disciplines", "id" : "ITEM-1", "issue" : "1", "issued" : { "date-parts" : [ [ "2013" ] ] }, "page" : "3-16", "title" : "Practitioner review: What have we learnt about the causes of ADHD?", "type" : "article-journal", "volume" : "54" }, "uris" : [ "http://www.mendeley.com/documents/?uuid=6229169f-fc76-4a8e-81e3-e672fd626975" ] } ], "mendeley" : { "formattedCitation" : "(6)", "plainTextFormattedCitation" : "(6)", "previouslyFormattedCitation" : "(6)" }, "properties" : { "noteIndex" : 5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(6)</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000000" w:themeColor="text1"/>
          <w:sz w:val="22"/>
          <w:szCs w:val="22"/>
          <w:shd w:val="clear" w:color="auto" w:fill="FFFFFF"/>
        </w:rPr>
        <w:t xml:space="preserve">. </w:t>
      </w:r>
      <w:r w:rsidRPr="00F71665">
        <w:rPr>
          <w:rFonts w:ascii="Arial" w:hAnsi="Arial" w:cs="Arial"/>
          <w:color w:val="000000" w:themeColor="text1"/>
          <w:sz w:val="22"/>
          <w:szCs w:val="22"/>
        </w:rPr>
        <w:t xml:space="preserve">Bu şekilde tasarlanan çalışmalarla, annenin gebelikte sigara içmesinin yalnızca anneleri ile genetik bağı olan çocuklarda görülen DEHB semptomlarıyla ilişkili olduğu gösterilmiştir.  </w:t>
      </w:r>
      <w:r w:rsidRPr="00F71665">
        <w:rPr>
          <w:rFonts w:ascii="Arial" w:hAnsi="Arial" w:cs="Arial"/>
          <w:color w:val="000000" w:themeColor="text1"/>
          <w:sz w:val="22"/>
          <w:szCs w:val="22"/>
          <w:shd w:val="clear" w:color="auto" w:fill="FFFFFF"/>
        </w:rPr>
        <w:t xml:space="preserve">Buna rağmen, hamilelik sırasında sigara içen veya bunu bildiren görece az sayıdaki anne nedeniyle bugüne kadar örneklem boyutları küçük kalmış ve gebelikte sigara içiminin potansiyel çevresel riskleri henüz kesin olarak dışlanamamıştır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"DOI" : "10.1016/j.biopsych.2009.05.032", "ISBN" : "1873-2402 (Electronic)\\r0006-3223 (Linking)", "PMID" : "19596120", "abstract" : "BACKGROUND: It is widely considered that exposure to maternal cigarette smoking in pregnancy has risk effects on offspring attention-deficit/hyperactivity disorder (ADHD). This view is supported by consistent observations of association. It is, however, impossible to be certain of adequate control for confounding factors with observational designs. We use a novel \"natural experiment\" design that separates prenatal environmental from alternative inherited effects. METHODS: The design is based on offspring conceived with Assisted Reproductive Technologies recruited from 20 fertility clinics in the United Kingdom and United States who were: 1) genetically unrelated, and 2) related to the woman who underwent the pregnancy. If maternal smoking in pregnancy has true risk effects, association will be observed with ADHD regardless of whether mother and offspring are related or unrelated. Data were obtained from 815 families of children ages 4 years-11 years with parent questionnaires and antenatal records. Birth weight was used as a comparison outcome. The key outcome considered was child ADHD symptoms. RESULTS: Association between smoking in pregnancy and lower birth weight was found in unrelated and related mother-offspring pairs, consistent with a true risk effect. However, for ADHD symptoms, the magnitude of association was significantly higher in the related pairs (beta = .102, p &lt; .02) than in the unrelated pairs (beta= -.052, p &gt; .10), suggesting inherited effects. CONCLUSIONS: Our findings highlight the need to test causal hypotheses with genetically sensitive designs. Inherited confounds are not necessarily removed by statistical controls. The previously observed association between maternal smoking in pregnancy and ADHD might represent an inherited effect.", "author" : [ { "dropping-particle" : "", "family" : "Thapar", "given" : "A", "non-dropping-particle" : "", "parse-names" : false, "suffix" : "" }, { "dropping-particle" : "", "family" : "Rice", "given" : "F", "non-dropping-particle" : "", "parse-names" : false, "suffix" : "" }, { "dropping-particle" : "", "family" : "Hay", "given" : "D", "non-dropping-particle" : "", "parse-names" : false, "suffix" : "" }, { "dropping-particle" : "", "family" : "Boivin", "given" : "J", "non-dropping-particle" : "", "parse-names" : false, "suffix" : "" }, { "dropping-particle" : "", "family" : "Langley", "given" : "K", "non-dropping-particle" : "", "parse-names" : false, "suffix" : "" }, { "dropping-particle" : "", "family" : "Bree", "given" : "M", "non-dropping-particle" : "van den", "parse-names" : false, "suffix" : "" }, { "dropping-particle" : "", "family" : "Rutter", "given" : "M", "non-dropping-particle" : "", "parse-names" : false, "suffix" : "" }, { "dropping-particle" : "", "family" : "Harold", "given" : "G", "non-dropping-particle" : "", "parse-names" : false, "suffix" : "" } ], "container-title" : "Biological Psychiatry", "id" : "ITEM-1", "issue" : "8", "issued" : { "date-parts" : [ [ "2009" ] ] }, "page" : "722-727", "title" : "Prenatal smoking might not cause attention-deficit/hyperactivity disorder: evidence from a novel design", "type" : "article-journal", "volume" : "66" }, "uris" : [ "http://www.mendeley.com/documents/?uuid=3a26096a-05a0-40ba-8306-85968c89c65e" ] } ], "mendeley" : { "formattedCitation" : "(61)", "plainTextFormattedCitation" : "(61)", "previouslyFormattedCitation" : "(61)" }, "properties" : { "noteIndex" : 5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(61)</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000000" w:themeColor="text1"/>
          <w:sz w:val="22"/>
          <w:szCs w:val="22"/>
          <w:shd w:val="clear" w:color="auto" w:fill="FFFFFF"/>
        </w:rPr>
        <w:t xml:space="preserve">. </w:t>
      </w:r>
    </w:p>
    <w:p w:rsidR="00C60153" w:rsidRPr="00F71665" w:rsidRDefault="00C60153" w:rsidP="00C60153">
      <w:pPr>
        <w:pStyle w:val="HTMLncedenBiimlendirilmi"/>
        <w:shd w:val="clear" w:color="auto" w:fill="FFFFFF"/>
        <w:spacing w:line="360" w:lineRule="auto"/>
        <w:rPr>
          <w:rFonts w:ascii="Arial" w:hAnsi="Arial" w:cs="Arial"/>
          <w:b/>
          <w:sz w:val="22"/>
          <w:szCs w:val="22"/>
          <w:shd w:val="clear" w:color="auto" w:fill="FFFFFF"/>
        </w:rPr>
      </w:pPr>
      <w:r w:rsidRPr="00F71665">
        <w:rPr>
          <w:rFonts w:ascii="Arial" w:hAnsi="Arial" w:cs="Arial"/>
          <w:b/>
          <w:sz w:val="22"/>
          <w:szCs w:val="22"/>
          <w:shd w:val="clear" w:color="auto" w:fill="FFFFFF"/>
        </w:rPr>
        <w:tab/>
        <w:t>Prematürite / Düşük Doğum Ağırlığı</w:t>
      </w:r>
    </w:p>
    <w:p w:rsidR="00C60153" w:rsidRPr="00F71665" w:rsidRDefault="00C60153" w:rsidP="00C60153">
      <w:pPr>
        <w:pStyle w:val="HTMLncedenBiimlendirilmi"/>
        <w:shd w:val="clear" w:color="auto" w:fill="FFFFFF"/>
        <w:spacing w:line="360" w:lineRule="auto"/>
        <w:jc w:val="both"/>
        <w:rPr>
          <w:rFonts w:ascii="Arial" w:hAnsi="Arial" w:cs="Arial"/>
          <w:color w:val="000000" w:themeColor="text1"/>
          <w:sz w:val="22"/>
          <w:szCs w:val="22"/>
        </w:rPr>
      </w:pPr>
      <w:r w:rsidRPr="00F71665">
        <w:rPr>
          <w:rFonts w:ascii="Arial" w:hAnsi="Arial" w:cs="Arial"/>
          <w:sz w:val="22"/>
          <w:szCs w:val="22"/>
        </w:rPr>
        <w:tab/>
      </w:r>
      <w:r w:rsidRPr="00F71665">
        <w:rPr>
          <w:rFonts w:ascii="Arial" w:hAnsi="Arial" w:cs="Arial"/>
          <w:sz w:val="22"/>
          <w:szCs w:val="22"/>
          <w:shd w:val="clear" w:color="auto" w:fill="FFFFFF"/>
        </w:rPr>
        <w:t>Düşük doğum ağırlığının (DDA) DEHB için artmış bir risk ile bağlantılı olduğu ve p</w:t>
      </w:r>
      <w:r w:rsidRPr="00F71665">
        <w:rPr>
          <w:rFonts w:ascii="Arial" w:hAnsi="Arial" w:cs="Arial"/>
          <w:sz w:val="22"/>
          <w:szCs w:val="22"/>
        </w:rPr>
        <w:t xml:space="preserve">reterm doğmuş (26 haftadan küçük olması dolayısıyla DDA olması muhtemel) çocuklarda DEHB görülme olasılığı yaklaşık dört kat daha fazla olarak saptanmıştır </w:t>
      </w:r>
      <w:r w:rsidRPr="00F71665">
        <w:rPr>
          <w:rFonts w:ascii="Arial" w:hAnsi="Arial" w:cs="Arial"/>
          <w:color w:val="000000" w:themeColor="text1"/>
          <w:sz w:val="22"/>
          <w:szCs w:val="22"/>
        </w:rPr>
        <w:t xml:space="preserve">Bu ilişkiyi, </w:t>
      </w:r>
      <w:r w:rsidRPr="00F71665">
        <w:rPr>
          <w:rFonts w:ascii="Arial" w:hAnsi="Arial" w:cs="Arial"/>
          <w:color w:val="000000" w:themeColor="text1"/>
          <w:sz w:val="22"/>
          <w:szCs w:val="22"/>
          <w:shd w:val="clear" w:color="auto" w:fill="FFFFFF"/>
        </w:rPr>
        <w:t>e</w:t>
      </w:r>
      <w:r w:rsidRPr="00F71665">
        <w:rPr>
          <w:rFonts w:ascii="Arial" w:hAnsi="Arial" w:cs="Arial"/>
          <w:color w:val="000000" w:themeColor="text1"/>
          <w:sz w:val="22"/>
          <w:szCs w:val="22"/>
        </w:rPr>
        <w:t xml:space="preserve">rken doğumun mu yoksa küçük vücut boyutunun mu açıkladığını açıklığa kavuşturmak için tasarlanan ve </w:t>
      </w:r>
      <w:r w:rsidRPr="00F71665">
        <w:rPr>
          <w:rFonts w:ascii="Arial" w:hAnsi="Arial" w:cs="Arial"/>
          <w:color w:val="000000" w:themeColor="text1"/>
          <w:sz w:val="22"/>
          <w:szCs w:val="22"/>
          <w:shd w:val="clear" w:color="auto" w:fill="FFFFFF"/>
        </w:rPr>
        <w:t xml:space="preserve">DDA ile erken doğumun bağımsız etkilerini kontrol eden longitudinal bir vaka kontrol çalışmasında,  pre-term doğum ile sonraki DEHB semptomları arasında ilişki saptanmamıştır.  Bununla birlikte, gebelik yaşına göre küçük doğan çocukların, normal doğum ağırlığı olan çocuklara kıyasla, üç kat fazla DEHB tanısı aldıkları belirtilmiştir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"DOI" : "10.1186/1471-2431-10-91", "ISBN" : "1471-2431 (Electronic)\\r1471-2431 (Linking)", "ISSN" : "1471-2431", "PMID" : "21159164", "abstract" : "BACKGROUND: It remains unclear whether it is more detrimental to be born too early or too small in relation to symptoms of attention deficit/hyperactivity disorder (ADHD). Thus, we tested whether preterm birth and small body size at birth adjusted for gestational age are independently associated with symptoms of ADHD in children.\\n\\nMETHODS: A longitudinal regional birth cohort study comprising 1535 live-born infants between 03/15/1985 and 03/14/1986 admitted to the neonatal wards and 658 randomly recruited non-admitted infants, in Finland. The present study sample comprised 828 children followed up to 56 months. The association between birth status and parent-rated ADHD symptoms of the child was analysed with multiple linear and logistic regression analyses.\\n\\nRESULTS: Neither prematurity (birth &lt; 37 weeks of gestation) nor lower gestational age was associated with ADHD symptoms. However, small for gestational age (SGA &lt; -2 standard deviations [SD] below the mean for weight at birth) status and lower birth weight SD score were significantly, and independently of gestational age, associated with higher ADHD symptoms. Those born SGA, relative to those born AGA, were also 3.60-times more likely to have ADHD symptoms scores above the clinical cut-off. The associations were not confounded by factors implicated as risks for pregnancy and/or ADHD.\\n\\nCONCLUSIONS: Intrauterine growth restriction, reflected in SGA status and lower birth weight, rather than prematurity or lower gestational age per se, may increase risk for symptoms of ADHD in young children.", "author" : [ { "dropping-particle" : "", "family" : "Heinonen", "given" : "Kati", "non-dropping-particle" : "", "parse-names" : false, "suffix" : "" }, { "dropping-particle" : "", "family" : "R\u00e4ikk\u00f6nen", "given" : "Katri", "non-dropping-particle" : "", "parse-names" : false, "suffix" : "" }, { "dropping-particle" : "", "family" : "Pesonen", "given" : "Anu-Katriina", "non-dropping-particle" : "", "parse-names" : false, "suffix" : "" }, { "dropping-particle" : "", "family" : "Andersson", "given" : "Sture", "non-dropping-particle" : "", "parse-names" : false, "suffix" : "" }, { "dropping-particle" : "", "family" : "Kajantie", "given" : "Eero", "non-dropping-particle" : "", "parse-names" : false, "suffix" : "" }, { "dropping-particle" : "", "family" : "Eriksson", "given" : "Johan G", "non-dropping-particle" : "", "parse-names" : false, "suffix" : "" }, { "dropping-particle" : "", "family" : "Wolke", "given" : "Dieter", "non-dropping-particle" : "", "parse-names" : false, "suffix" : "" }, { "dropping-particle" : "", "family" : "Lano", "given" : "Aulikki", "non-dropping-particle" : "", "parse-names" : false, "suffix" : "" } ], "container-title" : "BMC pediatrics", "id" : "ITEM-1", "issue" : "1", "issued" : { "date-parts" : [ [ "2010" ] ] }, "page" : "91", "title" : "Behavioural symptoms of attention deficit/hyperactivity disorder in preterm and term children born small and appropriate for gestational age: a longitudinal study.", "type" : "article-journal", "volume" : "10" }, "uris" : [ "http://www.mendeley.com/documents/?uuid=f34cd017-7c90-437d-bdc0-c0383be168d3" ] } ], "mendeley" : { "formattedCitation" : "(77)", "plainTextFormattedCitation" : "(77)", "previouslyFormattedCitation" : "(77)" }, "properties" : { "noteIndex" : 5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(77)</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000000" w:themeColor="text1"/>
          <w:sz w:val="22"/>
          <w:szCs w:val="22"/>
          <w:shd w:val="clear" w:color="auto" w:fill="FFFFFF"/>
        </w:rPr>
        <w:t xml:space="preserve">. DDA açısından diskordant monozigot ve dizigot ikizlerde DDA ve DEHB arasındaki birliktelik, bu ilişkiyi açıklayan kafa karıştırıcı olası genetik faktörlerin etkisini ortadan kaldırmıştır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"DOI" : "10.1097/01.chi.0000246059.62706.22", "ISBN" : "0890-8567 (Print)", "ISSN" : "0890-8567", "PMID" : "17314723", "abstract" : "OBJECTIVE: To determine whether low birth weight increases the risk of attention-deficit/hyperactivity disorder (ADHD) in childhood and early adolescence. METHOD: In a population-based sample of 1,480 twin pairs born in the period 1985-1986 ascertained from the Swedish Twin Registry, birth weight was collected prospectively through the Medical Birth Registry. ADHD symptoms were measured with a 14-item checklist covering DSM-III-R criteria (parental rating) at age 8 to 9 years and 13 to 14 years. We used both a dichotomous approach for birth weight (&gt;400 g or 15% weight difference) and ADHD (eight or more symptoms) and continuous measures to investigate between- and within-twin pair effects. RESULTS: Our results showed that low birth weight was a risk factor for symptoms of ADHD and the associations did not diminish when we controlled for genetic influence. The lighter twin in birth weight-discordant pairs had on average 13% higher ADHD symptom score at age 8 to 9 years (p = .006) and 12% higher ADHD score at age 13 to 14 years (p = .018) compared with the heavier twin. The genetic correlations suggest modest or no genetic overlap between birth weight and ADHD. CONCLUSIONS: The hypothesis that low birth weight is associated with the development of ADHD symptoms was supported in this prospective twin study. Fetal growth restriction seems to represent a modest but fairly consistent environmental influence on the development of ADHD symptoms.", "author" : [ { "dropping-particle" : "", "family" : "Hultman", "given" : "Christina M", "non-dropping-particle" : "", "parse-names" : false, "suffix" : "" }, { "dropping-particle" : "", "family" : "Torr\u00e5ng", "given" : "Anna", "non-dropping-particle" : "", "parse-names" : false, "suffix" : "" }, { "dropping-particle" : "", "family" : "Tuvblad", "given" : "Catherine", "non-dropping-particle" : "", "parse-names" : false, "suffix" : "" }, { "dropping-particle" : "", "family" : "Cnattingius", "given" : "Sven", "non-dropping-particle" : "", "parse-names" : false, "suffix" : "" }, { "dropping-particle" : "", "family" : "Larsson", "given" : "Jan-Olov", "non-dropping-particle" : "", "parse-names" : false, "suffix" : "" }, { "dropping-particle" : "", "family" : "Lichtenstein", "given" : "Paul", "non-dropping-particle" : "", "parse-names" : false, "suffix" : "" } ], "container-title" : "Journal of the American Academy of Child and Adolescent Psychiatry", "id" : "ITEM-1", "issue" : "3", "issued" : { "date-parts" : [ [ "2007" ] ] }, "page" : "370-377", "title" : "Birth weight and attention-deficit/hyperactivity symptoms in childhood and early adolescence: a prospective Swedish twin study.", "type" : "article-journal", "volume" : "46" }, "uris" : [ "http://www.mendeley.com/documents/?uuid=c252bd02-3e47-4e3e-a4b1-fe62a0c85e5a" ] } ], "mendeley" : { "formattedCitation" : "(78)", "plainTextFormattedCitation" : "(78)", "previouslyFormattedCitation" : "(78)" }, "properties" : { "noteIndex" : 6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(78)</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000000" w:themeColor="text1"/>
          <w:sz w:val="22"/>
          <w:szCs w:val="22"/>
          <w:shd w:val="clear" w:color="auto" w:fill="FFFFFF"/>
        </w:rPr>
        <w:t>. B</w:t>
      </w:r>
      <w:r w:rsidRPr="00F71665">
        <w:rPr>
          <w:rFonts w:ascii="Arial" w:hAnsi="Arial" w:cs="Arial"/>
          <w:color w:val="000000" w:themeColor="text1"/>
          <w:sz w:val="22"/>
          <w:szCs w:val="22"/>
        </w:rPr>
        <w:t xml:space="preserve">u ilişkinin arkasındaki mekanizma tam olarak bilinmese de, hayvan çalışmaları fetal büyümedeki kısıtlanmanın beyin gelişimine etkili olabileceğine işaret etmektedir </w:t>
      </w:r>
      <w:r w:rsidR="00BC3BBB" w:rsidRPr="00F71665">
        <w:rPr>
          <w:rFonts w:ascii="Arial" w:hAnsi="Arial" w:cs="Arial"/>
          <w:color w:val="000000" w:themeColor="text1"/>
          <w:sz w:val="22"/>
          <w:szCs w:val="22"/>
        </w:rPr>
        <w:fldChar w:fldCharType="begin" w:fldLock="1"/>
      </w:r>
      <w:r w:rsidRPr="00F71665">
        <w:rPr>
          <w:rFonts w:ascii="Arial" w:hAnsi="Arial" w:cs="Arial"/>
          <w:color w:val="000000" w:themeColor="text1"/>
          <w:sz w:val="22"/>
          <w:szCs w:val="22"/>
        </w:rPr>
        <w:instrText>ADDIN CSL_CITATION { "citationItems" : [ { "id" : "ITEM-1", "itemData" : { "DOI" : "10.1016/0306-4522(94)00504-X", "ISBN" : "0306-4522 (Print)\\r0306-4522 (Linking)", "ISSN" : "03064522", "PMID" : "7609881", "abstract" : "Repeated episodes of cerebral hypoxia-ischemia can cause primarily striatal neuronal loss in the developing brain. We investigated the effect of repeated episodes of asphyxia on specific neuronal sub-populations of the basal ganglia in late-gestation fetal sheep. Asphyxia was induced in 10 fetal sheep (118-126 days gestation) by occluding the umbilical cord for 5 min. This procedure was repeated four times at 30 min intervals and the brains were fixed 3 days later for histopathology. Immunohistochemical markers were used to identify various populations of neurons in the striatum. Antibodies to calbindin were used to stain the GABAergic medium-sized striatal projection neurons and antibodies to somatostatin and parvalbumin to identify striatal interneurons. Striatal projection neurons to the globus pallidus were recognized by enkephalin immunoreactivity, while the striatonigral terminals were identified in the substantia nigra pars reticulata by substance P immunohistochemical labelling. The results showed a marked loss of calbindin staining in the striatum, evident by both reduced cell numbers and a decrease in neuropil staining. The number of parvalbumin immunoreactive cells was also reduced in the striatum, while somatostatin interneurons were selectively preserved. In addition, immunostaining for enkephalin in the globus pallidus and for substance P in the substantia nigra was markedly reduced. These results show that the striatal GABAergic medium-sized projection neurons are severely affected by recurrent episodes of asphyxia. These findings are confirmed and extended by the results demonstrating that both the enkephalin/GABA striatopallidal and the substance P/GABA striatonigral pathways are affected. The results of this study therefore suggest that the efferent striatal projections to the globus pallidus and to the substantia nigra may be involved in asphyxial episodes resulting in cerebral palsy. \u00a9 1995 IBRO.", "author" : [ { "dropping-particle" : "", "family" : "Mallard", "given" : "E. C.", "non-dropping-particle" : "", "parse-names" : false, "suffix" : "" }, { "dropping-particle" : "", "family" : "Waldvogel", "given" : "H. J.", "non-dropping-particle" : "", "parse-names" : false, "suffix" : "" }, { "dropping-particle" : "", "family" : "Williams", "given" : "C. E.", "non-dropping-particle" : "", "parse-names" : false, "suffix" : "" }, { "dropping-particle" : "", "family" : "Faull", "given" : "R. L.M.", "non-dropping-particle" : "", "parse-names" : false, "suffix" : "" }, { "dropping-particle" : "", "family" : "Gluckman", "given" : "P. D.", "non-dropping-particle" : "", "parse-names" : false, "suffix" : "" } ], "container-title" : "Neuroscience", "id" : "ITEM-1", "issue" : "3", "issued" : { "date-parts" : [ [ "1995" ] ] }, "page" : "827-836", "title" : "Repeated asphyxia causes loss of striatal projection neurons in the fetal sheep brain", "type" : "article-journal", "volume" : "65" }, "uris" : [ "http://www.mendeley.com/documents/?uuid=e2ecd871-d83a-4fe9-89e7-0051b62d88c4" ] } ], "mendeley" : { "formattedCitation" : "(79)", "plainTextFormattedCitation" : "(79)", "previouslyFormattedCitation" : "(79)" }, "properties" : { "noteIndex" : 6 }, "schema" : "https://github.com/citation-style-language/schema/raw/master/csl-citation.json" }</w:instrText>
      </w:r>
      <w:r w:rsidR="00BC3BBB" w:rsidRPr="00F71665">
        <w:rPr>
          <w:rFonts w:ascii="Arial" w:hAnsi="Arial" w:cs="Arial"/>
          <w:color w:val="000000" w:themeColor="text1"/>
          <w:sz w:val="22"/>
          <w:szCs w:val="22"/>
        </w:rPr>
        <w:fldChar w:fldCharType="separate"/>
      </w:r>
      <w:r w:rsidRPr="00F71665">
        <w:rPr>
          <w:rFonts w:ascii="Arial" w:hAnsi="Arial" w:cs="Arial"/>
          <w:noProof/>
          <w:color w:val="000000" w:themeColor="text1"/>
          <w:sz w:val="22"/>
          <w:szCs w:val="22"/>
        </w:rPr>
        <w:t>(79)</w:t>
      </w:r>
      <w:r w:rsidR="00BC3BBB" w:rsidRPr="00F71665">
        <w:rPr>
          <w:rFonts w:ascii="Arial" w:hAnsi="Arial" w:cs="Arial"/>
          <w:color w:val="000000" w:themeColor="text1"/>
          <w:sz w:val="22"/>
          <w:szCs w:val="22"/>
        </w:rPr>
        <w:fldChar w:fldCharType="end"/>
      </w:r>
      <w:r w:rsidRPr="00F71665">
        <w:rPr>
          <w:rFonts w:ascii="Arial" w:hAnsi="Arial" w:cs="Arial"/>
          <w:color w:val="000000" w:themeColor="text1"/>
          <w:sz w:val="22"/>
          <w:szCs w:val="22"/>
        </w:rPr>
        <w:t xml:space="preserve">. </w:t>
      </w:r>
    </w:p>
    <w:p w:rsidR="00C60153" w:rsidRPr="00F71665" w:rsidRDefault="00C60153" w:rsidP="00C60153">
      <w:pPr>
        <w:pStyle w:val="HTMLncedenBiimlendirilmi"/>
        <w:shd w:val="clear" w:color="auto" w:fill="FFFFFF"/>
        <w:spacing w:line="360" w:lineRule="auto"/>
        <w:jc w:val="both"/>
        <w:rPr>
          <w:rFonts w:ascii="Arial" w:hAnsi="Arial" w:cs="Arial"/>
          <w:b/>
          <w:color w:val="000000" w:themeColor="text1"/>
          <w:sz w:val="22"/>
          <w:szCs w:val="22"/>
          <w:shd w:val="clear" w:color="auto" w:fill="FFFFFF"/>
        </w:rPr>
      </w:pPr>
      <w:r w:rsidRPr="00F71665">
        <w:rPr>
          <w:rFonts w:ascii="Arial" w:hAnsi="Arial" w:cs="Arial"/>
          <w:b/>
          <w:color w:val="000000" w:themeColor="text1"/>
          <w:sz w:val="22"/>
          <w:szCs w:val="22"/>
          <w:shd w:val="clear" w:color="auto" w:fill="FFFFFF"/>
        </w:rPr>
        <w:tab/>
        <w:t>Diyet</w:t>
      </w:r>
    </w:p>
    <w:p w:rsidR="00C60153" w:rsidRPr="00F71665" w:rsidRDefault="00C60153" w:rsidP="00C60153">
      <w:pPr>
        <w:pStyle w:val="HTMLncedenBiimlendirilmi"/>
        <w:shd w:val="clear" w:color="auto" w:fill="FFFFFF"/>
        <w:spacing w:line="360" w:lineRule="auto"/>
        <w:jc w:val="both"/>
        <w:rPr>
          <w:rFonts w:ascii="Arial" w:hAnsi="Arial" w:cs="Arial"/>
          <w:color w:val="4F81BD" w:themeColor="accent1"/>
          <w:sz w:val="22"/>
          <w:szCs w:val="22"/>
        </w:rPr>
      </w:pPr>
      <w:r w:rsidRPr="00F71665">
        <w:rPr>
          <w:rFonts w:ascii="Arial" w:hAnsi="Arial" w:cs="Arial"/>
          <w:b/>
          <w:color w:val="000000" w:themeColor="text1"/>
          <w:sz w:val="22"/>
          <w:szCs w:val="22"/>
          <w:shd w:val="clear" w:color="auto" w:fill="FFFFFF"/>
        </w:rPr>
        <w:tab/>
      </w:r>
      <w:r w:rsidRPr="00F71665">
        <w:rPr>
          <w:rFonts w:ascii="Arial" w:hAnsi="Arial" w:cs="Arial"/>
          <w:sz w:val="22"/>
          <w:szCs w:val="22"/>
          <w:shd w:val="clear" w:color="auto" w:fill="FFFFFF"/>
        </w:rPr>
        <w:t xml:space="preserve">Kesitsel araştırmalar, DEHB olan çocuklarda tipik olarak gelişmekte olan çocuklara kıyasla besinsel eksiklikler gözlemlemiştir. Bu eksiklikler arasında yağ asitleri </w:t>
      </w:r>
      <w:r w:rsidR="00BC3BBB" w:rsidRPr="00F71665">
        <w:rPr>
          <w:rFonts w:ascii="Arial" w:hAnsi="Arial" w:cs="Arial"/>
          <w:sz w:val="22"/>
          <w:szCs w:val="22"/>
          <w:shd w:val="clear" w:color="auto" w:fill="FFFFFF"/>
        </w:rPr>
        <w:fldChar w:fldCharType="begin" w:fldLock="1"/>
      </w:r>
      <w:r w:rsidRPr="00F71665">
        <w:rPr>
          <w:rFonts w:ascii="Arial" w:hAnsi="Arial" w:cs="Arial"/>
          <w:sz w:val="22"/>
          <w:szCs w:val="22"/>
          <w:shd w:val="clear" w:color="auto" w:fill="FFFFFF"/>
        </w:rPr>
        <w:instrText>ADDIN CSL_CITATION { "citationItems" : [ { "id" : "ITEM-1", "itemData" : { "ISSN" : "00029165", "abstract" : "Attention-deficit hyperactivity disorder (ADHD) is the term used to describe children who are inattentive, impulsive, and hyperactive. The cause is unknown and is thought to be multifactorial. Based on the work of others, we hypothesized that some children with ADHD have altered fatty acid metabolism. The present study found that 53 subjects with ADHD had significantly lower concentrations of key fatty acids in the plasma polar lipids (20:4n-6, 20:5n-3, and 22:6n-3) and in red blood cell total lipids (20:4n-6 and 22:4n-6) than did the 43 control subjects. Also, a subgroup of 21 subjects with ADHD exhibiting many symptoms of essential fatty acid (EFA) deficiency had significantly lower plasma concentrations of 20:4n-6 and 22:6n-3 than did 32 subjects with ADHD with few EFA-deficiency symptoms. The data are discussed with respect to cause, but the precise reason for lower fatty acid concentrations in some children with ADHD is not clear.", "author" : [ { "dropping-particle" : "", "family" : "Stevens", "given" : "L. J.", "non-dropping-particle" : "", "parse-names" : false, "suffix" : "" }, { "dropping-particle" : "", "family" : "Zentall", "given" : "S. S.", "non-dropping-particle" : "", "parse-names" : false, "suffix" : "" }, { "dropping-particle" : "", "family" : "Deck", "given" : "J. L.", "non-dropping-particle" : "", "parse-names" : false, "suffix" : "" }, { "dropping-particle" : "", "family" : "Abate", "given" : "M. L.", "non-dropping-particle" : "", "parse-names" : false, "suffix" : "" }, { "dropping-particle" : "", "family" : "Watkins", "given" : "B. A.", "non-dropping-particle" : "", "parse-names" : false, "suffix" : "" }, { "dropping-particle" : "", "family" : "Lipp", "given" : "S. R.", "non-dropping-particle" : "", "parse-names" : false, "suffix" : "" }, { "dropping-particle" : "", "family" : "Burgess", "given" : "J. R.", "non-dropping-particle" : "", "parse-names" : false, "suffix" : "" } ], "container-title" : "American Journal of Clinical Nutrition", "id" : "ITEM-1", "issue" : "4", "issued" : { "date-parts" : [ [ "1995" ] ] }, "page" : "761-768", "title" : "Essential fatty acid metabolism in boys with attention-deficit hyperactivity disorder", "type" : "article-journal", "volume" : "62" }, "uris" : [ "http://www.mendeley.com/documents/?uuid=56750974-569b-4ea7-8cb8-fe803437e7f5" ] } ], "mendeley" : { "formattedCitation" : "(80)", "plainTextFormattedCitation" : "(80)", "previouslyFormattedCitation" : "(80)" }, "properties" : { "noteIndex" : 6 }, "schema" : "https://github.com/citation-style-language/schema/raw/master/csl-citation.json" }</w:instrText>
      </w:r>
      <w:r w:rsidR="00BC3BBB" w:rsidRPr="00F71665">
        <w:rPr>
          <w:rFonts w:ascii="Arial" w:hAnsi="Arial" w:cs="Arial"/>
          <w:sz w:val="22"/>
          <w:szCs w:val="22"/>
          <w:shd w:val="clear" w:color="auto" w:fill="FFFFFF"/>
        </w:rPr>
        <w:fldChar w:fldCharType="separate"/>
      </w:r>
      <w:r w:rsidRPr="00F71665">
        <w:rPr>
          <w:rFonts w:ascii="Arial" w:hAnsi="Arial" w:cs="Arial"/>
          <w:noProof/>
          <w:sz w:val="22"/>
          <w:szCs w:val="22"/>
          <w:shd w:val="clear" w:color="auto" w:fill="FFFFFF"/>
        </w:rPr>
        <w:t>(80)</w:t>
      </w:r>
      <w:r w:rsidR="00BC3BBB" w:rsidRPr="00F71665">
        <w:rPr>
          <w:rFonts w:ascii="Arial" w:hAnsi="Arial" w:cs="Arial"/>
          <w:sz w:val="22"/>
          <w:szCs w:val="22"/>
          <w:shd w:val="clear" w:color="auto" w:fill="FFFFFF"/>
        </w:rPr>
        <w:fldChar w:fldCharType="end"/>
      </w:r>
      <w:r w:rsidRPr="00F71665">
        <w:rPr>
          <w:rFonts w:ascii="Arial" w:hAnsi="Arial" w:cs="Arial"/>
          <w:sz w:val="22"/>
          <w:szCs w:val="22"/>
          <w:shd w:val="clear" w:color="auto" w:fill="FFFFFF"/>
        </w:rPr>
        <w:t xml:space="preserve">, çinko </w:t>
      </w:r>
      <w:r w:rsidR="00BC3BBB" w:rsidRPr="00F71665">
        <w:rPr>
          <w:rFonts w:ascii="Arial" w:hAnsi="Arial" w:cs="Arial"/>
          <w:sz w:val="22"/>
          <w:szCs w:val="22"/>
          <w:shd w:val="clear" w:color="auto" w:fill="FFFFFF"/>
        </w:rPr>
        <w:fldChar w:fldCharType="begin" w:fldLock="1"/>
      </w:r>
      <w:r w:rsidRPr="00F71665">
        <w:rPr>
          <w:rFonts w:ascii="Arial" w:hAnsi="Arial" w:cs="Arial"/>
          <w:sz w:val="22"/>
          <w:szCs w:val="22"/>
          <w:shd w:val="clear" w:color="auto" w:fill="FFFFFF"/>
        </w:rPr>
        <w:instrText>ADDIN CSL_CITATION { "citationItems" : [ { "id" : "ITEM-1", "itemData" : { "DOI" : "10.1089/cap.2005.15.628.This", "ISBN" : "1044-5463", "ISSN" : "1557-8992", "PMID" : "2005458836", "abstract" : "Objective: The aim of this study was to explore the relationship of zinc nutrition to the severity of attention-deficit/hyperactivity disorder (ADHD) symptoms in a middle-class American sample with well-diagnosed ADHD. Previous reports of zinc in ADHD, including two positive clinical trials of supplementation, have come mainly from countries and cultures with different diets and/or socioeconomic realities. Method: Children 5-10 years of age with DISC- and clinician-diagnosed ADHD had serum zinc determinations and parent and teacher ratings of ADHD symptoms. Zinc levels were correlated (Pearson's and multiple regression) with ADHD symptom ratings. Results: Forty-eight children (37 boys, 11 girls; 33 combined type, 15 inattentive) had serum zinc levels with a median/mode at the lowest 30% of the laboratory reference range; 44 children also had parent/teacher ratings. Serum magnesium levels were normal. Nutritional intake by a parent-answered food frequency questionnaire was unremarkable. Serum zinc correlated at r = -0.45 (p = 0.004) with parent-teacher-rated inattention, even after controlling for gender, age, income, and diagnostic subtype, but only at r = -0.20 (p = 0.22) with CPT omission errors. In contrast, correlation with parent-teacher-rated hyperactivity-impulsivity was nonsignificant in the opposite direction. Conclusion: These findings add to accumulating evidence for a possible role of zinc in ADHD, even for middle-class Americans, and, for the first time, suggest a special relationship to inattentive symptoms. They do not establish either that zinc deficiency causes ADHD nor that ADHD should be treated with zinc. Hypothesis-testing clinical trials are needed. (PsycINFO Database Record (c) 2012 APA, all rights reserved) (journal abstract)", "author" : [ { "dropping-particle" : "", "family" : "Arnold", "given" : "L Eugene", "non-dropping-particle" : "", "parse-names" : false, "suffix" : "" }, { "dropping-particle" : "", "family" : "Bozzolo", "given" : "Hernan", "non-dropping-particle" : "", "parse-names" : false, "suffix" : "" }, { "dropping-particle" : "", "family" : "Hollway", "given" : "Jill", "non-dropping-particle" : "", "parse-names" : false, "suffix" : "" }, { "dropping-particle" : "", "family" : "Cook", "given" : "Amy", "non-dropping-particle" : "", "parse-names" : false, "suffix" : "" }, { "dropping-particle" : "", "family" : "DiSilvestro", "given" : "Robert a", "non-dropping-particle" : "", "parse-names" : false, "suffix" : "" }, { "dropping-particle" : "", "family" : "Bozzolo", "given" : "Dawn R", "non-dropping-particle" : "", "parse-names" : false, "suffix" : "" }, { "dropping-particle" : "", "family" : "Crowl", "given" : "Lindsay", "non-dropping-particle" : "", "parse-names" : false, "suffix" : "" }, { "dropping-particle" : "", "family" : "Ramadan", "given" : "Yaser", "non-dropping-particle" : "", "parse-names" : false, "suffix" : "" }, { "dropping-particle" : "", "family" : "Williams", "given" : "Craig", "non-dropping-particle" : "", "parse-names" : false, "suffix" : "" } ], "container-title" : "Journal of Child and Adolescent Psychopharmacology", "id" : "ITEM-1", "issue" : "4", "issued" : { "date-parts" : [ [ "2005" ] ] }, "page" : "628-636", "title" : "Serum Zinc Correlates with Parent- and Teacher-Rated Inattention in Children with Attention-Deficit/Hyperactivity Disorder.", "type" : "article-journal", "volume" : "15" }, "uris" : [ "http://www.mendeley.com/documents/?uuid=e49754ab-5f3a-4033-986b-b50115209b30" ] } ], "mendeley" : { "formattedCitation" : "(81)", "plainTextFormattedCitation" : "(81)", "previouslyFormattedCitation" : "(81)" }, "properties" : { "noteIndex" : 6 }, "schema" : "https://github.com/citation-style-language/schema/raw/master/csl-citation.json" }</w:instrText>
      </w:r>
      <w:r w:rsidR="00BC3BBB" w:rsidRPr="00F71665">
        <w:rPr>
          <w:rFonts w:ascii="Arial" w:hAnsi="Arial" w:cs="Arial"/>
          <w:sz w:val="22"/>
          <w:szCs w:val="22"/>
          <w:shd w:val="clear" w:color="auto" w:fill="FFFFFF"/>
        </w:rPr>
        <w:fldChar w:fldCharType="separate"/>
      </w:r>
      <w:r w:rsidRPr="00F71665">
        <w:rPr>
          <w:rFonts w:ascii="Arial" w:hAnsi="Arial" w:cs="Arial"/>
          <w:noProof/>
          <w:sz w:val="22"/>
          <w:szCs w:val="22"/>
          <w:shd w:val="clear" w:color="auto" w:fill="FFFFFF"/>
        </w:rPr>
        <w:t>(81)</w:t>
      </w:r>
      <w:r w:rsidR="00BC3BBB" w:rsidRPr="00F71665">
        <w:rPr>
          <w:rFonts w:ascii="Arial" w:hAnsi="Arial" w:cs="Arial"/>
          <w:sz w:val="22"/>
          <w:szCs w:val="22"/>
          <w:shd w:val="clear" w:color="auto" w:fill="FFFFFF"/>
        </w:rPr>
        <w:fldChar w:fldCharType="end"/>
      </w:r>
      <w:r w:rsidRPr="00F71665">
        <w:rPr>
          <w:rFonts w:ascii="Arial" w:hAnsi="Arial" w:cs="Arial"/>
          <w:sz w:val="22"/>
          <w:szCs w:val="22"/>
          <w:shd w:val="clear" w:color="auto" w:fill="FFFFFF"/>
        </w:rPr>
        <w:t xml:space="preserve"> ve demir </w:t>
      </w:r>
      <w:r w:rsidR="00BC3BBB" w:rsidRPr="00F71665">
        <w:rPr>
          <w:rFonts w:ascii="Arial" w:hAnsi="Arial" w:cs="Arial"/>
          <w:sz w:val="22"/>
          <w:szCs w:val="22"/>
          <w:shd w:val="clear" w:color="auto" w:fill="FFFFFF"/>
        </w:rPr>
        <w:fldChar w:fldCharType="begin" w:fldLock="1"/>
      </w:r>
      <w:r w:rsidRPr="00F71665">
        <w:rPr>
          <w:rFonts w:ascii="Arial" w:hAnsi="Arial" w:cs="Arial"/>
          <w:sz w:val="22"/>
          <w:szCs w:val="22"/>
          <w:shd w:val="clear" w:color="auto" w:fill="FFFFFF"/>
        </w:rPr>
        <w:instrText>ADDIN CSL_CITATION { "citationItems" : [ { "id" : "ITEM-1", "itemData" : { "DOI" : "10.3109/15622975.2011.570376", "ISSN" : "18141412", "PMID" : "21585274", "abstract" : "Brain iron deficiency has been supposed to be involved in the pathophysiology of ADHD. Available studies assessing iron in ADHD are based on serum ferritin, a peripheral marker of iron status. To what extent serum ferritin correlates with brain iron (BI) is unclear. The main aim of this study was to compare BI, estimated with magnetic resonance imaging (MRI) in the putamen, pallidum, caudate, and thalamus, between children with and without ADHD. The secondary aim was to assess the correlation between serum ferritin and BI levels.", "author" : [ { "dropping-particle" : "", "family" : "Cortese", "given" : "Samuele", "non-dropping-particle" : "", "parse-names" : false, "suffix" : "" }, { "dropping-particle" : "", "family" : "Azoulay", "given" : "Robin", "non-dropping-particle" : "", "parse-names" : false, "suffix" : "" }, { "dropping-particle" : "", "family" : "Castellanos", "given" : "F Xavier", "non-dropping-particle" : "", "parse-names" : false, "suffix" : "" }, { "dropping-particle" : "", "family" : "Chalard", "given" : "Fran\u00e7ois", "non-dropping-particle" : "", "parse-names" : false, "suffix" : "" }, { "dropping-particle" : "", "family" : "Lecendreux", "given" : "Michel", "non-dropping-particle" : "", "parse-names" : false, "suffix" : "" }, { "dropping-particle" : "", "family" : "Chechin", "given" : "David", "non-dropping-particle" : "", "parse-names" : false, "suffix" : "" }, { "dropping-particle" : "", "family" : "Delorme", "given" : "Richard", "non-dropping-particle" : "", "parse-names" : false, "suffix" : "" }, { "dropping-particle" : "", "family" : "Sebag", "given" : "Guy", "non-dropping-particle" : "", "parse-names" : false, "suffix" : "" }, { "dropping-particle" : "", "family" : "Sbarbati", "given" : "Andrea", "non-dropping-particle" : "", "parse-names" : false, "suffix" : "" }, { "dropping-particle" : "", "family" : "Mouren", "given" : "Marie-Christine", "non-dropping-particle" : "", "parse-names" : false, "suffix" : "" }, { "dropping-particle" : "", "family" : "Bernardina", "given" : "Bernardo Dalla", "non-dropping-particle" : "", "parse-names" : false, "suffix" : "" }, { "dropping-particle" : "", "family" : "Konofal", "given" : "Eric", "non-dropping-particle" : "", "parse-names" : false, "suffix" : "" } ], "container-title" : "New York", "id" : "ITEM-1", "issue" : "3", "issued" : { "date-parts" : [ [ "2012" ] ] }, "page" : "223-31", "title" : "Brain iron levels in attention-deficit/hyperactivity disorder: a pilot MRI study.", "type" : "article-journal", "volume" : "13" }, "uris" : [ "http://www.mendeley.com/documents/?uuid=d20f4f1a-6270-410e-9f48-9991a6c77ca4" ] } ], "mendeley" : { "formattedCitation" : "(82)", "plainTextFormattedCitation" : "(82)", "previouslyFormattedCitation" : "(82)" }, "properties" : { "noteIndex" : 6 }, "schema" : "https://github.com/citation-style-language/schema/raw/master/csl-citation.json" }</w:instrText>
      </w:r>
      <w:r w:rsidR="00BC3BBB" w:rsidRPr="00F71665">
        <w:rPr>
          <w:rFonts w:ascii="Arial" w:hAnsi="Arial" w:cs="Arial"/>
          <w:sz w:val="22"/>
          <w:szCs w:val="22"/>
          <w:shd w:val="clear" w:color="auto" w:fill="FFFFFF"/>
        </w:rPr>
        <w:fldChar w:fldCharType="separate"/>
      </w:r>
      <w:r w:rsidRPr="00F71665">
        <w:rPr>
          <w:rFonts w:ascii="Arial" w:hAnsi="Arial" w:cs="Arial"/>
          <w:noProof/>
          <w:sz w:val="22"/>
          <w:szCs w:val="22"/>
          <w:shd w:val="clear" w:color="auto" w:fill="FFFFFF"/>
        </w:rPr>
        <w:t>(82)</w:t>
      </w:r>
      <w:r w:rsidR="00BC3BBB" w:rsidRPr="00F71665">
        <w:rPr>
          <w:rFonts w:ascii="Arial" w:hAnsi="Arial" w:cs="Arial"/>
          <w:sz w:val="22"/>
          <w:szCs w:val="22"/>
          <w:shd w:val="clear" w:color="auto" w:fill="FFFFFF"/>
        </w:rPr>
        <w:fldChar w:fldCharType="end"/>
      </w:r>
      <w:r w:rsidRPr="00F71665">
        <w:rPr>
          <w:rFonts w:ascii="Arial" w:hAnsi="Arial" w:cs="Arial"/>
          <w:color w:val="4F81BD" w:themeColor="accent1"/>
          <w:sz w:val="22"/>
          <w:szCs w:val="22"/>
          <w:shd w:val="clear" w:color="auto" w:fill="FFFFFF"/>
        </w:rPr>
        <w:t xml:space="preserve"> </w:t>
      </w:r>
      <w:r w:rsidRPr="00F71665">
        <w:rPr>
          <w:rFonts w:ascii="Arial" w:hAnsi="Arial" w:cs="Arial"/>
          <w:color w:val="000000" w:themeColor="text1"/>
          <w:sz w:val="22"/>
          <w:szCs w:val="22"/>
          <w:shd w:val="clear" w:color="auto" w:fill="FFFFFF"/>
        </w:rPr>
        <w:t xml:space="preserve">sayılabilir. </w:t>
      </w:r>
      <w:r w:rsidRPr="00F71665">
        <w:rPr>
          <w:rFonts w:ascii="Arial" w:hAnsi="Arial" w:cs="Arial"/>
          <w:color w:val="000000" w:themeColor="text1"/>
          <w:sz w:val="22"/>
          <w:szCs w:val="22"/>
        </w:rPr>
        <w:t xml:space="preserve">Buna ek olarak, bazı çalışmalar beslenme eksikliği ile DEHB semptomlarının şiddeti arasında pozitif korelasyon bildirmiştir </w:t>
      </w:r>
      <w:r w:rsidR="00BC3BBB" w:rsidRPr="00F71665">
        <w:rPr>
          <w:rFonts w:ascii="Arial" w:hAnsi="Arial" w:cs="Arial"/>
          <w:color w:val="000000" w:themeColor="text1"/>
          <w:sz w:val="22"/>
          <w:szCs w:val="22"/>
        </w:rPr>
        <w:fldChar w:fldCharType="begin" w:fldLock="1"/>
      </w:r>
      <w:r w:rsidR="0037573A">
        <w:rPr>
          <w:rFonts w:ascii="Arial" w:hAnsi="Arial" w:cs="Arial"/>
          <w:color w:val="000000" w:themeColor="text1"/>
          <w:sz w:val="22"/>
          <w:szCs w:val="22"/>
        </w:rPr>
        <w:instrText>ADDIN CSL_CITATION { "citationItems" : [ { "id" : "ITEM-1", "itemData" : { "DOI" : "10.1089/cap.2005.15.628.This", "ISBN" : "1044-5463", "ISSN" : "1557-8992", "PMID" : "2005458836", "abstract" : "Objective: The aim of this study was to explore the relationship of zinc nutrition to the severity of attention-deficit/hyperactivity disorder (ADHD) symptoms in a middle-class American sample with well-diagnosed ADHD. Previous reports of zinc in ADHD, including two positive clinical trials of supplementation, have come mainly from countries and cultures with different diets and/or socioeconomic realities. Method: Children 5-10 years of age with DISC- and clinician-diagnosed ADHD had serum zinc determinations and parent and teacher ratings of ADHD symptoms. Zinc levels were correlated (Pearson's and multiple regression) with ADHD symptom ratings. Results: Forty-eight children (37 boys, 11 girls; 33 combined type, 15 inattentive) had serum zinc levels with a median/mode at the lowest 30% of the laboratory reference range; 44 children also had parent/teacher ratings. Serum magnesium levels were normal. Nutritional intake by a parent-answered food frequency questionnaire was unremarkable. Serum zinc correlated at r = -0.45 (p = 0.004) with parent-teacher-rated inattention, even after controlling for gender, age, income, and diagnostic subtype, but only at r = -0.20 (p = 0.22) with CPT omission errors. In contrast, correlation with parent-teacher-rated hyperactivity-impulsivity was nonsignificant in the opposite direction. Conclusion: These findings add to accumulating evidence for a possible role of zinc in ADHD, even for middle-class Americans, and, for the first time, suggest a special relationship to inattentive symptoms. They do not establish either that zinc deficiency causes ADHD nor that ADHD should be treated with zinc. Hypothesis-testing clinical trials are needed. (PsycINFO Database Record (c) 2012 APA, all rights reserved) (journal abstract)", "author" : [ { "dropping-particle" : "", "family" : "Arnold", "given" : "L Eugene", "non-dropping-particle" : "", "parse-names" : false, "suffix" : "" }, { "dropping-particle" : "", "family" : "Bozzolo", "given" : "Hernan", "non-dropping-particle" : "", "parse-names" : false, "suffix" : "" }, { "dropping-particle" : "", "family" : "Hollway", "given" : "Jill", "non-dropping-particle" : "", "parse-names" : false, "suffix" : "" }, { "dropping-particle" : "", "family" : "Cook", "given" : "Amy", "non-dropping-particle" : "", "parse-names" : false, "suffix" : "" }, { "dropping-particle" : "", "family" : "DiSilvestro", "given" : "Robert a", "non-dropping-particle" : "", "parse-names" : false, "suffix" : "" }, { "dropping-particle" : "", "family" : "Bozzolo", "given" : "Dawn R", "non-dropping-particle" : "", "parse-names" : false, "suffix" : "" }, { "dropping-particle" : "", "family" : "Crowl", "given" : "Lindsay", "non-dropping-particle" : "", "parse-names" : false, "suffix" : "" }, { "dropping-particle" : "", "family" : "Ramadan", "given" : "Yaser", "non-dropping-particle" : "", "parse-names" : false, "suffix" : "" }, { "dropping-particle" : "", "family" : "Williams", "given" : "Craig", "non-dropping-particle" : "", "parse-names" : false, "suffix" : "" } ], "container-title" : "Journal of Child and Adolescent Psychopharmacology", "id" : "ITEM-1", "issue" : "4", "issued" : { "date-parts" : [ [ "2005" ] ] }, "page" : "628-636", "title" : "Serum Zinc Correlates with Parent- and Teacher-Rated Inattention in Children with Attention-Deficit/Hyperactivity Disorder.", "type" : "article-journal", "volume" : "15" }, "uris" : [ "http://www.mendeley.com/documents/?uuid=e49754ab-5f3a-4033-986b-b50115209b30" ] }, { "id" : "ITEM-2", "itemData" : { "DOI" : "http://dx.doi.org/10.1001/archpedi.158.12.1113", "ISSN" : "1072-4710", "abstract" : "Background: Iron deficiency causes abnormal dopaminergic neurotransmission and may contribute to the physiopathology of attention-deficit/hyperactivity disorder (ADHD). Objective: To evaluate iron deficiency in children with ADHD vs iron deficiency in an age- and sex-matched control group. Design: Controlled group comparison study. Setting: Child and Adolescent Psychopathology Department in European Pediatric Hospital, Paris, France Patients: Fifty-three children with ADHD aged 4 to 14 years (mean +/- SD, 9.2 +/- 2.2 years) and 27 controls (mean +/- SD, 9.5 +/- 2.8 years). Main Outcome Measures: Serum ferritin levels evaluating iron stores and Conners' Parent Rating Scale scores measuring severity of ADHD symptoms have been obtained. Results: The mean serum ferritin levels were lower in the children with ADHD (mean +/- SD, 23 +/- 13 ng/mL) than in the controls (mean +/- SD, 44 +/- 22 ng/mL; P &lt; .001). Serum ferritin levels were abnormal (&lt; 30 ng/mL) in 84% of children with ADHD and 18% of controls (P &lt; .001). In addition, low serum ferritin levels were correlated with more severe general ADHD symptoms measured with Conners' Parent Rating Scale (Pearson correlation coefficient, r = -0.34; P &lt; .02) and greater cognitive deficits (r = -0.38; P &lt; .01). Conclusions: These results suggest that low iron stores contribute to ADHD and that ADHD children may benefit from iron supplementation.", "author" : [ { "dropping-particle" : "", "family" : "E.", "given" : "Konofal", "non-dropping-particle" : "", "parse-names" : false, "suffix" : "" }, { "dropping-particle" : "", "family" : "M.", "given" : "Lecendreux", "non-dropping-particle" : "", "parse-names" : false, "suffix" : "" }, { "dropping-particle" : "", "family" : "I.", "given" : "Arnulf", "non-dropping-particle" : "", "parse-names" : false, "suffix" : "" } ], "container-title" : "Archives of Pediatrics and Adolescent Medicine", "id" : "ITEM-2", "issue" : "12", "issued" : { "date-parts" : [ [ "2004" ] ] }, "page" : "1113-1115", "title" : "Iron deficiency in children with attention-deficit/hyperactivity disorder", "type" : "article-journal", "volume" : "158" }, "uris" : [ "http://www.mendeley.com/documents/?uuid=31f5f609-120f-4795-b1f5-93c28b5d6f5e" ] } ], "mendeley" : { "formattedCitation" : "(81, 83)", "plainTextFormattedCitation" : "(81, 83)", "previouslyFormattedCitation" : "(81, 83)" }, "properties" : { "noteIndex" : 6 }, "schema" : "https://github.com/citation-style-language/schema/raw/master/csl-citation.json" }</w:instrText>
      </w:r>
      <w:r w:rsidR="00BC3BBB" w:rsidRPr="00F71665">
        <w:rPr>
          <w:rFonts w:ascii="Arial" w:hAnsi="Arial" w:cs="Arial"/>
          <w:color w:val="000000" w:themeColor="text1"/>
          <w:sz w:val="22"/>
          <w:szCs w:val="22"/>
        </w:rPr>
        <w:fldChar w:fldCharType="separate"/>
      </w:r>
      <w:r w:rsidR="00BF1F00" w:rsidRPr="00BF1F00">
        <w:rPr>
          <w:rFonts w:ascii="Arial" w:hAnsi="Arial" w:cs="Arial"/>
          <w:noProof/>
          <w:color w:val="000000" w:themeColor="text1"/>
          <w:sz w:val="22"/>
          <w:szCs w:val="22"/>
        </w:rPr>
        <w:t>(81, 83)</w:t>
      </w:r>
      <w:r w:rsidR="00BC3BBB" w:rsidRPr="00F71665">
        <w:rPr>
          <w:rFonts w:ascii="Arial" w:hAnsi="Arial" w:cs="Arial"/>
          <w:color w:val="000000" w:themeColor="text1"/>
          <w:sz w:val="22"/>
          <w:szCs w:val="22"/>
        </w:rPr>
        <w:fldChar w:fldCharType="end"/>
      </w:r>
      <w:r w:rsidRPr="00F71665">
        <w:rPr>
          <w:rFonts w:ascii="Arial" w:hAnsi="Arial" w:cs="Arial"/>
          <w:color w:val="000000" w:themeColor="text1"/>
          <w:sz w:val="22"/>
          <w:szCs w:val="22"/>
        </w:rPr>
        <w:t>.</w:t>
      </w:r>
      <w:r w:rsidRPr="00F71665">
        <w:rPr>
          <w:rFonts w:ascii="Arial" w:hAnsi="Arial" w:cs="Arial"/>
          <w:color w:val="000000" w:themeColor="text1"/>
          <w:sz w:val="22"/>
          <w:szCs w:val="22"/>
          <w:bdr w:val="none" w:sz="0" w:space="0" w:color="auto" w:frame="1"/>
          <w:shd w:val="clear" w:color="auto" w:fill="FFFFFF"/>
        </w:rPr>
        <w:t xml:space="preserve"> </w:t>
      </w:r>
      <w:r w:rsidRPr="00F71665">
        <w:rPr>
          <w:rFonts w:ascii="Arial" w:hAnsi="Arial" w:cs="Arial"/>
          <w:sz w:val="22"/>
          <w:szCs w:val="22"/>
          <w:shd w:val="clear" w:color="auto" w:fill="FFFFFF"/>
        </w:rPr>
        <w:t>Fakat</w:t>
      </w:r>
      <w:r w:rsidRPr="00F71665">
        <w:rPr>
          <w:rFonts w:ascii="Arial" w:hAnsi="Arial" w:cs="Arial"/>
          <w:color w:val="4F81BD" w:themeColor="accent1"/>
          <w:sz w:val="22"/>
          <w:szCs w:val="22"/>
          <w:shd w:val="clear" w:color="auto" w:fill="FFFFFF"/>
        </w:rPr>
        <w:t xml:space="preserve"> </w:t>
      </w:r>
      <w:r w:rsidRPr="00F71665">
        <w:rPr>
          <w:rFonts w:ascii="Arial" w:hAnsi="Arial" w:cs="Arial"/>
          <w:color w:val="212121"/>
          <w:sz w:val="22"/>
          <w:szCs w:val="22"/>
        </w:rPr>
        <w:t xml:space="preserve">bu eksikliklerin DEHB'de nedensel bir faktör olduğuna dair yeterli kanıt bulunmadığı ifade edilmektedir </w:t>
      </w:r>
      <w:r w:rsidR="00BC3BBB" w:rsidRPr="00F71665">
        <w:rPr>
          <w:rFonts w:ascii="Arial" w:hAnsi="Arial" w:cs="Arial"/>
          <w:color w:val="212121"/>
          <w:sz w:val="22"/>
          <w:szCs w:val="22"/>
        </w:rPr>
        <w:fldChar w:fldCharType="begin" w:fldLock="1"/>
      </w:r>
      <w:r w:rsidRPr="00F71665">
        <w:rPr>
          <w:rFonts w:ascii="Arial" w:hAnsi="Arial" w:cs="Arial"/>
          <w:color w:val="212121"/>
          <w:sz w:val="22"/>
          <w:szCs w:val="22"/>
        </w:rPr>
        <w:instrText>ADDIN CSL_CITATION { "citationItems" : [ { "id" : "ITEM-1", "itemData" : { "DOI" : "10.1111/j.1469-7610.2012.02611.x", "ISBN" : "1469-7610", "ISSN" : "00219630", "PMID" : "22963644", "abstract" : "BACKGROUND: Attention deficit hyperactivity disorder (ADHD) and its possible causes still attract controversy. Genes, pre and perinatal risks, psychosocial factors and environmental toxins have all been considered as potential risk factors.\\n\\nMETHOD: This review (focussing on literature published since 1997, selected from a search of PubMed) critically considers putative risk factors with a focus on genetics and selected environmental risks, examines their relationships with ADHD and discusses the likelihood that these risks are causal as well as some of the main implications.\\n\\nRESULTS: No single risk factor explains ADHD. Both inherited and noninherited factors contribute and their effects are interdependent. ADHD is familial and heritable. Research into the inherited and molecular genetic contributions to ADHD suggest an important overlap with other neurodevelopmental problems, notably, autism spectrum disorders. Having a biological relative with ADHD, large, rare copy number variants, some small effect size candidate gene variants, extreme early adversity, pre and postnatal exposure to lead and low birth weight/prematurity have been most consistently found as risk factors, but none are yet known to be definitely causal. There is a large literature documenting associations between ADHD and a wide variety of putative environmental risks that can, at present, only be regarded as correlates. Findings from research designs that go beyond simply testing for association are beginning to contest the robustness of some environmental exposures previously thought to be ADHD risk factors.\\n\\nCONCLUSIONS: The genetic risks implicated in ADHD generally tend to have small effect sizes or be rare and often increase risk of many other types of psychopathology. Thus, they cannot be used for prediction, genetic testing or diagnostic purposes beyond what is predicted by a family history. There is a need to consider the possibility of parents and siblings being similarly affected and how this might impact on engagement with families, influence interventions and require integration with adult services. Genetic contributions to disorder do not necessarily mean that medications are the treatment of choice. We also consider how findings might influence the conceptualisation of ADHD, public health policy implications and why it is unhelpful and incorrect to dichotomise genetic/biological and environmental explanations. It is essential that practitioners can interpret genet\u2026", "author" : [ { "dropping-particle" : "", "family" : "Thapar", "given" : "Anita", "non-dropping-particle" : "", "parse-names" : false, "suffix" : "" }, { "dropping-particle" : "", "family" : "Cooper", "given" : "Miriam", "non-dropping-particle" : "", "parse-names" : false, "suffix" : "" }, { "dropping-particle" : "", "family" : "Eyre", "given" : "Olga", "non-dropping-particle" : "", "parse-names" : false, "suffix" : "" }, { "dropping-particle" : "", "family" : "Langley", "given" : "Kate", "non-dropping-particle" : "", "parse-names" : false, "suffix" : "" } ], "container-title" : "Journal of Child Psychology and Psychiatry and Allied Disciplines", "id" : "ITEM-1", "issue" : "1", "issued" : { "date-parts" : [ [ "2013" ] ] }, "page" : "3-16", "title" : "Practitioner review: What have we learnt about the causes of ADHD?", "type" : "article-journal", "volume" : "54" }, "uris" : [ "http://www.mendeley.com/documents/?uuid=6229169f-fc76-4a8e-81e3-e672fd626975" ] } ], "mendeley" : { "formattedCitation" : "(6)", "plainTextFormattedCitation" : "(6)", "previouslyFormattedCitation" : "(6)" }, "properties" : { "noteIndex" : 6 }, "schema" : "https://github.com/citation-style-language/schema/raw/master/csl-citation.json" }</w:instrText>
      </w:r>
      <w:r w:rsidR="00BC3BBB" w:rsidRPr="00F71665">
        <w:rPr>
          <w:rFonts w:ascii="Arial" w:hAnsi="Arial" w:cs="Arial"/>
          <w:color w:val="212121"/>
          <w:sz w:val="22"/>
          <w:szCs w:val="22"/>
        </w:rPr>
        <w:fldChar w:fldCharType="separate"/>
      </w:r>
      <w:r w:rsidRPr="00F71665">
        <w:rPr>
          <w:rFonts w:ascii="Arial" w:hAnsi="Arial" w:cs="Arial"/>
          <w:noProof/>
          <w:color w:val="212121"/>
          <w:sz w:val="22"/>
          <w:szCs w:val="22"/>
        </w:rPr>
        <w:t>(6)</w:t>
      </w:r>
      <w:r w:rsidR="00BC3BBB" w:rsidRPr="00F71665">
        <w:rPr>
          <w:rFonts w:ascii="Arial" w:hAnsi="Arial" w:cs="Arial"/>
          <w:color w:val="212121"/>
          <w:sz w:val="22"/>
          <w:szCs w:val="22"/>
        </w:rPr>
        <w:fldChar w:fldCharType="end"/>
      </w:r>
      <w:r w:rsidRPr="00F71665">
        <w:rPr>
          <w:rFonts w:ascii="Arial" w:hAnsi="Arial" w:cs="Arial"/>
          <w:color w:val="212121"/>
          <w:sz w:val="22"/>
          <w:szCs w:val="22"/>
        </w:rPr>
        <w:t xml:space="preserve">. </w:t>
      </w:r>
      <w:r w:rsidRPr="00F71665">
        <w:rPr>
          <w:rFonts w:ascii="Arial" w:hAnsi="Arial" w:cs="Arial"/>
          <w:color w:val="212121"/>
          <w:sz w:val="22"/>
          <w:szCs w:val="22"/>
          <w:shd w:val="clear" w:color="auto" w:fill="FFFFFF"/>
        </w:rPr>
        <w:t xml:space="preserve">Beslenme yetersizliklerinin, olasılıkla çalışmalar arasındaki metodolojik farklılıklar nedeniyle tutarlı bir gözleme dayanmadığı belirtilmiştir </w:t>
      </w:r>
      <w:r w:rsidR="00BC3BBB" w:rsidRPr="00F71665">
        <w:rPr>
          <w:rFonts w:ascii="Arial" w:hAnsi="Arial" w:cs="Arial"/>
          <w:color w:val="212121"/>
          <w:sz w:val="22"/>
          <w:szCs w:val="22"/>
          <w:shd w:val="clear" w:color="auto" w:fill="FFFFFF"/>
        </w:rPr>
        <w:fldChar w:fldCharType="begin" w:fldLock="1"/>
      </w:r>
      <w:r w:rsidRPr="00F71665">
        <w:rPr>
          <w:rFonts w:ascii="Arial" w:hAnsi="Arial" w:cs="Arial"/>
          <w:color w:val="212121"/>
          <w:sz w:val="22"/>
          <w:szCs w:val="22"/>
          <w:shd w:val="clear" w:color="auto" w:fill="FFFFFF"/>
        </w:rPr>
        <w:instrText>ADDIN CSL_CITATION { "citationItems" : [ { "id" : "ITEM-1", "itemData" : { "DOI" : "10.3109/15622975.2011.570376", "ISSN" : "18141412", "PMID" : "21585274", "abstract" : "Brain iron deficiency has been supposed to be involved in the pathophysiology of ADHD. Available studies assessing iron in ADHD are based on serum ferritin, a peripheral marker of iron status. To what extent serum ferritin correlates with brain iron (BI) is unclear. The main aim of this study was to compare BI, estimated with magnetic resonance imaging (MRI) in the putamen, pallidum, caudate, and thalamus, between children with and without ADHD. The secondary aim was to assess the correlation between serum ferritin and BI levels.", "author" : [ { "dropping-particle" : "", "family" : "Cortese", "given" : "Samuele", "non-dropping-particle" : "", "parse-names" : false, "suffix" : "" }, { "dropping-particle" : "", "family" : "Azoulay", "given" : "Robin", "non-dropping-particle" : "", "parse-names" : false, "suffix" : "" }, { "dropping-particle" : "", "family" : "Castellanos", "given" : "F Xavier", "non-dropping-particle" : "", "parse-names" : false, "suffix" : "" }, { "dropping-particle" : "", "family" : "Chalard", "given" : "Fran\u00e7ois", "non-dropping-particle" : "", "parse-names" : false, "suffix" : "" }, { "dropping-particle" : "", "family" : "Lecendreux", "given" : "Michel", "non-dropping-particle" : "", "parse-names" : false, "suffix" : "" }, { "dropping-particle" : "", "family" : "Chechin", "given" : "David", "non-dropping-particle" : "", "parse-names" : false, "suffix" : "" }, { "dropping-particle" : "", "family" : "Delorme", "given" : "Richard", "non-dropping-particle" : "", "parse-names" : false, "suffix" : "" }, { "dropping-particle" : "", "family" : "Sebag", "given" : "Guy", "non-dropping-particle" : "", "parse-names" : false, "suffix" : "" }, { "dropping-particle" : "", "family" : "Sbarbati", "given" : "Andrea", "non-dropping-particle" : "", "parse-names" : false, "suffix" : "" }, { "dropping-particle" : "", "family" : "Mouren", "given" : "Marie-Christine", "non-dropping-particle" : "", "parse-names" : false, "suffix" : "" }, { "dropping-particle" : "", "family" : "Bernardina", "given" : "Bernardo Dalla", "non-dropping-particle" : "", "parse-names" : false, "suffix" : "" }, { "dropping-particle" : "", "family" : "Konofal", "given" : "Eric", "non-dropping-particle" : "", "parse-names" : false, "suffix" : "" } ], "container-title" : "New York", "id" : "ITEM-1", "issue" : "3", "issued" : { "date-parts" : [ [ "2012" ] ] }, "page" : "223-31", "title" : "Brain iron levels in attention-deficit/hyperactivity disorder: a pilot MRI study.", "type" : "article-journal", "volume" : "13" }, "uris" : [ "http://www.mendeley.com/documents/?uuid=d20f4f1a-6270-410e-9f48-9991a6c77ca4" ] } ], "mendeley" : { "formattedCitation" : "(82)", "plainTextFormattedCitation" : "(82)", "previouslyFormattedCitation" : "(82)" }, "properties" : { "noteIndex" : 6 }, "schema" : "https://github.com/citation-style-language/schema/raw/master/csl-citation.json" }</w:instrText>
      </w:r>
      <w:r w:rsidR="00BC3BBB" w:rsidRPr="00F71665">
        <w:rPr>
          <w:rFonts w:ascii="Arial" w:hAnsi="Arial" w:cs="Arial"/>
          <w:color w:val="212121"/>
          <w:sz w:val="22"/>
          <w:szCs w:val="22"/>
          <w:shd w:val="clear" w:color="auto" w:fill="FFFFFF"/>
        </w:rPr>
        <w:fldChar w:fldCharType="separate"/>
      </w:r>
      <w:r w:rsidRPr="00F71665">
        <w:rPr>
          <w:rFonts w:ascii="Arial" w:hAnsi="Arial" w:cs="Arial"/>
          <w:noProof/>
          <w:color w:val="212121"/>
          <w:sz w:val="22"/>
          <w:szCs w:val="22"/>
          <w:shd w:val="clear" w:color="auto" w:fill="FFFFFF"/>
        </w:rPr>
        <w:t>(82)</w:t>
      </w:r>
      <w:r w:rsidR="00BC3BBB" w:rsidRPr="00F71665">
        <w:rPr>
          <w:rFonts w:ascii="Arial" w:hAnsi="Arial" w:cs="Arial"/>
          <w:color w:val="212121"/>
          <w:sz w:val="22"/>
          <w:szCs w:val="22"/>
          <w:shd w:val="clear" w:color="auto" w:fill="FFFFFF"/>
        </w:rPr>
        <w:fldChar w:fldCharType="end"/>
      </w:r>
      <w:r w:rsidRPr="00F71665">
        <w:rPr>
          <w:rFonts w:ascii="Arial" w:hAnsi="Arial" w:cs="Arial"/>
          <w:color w:val="212121"/>
          <w:sz w:val="22"/>
          <w:szCs w:val="22"/>
          <w:shd w:val="clear" w:color="auto" w:fill="FFFFFF"/>
        </w:rPr>
        <w:t xml:space="preserve">. </w:t>
      </w:r>
      <w:r w:rsidRPr="00F71665">
        <w:rPr>
          <w:rFonts w:ascii="Arial" w:hAnsi="Arial" w:cs="Arial"/>
          <w:sz w:val="22"/>
          <w:szCs w:val="22"/>
          <w:shd w:val="clear" w:color="auto" w:fill="FFFFFF"/>
        </w:rPr>
        <w:t>D</w:t>
      </w:r>
      <w:r w:rsidRPr="00F71665">
        <w:rPr>
          <w:rFonts w:ascii="Arial" w:hAnsi="Arial" w:cs="Arial"/>
          <w:sz w:val="22"/>
          <w:szCs w:val="22"/>
        </w:rPr>
        <w:t xml:space="preserve">iyetin beslenme yetersizliklerinin başlıca nedeni mi olduğu, yoksa DEHB olan bazı çocuklarda besinlerin farklı mı metabolize edildiği anlaşılamamıştır </w:t>
      </w:r>
      <w:r w:rsidR="00BC3BBB" w:rsidRPr="00F71665">
        <w:rPr>
          <w:rFonts w:ascii="Arial" w:hAnsi="Arial" w:cs="Arial"/>
          <w:sz w:val="22"/>
          <w:szCs w:val="22"/>
        </w:rPr>
        <w:fldChar w:fldCharType="begin" w:fldLock="1"/>
      </w:r>
      <w:r w:rsidRPr="00F71665">
        <w:rPr>
          <w:rFonts w:ascii="Arial" w:hAnsi="Arial" w:cs="Arial"/>
          <w:sz w:val="22"/>
          <w:szCs w:val="22"/>
        </w:rPr>
        <w:instrText>ADDIN CSL_CITATION { "citationItems" : [ { "id" : "ITEM-1", "itemData" : { "ISBN" : "0002-9165", "ISSN" : "0002-9165", "PMID" : "10617991", "abstract" : "ABSTRACT Attention-deficit hyperactivity disorder (ADHD) is the diagnosis used to describe children who are inattentive, impulsive, and hyperactive. ADHD is a widespread condition that is of public health concern. In most children with ADHD the cause is unknown, but is thought to be biological and multifactorial. Sev- eral previous studies indicated that some physical symptoms reported in ADHD are similar to symptoms observed in essential fatty acid (EFA) deficiency in animals and humans deprived of EFAs. We reported previously that a subgroup of ADHD subjects reporting many symptoms indicative of EFA deficiency (L-ADHD) had significantly lower proportions of plasma arachidonic acid and docosahexaenoic acid than did ADHD subjects with few such symptoms or control subjects. In another study using contrast analysis of the plasma polar lipid data, subjects with lower com- positions of total n3 fatty acids had significantly more behav- ioral problems, temper tantrums, and learning, health, and sleep problems than did those with high proportions of n3 fatty acids. The reasons for the lower proportions of long-chain polyunsaturated fatty acids (LCPUFAs) in these children are not clear; however, factors involving fatty acid intake, conversion of EFAs to LCPUFA products, and enhanced metabolism are dis- cussed. The relation between LCPUFA status and the behavior problems that the children exhibited is also unclear. We are cur- rently testing this relation in a double-blind, placebo-controlled intervention in a population of children with clinically diagnosed ADHD who exhibit symptoms of EFA deficiency. Am J Clin Nutr 2000;71(suppl):327S\u201330S.", "author" : [ { "dropping-particle" : "", "family" : "Burgess", "given" : "John R.", "non-dropping-particle" : "", "parse-names" : false, "suffix" : "" }, { "dropping-particle" : "", "family" : "Stevens", "given" : "Laura", "non-dropping-particle" : "", "parse-names" : false, "suffix" : "" }, { "dropping-particle" : "", "family" : "Zhang", "given" : "Wen", "non-dropping-particle" : "", "parse-names" : false, "suffix" : "" }, { "dropping-particle" : "", "family" : "Peck", "given" : "Louise", "non-dropping-particle" : "", "parse-names" : false, "suffix" : "" } ], "container-title" : "The American Journal of Clinical Nutrition", "id" : "ITEM-1", "issued" : { "date-parts" : [ [ "2000" ] ] }, "page" : "327S-330", "title" : "Long-chain polyunsaturated fatty acids in children with attention-deficit hyperactivity disorder", "type" : "article-journal", "volume" : "71" }, "uris" : [ "http://www.mendeley.com/documents/?uuid=97e3d28f-59cf-48d6-810e-4943e30b41a4" ] } ], "mendeley" : { "formattedCitation" : "(84)", "plainTextFormattedCitation" : "(84)", "previouslyFormattedCitation" : "(84)" }, "properties" : { "noteIndex" : 6 }, "schema" : "https://github.com/citation-style-language/schema/raw/master/csl-citation.json" }</w:instrText>
      </w:r>
      <w:r w:rsidR="00BC3BBB" w:rsidRPr="00F71665">
        <w:rPr>
          <w:rFonts w:ascii="Arial" w:hAnsi="Arial" w:cs="Arial"/>
          <w:sz w:val="22"/>
          <w:szCs w:val="22"/>
        </w:rPr>
        <w:fldChar w:fldCharType="separate"/>
      </w:r>
      <w:r w:rsidRPr="00F71665">
        <w:rPr>
          <w:rFonts w:ascii="Arial" w:hAnsi="Arial" w:cs="Arial"/>
          <w:noProof/>
          <w:sz w:val="22"/>
          <w:szCs w:val="22"/>
        </w:rPr>
        <w:t>(84)</w:t>
      </w:r>
      <w:r w:rsidR="00BC3BBB" w:rsidRPr="00F71665">
        <w:rPr>
          <w:rFonts w:ascii="Arial" w:hAnsi="Arial" w:cs="Arial"/>
          <w:sz w:val="22"/>
          <w:szCs w:val="22"/>
        </w:rPr>
        <w:fldChar w:fldCharType="end"/>
      </w:r>
      <w:r w:rsidRPr="00F71665">
        <w:rPr>
          <w:rFonts w:ascii="Arial" w:hAnsi="Arial" w:cs="Arial"/>
          <w:sz w:val="22"/>
          <w:szCs w:val="22"/>
        </w:rPr>
        <w:t xml:space="preserve">. </w:t>
      </w:r>
      <w:r w:rsidRPr="00F71665">
        <w:rPr>
          <w:rFonts w:ascii="Arial" w:hAnsi="Arial" w:cs="Arial"/>
          <w:sz w:val="22"/>
          <w:szCs w:val="22"/>
          <w:shd w:val="clear" w:color="auto" w:fill="FFFFFF"/>
        </w:rPr>
        <w:t xml:space="preserve">Buna rağmen, birçok ebeveyn diyetin çocuklarının DEHB semptomlarını şiddetlendiren bir faktör olduğunu bildirmiştir </w:t>
      </w:r>
      <w:r w:rsidR="00BC3BBB" w:rsidRPr="00F71665">
        <w:rPr>
          <w:rFonts w:ascii="Arial" w:hAnsi="Arial" w:cs="Arial"/>
          <w:sz w:val="22"/>
          <w:szCs w:val="22"/>
          <w:shd w:val="clear" w:color="auto" w:fill="FFFFFF"/>
        </w:rPr>
        <w:fldChar w:fldCharType="begin" w:fldLock="1"/>
      </w:r>
      <w:r w:rsidRPr="00F71665">
        <w:rPr>
          <w:rFonts w:ascii="Arial" w:hAnsi="Arial" w:cs="Arial"/>
          <w:sz w:val="22"/>
          <w:szCs w:val="22"/>
          <w:shd w:val="clear" w:color="auto" w:fill="FFFFFF"/>
        </w:rPr>
        <w:instrText>ADDIN CSL_CITATION { "citationItems" : [ { "id" : "ITEM-1", "itemData" : { "DOI" : "10.1111/j.1365-2214.2006.00572.x", "ISBN" : "0305-1862 (Print)\\r0305-1862", "ISSN" : "0305-1862", "PMID" : "16441854", "abstract" : "Abstract Attention deficit hyperactivity disorder (ADHD) is a complex disorder, where both genetic and environmental influences make a substantial contribution to the risk for the disorder. One of the challenges facing clinicians is to simplify for parents the multifaceted reasons why their child may have developed ADHD, explain the associated symptoms, and encourage parents to participate in intervention. Increasing parents understanding about ADHD should make them better informed about the disorder, more likely to consent to intervention, and increase adherence to both psychosocial and pharmacological treatment. The aim of this review is to provide clinicians with a brief synopsis of our current understanding about the aetiology of ADHD, co-morbidity and associated problems, developmental course and intervention options.", "author" : [ { "dropping-particle" : "", "family" : "Daley", "given" : "D", "non-dropping-particle" : "", "parse-names" : false, "suffix" : "" } ], "container-title" : "Child: care, health and development", "id" : "ITEM-1", "issue" : "2", "issued" : { "date-parts" : [ [ "2006" ] ] }, "page" : "193-204", "title" : "Attention deficit hyperactivity disorder: a review of the essential facts.", "type" : "article-journal", "volume" : "32" }, "uris" : [ "http://www.mendeley.com/documents/?uuid=0059525c-35d9-4fed-b323-1bb33d0c82a5" ] } ], "mendeley" : { "formattedCitation" : "(85)", "plainTextFormattedCitation" : "(85)", "previouslyFormattedCitation" : "(85)" }, "properties" : { "noteIndex" : 6 }, "schema" : "https://github.com/citation-style-language/schema/raw/master/csl-citation.json" }</w:instrText>
      </w:r>
      <w:r w:rsidR="00BC3BBB" w:rsidRPr="00F71665">
        <w:rPr>
          <w:rFonts w:ascii="Arial" w:hAnsi="Arial" w:cs="Arial"/>
          <w:sz w:val="22"/>
          <w:szCs w:val="22"/>
          <w:shd w:val="clear" w:color="auto" w:fill="FFFFFF"/>
        </w:rPr>
        <w:fldChar w:fldCharType="separate"/>
      </w:r>
      <w:r w:rsidRPr="00F71665">
        <w:rPr>
          <w:rFonts w:ascii="Arial" w:hAnsi="Arial" w:cs="Arial"/>
          <w:noProof/>
          <w:sz w:val="22"/>
          <w:szCs w:val="22"/>
          <w:shd w:val="clear" w:color="auto" w:fill="FFFFFF"/>
        </w:rPr>
        <w:t>(85)</w:t>
      </w:r>
      <w:r w:rsidR="00BC3BBB" w:rsidRPr="00F71665">
        <w:rPr>
          <w:rFonts w:ascii="Arial" w:hAnsi="Arial" w:cs="Arial"/>
          <w:sz w:val="22"/>
          <w:szCs w:val="22"/>
          <w:shd w:val="clear" w:color="auto" w:fill="FFFFFF"/>
        </w:rPr>
        <w:fldChar w:fldCharType="end"/>
      </w:r>
      <w:r w:rsidRPr="00F71665">
        <w:rPr>
          <w:rFonts w:ascii="Arial" w:hAnsi="Arial" w:cs="Arial"/>
          <w:sz w:val="22"/>
          <w:szCs w:val="22"/>
          <w:shd w:val="clear" w:color="auto" w:fill="FFFFFF"/>
        </w:rPr>
        <w:t>.</w:t>
      </w:r>
      <w:r w:rsidRPr="00F71665">
        <w:rPr>
          <w:rFonts w:ascii="Arial" w:hAnsi="Arial" w:cs="Arial"/>
          <w:color w:val="212121"/>
          <w:sz w:val="22"/>
          <w:szCs w:val="22"/>
          <w:shd w:val="clear" w:color="auto" w:fill="FFFFFF"/>
        </w:rPr>
        <w:t xml:space="preserve"> </w:t>
      </w:r>
      <w:r w:rsidRPr="00F71665">
        <w:rPr>
          <w:rFonts w:ascii="Arial" w:hAnsi="Arial" w:cs="Arial"/>
          <w:sz w:val="22"/>
          <w:szCs w:val="22"/>
          <w:shd w:val="clear" w:color="auto" w:fill="FFFFFF"/>
        </w:rPr>
        <w:t xml:space="preserve">Suni gıda renklendiricilerinin hem tipik olarak gelişmekte olan çocuklarda </w:t>
      </w:r>
      <w:r w:rsidR="00BC3BBB" w:rsidRPr="00F71665">
        <w:rPr>
          <w:rFonts w:ascii="Arial" w:hAnsi="Arial" w:cs="Arial"/>
          <w:sz w:val="22"/>
          <w:szCs w:val="22"/>
          <w:shd w:val="clear" w:color="auto" w:fill="FFFFFF"/>
        </w:rPr>
        <w:fldChar w:fldCharType="begin" w:fldLock="1"/>
      </w:r>
      <w:r w:rsidRPr="00F71665">
        <w:rPr>
          <w:rFonts w:ascii="Arial" w:hAnsi="Arial" w:cs="Arial"/>
          <w:sz w:val="22"/>
          <w:szCs w:val="22"/>
          <w:shd w:val="clear" w:color="auto" w:fill="FFFFFF"/>
        </w:rPr>
        <w:instrText>ADDIN CSL_CITATION { "citationItems" : [ { "id" : "ITEM-1", "itemData" : { "DOI" : "10.1016/S0140-6736(07)61306-3", "ISBN" : "01406736", "ISSN" : "01406736", "PMID" : "17825405", "abstract" : "Background: We undertook a randomised, double-blinded, placebo-controlled, crossover trial to test whether intake of artificial food colour and additives (AFCA) affected childhood behaviour. Methods: 153 3-year-old and 144 8/9-year-old children were included in the study. The challenge drink contained sodium benzoate and one of two AFCA mixes (A or B) or a placebo mix. The main outcome measure was a global hyperactivity aggregate (GHA), based on aggregated z-scores of observed behaviours and ratings by teachers and parents, plus, for 8/9-year-old children, a computerised test of attention. This clinical trial is registered with Current Controlled Trials (registration number ISRCTN74481308). Analysis was per protocol. Findings: 16 3-year-old children and 14 8/9-year-old children did not complete the study, for reasons unrelated to childhood behaviour. Mix A had a significantly adverse effect compared with placebo in GHA for all 3-year-old children (effect size 0??20 [95% CI 0??01-0??39], p=0??044) but not mix B versus placebo. This result persisted when analysis was restricted to 3-year-old children who consumed more than 85% of juice and had no missing data (0??32 [0??05-0??60], p=0??02). 8/9-year-old children showed a significantly adverse effect when given mix A (0??12 [0??02-0??23], p=0??023) or mix B (0??17 [0??07-0??28], p=0??001) when analysis was restricted to those children consuming at least 85% of drinks with no missing data. Interpretation: Artificial colours or a sodium benzoate preservative (or both) in the diet result in increased hyperactivity in 3-year-old and 8/9-year-old children in the general population. ?? 2007 Elsevier Ltd. All rights reserved.", "author" : [ { "dropping-particle" : "", "family" : "McCann", "given" : "Donna", "non-dropping-particle" : "", "parse-names" : false, "suffix" : "" }, { "dropping-particle" : "", "family" : "Barrett", "given" : "Angelina", "non-dropping-particle" : "", "parse-names" : false, "suffix" : "" }, { "dropping-particle" : "", "family" : "Cooper", "given" : "Alison", "non-dropping-particle" : "", "parse-names" : false, "suffix" : "" }, { "dropping-particle" : "", "family" : "Crumpler", "given" : "Debbie", "non-dropping-particle" : "", "parse-names" : false, "suffix" : "" }, { "dropping-particle" : "", "family" : "Dalen", "given" : "Lindy", "non-dropping-particle" : "", "parse-names" : false, "suffix" : "" }, { "dropping-particle" : "", "family" : "Grimshaw", "given" : "Kate", "non-dropping-particle" : "", "parse-names" : false, "suffix" : "" }, { "dropping-particle" : "", "family" : "Kitchin", "given" : "Elizabeth", "non-dropping-particle" : "", "parse-names" : false, "suffix" : "" }, { "dropping-particle" : "", "family" : "Lok", "given" : "Kris", "non-dropping-particle" : "", "parse-names" : false, "suffix" : "" }, { "dropping-particle" : "", "family" : "Porteous", "given" : "Lucy", "non-dropping-particle" : "", "parse-names" : false, "suffix" : "" }, { "dropping-particle" : "", "family" : "Prince", "given" : "Emily", "non-dropping-particle" : "", "parse-names" : false, "suffix" : "" }, { "dropping-particle" : "", "family" : "Sonuga-Barke", "given" : "Edmund", "non-dropping-particle" : "", "parse-names" : false, "suffix" : "" }, { "dropping-particle" : "", "family" : "Warner", "given" : "John O.", "non-dropping-particle" : "", "parse-names" : false, "suffix" : "" }, { "dropping-particle" : "", "family" : "Stevenson", "given" : "Jim", "non-dropping-particle" : "", "parse-names" : false, "suffix" : "" } ], "container-title" : "Lancet", "id" : "ITEM-1", "issue" : "9598", "issued" : { "date-parts" : [ [ "2007" ] ] }, "page" : "1560-1567", "title" : "Food additives and hyperactive behaviour in 3-year-old and 8/9-year-old children in the community: a randomised, double-blinded, placebo-controlled trial", "type" : "article-journal", "volume" : "370" }, "uris" : [ "http://www.mendeley.com/documents/?uuid=b0ed0cad-5f04-403b-b3f0-ae57ecf3df8a" ] } ], "mendeley" : { "formattedCitation" : "(86)", "plainTextFormattedCitation" : "(86)", "previouslyFormattedCitation" : "(86)" }, "properties" : { "noteIndex" : 6 }, "schema" : "https://github.com/citation-style-language/schema/raw/master/csl-citation.json" }</w:instrText>
      </w:r>
      <w:r w:rsidR="00BC3BBB" w:rsidRPr="00F71665">
        <w:rPr>
          <w:rFonts w:ascii="Arial" w:hAnsi="Arial" w:cs="Arial"/>
          <w:sz w:val="22"/>
          <w:szCs w:val="22"/>
          <w:shd w:val="clear" w:color="auto" w:fill="FFFFFF"/>
        </w:rPr>
        <w:fldChar w:fldCharType="separate"/>
      </w:r>
      <w:r w:rsidRPr="00F71665">
        <w:rPr>
          <w:rFonts w:ascii="Arial" w:hAnsi="Arial" w:cs="Arial"/>
          <w:noProof/>
          <w:sz w:val="22"/>
          <w:szCs w:val="22"/>
          <w:shd w:val="clear" w:color="auto" w:fill="FFFFFF"/>
        </w:rPr>
        <w:t>(86)</w:t>
      </w:r>
      <w:r w:rsidR="00BC3BBB" w:rsidRPr="00F71665">
        <w:rPr>
          <w:rFonts w:ascii="Arial" w:hAnsi="Arial" w:cs="Arial"/>
          <w:sz w:val="22"/>
          <w:szCs w:val="22"/>
          <w:shd w:val="clear" w:color="auto" w:fill="FFFFFF"/>
        </w:rPr>
        <w:fldChar w:fldCharType="end"/>
      </w:r>
      <w:r w:rsidRPr="00F71665">
        <w:rPr>
          <w:rFonts w:ascii="Arial" w:hAnsi="Arial" w:cs="Arial"/>
          <w:sz w:val="22"/>
          <w:szCs w:val="22"/>
          <w:shd w:val="clear" w:color="auto" w:fill="FFFFFF"/>
        </w:rPr>
        <w:t xml:space="preserve"> hem de yüksek aktivite seviyesine sahip çocuklarda hiperaktiviteyi arttırdığı ancak nispeten küçük </w:t>
      </w:r>
      <w:r w:rsidRPr="00F71665">
        <w:rPr>
          <w:rFonts w:ascii="Arial" w:hAnsi="Arial" w:cs="Arial"/>
          <w:sz w:val="22"/>
          <w:szCs w:val="22"/>
          <w:shd w:val="clear" w:color="auto" w:fill="FFFFFF"/>
        </w:rPr>
        <w:lastRenderedPageBreak/>
        <w:t xml:space="preserve">bir etki boyutuna sahip olduğu bulunmuştur (0.28) </w:t>
      </w:r>
      <w:r w:rsidR="00BC3BBB" w:rsidRPr="00F71665">
        <w:rPr>
          <w:rFonts w:ascii="Arial" w:hAnsi="Arial" w:cs="Arial"/>
          <w:sz w:val="22"/>
          <w:szCs w:val="22"/>
          <w:shd w:val="clear" w:color="auto" w:fill="FFFFFF"/>
        </w:rPr>
        <w:fldChar w:fldCharType="begin" w:fldLock="1"/>
      </w:r>
      <w:r w:rsidRPr="00F71665">
        <w:rPr>
          <w:rFonts w:ascii="Arial" w:hAnsi="Arial" w:cs="Arial"/>
          <w:sz w:val="22"/>
          <w:szCs w:val="22"/>
          <w:shd w:val="clear" w:color="auto" w:fill="FFFFFF"/>
        </w:rPr>
        <w:instrText>ADDIN CSL_CITATION { "citationItems" : [ { "id" : "ITEM-1", "itemData" : { "DOI" : "10.1097/00004703-200412000-00007", "ISBN" : "0196-206X (Print)\\r0196-206x", "ISSN" : "0196-206X", "PMID" : "15613992", "abstract" : "Burgeoning estimates of the prevalence of childhood attention-deficit/hyperactivity disorder (ADHD) raise the possibility of a widespread risk factor. We seek to assess whether artificial food colorings (AFCs) contribute to the behavioral symptomatology of hyperactive syndromes. We searched ten electronic databases for double-blind placebo-controlled trials evaluating the effects of AFCs. Fifteen trials met the primary inclusion criteria. Meta-analytic modeling determined the overall effect size of AFCs on hyperactivity to be 0.283 (95% CI, 0.079 to 0.488), falling to 0.210 (95% CI, 0.007 to 0.414) when the smallest and lowest quality trials were excluded. Trials screening for responsiveness before enrollment demonstrated the greatest effects. Despite indications of publication bias and other limitations, this study is consistent with accumulating evidence that neurobehavioral toxicity may characterize a variety of widely distributed chemicals. Improvement in the identification of responders is required before strong clinical recommendations can be made.", "author" : [ { "dropping-particle" : "", "family" : "Schab", "given" : "David W", "non-dropping-particle" : "", "parse-names" : false, "suffix" : "" }, { "dropping-particle" : "", "family" : "Trinh", "given" : "Nhi-Ha T", "non-dropping-particle" : "", "parse-names" : false, "suffix" : "" } ], "container-title" : "Journal of developmental and behavioral pediatrics : JDBP", "id" : "ITEM-1", "issue" : "6", "issued" : { "date-parts" : [ [ "2004" ] ] }, "page" : "423-34", "title" : "Do artificial food colors promote hyperactivity in children with hyperactive syndromes? A meta-analysis of double-blind placebo-controlled trials.", "type" : "article-journal", "volume" : "25" }, "uris" : [ "http://www.mendeley.com/documents/?uuid=1e0d9033-d86f-4ef4-ad1f-4a5a06d2ae84" ] } ], "mendeley" : { "formattedCitation" : "(87)", "plainTextFormattedCitation" : "(87)", "previouslyFormattedCitation" : "(87)" }, "properties" : { "noteIndex" : 6 }, "schema" : "https://github.com/citation-style-language/schema/raw/master/csl-citation.json" }</w:instrText>
      </w:r>
      <w:r w:rsidR="00BC3BBB" w:rsidRPr="00F71665">
        <w:rPr>
          <w:rFonts w:ascii="Arial" w:hAnsi="Arial" w:cs="Arial"/>
          <w:sz w:val="22"/>
          <w:szCs w:val="22"/>
          <w:shd w:val="clear" w:color="auto" w:fill="FFFFFF"/>
        </w:rPr>
        <w:fldChar w:fldCharType="separate"/>
      </w:r>
      <w:r w:rsidRPr="00F71665">
        <w:rPr>
          <w:rFonts w:ascii="Arial" w:hAnsi="Arial" w:cs="Arial"/>
          <w:noProof/>
          <w:sz w:val="22"/>
          <w:szCs w:val="22"/>
          <w:shd w:val="clear" w:color="auto" w:fill="FFFFFF"/>
        </w:rPr>
        <w:t>(87)</w:t>
      </w:r>
      <w:r w:rsidR="00BC3BBB" w:rsidRPr="00F71665">
        <w:rPr>
          <w:rFonts w:ascii="Arial" w:hAnsi="Arial" w:cs="Arial"/>
          <w:sz w:val="22"/>
          <w:szCs w:val="22"/>
          <w:shd w:val="clear" w:color="auto" w:fill="FFFFFF"/>
        </w:rPr>
        <w:fldChar w:fldCharType="end"/>
      </w:r>
      <w:r w:rsidRPr="00F71665">
        <w:rPr>
          <w:rFonts w:ascii="Arial" w:hAnsi="Arial" w:cs="Arial"/>
          <w:sz w:val="22"/>
          <w:szCs w:val="22"/>
          <w:shd w:val="clear" w:color="auto" w:fill="FFFFFF"/>
        </w:rPr>
        <w:t xml:space="preserve"> </w:t>
      </w:r>
      <w:r w:rsidRPr="00F71665">
        <w:rPr>
          <w:rFonts w:ascii="Arial" w:hAnsi="Arial" w:cs="Arial"/>
          <w:color w:val="000000" w:themeColor="text1"/>
          <w:sz w:val="22"/>
          <w:szCs w:val="22"/>
        </w:rPr>
        <w:t xml:space="preserve">Dolayısıyla, bazı çocuklarda DEHB semptomlarını hafifletmek için beslenme müdahalesi umut verici bir seçenek olabileceği belirtilmektedir </w:t>
      </w:r>
      <w:r w:rsidR="00BC3BBB" w:rsidRPr="00F71665">
        <w:rPr>
          <w:rFonts w:ascii="Arial" w:hAnsi="Arial" w:cs="Arial"/>
          <w:color w:val="000000" w:themeColor="text1"/>
          <w:sz w:val="22"/>
          <w:szCs w:val="22"/>
        </w:rPr>
        <w:fldChar w:fldCharType="begin" w:fldLock="1"/>
      </w:r>
      <w:r w:rsidRPr="00F71665">
        <w:rPr>
          <w:rFonts w:ascii="Arial" w:hAnsi="Arial" w:cs="Arial"/>
          <w:color w:val="000000" w:themeColor="text1"/>
          <w:sz w:val="22"/>
          <w:szCs w:val="22"/>
        </w:rPr>
        <w:instrText>ADDIN CSL_CITATION { "citationItems" : [ { "id" : "ITEM-1", "itemData" : { "DOI" : "10.1176/appi.ajp.2012.12070991", "ISSN" : "0002-953X", "PMID" : "23360949", "abstract" : "OBJECTIVE Nonpharmacological treatments are available for attention deficit hyperactivity disorder (ADHD), although their efficacy remains uncertain. The authors undertook meta-analyses of the efficacy of dietary (restricted elimination diets, artificial food color exclusions, and free fatty acid supplementation) and psychological (cognitive training, neurofeedback, and behavioral interventions) ADHD treatments. METHOD Using a common systematic search and a rigorous coding and data extraction strategy across domains, the authors searched electronic databases to identify published randomized controlled trials that involved individuals who were diagnosed with ADHD (or who met a validated cutoff on a recognized rating scale) and that included an ADHD outcome. RESULTS Fifty-four of the 2,904 nonduplicate screened records were included in the analyses. Two different analyses were performed. When the outcome measure was based on ADHD assessments by raters closest to the therapeutic setting, all dietary (standardized mean differences=0.21-0.48) and psychological (standardized mean differences=0.40-0.64) treatments produced statistically significant effects. However, when the best probably blinded assessment was employed, effects remained significant for free fatty acid supplementation (standardized mean difference=0.16) and artificial food color exclusion (standardized mean difference=0.42) but were substantially attenuated to nonsignificant levels for other treatments. CONCLUSIONS Free fatty acid supplementation produced small but significant reductions in ADHD symptoms even with probably blinded assessments, although the clinical significance of these effects remains to be determined. Artificial food color exclusion produced larger effects but often in individuals selected for food sensitivities. Better evidence for efficacy from blinded assessments is required for behavioral interventions, neurofeedback, cognitive training, and restricted elimination diets before they can be supported as treatments for core ADHD symptoms.", "author" : [ { "dropping-particle" : "", "family" : "Sonuga-Barke", "given" : "Edmund J.S.", "non-dropping-particle" : "", "parse-names" : false, "suffix" : "" }, { "dropping-particle" : "", "family" : "Brandeis", "given" : "Daniel", "non-dropping-particle" : "", "parse-names" : false, "suffix" : "" }, { "dropping-particle" : "", "family" : "Cortese", "given" : "Samuele", "non-dropping-particle" : "", "parse-names" : false, "suffix" : "" }, { "dropping-particle" : "", "family" : "Daley", "given" : "David", "non-dropping-particle" : "", "parse-names" : false, "suffix" : "" }, { "dropping-particle" : "", "family" : "Ferrin", "given" : "Maite", "non-dropping-particle" : "", "parse-names" : false, "suffix" : "" }, { "dropping-particle" : "", "family" : "Holtmann", "given" : "Martin", "non-dropping-particle" : "", "parse-names" : false, "suffix" : "" }, { "dropping-particle" : "", "family" : "Stevenson", "given" : "Jim", "non-dropping-particle" : "", "parse-names" : false, "suffix" : "" }, { "dropping-particle" : "", "family" : "Danckaerts", "given" : "Marina", "non-dropping-particle" : "", "parse-names" : false, "suffix" : "" }, { "dropping-particle" : "", "family" : "Oord", "given" : "Saskia", "non-dropping-particle" : "van der", "parse-names" : false, "suffix" : "" }, { "dropping-particle" : "", "family" : "D\u00f6pfner", "given" : "Manfred", "non-dropping-particle" : "", "parse-names" : false, "suffix" : "" }, { "dropping-particle" : "", "family" : "Dittmann", "given" : "Ralf W.", "non-dropping-particle" : "", "parse-names" : false, "suffix" : "" }, { "dropping-particle" : "", "family" : "Simonoff", "given" : "Emily", "non-dropping-particle" : "", "parse-names" : false, "suffix" : "" }, { "dropping-particle" : "", "family" : "Zuddas", "given" : "Alessandro", "non-dropping-particle" : "", "parse-names" : false, "suffix" : "" }, { "dropping-particle" : "", "family" : "Banaschewski", "given" : "Tobias", "non-dropping-particle" : "", "parse-names" : false, "suffix" : "" }, { "dropping-particle" : "", "family" : "Buitelaar", "given" : "Jan", "non-dropping-particle" : "", "parse-names" : false, "suffix" : "" }, { "dropping-particle" : "", "family" : "Coghill", "given" : "David", "non-dropping-particle" : "", "parse-names" : false, "suffix" : "" }, { "dropping-particle" : "", "family" : "Hollis", "given" : "Chris", "non-dropping-particle" : "", "parse-names" : false, "suffix" : "" }, { "dropping-particle" : "", "family" : "Konofal", "given" : "Eric", "non-dropping-particle" : "", "parse-names" : false, "suffix" : "" }, { "dropping-particle" : "", "family" : "Lecendreux", "given" : "Michel", "non-dropping-particle" : "", "parse-names" : false, "suffix" : "" }, { "dropping-particle" : "", "family" : "Wong", "given" : "Ian C.K.", "non-dropping-particle" : "", "parse-names" : false, "suffix" : "" }, { "dropping-particle" : "", "family" : "Sergeant", "given" : "Joseph", "non-dropping-particle" : "", "parse-names" : false, "suffix" : "" }, { "dropping-particle" : "", "family" : "European ADHD Guidelines Group", "given" : "", "non-dropping-particle" : "", "parse-names" : false, "suffix" : "" } ], "container-title" : "American Journal of Psychiatry", "id" : "ITEM-1", "issue" : "3", "issued" : { "date-parts" : [ [ "2013", "3" ] ] }, "page" : "275-289", "title" : "Nonpharmacological Interventions for ADHD: Systematic Review and Meta-Analyses of Randomized Controlled Trials of Dietary and Psychological Treatments", "type" : "article-journal", "volume" : "170" }, "uris" : [ "http://www.mendeley.com/documents/?uuid=034654f2-d5cc-353b-8e8c-c38f1e711f66" ] } ], "mendeley" : { "formattedCitation" : "(88)", "plainTextFormattedCitation" : "(88)", "previouslyFormattedCitation" : "(88)" }, "properties" : { "noteIndex" : 6 }, "schema" : "https://github.com/citation-style-language/schema/raw/master/csl-citation.json" }</w:instrText>
      </w:r>
      <w:r w:rsidR="00BC3BBB" w:rsidRPr="00F71665">
        <w:rPr>
          <w:rFonts w:ascii="Arial" w:hAnsi="Arial" w:cs="Arial"/>
          <w:color w:val="000000" w:themeColor="text1"/>
          <w:sz w:val="22"/>
          <w:szCs w:val="22"/>
        </w:rPr>
        <w:fldChar w:fldCharType="separate"/>
      </w:r>
      <w:r w:rsidRPr="00F71665">
        <w:rPr>
          <w:rFonts w:ascii="Arial" w:hAnsi="Arial" w:cs="Arial"/>
          <w:noProof/>
          <w:color w:val="000000" w:themeColor="text1"/>
          <w:sz w:val="22"/>
          <w:szCs w:val="22"/>
        </w:rPr>
        <w:t>(88)</w:t>
      </w:r>
      <w:r w:rsidR="00BC3BBB" w:rsidRPr="00F71665">
        <w:rPr>
          <w:rFonts w:ascii="Arial" w:hAnsi="Arial" w:cs="Arial"/>
          <w:color w:val="000000" w:themeColor="text1"/>
          <w:sz w:val="22"/>
          <w:szCs w:val="22"/>
        </w:rPr>
        <w:fldChar w:fldCharType="end"/>
      </w:r>
      <w:r w:rsidRPr="00F71665">
        <w:rPr>
          <w:rFonts w:ascii="Arial" w:hAnsi="Arial" w:cs="Arial"/>
          <w:color w:val="000000" w:themeColor="text1"/>
          <w:sz w:val="22"/>
          <w:szCs w:val="22"/>
        </w:rPr>
        <w:t>.</w:t>
      </w:r>
      <w:r w:rsidRPr="00F71665">
        <w:rPr>
          <w:rFonts w:ascii="Arial" w:hAnsi="Arial" w:cs="Arial"/>
          <w:color w:val="333333"/>
          <w:sz w:val="22"/>
          <w:szCs w:val="22"/>
          <w:bdr w:val="none" w:sz="0" w:space="0" w:color="auto" w:frame="1"/>
          <w:shd w:val="clear" w:color="auto" w:fill="FFFFFF"/>
        </w:rPr>
        <w:t xml:space="preserve"> </w:t>
      </w:r>
    </w:p>
    <w:p w:rsidR="00C60153" w:rsidRPr="00F71665" w:rsidRDefault="00C60153" w:rsidP="00C60153">
      <w:pPr>
        <w:pStyle w:val="HTMLncedenBiimlendirilmi"/>
        <w:shd w:val="clear" w:color="auto" w:fill="FFFFFF"/>
        <w:spacing w:line="360" w:lineRule="auto"/>
        <w:jc w:val="both"/>
        <w:rPr>
          <w:rFonts w:ascii="Arial" w:hAnsi="Arial" w:cs="Arial"/>
          <w:b/>
          <w:color w:val="212121"/>
          <w:sz w:val="22"/>
          <w:szCs w:val="22"/>
        </w:rPr>
      </w:pPr>
      <w:r w:rsidRPr="00F71665">
        <w:rPr>
          <w:rFonts w:ascii="Arial" w:hAnsi="Arial" w:cs="Arial"/>
          <w:color w:val="000000" w:themeColor="text1"/>
          <w:sz w:val="22"/>
          <w:szCs w:val="22"/>
          <w:shd w:val="clear" w:color="auto" w:fill="FFFFFF"/>
        </w:rPr>
        <w:tab/>
      </w:r>
      <w:r w:rsidRPr="00F71665">
        <w:rPr>
          <w:rFonts w:ascii="Arial" w:hAnsi="Arial" w:cs="Arial"/>
          <w:b/>
          <w:color w:val="212121"/>
          <w:sz w:val="22"/>
          <w:szCs w:val="22"/>
        </w:rPr>
        <w:t>Aile ortamı / ebeveynlik</w:t>
      </w:r>
    </w:p>
    <w:p w:rsidR="00C60153" w:rsidRPr="00F71665" w:rsidRDefault="00C60153" w:rsidP="00C60153">
      <w:pPr>
        <w:pStyle w:val="HTMLncedenBiimlendirilmi"/>
        <w:shd w:val="clear" w:color="auto" w:fill="FFFFFF" w:themeFill="background1"/>
        <w:spacing w:line="360" w:lineRule="auto"/>
        <w:jc w:val="both"/>
        <w:rPr>
          <w:rFonts w:ascii="Arial" w:hAnsi="Arial" w:cs="Arial"/>
          <w:sz w:val="22"/>
          <w:szCs w:val="22"/>
          <w:shd w:val="clear" w:color="auto" w:fill="FFFFFF"/>
        </w:rPr>
      </w:pPr>
      <w:r w:rsidRPr="00F71665">
        <w:rPr>
          <w:rFonts w:ascii="Arial" w:hAnsi="Arial" w:cs="Arial"/>
          <w:color w:val="000000" w:themeColor="text1"/>
          <w:sz w:val="22"/>
          <w:szCs w:val="22"/>
          <w:shd w:val="clear" w:color="auto" w:fill="FFFFFF"/>
        </w:rPr>
        <w:tab/>
      </w:r>
      <w:r w:rsidRPr="00F71665">
        <w:rPr>
          <w:rFonts w:ascii="Arial" w:hAnsi="Arial" w:cs="Arial"/>
          <w:color w:val="212121"/>
          <w:sz w:val="22"/>
          <w:szCs w:val="22"/>
        </w:rPr>
        <w:t xml:space="preserve">Olumsuz aile ortamı ve ebeveynlik tutumları DEHB’li çocukların ailelerinde yaygın olarak görülür </w:t>
      </w:r>
      <w:r w:rsidR="00BC3BBB" w:rsidRPr="00F71665">
        <w:rPr>
          <w:rFonts w:ascii="Arial" w:hAnsi="Arial" w:cs="Arial"/>
          <w:color w:val="212121"/>
          <w:sz w:val="22"/>
          <w:szCs w:val="22"/>
        </w:rPr>
        <w:fldChar w:fldCharType="begin" w:fldLock="1"/>
      </w:r>
      <w:r w:rsidRPr="00F71665">
        <w:rPr>
          <w:rFonts w:ascii="Arial" w:hAnsi="Arial" w:cs="Arial"/>
          <w:color w:val="212121"/>
          <w:sz w:val="22"/>
          <w:szCs w:val="22"/>
        </w:rPr>
        <w:instrText>ADDIN CSL_CITATION { "citationItems" : [ { "id" : "ITEM-1", "itemData" : { "ISSN" : "10964037", "abstract" : "This review integrates and critically evaluates what is known about family characteristics associated with childhood Attention-Deficit/Hyperactivity Disorder (ADHD). Evidence suggests that the presence of ADHD in children is associated to varying degrees with disturbances in family and marital functioning, disrupted parent\u2013child relationships, specific patterns of parental cognitions about child behavior and reduced parenting self-efficacy, and increased levels of parenting stress and parental psychopathology, particularly when ADHD is comorbid with conduct problems. However, the review reveals that little is known about the developmental mechanisms that underlie these associations, or the pathways through which child and family characteristics transact to exert their influences over time. In addition, the influence of factors such as gender, culture, and ADHD subtype on the association between ADHD and family factors remains largely unknown. We conclude with recommendations regarding the necessity for research that will inform a developmental psychopathology perspective of ADHD. [ABSTRACT FROM AUTHOR]", "author" : [ { "dropping-particle" : "", "family" : "Johnston", "given" : "Charlotte", "non-dropping-particle" : "", "parse-names" : false, "suffix" : "" }, { "dropping-particle" : "", "family" : "Mash", "given" : "Eric J", "non-dropping-particle" : "", "parse-names" : false, "suffix" : "" } ], "container-title" : "Clinical Child &amp; Family Psychology Review", "id" : "ITEM-1", "issue" : "3", "issued" : { "date-parts" : [ [ "2001" ] ] }, "page" : "183-207", "title" : "Families of Children With Attention-Deficit/Hyperactivity Disorder: Review and Recommendations for Future Research.", "type" : "article-journal", "volume" : "4" }, "uris" : [ "http://www.mendeley.com/documents/?uuid=a31aa83d-aabd-41f0-9f1a-ecfce0ab7640" ] }, { "id" : "ITEM-2", "itemData" : { "DOI" : "10.1037//0022-006X.70.5.1086", "ISBN" : "0022-006X (Print)\\r0022-006X (Linking)", "ISSN" : "0022-006X", "PMID" : "12362959", "abstract" : "This study investigated a diverse sample of girls (6-12 years of age) with attention-deficit/hyperactivity disorder (ADHD), combined type (n = 93) and inattentive type (n = 47), plus age- and ethnicity-matched comparison girls (n = 88), who participated in research summer programs. Speech and language problems, grade retention, and adoption characterized the ADHD sample; documented abuse characterized the combined type. Girls with ADHD showed dysfunction in terms of externalizing and internalizing behaviors and comorbidities, cognitive and academic performance, authoritarian parenting, and peer status. The inattentive type was more socially isolated but less rejected by peers than the combined type. ADHD-related impairment was independent of age and disruptive comorbidity. Further examination of processes related to psychopathology and competencies in girls with ADHD is needed.", "author" : [ { "dropping-particle" : "", "family" : "Hinshaw", "given" : "Stephen P.", "non-dropping-particle" : "", "parse-names" : false, "suffix" : "" } ], "container-title" : "Journal of Consulting and Clinical Psychology", "id" : "ITEM-2", "issue" : "5", "issued" : { "date-parts" : [ [ "2002" ] ] }, "page" : "1086-1098", "title" : "Preadolescent girls with attention-deficit/hyperactivity disorder: I. Background characteristics, comorbidity, cognitive and social functioning, and parenting practices.", "type" : "article-journal", "volume" : "70" }, "uris" : [ "http://www.mendeley.com/documents/?uuid=5617b206-3fae-4384-bc13-a960f73d4bb1" ] }, { "id" : "ITEM-3", "itemData" : { "DOI" : "10.1007/s10802-005-0936-x", "ISBN" : "00910627", "ISSN" : "00910627", "PMID" : "15759593", "abstract" : "Parenting responsiveness and over-reactivity were assessed among 25 mothers of 7-9-year-old sons with Attention-Deficit/Hyperactivity Disorder (ADHD) and oppositional behavior (Oppositional Defiant, OD), 24 mothers of sons with ADHD only, and 38 mothers of nonproblem sons. Responsiveness was observed during mother-son play and clean-up interactions and over-reactivity was assessed using self-reports of parenting in discipline situations. Mothers of sons with ADHD/OD were less responsive and more over-reactive than mothers of nonproblem sons, and mothers of sons with ADHD only did not differ from the other groups. Mothers of sons with ADHD/OD reported more hostility than mothers of nonproblem sons, and controlling for maternal hostility eliminated the significant group differences in responsiveness during clean-up and in over-reactivity. Controlling for the child's ADHD subtype did not alter the pattern of results. The implications for addressing responsiveness and over-reactivity as components of parent-mediated behavioral treatments for ADHD are considered.", "author" : [ { "dropping-particle" : "", "family" : "Seipp", "given" : "Carla M.", "non-dropping-particle" : "", "parse-names" : false, "suffix" : "" }, { "dropping-particle" : "", "family" : "Johnston", "given" : "Charlotte", "non-dropping-particle" : "", "parse-names" : false, "suffix" : "" } ], "container-title" : "Journal of Abnormal Child Psychology", "id" : "ITEM-3", "issue" : "1", "issued" : { "date-parts" : [ [ "2005" ] ] }, "page" : "87-98", "title" : "Mother-son interactions in families of boys with attention-deficit/ hyperactivity disorder with and without oppositional behavior", "type" : "article-journal", "volume" : "33" }, "uris" : [ "http://www.mendeley.com/documents/?uuid=cf6944f1-3607-486c-81a9-18073d5209af" ] } ], "mendeley" : { "formattedCitation" : "(89\u201391)", "plainTextFormattedCitation" : "(89\u201391)", "previouslyFormattedCitation" : "(89\u201391)" }, "properties" : { "noteIndex" : 6 }, "schema" : "https://github.com/citation-style-language/schema/raw/master/csl-citation.json" }</w:instrText>
      </w:r>
      <w:r w:rsidR="00BC3BBB" w:rsidRPr="00F71665">
        <w:rPr>
          <w:rFonts w:ascii="Arial" w:hAnsi="Arial" w:cs="Arial"/>
          <w:color w:val="212121"/>
          <w:sz w:val="22"/>
          <w:szCs w:val="22"/>
        </w:rPr>
        <w:fldChar w:fldCharType="separate"/>
      </w:r>
      <w:r w:rsidRPr="00F71665">
        <w:rPr>
          <w:rFonts w:ascii="Arial" w:hAnsi="Arial" w:cs="Arial"/>
          <w:noProof/>
          <w:color w:val="212121"/>
          <w:sz w:val="22"/>
          <w:szCs w:val="22"/>
        </w:rPr>
        <w:t>(89–91)</w:t>
      </w:r>
      <w:r w:rsidR="00BC3BBB" w:rsidRPr="00F71665">
        <w:rPr>
          <w:rFonts w:ascii="Arial" w:hAnsi="Arial" w:cs="Arial"/>
          <w:color w:val="212121"/>
          <w:sz w:val="22"/>
          <w:szCs w:val="22"/>
        </w:rPr>
        <w:fldChar w:fldCharType="end"/>
      </w:r>
      <w:r w:rsidRPr="00F71665">
        <w:rPr>
          <w:rFonts w:ascii="Arial" w:hAnsi="Arial" w:cs="Arial"/>
          <w:color w:val="212121"/>
          <w:sz w:val="22"/>
          <w:szCs w:val="22"/>
        </w:rPr>
        <w:t xml:space="preserve">. </w:t>
      </w:r>
      <w:r w:rsidRPr="00F71665">
        <w:rPr>
          <w:rFonts w:ascii="Arial" w:hAnsi="Arial" w:cs="Arial"/>
          <w:sz w:val="22"/>
          <w:szCs w:val="22"/>
        </w:rPr>
        <w:t xml:space="preserve">Bu tür ebeveynlik uygulamalarının DEHB'de nedensel faktör mü olduğu, yoksa olumsuz çocuk davranışlarına yanıt mı olduğu tam olarak ayırt edilememiştir </w:t>
      </w:r>
      <w:r w:rsidR="00BC3BBB" w:rsidRPr="00F71665">
        <w:rPr>
          <w:rFonts w:ascii="Arial" w:hAnsi="Arial" w:cs="Arial"/>
          <w:sz w:val="22"/>
          <w:szCs w:val="22"/>
        </w:rPr>
        <w:fldChar w:fldCharType="begin" w:fldLock="1"/>
      </w:r>
      <w:r w:rsidRPr="00F71665">
        <w:rPr>
          <w:rFonts w:ascii="Arial" w:hAnsi="Arial" w:cs="Arial"/>
          <w:sz w:val="22"/>
          <w:szCs w:val="22"/>
        </w:rPr>
        <w:instrText>ADDIN CSL_CITATION { "citationItems" : [ { "id" : "ITEM-1", "itemData" : { "DOI" : "10.1111/cch.12139", "ISBN" : "0305-1862", "ISSN" : "03051862", "abstract" : "Attention-deficit hyperactivity disorder ( ADHD) is a complex disorder that can affect individuals across the lifespan. It is associated with substantial heterogeneity in terms of aetiology, clinical presentation and treatment outcome and is the subject of extensive research. Because of this, it can be difficult for clinicians to stay up to date with the most relevant findings and know how best to respond to parents' questions and concerns about the disorder and interventions. This is a narrative review that aims to summarize key findings from recent research into ADHD and its treatment that clinicians can share with families in order to increase their knowledge about ADHD and intervention options. ADHD develops as a result of complex interplay between interdependent genetic and non-genetic factors. The disorder is associated with substantial impairments in functioning and poor long-term outcomes. Pharmacological and non-pharmacological treatment options are available for symptom management and to improve function, but functioning outcomes often fail to normalize in children with ADHD. Despite extensive advances in understanding this complex disorder, it is clear that there is still a long way to go. In particular, we address the need for future non-pharmacological interventions to be more specifically targeted for ADHD symptoms and its commonly associated functioning deficits in order to ensure the best long-term outcomes for children with ADHD. [ABSTRACT FROM AUTHOR]", "author" : [ { "dropping-particle" : "", "family" : "Tarver", "given" : "J", "non-dropping-particle" : "", "parse-names" : false, "suffix" : "" }, { "dropping-particle" : "", "family" : "Daley", "given" : "D", "non-dropping-particle" : "", "parse-names" : false, "suffix" : "" }, { "dropping-particle" : "", "family" : "Sayal", "given" : "K", "non-dropping-particle" : "", "parse-names" : false, "suffix" : "" } ], "container-title" : "Child: Care, Health &amp; Development", "id" : "ITEM-1", "issue" : "6", "issued" : { "date-parts" : [ [ "2014" ] ] }, "page" : "762-774", "title" : "Attention-deficit hyperactivity disorder ( ADHD): an updated review of the essential facts.", "type" : "article-journal", "volume" : "40" }, "uris" : [ "http://www.mendeley.com/documents/?uuid=a435d2a9-aedb-4690-8342-390436c404f0" ] } ], "mendeley" : { "formattedCitation" : "(68)", "plainTextFormattedCitation" : "(68)", "previouslyFormattedCitation" : "(68)" }, "properties" : { "noteIndex" : 6 }, "schema" : "https://github.com/citation-style-language/schema/raw/master/csl-citation.json" }</w:instrText>
      </w:r>
      <w:r w:rsidR="00BC3BBB" w:rsidRPr="00F71665">
        <w:rPr>
          <w:rFonts w:ascii="Arial" w:hAnsi="Arial" w:cs="Arial"/>
          <w:sz w:val="22"/>
          <w:szCs w:val="22"/>
        </w:rPr>
        <w:fldChar w:fldCharType="separate"/>
      </w:r>
      <w:r w:rsidRPr="00F71665">
        <w:rPr>
          <w:rFonts w:ascii="Arial" w:hAnsi="Arial" w:cs="Arial"/>
          <w:noProof/>
          <w:sz w:val="22"/>
          <w:szCs w:val="22"/>
        </w:rPr>
        <w:t>(68)</w:t>
      </w:r>
      <w:r w:rsidR="00BC3BBB" w:rsidRPr="00F71665">
        <w:rPr>
          <w:rFonts w:ascii="Arial" w:hAnsi="Arial" w:cs="Arial"/>
          <w:sz w:val="22"/>
          <w:szCs w:val="22"/>
        </w:rPr>
        <w:fldChar w:fldCharType="end"/>
      </w:r>
      <w:r w:rsidRPr="00F71665">
        <w:rPr>
          <w:rFonts w:ascii="Arial" w:hAnsi="Arial" w:cs="Arial"/>
          <w:sz w:val="22"/>
          <w:szCs w:val="22"/>
        </w:rPr>
        <w:t>. Ebeveynlik ile DEHB arasındaki zamansal ilişkiyi araştıran boylamsal çalışmalar yapılmış, ancak bugüne kadar çelişkili bulgular ortaya çıkmıştır</w:t>
      </w:r>
      <w:r w:rsidRPr="00F71665">
        <w:rPr>
          <w:rFonts w:ascii="Arial" w:hAnsi="Arial" w:cs="Arial"/>
          <w:color w:val="212121"/>
          <w:sz w:val="22"/>
          <w:szCs w:val="22"/>
        </w:rPr>
        <w:t xml:space="preserve"> </w:t>
      </w:r>
      <w:r w:rsidR="00BC3BBB" w:rsidRPr="00F71665">
        <w:rPr>
          <w:rFonts w:ascii="Arial" w:hAnsi="Arial" w:cs="Arial"/>
          <w:color w:val="212121"/>
          <w:sz w:val="22"/>
          <w:szCs w:val="22"/>
        </w:rPr>
        <w:fldChar w:fldCharType="begin" w:fldLock="1"/>
      </w:r>
      <w:r w:rsidR="0037573A">
        <w:rPr>
          <w:rFonts w:ascii="Arial" w:hAnsi="Arial" w:cs="Arial"/>
          <w:color w:val="212121"/>
          <w:sz w:val="22"/>
          <w:szCs w:val="22"/>
        </w:rPr>
        <w:instrText>ADDIN CSL_CITATION { "citationItems" : [ { "id" : "ITEM-1", "itemData" : { "DOI" : "10.1007/s10802-007-9177-5", "abstract" : "Evidence both from psychological research and clinical intervention studies suggests that there are bidirec-tional influences between overt child behavior problems and parent\u2013child relations. Very little research however, has considered the pattern of relations that exists between Attention Deficit Hyperactivity Disorder (ADHD) and the parent\u2013child relationship within a longitudinal context. Using a longitudinal community sample from the United Kingdom which included 194 school aged children (46% male and 54% female) and both parents, this study examined the relationship between child ADHD symptoms and dis-plays of rejection in the parent\u2013child relationship. These relationships were investigated separately for mothers and fathers using cross-lagged panel correlation and reciprocal effects analysis. Mothers and fathers reported on ADHD symptoms and children reported on their feelings of rejection in the mother\u2013child and father\u2013child relationships. Results suggested differences in the direction of effects linking mother\u2013 and father\u2013child rejection and child ADHD symp-toms; with ADHD symptoms affecting the mother\u2013child relationship and the converse pattern of effects noted for fathers. Implications for future research focusing on the link between ADHD symptoms and parent\u2013child relationships are discussed.", "author" : [ { "dropping-particle" : "", "family" : "Lifford", "given" : "Kate J", "non-dropping-particle" : "", "parse-names" : false, "suffix" : "" }, { "dropping-particle" : "", "family" : "Harold", "given" : "Gordon T", "non-dropping-particle" : "", "parse-names" : false, "suffix" : "" }, { "dropping-particle" : "", "family" : "Thapar", "given" : "Anita", "non-dropping-particle" : "", "parse-names" : false, "suffix" : "" } ], "id" : "ITEM-1", "issued" : { "date-parts" : [ [ "2007" ] ] }, "title" : "Parent\u2013Child Relationships and ADHD Symptoms: A Longitudinal Analysis", "type" : "article-journal" }, "uris" : [ "http://www.mendeley.com/documents/?uuid=1b086b6f-7880-48a9-94cd-23db4e14b161" ] }, { "id" : "ITEM-2", "itemData" : { "DOI" : "10.1007/s10802-011-9586-3", "ISBN" : "1573-2835(Electronic);0091-0627(Print)", "ISSN" : "00910627", "PMID" : "22038253", "abstract" : "This prospective 3 year longitudinal study investigated preschool paternal and maternal parenting predictors of Attention-Deficit/Hyperactivity Disorder(ADHD) in a community sample of 93 school-age boys. Participants were recruited on the basis of inattention-hyperactivity at age 4 and fathers and mothers were observed interacting with their sons. Teachers, fathers, and mothers reported children's ADHD symptoms and impairment. Results from dimensional analysis showed that less observed paternal sensitivity and maternal positive regard predicted higher levels of inattentiveness in middle childhood, and that intrusive paternal behavior was predictive of hyperactive-impulsive behavior at school. In categorical analysis, less maternal warmth and sensitivity were predictive of later ADHD. These predictions held after statistical adjustment for the effects of preschool ADHD behaviors and conduct problems. At follow-up, parents of boys with ADHD reported more negative child-parent relationship perceptions than comparison parents. Findings highlight the importance of examining responsive parenting behaviors of both fathers and mothers in relation to multi-informant ratings of ADHD symptoms.", "author" : [ { "dropping-particle" : "", "family" : "Keown", "given" : "Louise J.", "non-dropping-particle" : "", "parse-names" : false, "suffix" : "" } ], "container-title" : "Journal of Abnormal Child Psychology", "id" : "ITEM-2", "issue" : "4", "issued" : { "date-parts" : [ [ "2012" ] ] }, "page" : "569-581", "title" : "Predictors of boys' ADHD symptoms from early to middle childhood: The role of father-child and mother-child interactions", "type" : "article-journal", "volume" : "40" }, "uris" : [ "http://www.mendeley.com/documents/?uuid=7f2ec4e0-6d36-4c50-b37d-cdcf193cef20" ] } ], "mendeley" : { "formattedCitation" : "(92, 93)", "plainTextFormattedCitation" : "(92, 93)", "previouslyFormattedCitation" : "(92, 93)" }, "properties" : { "noteIndex" : 6 }, "schema" : "https://github.com/citation-style-language/schema/raw/master/csl-citation.json" }</w:instrText>
      </w:r>
      <w:r w:rsidR="00BC3BBB" w:rsidRPr="00F71665">
        <w:rPr>
          <w:rFonts w:ascii="Arial" w:hAnsi="Arial" w:cs="Arial"/>
          <w:color w:val="212121"/>
          <w:sz w:val="22"/>
          <w:szCs w:val="22"/>
        </w:rPr>
        <w:fldChar w:fldCharType="separate"/>
      </w:r>
      <w:r w:rsidR="00BF1F00" w:rsidRPr="00BF1F00">
        <w:rPr>
          <w:rFonts w:ascii="Arial" w:hAnsi="Arial" w:cs="Arial"/>
          <w:noProof/>
          <w:color w:val="212121"/>
          <w:sz w:val="22"/>
          <w:szCs w:val="22"/>
        </w:rPr>
        <w:t>(92, 93)</w:t>
      </w:r>
      <w:r w:rsidR="00BC3BBB" w:rsidRPr="00F71665">
        <w:rPr>
          <w:rFonts w:ascii="Arial" w:hAnsi="Arial" w:cs="Arial"/>
          <w:color w:val="212121"/>
          <w:sz w:val="22"/>
          <w:szCs w:val="22"/>
        </w:rPr>
        <w:fldChar w:fldCharType="end"/>
      </w:r>
      <w:r w:rsidRPr="00F71665">
        <w:rPr>
          <w:rStyle w:val="author"/>
          <w:rFonts w:ascii="Arial" w:hAnsi="Arial" w:cs="Arial"/>
          <w:color w:val="4F81BD" w:themeColor="accent1"/>
          <w:sz w:val="22"/>
          <w:szCs w:val="22"/>
          <w:bdr w:val="none" w:sz="0" w:space="0" w:color="auto" w:frame="1"/>
          <w:shd w:val="clear" w:color="auto" w:fill="FFFFFF"/>
        </w:rPr>
        <w:t>.</w:t>
      </w:r>
      <w:r w:rsidRPr="00F71665">
        <w:rPr>
          <w:sz w:val="22"/>
          <w:szCs w:val="22"/>
        </w:rPr>
        <w:t xml:space="preserve"> </w:t>
      </w:r>
      <w:r w:rsidRPr="00F71665">
        <w:rPr>
          <w:rFonts w:ascii="Arial" w:hAnsi="Arial" w:cs="Arial"/>
          <w:sz w:val="22"/>
          <w:szCs w:val="22"/>
        </w:rPr>
        <w:t xml:space="preserve">Büyük olasılıkla ebeveynlik ile çocuk davranışı arasındaki ilişki iki yönlü olduğundan, genetik olarak belirlenmiş olumsuz çocuk davranışlarına, ebeveynlerin bu davranışların sürdürümüne veya şiddetinin artışına neden olacak şekilde yanıt verdiklerinin altı çizilmiştir </w:t>
      </w:r>
      <w:r w:rsidR="00BC3BBB" w:rsidRPr="00F71665">
        <w:rPr>
          <w:rFonts w:ascii="Arial" w:hAnsi="Arial" w:cs="Arial"/>
          <w:sz w:val="22"/>
          <w:szCs w:val="22"/>
        </w:rPr>
        <w:fldChar w:fldCharType="begin" w:fldLock="1"/>
      </w:r>
      <w:r w:rsidRPr="00F71665">
        <w:rPr>
          <w:rFonts w:ascii="Arial" w:hAnsi="Arial" w:cs="Arial"/>
          <w:sz w:val="22"/>
          <w:szCs w:val="22"/>
        </w:rPr>
        <w:instrText>ADDIN CSL_CITATION { "citationItems" : [ { "id" : "ITEM-1", "itemData" : { "ISBN" : "1719-8429 (Print)\\r1719-8429 (Linking)", "ISSN" : "1719-8429", "PMID" : "18392155", "abstract" : "INTRODUCTION: We outline a transactional model of parent-child interactions which proposes that characteristics of attention-deficit/hyperactivity disorder (ADHD) appear early in a child's life and present challenges to the parent's ability to maintain consistent and responsive parenting. In turn, the presence of harsh or inconsistent parenting is hypothesized to contribute to the development of child oppositional behaviour and conduct problems.\\n\\nMETHOD AND RESULTS: We briefly discuss existing cross-sectional evidence in support of this model and then highlight five longitudinal studies that provide stronger support, showing that difficulties in parenting predict the development of oppositional and conduct problems in children with ADHD, over and above pre-existing levels of child problems and other predictors.\\n\\nCONCLUSION: We conclude with a discussion of the clinical implications of this model and evidence, emphasizing the need for early interventions in ADHD focused on parenting.", "author" : [ { "dropping-particle" : "", "family" : "Johnston", "given" : "Charlotte", "non-dropping-particle" : "", "parse-names" : false, "suffix" : "" }, { "dropping-particle" : "", "family" : "Jassy", "given" : "Jonathan S", "non-dropping-particle" : "", "parse-names" : false, "suffix" : "" } ], "container-title" : "Journal of the Canadian Academy of Child and Adolescent Psychiatry", "id" : "ITEM-1", "issue" : "2", "issued" : { "date-parts" : [ [ "2007" ] ] }, "page" : "74-79", "title" : "Attention-Deficit/Hyperactivity Disorder and Oppositional/Conduct problems: Links to parent-child interactions.", "type" : "article-journal", "volume" : "16" }, "uris" : [ "http://www.mendeley.com/documents/?uuid=f653f58e-6d92-46aa-89ae-cc6abb9446a5" ] } ], "mendeley" : { "formattedCitation" : "(94)", "plainTextFormattedCitation" : "(94)", "previouslyFormattedCitation" : "(94)" }, "properties" : { "noteIndex" : 6 }, "schema" : "https://github.com/citation-style-language/schema/raw/master/csl-citation.json" }</w:instrText>
      </w:r>
      <w:r w:rsidR="00BC3BBB" w:rsidRPr="00F71665">
        <w:rPr>
          <w:rFonts w:ascii="Arial" w:hAnsi="Arial" w:cs="Arial"/>
          <w:sz w:val="22"/>
          <w:szCs w:val="22"/>
        </w:rPr>
        <w:fldChar w:fldCharType="separate"/>
      </w:r>
      <w:r w:rsidRPr="00F71665">
        <w:rPr>
          <w:rFonts w:ascii="Arial" w:hAnsi="Arial" w:cs="Arial"/>
          <w:noProof/>
          <w:sz w:val="22"/>
          <w:szCs w:val="22"/>
        </w:rPr>
        <w:t>(94)</w:t>
      </w:r>
      <w:r w:rsidR="00BC3BBB" w:rsidRPr="00F71665">
        <w:rPr>
          <w:rFonts w:ascii="Arial" w:hAnsi="Arial" w:cs="Arial"/>
          <w:sz w:val="22"/>
          <w:szCs w:val="22"/>
        </w:rPr>
        <w:fldChar w:fldCharType="end"/>
      </w:r>
      <w:r w:rsidRPr="00F71665">
        <w:rPr>
          <w:rFonts w:ascii="Arial" w:hAnsi="Arial" w:cs="Arial"/>
          <w:sz w:val="22"/>
          <w:szCs w:val="22"/>
        </w:rPr>
        <w:t>.</w:t>
      </w:r>
      <w:r w:rsidRPr="00F71665">
        <w:rPr>
          <w:rFonts w:ascii="Arial" w:hAnsi="Arial" w:cs="Arial"/>
          <w:color w:val="212121"/>
          <w:sz w:val="22"/>
          <w:szCs w:val="22"/>
        </w:rPr>
        <w:t xml:space="preserve"> </w:t>
      </w:r>
      <w:r w:rsidRPr="00F71665">
        <w:rPr>
          <w:rFonts w:ascii="Arial" w:hAnsi="Arial" w:cs="Arial"/>
          <w:sz w:val="22"/>
          <w:szCs w:val="22"/>
        </w:rPr>
        <w:t xml:space="preserve">Bu nedenle, ebeveynleri destekleyici ve üretken ebeveynlik yapmaya teşvik etmenin DEHB riskini azaltabileceği belirtilmiştir </w:t>
      </w:r>
      <w:r w:rsidR="00BC3BBB" w:rsidRPr="00F71665">
        <w:rPr>
          <w:rFonts w:ascii="Arial" w:hAnsi="Arial" w:cs="Arial"/>
          <w:sz w:val="22"/>
          <w:szCs w:val="22"/>
        </w:rPr>
        <w:fldChar w:fldCharType="begin" w:fldLock="1"/>
      </w:r>
      <w:r w:rsidRPr="00F71665">
        <w:rPr>
          <w:rFonts w:ascii="Arial" w:hAnsi="Arial" w:cs="Arial"/>
          <w:sz w:val="22"/>
          <w:szCs w:val="22"/>
        </w:rPr>
        <w:instrText>ADDIN CSL_CITATION { "citationItems" : [ { "id" : "ITEM-1", "itemData" : { "DOI" : "10.1111/j.1467-7687.2005.00401.x", "ISBN" : "1363-755X (Print)\\r1363-755X (Linking)", "ISSN" : "1363755X", "PMID" : "15720372", "abstract" : "In this paper we examine the characteristics of preschool attention deficit hyperactivity disorder (ADHD) from both mental disorder and developmental psychopathology points of view. The equivalence of preschool and school-aged hyperactivity as a behavioral dimension is highlighted together with the potential value of extending the use of the ADHD diagnostic category to the preschool period where these behaviours take an extreme and impairing form (assuming age appropriate diagnostic items and thresholds can be developed). At the same time, the importance of identifying pathways between risk and later ADHD is emphasized. Developmental discontinuity and heterogeneity are identified as major characteristics of these pathways. We argue that models that distinguish among different developmental types of early-emerging problems are needed. An illustrative taxonomy of four developmental pathways implicating preschool hyperactivity is presented to provide a framework for future research.", "author" : [ { "dropping-particle" : "", "family" : "Sonuga-Barke", "given" : "Edmund J S", "non-dropping-particle" : "", "parse-names" : false, "suffix" : "" }, { "dropping-particle" : "", "family" : "Auerbach", "given" : "Judith", "non-dropping-particle" : "", "parse-names" : false, "suffix" : "" }, { "dropping-particle" : "", "family" : "Campbell", "given" : "Susan B.", "non-dropping-particle" : "", "parse-names" : false, "suffix" : "" }, { "dropping-particle" : "", "family" : "Daley", "given" : "David", "non-dropping-particle" : "", "parse-names" : false, "suffix" : "" }, { "dropping-particle" : "", "family" : "Thompson", "given" : "Margaret", "non-dropping-particle" : "", "parse-names" : false, "suffix" : "" } ], "container-title" : "Developmental Science", "id" : "ITEM-1", "issue" : "2", "issued" : { "date-parts" : [ [ "2005" ] ] }, "page" : "141-150", "title" : "Varieties of preschool hyperactivity: Multiple pathways from risk to disorder", "type" : "article-journal", "volume" : "8" }, "uris" : [ "http://www.mendeley.com/documents/?uuid=ee756ad0-b12f-42fc-84ba-c58343ab81d2" ] } ], "mendeley" : { "formattedCitation" : "(95)", "plainTextFormattedCitation" : "(95)", "previouslyFormattedCitation" : "(95)" }, "properties" : { "noteIndex" : 6 }, "schema" : "https://github.com/citation-style-language/schema/raw/master/csl-citation.json" }</w:instrText>
      </w:r>
      <w:r w:rsidR="00BC3BBB" w:rsidRPr="00F71665">
        <w:rPr>
          <w:rFonts w:ascii="Arial" w:hAnsi="Arial" w:cs="Arial"/>
          <w:sz w:val="22"/>
          <w:szCs w:val="22"/>
        </w:rPr>
        <w:fldChar w:fldCharType="separate"/>
      </w:r>
      <w:r w:rsidRPr="00F71665">
        <w:rPr>
          <w:rFonts w:ascii="Arial" w:hAnsi="Arial" w:cs="Arial"/>
          <w:noProof/>
          <w:sz w:val="22"/>
          <w:szCs w:val="22"/>
        </w:rPr>
        <w:t>(95)</w:t>
      </w:r>
      <w:r w:rsidR="00BC3BBB" w:rsidRPr="00F71665">
        <w:rPr>
          <w:rFonts w:ascii="Arial" w:hAnsi="Arial" w:cs="Arial"/>
          <w:sz w:val="22"/>
          <w:szCs w:val="22"/>
        </w:rPr>
        <w:fldChar w:fldCharType="end"/>
      </w:r>
      <w:r w:rsidRPr="00F71665">
        <w:rPr>
          <w:rFonts w:ascii="Arial" w:hAnsi="Arial" w:cs="Arial"/>
          <w:sz w:val="22"/>
          <w:szCs w:val="22"/>
        </w:rPr>
        <w:t xml:space="preserve">. </w:t>
      </w:r>
      <w:r w:rsidRPr="00F71665">
        <w:rPr>
          <w:rFonts w:ascii="Arial" w:hAnsi="Arial" w:cs="Arial"/>
          <w:sz w:val="22"/>
          <w:szCs w:val="22"/>
          <w:shd w:val="clear" w:color="auto" w:fill="FFFFFF"/>
        </w:rPr>
        <w:t>E</w:t>
      </w:r>
      <w:r w:rsidRPr="00F71665">
        <w:rPr>
          <w:rFonts w:ascii="Arial" w:hAnsi="Arial" w:cs="Arial"/>
          <w:sz w:val="22"/>
          <w:szCs w:val="22"/>
        </w:rPr>
        <w:t xml:space="preserve">k olarak, ebeveynlik tutumları DEHB'de yaygın olarak görülen karşı gelme davranışları, akademik, sosyal ve bilişsel işlevler gibi yeterince iyi işlemeyen işlev alanlarına da etkisi olabilen önemli bir faktör olarak karşımıza çıkmaktadır </w:t>
      </w:r>
      <w:r w:rsidR="00BC3BBB" w:rsidRPr="00F71665">
        <w:rPr>
          <w:rFonts w:ascii="Arial" w:hAnsi="Arial" w:cs="Arial"/>
          <w:sz w:val="22"/>
          <w:szCs w:val="22"/>
        </w:rPr>
        <w:fldChar w:fldCharType="begin" w:fldLock="1"/>
      </w:r>
      <w:r w:rsidR="0037573A">
        <w:rPr>
          <w:rFonts w:ascii="Arial" w:hAnsi="Arial" w:cs="Arial"/>
          <w:sz w:val="22"/>
          <w:szCs w:val="22"/>
        </w:rPr>
        <w:instrText>ADDIN CSL_CITATION { "citationItems" : [ { "id" : "ITEM-1", "itemData" : { "DOI" : "10.1002/cd", "ISBN" : "1520-3247", "ISSN" : "1520-3247", "PMID" : "21154834", "abstract" : "This chapter describes longitudinal findings from a socially diverse sample of 125 British children seen at ages two and four. Four models of social influence on executive function are tested, using multiple measures of family life as well as comprehensive assessments of children's executive functions. Our results confirm the importance of maternal scaffolding for young children's executive functions, but they also suggest positive effects of observational learning and adverse effects of disorganized and unpredictable family life; however, no support was found for an association between executive function and general positive characteristics of family interactions.", "author" : [ { "dropping-particle" : "", "family" : "Hughes", "given" : "Claire", "non-dropping-particle" : "", "parse-names" : false, "suffix" : "" }, { "dropping-particle" : "", "family" : "Ensor", "given" : "Rosie", "non-dropping-particle" : "", "parse-names" : false, "suffix" : "" } ], "container-title" : "Social interaction and the Development of Executive Function", "id" : "ITEM-1", "issued" : { "date-parts" : [ [ "2009" ] ] }, "page" : "35-50", "title" : "How Do Families Help or Hinder the Emergence of Early Executive Function?", "type" : "article-journal", "volume" : "123" }, "uris" : [ "http://www.mendeley.com/documents/?uuid=21a1432a-1ab6-4bfc-b550-21924839961a" ] }, { "id" : "ITEM-2", "itemData" : { "DOI" : "10.1007/s10578-009-0159-4", "ISSN" : "1573-3327", "PMID" : "19768532", "abstract" : "This review synthesizes recent research evidence regarding the parenting characteristics associated with families with children with Attention-Deficit/Hyperactivity Disorder (ADHD). ADHD is a complex, heterogeneous disorder with a range of genetic and environmental factors that contribute to its behavioral expression and different developmental trajectories. The current review adopts a developmental psychopathology perspective to conceptualize the risk and protective factors that might shape the developmental pathways of the disorder across different domains. Following from Johnston and Mash's review (Johnston and Mash, Clin Child Fam Psychol Rev 4:183-207, 2001), the present review systematically examines empirical studies from 2000-2008 that investigate parenting variables in relation to the development of children with ADHD, with a particular focus on the development of externalizing and internalizing comorbidities, as well as functional impairments in academic and social contexts. The most recent research evidence uses correlational designs to show that ADHD is associated with problematic family functioning, including greater stress within the family, higher rates of parental psychopathology and conflicted parent-child relationships, which appears to be exacerbated in children with comorbid oppositional and conduct problems. However, there is an absence of literature that considers the role that parents play in contributing to children's development in areas such as academic achievement and peer competence, as well as the development of internalizing difficulties. Future research should examine family factors that are associated with resilience in children with ADHD, using longitudinal designs that reflect the dynamic changes associated with a developmental psychopathology framework.", "author" : [ { "dropping-particle" : "", "family" : "Deault", "given" : "Louise C", "non-dropping-particle" : "", "parse-names" : false, "suffix" : "" } ], "container-title" : "Child psychiatry and human development", "id" : "ITEM-2", "issue" : "2", "issued" : { "date-parts" : [ [ "2010", "4", "19" ] ] }, "page" : "168-92", "title" : "A systematic review of parenting in relation to the development of comorbidities and functional impairments in children with attention-deficit/hyperactivity disorder (ADHD).", "type" : "article-journal", "volume" : "41" }, "uris" : [ "http://www.mendeley.com/documents/?uuid=d46f0987-dcec-3503-902e-7228f1520b00" ] } ], "mendeley" : { "formattedCitation" : "(96, 97)", "plainTextFormattedCitation" : "(96, 97)", "previouslyFormattedCitation" : "(96, 97)" }, "properties" : { "noteIndex" : 6 }, "schema" : "https://github.com/citation-style-language/schema/raw/master/csl-citation.json" }</w:instrText>
      </w:r>
      <w:r w:rsidR="00BC3BBB" w:rsidRPr="00F71665">
        <w:rPr>
          <w:rFonts w:ascii="Arial" w:hAnsi="Arial" w:cs="Arial"/>
          <w:sz w:val="22"/>
          <w:szCs w:val="22"/>
        </w:rPr>
        <w:fldChar w:fldCharType="separate"/>
      </w:r>
      <w:r w:rsidR="00BF1F00" w:rsidRPr="00BF1F00">
        <w:rPr>
          <w:rFonts w:ascii="Arial" w:hAnsi="Arial" w:cs="Arial"/>
          <w:noProof/>
          <w:sz w:val="22"/>
          <w:szCs w:val="22"/>
        </w:rPr>
        <w:t>(96, 97)</w:t>
      </w:r>
      <w:r w:rsidR="00BC3BBB" w:rsidRPr="00F71665">
        <w:rPr>
          <w:rFonts w:ascii="Arial" w:hAnsi="Arial" w:cs="Arial"/>
          <w:sz w:val="22"/>
          <w:szCs w:val="22"/>
        </w:rPr>
        <w:fldChar w:fldCharType="end"/>
      </w:r>
      <w:r w:rsidRPr="00F71665">
        <w:rPr>
          <w:rFonts w:ascii="Arial" w:hAnsi="Arial" w:cs="Arial"/>
          <w:sz w:val="22"/>
          <w:szCs w:val="22"/>
        </w:rPr>
        <w:t>.</w:t>
      </w:r>
      <w:r w:rsidRPr="00F71665">
        <w:rPr>
          <w:rFonts w:ascii="Arial" w:hAnsi="Arial" w:cs="Arial"/>
          <w:color w:val="244061" w:themeColor="accent1" w:themeShade="80"/>
          <w:sz w:val="22"/>
          <w:szCs w:val="22"/>
          <w:shd w:val="clear" w:color="auto" w:fill="FFFFFF"/>
        </w:rPr>
        <w:t xml:space="preserve"> </w:t>
      </w:r>
      <w:r w:rsidRPr="00F71665">
        <w:rPr>
          <w:rFonts w:ascii="Arial" w:hAnsi="Arial" w:cs="Arial"/>
          <w:sz w:val="22"/>
          <w:szCs w:val="22"/>
          <w:shd w:val="clear" w:color="auto" w:fill="FFFFFF"/>
        </w:rPr>
        <w:t>Y</w:t>
      </w:r>
      <w:r w:rsidRPr="00F71665">
        <w:rPr>
          <w:rFonts w:ascii="Arial" w:hAnsi="Arial" w:cs="Arial"/>
          <w:sz w:val="22"/>
          <w:szCs w:val="22"/>
        </w:rPr>
        <w:t xml:space="preserve">üksek kalıtsallık oranları, bir dizi ebeveynin kendilerinin de DEHB olabileceğini ve bu durumun ebeveynlik becerilerini olumusuz etkileyebileceğini düşündürmüştür. </w:t>
      </w:r>
      <w:r w:rsidRPr="00F71665">
        <w:rPr>
          <w:rFonts w:ascii="Arial" w:hAnsi="Arial" w:cs="Arial"/>
          <w:sz w:val="22"/>
          <w:szCs w:val="22"/>
          <w:shd w:val="clear" w:color="auto" w:fill="FFFFFF"/>
        </w:rPr>
        <w:t xml:space="preserve">Ebeveynlerdeki DEHB’nin daha olumsuz disiplin uygulamaları ve artmış aile içi çatışmalarla ilişkili olduğu saptanmıştır </w:t>
      </w:r>
      <w:r w:rsidR="00BC3BBB" w:rsidRPr="00F71665">
        <w:rPr>
          <w:rFonts w:ascii="Arial" w:hAnsi="Arial" w:cs="Arial"/>
          <w:sz w:val="22"/>
          <w:szCs w:val="22"/>
          <w:shd w:val="clear" w:color="auto" w:fill="FFFFFF"/>
        </w:rPr>
        <w:fldChar w:fldCharType="begin" w:fldLock="1"/>
      </w:r>
      <w:r w:rsidRPr="00F71665">
        <w:rPr>
          <w:rFonts w:ascii="Arial" w:hAnsi="Arial" w:cs="Arial"/>
          <w:sz w:val="22"/>
          <w:szCs w:val="22"/>
          <w:shd w:val="clear" w:color="auto" w:fill="FFFFFF"/>
        </w:rPr>
        <w:instrText>ADDIN CSL_CITATION { "citationItems" : [ { "id" : "ITEM-1", "itemData" : { "DOI" : "http://dx.doi.org/10.1016/j.cpr.2012.01.007", "ISSN" : "0272-7358", "abstract" : "Although the validity of adult ADHD is well established and research has identified a variety of impairments associated with the condition in adults, study of how ADHD impacts an adult's ability to parent has been relatively neglected. Parenting is a particularly important domain of functioning given the familial nature of the disorder and emerging evidence that parenting behaviors play a role in the development or maintenance of child ADHD symptoms, comorbid psychopathologies, and other associated difficulties. In this paper, we focus on three broad categories of cognitive dysfunction proposed across models of ADHD-cognitive processes (e.g., working memory, planning, and inhibitory control), self-regulation deficits (e.g., self-monitoring of performance to detect errors or the need for regulation of behavior and/or emotions), and motivational or arousal difficulties (e.g., response to incentives, delay aversion). We consider how these deficits may lead to impairments in the parenting behaviors of effective behavioral control and emotional responsiveness, and review the available evidence regarding parenting in adults with ADHD symptoms. We conclude by noting the limitations in existing studies, and argue for further research that is theoretically grounded in how core deficits of ADHD may be related to dimensions of parenting. The implications of an improved understanding of how ADHD impacts parenting for the development of early intervention or prevention programs are outlined. (PsycINFO Database Record (c) 2016 APA, all rights reserved)", "author" : [ { "dropping-particle" : "", "family" : "Johnston", "given" : "Charlotte", "non-dropping-particle" : "", "parse-names" : false, "suffix" : "" }, { "dropping-particle" : "", "family" : "Mash", "given" : "Eric J", "non-dropping-particle" : "", "parse-names" : false, "suffix" : "" }, { "dropping-particle" : "", "family" : "Miller", "given" : "Natalie", "non-dropping-particle" : "", "parse-names" : false, "suffix" : "" }, { "dropping-particle" : "", "family" : "Ninowski", "given" : "Jerilyn E", "non-dropping-particle" : "", "parse-names" : false, "suffix" : "" } ], "container-title" : "Clinical Psychology Review", "id" : "ITEM-1", "issue" : "4", "issued" : { "date-parts" : [ [ "2012" ] ] }, "page" : "215-228", "title" : "Parenting in adults with attention-deficit/hyperactivity disorder (ADHD).", "type" : "article-journal", "volume" : "32" }, "uris" : [ "http://www.mendeley.com/documents/?uuid=6c79ea2c-efe6-4c5b-a01f-31b09661dd23" ] } ], "mendeley" : { "formattedCitation" : "(98)", "plainTextFormattedCitation" : "(98)", "previouslyFormattedCitation" : "(98)" }, "properties" : { "noteIndex" : 6 }, "schema" : "https://github.com/citation-style-language/schema/raw/master/csl-citation.json" }</w:instrText>
      </w:r>
      <w:r w:rsidR="00BC3BBB" w:rsidRPr="00F71665">
        <w:rPr>
          <w:rFonts w:ascii="Arial" w:hAnsi="Arial" w:cs="Arial"/>
          <w:sz w:val="22"/>
          <w:szCs w:val="22"/>
          <w:shd w:val="clear" w:color="auto" w:fill="FFFFFF"/>
        </w:rPr>
        <w:fldChar w:fldCharType="separate"/>
      </w:r>
      <w:r w:rsidRPr="00F71665">
        <w:rPr>
          <w:rFonts w:ascii="Arial" w:hAnsi="Arial" w:cs="Arial"/>
          <w:noProof/>
          <w:sz w:val="22"/>
          <w:szCs w:val="22"/>
          <w:shd w:val="clear" w:color="auto" w:fill="FFFFFF"/>
        </w:rPr>
        <w:t>(98)</w:t>
      </w:r>
      <w:r w:rsidR="00BC3BBB" w:rsidRPr="00F71665">
        <w:rPr>
          <w:rFonts w:ascii="Arial" w:hAnsi="Arial" w:cs="Arial"/>
          <w:sz w:val="22"/>
          <w:szCs w:val="22"/>
          <w:shd w:val="clear" w:color="auto" w:fill="FFFFFF"/>
        </w:rPr>
        <w:fldChar w:fldCharType="end"/>
      </w:r>
      <w:r w:rsidRPr="00F71665">
        <w:rPr>
          <w:rFonts w:ascii="Arial" w:hAnsi="Arial" w:cs="Arial"/>
          <w:sz w:val="22"/>
          <w:szCs w:val="22"/>
          <w:shd w:val="clear" w:color="auto" w:fill="FFFFFF"/>
        </w:rPr>
        <w:t xml:space="preserve">. </w:t>
      </w:r>
      <w:r w:rsidRPr="00F71665">
        <w:rPr>
          <w:rFonts w:ascii="Arial" w:hAnsi="Arial" w:cs="Arial"/>
          <w:color w:val="212121"/>
          <w:sz w:val="22"/>
          <w:szCs w:val="22"/>
          <w:shd w:val="clear" w:color="auto" w:fill="FFFFFF"/>
        </w:rPr>
        <w:t xml:space="preserve">Çocuğuyla birlikte başvurduğunda, ebeveynlerdeki DEHB’nin de saptanması mümkün olabileceğinden, gerekli durumlarda ebeveynlerin yetişkin DEHB merkezlerine sevk edilmesi önerilmektedir </w:t>
      </w:r>
      <w:r w:rsidR="00BC3BBB" w:rsidRPr="00F71665">
        <w:rPr>
          <w:rFonts w:ascii="Arial" w:hAnsi="Arial" w:cs="Arial"/>
          <w:color w:val="212121"/>
          <w:sz w:val="22"/>
          <w:szCs w:val="22"/>
          <w:shd w:val="clear" w:color="auto" w:fill="FFFFFF"/>
        </w:rPr>
        <w:fldChar w:fldCharType="begin" w:fldLock="1"/>
      </w:r>
      <w:r w:rsidRPr="00F71665">
        <w:rPr>
          <w:rFonts w:ascii="Arial" w:hAnsi="Arial" w:cs="Arial"/>
          <w:color w:val="212121"/>
          <w:sz w:val="22"/>
          <w:szCs w:val="22"/>
          <w:shd w:val="clear" w:color="auto" w:fill="FFFFFF"/>
        </w:rPr>
        <w:instrText>ADDIN CSL_CITATION { "citationItems" : [ { "id" : "ITEM-1", "itemData" : { "author" : [ { "dropping-particle" : "", "family" : "National Institute for Health and Clinical Excellence (NICE)", "given" : "", "non-dropping-particle" : "", "parse-names" : false, "suffix" : "" } ], "container-title" : "National Clinical Practice Guideline", "id" : "ITEM-1", "issue" : "April 2007", "issued" : { "date-parts" : [ [ "2008" ] ] }, "page" : "Available at: http://publications.nice.org.uk/atte", "title" : "Attention deficit hyperactivity disorder: Diagnosis and management of ADHD in children, young people and adults", "type" : "article-journal", "volume" : "72" }, "uris" : [ "http://www.mendeley.com/documents/?uuid=7aaa297c-bc76-4eda-a8a2-0e08df8848c7" ] } ], "mendeley" : { "formattedCitation" : "(1)", "plainTextFormattedCitation" : "(1)", "previouslyFormattedCitation" : "(1)" }, "properties" : { "noteIndex" : 6 }, "schema" : "https://github.com/citation-style-language/schema/raw/master/csl-citation.json" }</w:instrText>
      </w:r>
      <w:r w:rsidR="00BC3BBB" w:rsidRPr="00F71665">
        <w:rPr>
          <w:rFonts w:ascii="Arial" w:hAnsi="Arial" w:cs="Arial"/>
          <w:color w:val="212121"/>
          <w:sz w:val="22"/>
          <w:szCs w:val="22"/>
          <w:shd w:val="clear" w:color="auto" w:fill="FFFFFF"/>
        </w:rPr>
        <w:fldChar w:fldCharType="separate"/>
      </w:r>
      <w:r w:rsidRPr="00F71665">
        <w:rPr>
          <w:rFonts w:ascii="Arial" w:hAnsi="Arial" w:cs="Arial"/>
          <w:noProof/>
          <w:color w:val="212121"/>
          <w:sz w:val="22"/>
          <w:szCs w:val="22"/>
          <w:shd w:val="clear" w:color="auto" w:fill="FFFFFF"/>
        </w:rPr>
        <w:t>(1)</w:t>
      </w:r>
      <w:r w:rsidR="00BC3BBB" w:rsidRPr="00F71665">
        <w:rPr>
          <w:rFonts w:ascii="Arial" w:hAnsi="Arial" w:cs="Arial"/>
          <w:color w:val="212121"/>
          <w:sz w:val="22"/>
          <w:szCs w:val="22"/>
          <w:shd w:val="clear" w:color="auto" w:fill="FFFFFF"/>
        </w:rPr>
        <w:fldChar w:fldCharType="end"/>
      </w:r>
      <w:r w:rsidRPr="00F71665">
        <w:rPr>
          <w:rFonts w:ascii="Arial" w:hAnsi="Arial" w:cs="Arial"/>
          <w:color w:val="212121"/>
          <w:sz w:val="22"/>
          <w:szCs w:val="22"/>
          <w:shd w:val="clear" w:color="auto" w:fill="FFFFFF"/>
        </w:rPr>
        <w:t xml:space="preserve">. </w:t>
      </w:r>
    </w:p>
    <w:p w:rsidR="00C60153" w:rsidRPr="00F71665" w:rsidRDefault="00C60153" w:rsidP="00C60153">
      <w:pPr>
        <w:pStyle w:val="HTMLncedenBiimlendirilmi"/>
        <w:shd w:val="clear" w:color="auto" w:fill="FFFFFF" w:themeFill="background1"/>
        <w:spacing w:line="360" w:lineRule="auto"/>
        <w:jc w:val="both"/>
        <w:rPr>
          <w:rFonts w:ascii="Arial" w:hAnsi="Arial" w:cs="Arial"/>
          <w:b/>
          <w:sz w:val="22"/>
          <w:szCs w:val="22"/>
        </w:rPr>
      </w:pPr>
      <w:r w:rsidRPr="00F71665">
        <w:rPr>
          <w:rFonts w:ascii="Arial" w:hAnsi="Arial" w:cs="Arial"/>
          <w:b/>
          <w:sz w:val="22"/>
          <w:szCs w:val="22"/>
          <w:shd w:val="clear" w:color="auto" w:fill="FFFFFF"/>
        </w:rPr>
        <w:tab/>
        <w:t>Erken yoksunluk / ihmal</w:t>
      </w:r>
    </w:p>
    <w:p w:rsidR="00C60153" w:rsidRPr="00F71665" w:rsidRDefault="00C60153" w:rsidP="00C60153">
      <w:pPr>
        <w:pStyle w:val="HTMLncedenBiimlendirilmi"/>
        <w:shd w:val="clear" w:color="auto" w:fill="FFFFFF"/>
        <w:spacing w:line="360" w:lineRule="auto"/>
        <w:jc w:val="both"/>
        <w:rPr>
          <w:rFonts w:ascii="Arial" w:hAnsi="Arial" w:cs="Arial"/>
          <w:color w:val="4F81BD" w:themeColor="accent1"/>
          <w:sz w:val="22"/>
          <w:szCs w:val="22"/>
          <w:shd w:val="clear" w:color="auto" w:fill="FFFFFF"/>
        </w:rPr>
      </w:pPr>
      <w:r w:rsidRPr="00F71665">
        <w:rPr>
          <w:rFonts w:ascii="Arial" w:hAnsi="Arial" w:cs="Arial"/>
          <w:b/>
          <w:color w:val="000000" w:themeColor="text1"/>
          <w:sz w:val="22"/>
          <w:szCs w:val="22"/>
          <w:shd w:val="clear" w:color="auto" w:fill="FFFFFF"/>
        </w:rPr>
        <w:tab/>
      </w:r>
      <w:r w:rsidRPr="00F71665">
        <w:rPr>
          <w:rFonts w:ascii="Arial" w:hAnsi="Arial" w:cs="Arial"/>
          <w:color w:val="212121"/>
          <w:sz w:val="22"/>
          <w:szCs w:val="22"/>
        </w:rPr>
        <w:t xml:space="preserve">Uygun olmayan ebeveynlik uygulamalarının DEHB üzerindeki etkisi net olarak bilinmemekle birlikte, şiddetli erken ihmalin daha sonraki DEHB semptomları için bir risk faktörü olduğunu ortaya koyan güçlü kanıtlar bulunmaktadır </w:t>
      </w:r>
      <w:r w:rsidR="00BC3BBB" w:rsidRPr="00F71665">
        <w:rPr>
          <w:rFonts w:ascii="Arial" w:hAnsi="Arial" w:cs="Arial"/>
          <w:color w:val="212121"/>
          <w:sz w:val="22"/>
          <w:szCs w:val="22"/>
        </w:rPr>
        <w:fldChar w:fldCharType="begin" w:fldLock="1"/>
      </w:r>
      <w:r w:rsidRPr="00F71665">
        <w:rPr>
          <w:rFonts w:ascii="Arial" w:hAnsi="Arial" w:cs="Arial"/>
          <w:color w:val="212121"/>
          <w:sz w:val="22"/>
          <w:szCs w:val="22"/>
        </w:rPr>
        <w:instrText>ADDIN CSL_CITATION { "citationItems" : [ { "id" : "ITEM-1", "itemData" : { "DOI" : "10.1111/cch.12139", "ISBN" : "0305-1862", "ISSN" : "03051862", "abstract" : "Attention-deficit hyperactivity disorder ( ADHD) is a complex disorder that can affect individuals across the lifespan. It is associated with substantial heterogeneity in terms of aetiology, clinical presentation and treatment outcome and is the subject of extensive research. Because of this, it can be difficult for clinicians to stay up to date with the most relevant findings and know how best to respond to parents' questions and concerns about the disorder and interventions. This is a narrative review that aims to summarize key findings from recent research into ADHD and its treatment that clinicians can share with families in order to increase their knowledge about ADHD and intervention options. ADHD develops as a result of complex interplay between interdependent genetic and non-genetic factors. The disorder is associated with substantial impairments in functioning and poor long-term outcomes. Pharmacological and non-pharmacological treatment options are available for symptom management and to improve function, but functioning outcomes often fail to normalize in children with ADHD. Despite extensive advances in understanding this complex disorder, it is clear that there is still a long way to go. In particular, we address the need for future non-pharmacological interventions to be more specifically targeted for ADHD symptoms and its commonly associated functioning deficits in order to ensure the best long-term outcomes for children with ADHD. [ABSTRACT FROM AUTHOR]", "author" : [ { "dropping-particle" : "", "family" : "Tarver", "given" : "J", "non-dropping-particle" : "", "parse-names" : false, "suffix" : "" }, { "dropping-particle" : "", "family" : "Daley", "given" : "D", "non-dropping-particle" : "", "parse-names" : false, "suffix" : "" }, { "dropping-particle" : "", "family" : "Sayal", "given" : "K", "non-dropping-particle" : "", "parse-names" : false, "suffix" : "" } ], "container-title" : "Child: Care, Health &amp; Development", "id" : "ITEM-1", "issue" : "6", "issued" : { "date-parts" : [ [ "2014" ] ] }, "page" : "762-774", "title" : "Attention-deficit hyperactivity disorder ( ADHD): an updated review of the essential facts.", "type" : "article-journal", "volume" : "40" }, "uris" : [ "http://www.mendeley.com/documents/?uuid=a435d2a9-aedb-4690-8342-390436c404f0" ] } ], "mendeley" : { "formattedCitation" : "(68)", "plainTextFormattedCitation" : "(68)", "previouslyFormattedCitation" : "(68)" }, "properties" : { "noteIndex" : 7 }, "schema" : "https://github.com/citation-style-language/schema/raw/master/csl-citation.json" }</w:instrText>
      </w:r>
      <w:r w:rsidR="00BC3BBB" w:rsidRPr="00F71665">
        <w:rPr>
          <w:rFonts w:ascii="Arial" w:hAnsi="Arial" w:cs="Arial"/>
          <w:color w:val="212121"/>
          <w:sz w:val="22"/>
          <w:szCs w:val="22"/>
        </w:rPr>
        <w:fldChar w:fldCharType="separate"/>
      </w:r>
      <w:r w:rsidRPr="00F71665">
        <w:rPr>
          <w:rFonts w:ascii="Arial" w:hAnsi="Arial" w:cs="Arial"/>
          <w:noProof/>
          <w:color w:val="212121"/>
          <w:sz w:val="22"/>
          <w:szCs w:val="22"/>
        </w:rPr>
        <w:t>(68)</w:t>
      </w:r>
      <w:r w:rsidR="00BC3BBB" w:rsidRPr="00F71665">
        <w:rPr>
          <w:rFonts w:ascii="Arial" w:hAnsi="Arial" w:cs="Arial"/>
          <w:color w:val="212121"/>
          <w:sz w:val="22"/>
          <w:szCs w:val="22"/>
        </w:rPr>
        <w:fldChar w:fldCharType="end"/>
      </w:r>
      <w:r w:rsidRPr="00F71665">
        <w:rPr>
          <w:rFonts w:ascii="Arial" w:hAnsi="Arial" w:cs="Arial"/>
          <w:color w:val="212121"/>
          <w:sz w:val="22"/>
          <w:szCs w:val="22"/>
        </w:rPr>
        <w:t xml:space="preserve">. </w:t>
      </w:r>
      <w:r w:rsidRPr="00F71665">
        <w:rPr>
          <w:rFonts w:ascii="Arial" w:hAnsi="Arial" w:cs="Arial"/>
          <w:sz w:val="22"/>
          <w:szCs w:val="22"/>
        </w:rPr>
        <w:t xml:space="preserve">Romanya yetimhanelerindeki çocukların maruz kaldığı şiddetli yoksunluk ve ihmalin, daha sonra Birleşik Krallık’taki aileler tarafından evlat edinilmelerine rağmen, ileri dönemde ortaya çıkan dikkatsizlik ve hiperaktivite belirtileri ile ilişkili olduğu bulunmuştur </w:t>
      </w:r>
      <w:r w:rsidR="00BC3BBB" w:rsidRPr="00F71665">
        <w:rPr>
          <w:rFonts w:ascii="Arial" w:hAnsi="Arial" w:cs="Arial"/>
          <w:sz w:val="22"/>
          <w:szCs w:val="22"/>
        </w:rPr>
        <w:fldChar w:fldCharType="begin" w:fldLock="1"/>
      </w:r>
      <w:r w:rsidRPr="00F71665">
        <w:rPr>
          <w:rFonts w:ascii="Arial" w:hAnsi="Arial" w:cs="Arial"/>
          <w:sz w:val="22"/>
          <w:szCs w:val="22"/>
        </w:rPr>
        <w:instrText>ADDIN CSL_CITATION { "citationItems" : [ { "id" : "ITEM-1", "itemData" : { "DOI" : "10.1192/bjp.179.2.97", "ISBN" : "0007-1250", "ISSN" : "00071250", "PMID" : "11483469", "abstract" : "Examined the behavioural patterns that are specifically associated with institutional privation. A group of 165 children adopted from Romania before the age of 42 months were compared at 4 years and 6 years with 52 non-deprived UK children adopted in infancy. Dysfunction was assessed for 7 domains of functioning. The groups were compared on which, and how many, domains were impaired. Attachment problems, inattention/overactivity, quasi-autistic features and cognitive impairment were associated with institutional privation, but emotional difficulties, poor peer relationships and conduct problems were not. Nevertheless, 1/5 of children who spent the longest time in institutions showed normal functioning. It is concluded that attachment disorder behaviours, inattention/overactivity and quasi-autistic behaviour constitute institutional privation patterns. (PsycINFO Database Record (c) 2009 APA, all rights reserved).", "author" : [ { "dropping-particle" : "", "family" : "Rutter", "given" : "M. L.", "non-dropping-particle" : "", "parse-names" : false, "suffix" : "" }, { "dropping-particle" : "", "family" : "Kreppner", "given" : "J. M.", "non-dropping-particle" : "", "parse-names" : false, "suffix" : "" }, { "dropping-particle" : "", "family" : "O'Connor", "given" : "T. G.", "non-dropping-particle" : "", "parse-names" : false, "suffix" : "" } ], "container-title" : "British Journal of Psychiatry", "id" : "ITEM-1", "issue" : "AUG.", "issued" : { "date-parts" : [ [ "2001" ] ] }, "page" : "97-103", "title" : "Specificity and heterogeneity in children's responses to profound institutional privation", "type" : "article-journal", "volume" : "179" }, "uris" : [ "http://www.mendeley.com/documents/?uuid=ad7fae58-c383-4815-a1a9-b991327fe85d" ] } ], "mendeley" : { "formattedCitation" : "(99)", "plainTextFormattedCitation" : "(99)", "previouslyFormattedCitation" : "(99)" }, "properties" : { "noteIndex" : 7 }, "schema" : "https://github.com/citation-style-language/schema/raw/master/csl-citation.json" }</w:instrText>
      </w:r>
      <w:r w:rsidR="00BC3BBB" w:rsidRPr="00F71665">
        <w:rPr>
          <w:rFonts w:ascii="Arial" w:hAnsi="Arial" w:cs="Arial"/>
          <w:sz w:val="22"/>
          <w:szCs w:val="22"/>
        </w:rPr>
        <w:fldChar w:fldCharType="separate"/>
      </w:r>
      <w:r w:rsidRPr="00F71665">
        <w:rPr>
          <w:rFonts w:ascii="Arial" w:hAnsi="Arial" w:cs="Arial"/>
          <w:noProof/>
          <w:sz w:val="22"/>
          <w:szCs w:val="22"/>
        </w:rPr>
        <w:t>(99)</w:t>
      </w:r>
      <w:r w:rsidR="00BC3BBB" w:rsidRPr="00F71665">
        <w:rPr>
          <w:rFonts w:ascii="Arial" w:hAnsi="Arial" w:cs="Arial"/>
          <w:sz w:val="22"/>
          <w:szCs w:val="22"/>
        </w:rPr>
        <w:fldChar w:fldCharType="end"/>
      </w:r>
      <w:r w:rsidRPr="00F71665">
        <w:rPr>
          <w:rFonts w:ascii="Arial" w:hAnsi="Arial" w:cs="Arial"/>
          <w:sz w:val="22"/>
          <w:szCs w:val="22"/>
        </w:rPr>
        <w:t xml:space="preserve">. </w:t>
      </w:r>
    </w:p>
    <w:p w:rsidR="00C60153" w:rsidRPr="00F71665" w:rsidRDefault="00C60153" w:rsidP="00C60153">
      <w:pPr>
        <w:pStyle w:val="HTMLncedenBiimlendirilmi"/>
        <w:shd w:val="clear" w:color="auto" w:fill="FFFFFF"/>
        <w:spacing w:line="360" w:lineRule="auto"/>
        <w:jc w:val="both"/>
        <w:rPr>
          <w:rFonts w:ascii="Arial" w:hAnsi="Arial" w:cs="Arial"/>
          <w:b/>
          <w:sz w:val="22"/>
          <w:szCs w:val="22"/>
        </w:rPr>
      </w:pPr>
      <w:r w:rsidRPr="00F71665">
        <w:rPr>
          <w:rFonts w:ascii="Arial" w:hAnsi="Arial" w:cs="Arial"/>
          <w:b/>
          <w:sz w:val="22"/>
          <w:szCs w:val="22"/>
          <w:shd w:val="clear" w:color="auto" w:fill="FFFFFF"/>
        </w:rPr>
        <w:tab/>
        <w:t>Gen - Çevre Etkileşimi</w:t>
      </w:r>
    </w:p>
    <w:p w:rsidR="00C60153" w:rsidRPr="00F71665" w:rsidRDefault="00C60153" w:rsidP="00C60153">
      <w:pPr>
        <w:pStyle w:val="HTMLncedenBiimlendirilmi"/>
        <w:shd w:val="clear" w:color="auto" w:fill="FFFFFF"/>
        <w:spacing w:line="360" w:lineRule="auto"/>
        <w:jc w:val="both"/>
        <w:rPr>
          <w:rFonts w:ascii="Arial" w:hAnsi="Arial" w:cs="Arial"/>
          <w:sz w:val="22"/>
          <w:szCs w:val="22"/>
          <w:shd w:val="clear" w:color="auto" w:fill="FFFFFF"/>
        </w:rPr>
      </w:pPr>
      <w:r w:rsidRPr="00F71665">
        <w:rPr>
          <w:rFonts w:ascii="Arial" w:hAnsi="Arial" w:cs="Arial"/>
          <w:sz w:val="22"/>
          <w:szCs w:val="22"/>
        </w:rPr>
        <w:tab/>
      </w:r>
      <w:r w:rsidRPr="00F71665">
        <w:rPr>
          <w:rFonts w:ascii="Arial" w:hAnsi="Arial" w:cs="Arial"/>
          <w:sz w:val="22"/>
          <w:szCs w:val="22"/>
          <w:shd w:val="clear" w:color="auto" w:fill="FFFFFF"/>
        </w:rPr>
        <w:t xml:space="preserve">DEHB gibi kompleks bozuklukların genellikle genetik ve çevresel faktörlerin etkileşiminin sonucu olarak geliştiği belirtilmiştir </w:t>
      </w:r>
      <w:r w:rsidR="00BC3BBB" w:rsidRPr="00F71665">
        <w:rPr>
          <w:rFonts w:ascii="Arial" w:hAnsi="Arial" w:cs="Arial"/>
          <w:sz w:val="22"/>
          <w:szCs w:val="22"/>
          <w:shd w:val="clear" w:color="auto" w:fill="FFFFFF"/>
        </w:rPr>
        <w:fldChar w:fldCharType="begin" w:fldLock="1"/>
      </w:r>
      <w:r w:rsidRPr="00F71665">
        <w:rPr>
          <w:rFonts w:ascii="Arial" w:hAnsi="Arial" w:cs="Arial"/>
          <w:sz w:val="22"/>
          <w:szCs w:val="22"/>
          <w:shd w:val="clear" w:color="auto" w:fill="FFFFFF"/>
        </w:rPr>
        <w:instrText>ADDIN CSL_CITATION { "citationItems" : [ { "id" : "ITEM-1", "itemData" : { "DOI" : "10.1111/j.1469-7610.2005.01557.x", "ISBN" : "0021-9630 (Print)\\n0021-9630 (Linking)", "ISSN" : "00219630", "PMID" : "16492258", "abstract" : "Gene-environment interplay is a general term that covers several divergent concepts with different meanings and different implications. In this review, we evaluate research evidence on four varieties of gene-environment interplay. First, we consider epigenetic mechanisms by which environmental influences alter the effects of genes. Second, we focus on variations in heritability according to environmental circumstances. Third, we discuss what is known about gene-environment correlations. Finally, we assess concepts and findings on the interaction between specific identified genes and specific measured environmental risks. In order to provide an understanding of what may be involved in gene-environment interplay, we begin our presentation with a brief historical review of prevailing views about the role of genetic and environmental factors in the causation of mental disorders, and we provide a simplified account of some of the key features of how genes 'work'.", "author" : [ { "dropping-particle" : "", "family" : "Rutter", "given" : "Michael", "non-dropping-particle" : "", "parse-names" : false, "suffix" : "" }, { "dropping-particle" : "", "family" : "Moffitt", "given" : "Terrie E.", "non-dropping-particle" : "", "parse-names" : false, "suffix" : "" }, { "dropping-particle" : "", "family" : "Caspi", "given" : "Avshalom", "non-dropping-particle" : "", "parse-names" : false, "suffix" : "" } ], "container-title" : "Journal of Child Psychology and Psychiatry and Allied Disciplines", "id" : "ITEM-1", "issue" : "3-4", "issued" : { "date-parts" : [ [ "2006" ] ] }, "page" : "226-261", "title" : "Gene-environment interplay and psychopathology: Multiple varieties but real effects", "type" : "article-journal", "volume" : "47" }, "uris" : [ "http://www.mendeley.com/documents/?uuid=e54bf3fc-9cf7-4cfc-9441-cea1654e4281" ] } ], "mendeley" : { "formattedCitation" : "(100)", "plainTextFormattedCitation" : "(100)", "previouslyFormattedCitation" : "(100)" }, "properties" : { "noteIndex" : 7 }, "schema" : "https://github.com/citation-style-language/schema/raw/master/csl-citation.json" }</w:instrText>
      </w:r>
      <w:r w:rsidR="00BC3BBB" w:rsidRPr="00F71665">
        <w:rPr>
          <w:rFonts w:ascii="Arial" w:hAnsi="Arial" w:cs="Arial"/>
          <w:sz w:val="22"/>
          <w:szCs w:val="22"/>
          <w:shd w:val="clear" w:color="auto" w:fill="FFFFFF"/>
        </w:rPr>
        <w:fldChar w:fldCharType="separate"/>
      </w:r>
      <w:r w:rsidRPr="00F71665">
        <w:rPr>
          <w:rFonts w:ascii="Arial" w:hAnsi="Arial" w:cs="Arial"/>
          <w:noProof/>
          <w:sz w:val="22"/>
          <w:szCs w:val="22"/>
          <w:shd w:val="clear" w:color="auto" w:fill="FFFFFF"/>
        </w:rPr>
        <w:t>(100)</w:t>
      </w:r>
      <w:r w:rsidR="00BC3BBB" w:rsidRPr="00F71665">
        <w:rPr>
          <w:rFonts w:ascii="Arial" w:hAnsi="Arial" w:cs="Arial"/>
          <w:sz w:val="22"/>
          <w:szCs w:val="22"/>
          <w:shd w:val="clear" w:color="auto" w:fill="FFFFFF"/>
        </w:rPr>
        <w:fldChar w:fldCharType="end"/>
      </w:r>
      <w:r w:rsidRPr="00F71665">
        <w:rPr>
          <w:rFonts w:ascii="Arial" w:hAnsi="Arial" w:cs="Arial"/>
          <w:sz w:val="22"/>
          <w:szCs w:val="22"/>
          <w:shd w:val="clear" w:color="auto" w:fill="FFFFFF"/>
        </w:rPr>
        <w:t>.</w:t>
      </w:r>
      <w:r w:rsidRPr="00F71665">
        <w:rPr>
          <w:rFonts w:ascii="Arial" w:hAnsi="Arial" w:cs="Arial"/>
          <w:color w:val="4F81BD" w:themeColor="accent1"/>
          <w:sz w:val="22"/>
          <w:szCs w:val="22"/>
          <w:shd w:val="clear" w:color="auto" w:fill="FFFFFF"/>
        </w:rPr>
        <w:t xml:space="preserve"> </w:t>
      </w:r>
      <w:r w:rsidRPr="00F71665">
        <w:rPr>
          <w:rFonts w:ascii="Arial" w:hAnsi="Arial" w:cs="Arial"/>
          <w:color w:val="000000" w:themeColor="text1"/>
          <w:sz w:val="22"/>
          <w:szCs w:val="22"/>
          <w:shd w:val="clear" w:color="auto" w:fill="FFFFFF"/>
        </w:rPr>
        <w:t xml:space="preserve">Gen çevre </w:t>
      </w:r>
      <w:r w:rsidRPr="00F71665">
        <w:rPr>
          <w:rFonts w:ascii="Arial" w:hAnsi="Arial" w:cs="Arial"/>
          <w:color w:val="000000" w:themeColor="text1"/>
          <w:sz w:val="22"/>
          <w:szCs w:val="22"/>
          <w:shd w:val="clear" w:color="auto" w:fill="FFFFFF"/>
        </w:rPr>
        <w:lastRenderedPageBreak/>
        <w:t>etkileşimlerinin (</w:t>
      </w:r>
      <w:r w:rsidRPr="00F71665">
        <w:rPr>
          <w:rFonts w:ascii="Arial" w:hAnsi="Arial" w:cs="Arial"/>
          <w:sz w:val="22"/>
          <w:szCs w:val="22"/>
          <w:shd w:val="clear" w:color="auto" w:fill="FFFFFF"/>
        </w:rPr>
        <w:t>GxE</w:t>
      </w:r>
      <w:r w:rsidRPr="00F71665">
        <w:rPr>
          <w:rFonts w:ascii="Arial" w:hAnsi="Arial" w:cs="Arial"/>
          <w:color w:val="000000" w:themeColor="text1"/>
          <w:sz w:val="22"/>
          <w:szCs w:val="22"/>
          <w:shd w:val="clear" w:color="auto" w:fill="FFFFFF"/>
        </w:rPr>
        <w:t xml:space="preserve">), neden bazı çocuklar çevresel risklere duyarlıyken, diğerlerinin dirençli olduğunu anlamak için makul bir açıklama olduğu düşünülmektedir </w:t>
      </w:r>
      <w:r w:rsidR="00BC3BBB" w:rsidRPr="00F71665">
        <w:rPr>
          <w:rFonts w:ascii="Arial" w:hAnsi="Arial" w:cs="Arial"/>
          <w:color w:val="000000" w:themeColor="text1"/>
          <w:sz w:val="22"/>
          <w:szCs w:val="22"/>
          <w:shd w:val="clear" w:color="auto" w:fill="FFFFFF"/>
        </w:rPr>
        <w:fldChar w:fldCharType="begin" w:fldLock="1"/>
      </w:r>
      <w:r w:rsidRPr="00F71665">
        <w:rPr>
          <w:rFonts w:ascii="Arial" w:hAnsi="Arial" w:cs="Arial"/>
          <w:color w:val="000000" w:themeColor="text1"/>
          <w:sz w:val="22"/>
          <w:szCs w:val="22"/>
          <w:shd w:val="clear" w:color="auto" w:fill="FFFFFF"/>
        </w:rPr>
        <w:instrText>ADDIN CSL_CITATION { "citationItems" : [ { "id" : "ITEM-1", "itemData" : { "DOI" : "10.1007/s00787-009-0082-z", "ISBN" : "1435-165X (Electronic)\\n1018-8827 (Linking)", "ISSN" : "10188827", "PMID" : "20024596", "abstract" : "It is now generally accepted that complex mental disorders are the results of interplay between genetic and environmental factors. This holds out the prospect that by studying G x E interplay we can explain individual variation in vulnerability and resilience to environmental hazards in the development of mental disorders. Furthermore studying G x E findings may give insights in neurobiological mechanisms of psychiatric disorder and so improve individualized treatment and potentially prevention. In this paper, we provide an overview of the state of field with regard to G x E in mental disorders. Strategies for G x E research are introduced. G x E findings from selected mental disorders with onset in childhood or adolescence are reviewed [such as depressive disorders, attention-deficit/hyperactivity disorder (ADHD), obesity, schizophrenia and substance use disorders]. Early seminal studies provided evidence for G x E in the pathogenesis of depression implicating 5-HTTLPR, and conduct problems implicating MAOA. Since then G x E effects have been seen across a wide range of mental disorders (e.g., ADHD, anxiety, schizophrenia, substance abuse disorder) implicating a wide range of measured genes and measured environments (e.g., pre-, peri- and postnatal influences of both a physical and a social nature). To date few of these G x E effects have been sufficiently replicated. Indeed meta-analyses have raised doubts about the robustness of even the most well studied findings. In future we need larger, sufficiently powered studies that include a detailed and sophisticated characterization of both phenotype and the environmental risk.", "author" : [ { "dropping-particle" : "", "family" : "Wermter", "given" : "Anne Kathrin", "non-dropping-particle" : "", "parse-names" : false, "suffix" : "" }, { "dropping-particle" : "", "family" : "Laucht", "given" : "Manfred", "non-dropping-particle" : "", "parse-names" : false, "suffix" : "" }, { "dropping-particle" : "", "family" : "Schimmelmann", "given" : "Benno G.", "non-dropping-particle" : "", "parse-names" : false, "suffix" : "" }, { "dropping-particle" : "", "family" : "Banaschweski", "given" : "Tobias", "non-dropping-particle" : "", "parse-names" : false, "suffix" : "" }, { "dropping-particle" : "", "family" : "Sonuga-Barke", "given" : "Edmund J.S.", "non-dropping-particle" : "", "parse-names" : false, "suffix" : "" }, { "dropping-particle" : "", "family" : "Rietschel", "given" : "Marcella", "non-dropping-particle" : "", "parse-names" : false, "suffix" : "" }, { "dropping-particle" : "", "family" : "Becker", "given" : "Katja", "non-dropping-particle" : "", "parse-names" : false, "suffix" : "" } ], "container-title" : "European Child and Adolescent Psychiatry", "id" : "ITEM-1", "issue" : "3", "issued" : { "date-parts" : [ [ "2010" ] ] }, "page" : "199-210", "title" : "From nature versus nurture, via nature and nurture, to gene \u00d7 environment interaction in mental disorders", "type" : "article-journal", "volume" : "19" }, "uris" : [ "http://www.mendeley.com/documents/?uuid=8c41c6b2-fe5a-406c-88b1-112d3ac8f9f9" ] } ], "mendeley" : { "formattedCitation" : "(101)", "plainTextFormattedCitation" : "(101)", "previouslyFormattedCitation" : "(101)" }, "properties" : { "noteIndex" : 7 }, "schema" : "https://github.com/citation-style-language/schema/raw/master/csl-citation.json" }</w:instrText>
      </w:r>
      <w:r w:rsidR="00BC3BBB" w:rsidRPr="00F71665">
        <w:rPr>
          <w:rFonts w:ascii="Arial" w:hAnsi="Arial" w:cs="Arial"/>
          <w:color w:val="000000" w:themeColor="text1"/>
          <w:sz w:val="22"/>
          <w:szCs w:val="22"/>
          <w:shd w:val="clear" w:color="auto" w:fill="FFFFFF"/>
        </w:rPr>
        <w:fldChar w:fldCharType="separate"/>
      </w:r>
      <w:r w:rsidRPr="00F71665">
        <w:rPr>
          <w:rFonts w:ascii="Arial" w:hAnsi="Arial" w:cs="Arial"/>
          <w:noProof/>
          <w:color w:val="000000" w:themeColor="text1"/>
          <w:sz w:val="22"/>
          <w:szCs w:val="22"/>
          <w:shd w:val="clear" w:color="auto" w:fill="FFFFFF"/>
        </w:rPr>
        <w:t>(101)</w:t>
      </w:r>
      <w:r w:rsidR="00BC3BBB" w:rsidRPr="00F71665">
        <w:rPr>
          <w:rFonts w:ascii="Arial" w:hAnsi="Arial" w:cs="Arial"/>
          <w:color w:val="000000" w:themeColor="text1"/>
          <w:sz w:val="22"/>
          <w:szCs w:val="22"/>
          <w:shd w:val="clear" w:color="auto" w:fill="FFFFFF"/>
        </w:rPr>
        <w:fldChar w:fldCharType="end"/>
      </w:r>
      <w:r w:rsidRPr="00F71665">
        <w:rPr>
          <w:rFonts w:ascii="Arial" w:hAnsi="Arial" w:cs="Arial"/>
          <w:color w:val="000000" w:themeColor="text1"/>
          <w:sz w:val="22"/>
          <w:szCs w:val="22"/>
          <w:shd w:val="clear" w:color="auto" w:fill="FFFFFF"/>
        </w:rPr>
        <w:t>.</w:t>
      </w:r>
      <w:r w:rsidRPr="00F71665">
        <w:rPr>
          <w:rFonts w:ascii="Arial" w:hAnsi="Arial" w:cs="Arial"/>
          <w:color w:val="333333"/>
          <w:sz w:val="22"/>
          <w:szCs w:val="22"/>
          <w:bdr w:val="none" w:sz="0" w:space="0" w:color="auto" w:frame="1"/>
          <w:shd w:val="clear" w:color="auto" w:fill="FFFFFF"/>
        </w:rPr>
        <w:t xml:space="preserve"> </w:t>
      </w:r>
      <w:r w:rsidRPr="00F71665">
        <w:rPr>
          <w:rFonts w:ascii="Arial" w:hAnsi="Arial" w:cs="Arial"/>
          <w:sz w:val="22"/>
          <w:szCs w:val="22"/>
          <w:shd w:val="clear" w:color="auto" w:fill="FFFFFF"/>
        </w:rPr>
        <w:t xml:space="preserve">Bebeklik döneminlerini inceleyen keşif çalışmaları, belirli genetik değişkenlerin ve çevresel faktörlerin etkileşime girerek DEHB riskini artırdığı koşulları tanımlamaya başlamıştır </w:t>
      </w:r>
      <w:r w:rsidR="00BC3BBB" w:rsidRPr="00F71665">
        <w:rPr>
          <w:rFonts w:ascii="Arial" w:hAnsi="Arial" w:cs="Arial"/>
          <w:sz w:val="22"/>
          <w:szCs w:val="22"/>
        </w:rPr>
        <w:fldChar w:fldCharType="begin" w:fldLock="1"/>
      </w:r>
      <w:r w:rsidRPr="00F71665">
        <w:rPr>
          <w:rFonts w:ascii="Arial" w:hAnsi="Arial" w:cs="Arial"/>
          <w:sz w:val="22"/>
          <w:szCs w:val="22"/>
        </w:rPr>
        <w:instrText>ADDIN CSL_CITATION { "citationItems" : [ { "id" : "ITEM-1", "itemData" : { "DOI" : "10.1016/j.jaac.2010.01.025", "ISBN" : "0391-1977 (Print)\\r0391-1977 (Linking)", "ISSN" : "08908567", "PMID" : "20732623", "abstract" : "Objective: To summarize and evaluate the state of knowledge regarding the role of measured gene-by-environment interactions in relation to attention-deficit/hyperactivity disorder. Method: A selective review of methodologic issues was followed by a systematic search for relevant articles on measured gene-by-environment interactions; the search yielded 16 studies, which are discussed in qualitative fashion. Results: Relatively consistent evidence points to the interaction of genotype with psychosocial factors in the development of attention-deficit/hyperactivity disorder. The next step is to identify the mechanisms on the environment side and the gene combinations on the genetic side accounting for this effect. In contrast, evidence for gene-by-environment interactions involving pre- and perinatal risk factors is generally negative or unreplicated. The aggregate effect size for psychosocial interaction with genotype is more than double that for the interaction of pre- and perinatal risks with genotype. Only a small fraction of candidate environments and gene markers has been studied, and multivariate methods to integrate multiple gene or environment markers have yet to be implemented. Conclusions: Gene-by-environment interaction appears likely to prove fruitful in understanding the etiology of attention-deficit/hyperactivity disorder. Findings to date already suggest new avenues of investigation particularly involving psychosocial mechanisms and their interplay with genotype. Further pursuit of theoretically promising leads is recommended. ?? 2010 American Academy of Child and Adolescent Psychiatry.", "author" : [ { "dropping-particle" : "", "family" : "Nigg", "given" : "Joel", "non-dropping-particle" : "", "parse-names" : false, "suffix" : "" }, { "dropping-particle" : "", "family" : "Nikolas", "given" : "Molly", "non-dropping-particle" : "", "parse-names" : false, "suffix" : "" }, { "dropping-particle" : "", "family" : "Burt", "given" : "S. Alexandra", "non-dropping-particle" : "", "parse-names" : false, "suffix" : "" } ], "container-title" : "Journal of the American Academy of Child and Adolescent Psychiatry", "id" : "ITEM-1", "issue" : "9", "issued" : { "date-parts" : [ [ "2010" ] ] }, "page" : "863-873", "title" : "Measured gene-by-environment interaction in relation to attention-deficit/hyperactivity disorder", "type" : "article-journal", "volume" : "49" }, "uris" : [ "http://www.mendeley.com/documents/?uuid=0c00626d-7425-4e1e-bc8b-a65eaae6ff21" ] } ], "mendeley" : { "formattedCitation" : "(64)", "plainTextFormattedCitation" : "(64)", "previouslyFormattedCitation" : "(64)" }, "properties" : { "noteIndex" : 7 }, "schema" : "https://github.com/citation-style-language/schema/raw/master/csl-citation.json" }</w:instrText>
      </w:r>
      <w:r w:rsidR="00BC3BBB" w:rsidRPr="00F71665">
        <w:rPr>
          <w:rFonts w:ascii="Arial" w:hAnsi="Arial" w:cs="Arial"/>
          <w:sz w:val="22"/>
          <w:szCs w:val="22"/>
        </w:rPr>
        <w:fldChar w:fldCharType="separate"/>
      </w:r>
      <w:r w:rsidRPr="00F71665">
        <w:rPr>
          <w:rFonts w:ascii="Arial" w:hAnsi="Arial" w:cs="Arial"/>
          <w:noProof/>
          <w:sz w:val="22"/>
          <w:szCs w:val="22"/>
        </w:rPr>
        <w:t>(64)</w:t>
      </w:r>
      <w:r w:rsidR="00BC3BBB" w:rsidRPr="00F71665">
        <w:rPr>
          <w:rFonts w:ascii="Arial" w:hAnsi="Arial" w:cs="Arial"/>
          <w:sz w:val="22"/>
          <w:szCs w:val="22"/>
        </w:rPr>
        <w:fldChar w:fldCharType="end"/>
      </w:r>
      <w:r w:rsidRPr="00F71665">
        <w:rPr>
          <w:rFonts w:ascii="Arial" w:hAnsi="Arial" w:cs="Arial"/>
          <w:sz w:val="22"/>
          <w:szCs w:val="22"/>
        </w:rPr>
        <w:t xml:space="preserve">. </w:t>
      </w:r>
      <w:r w:rsidRPr="00F71665">
        <w:rPr>
          <w:rFonts w:ascii="Arial" w:hAnsi="Arial" w:cs="Arial"/>
          <w:sz w:val="22"/>
          <w:szCs w:val="22"/>
          <w:shd w:val="clear" w:color="auto" w:fill="FFFFFF"/>
        </w:rPr>
        <w:t xml:space="preserve">Ayrıca genler ve çevrenin başka yollarla da örtüşebileceği (gen - çevre korelasyonları, gene - enviroment correlations; rGE) bildirilmiştir. Örneğin genler bir kişinin maruz kaldığı çevre türünü (alınan ebeveynlik kalitesi vb.) belirleyebilmekte,  çevreyle ilgili deneyim de gen ekspresyonunu etkileyebilmektedir </w:t>
      </w:r>
      <w:r w:rsidR="00BC3BBB" w:rsidRPr="00F71665">
        <w:rPr>
          <w:rFonts w:ascii="Arial" w:hAnsi="Arial" w:cs="Arial"/>
          <w:sz w:val="22"/>
          <w:szCs w:val="22"/>
          <w:shd w:val="clear" w:color="auto" w:fill="FFFFFF"/>
        </w:rPr>
        <w:fldChar w:fldCharType="begin" w:fldLock="1"/>
      </w:r>
      <w:r w:rsidRPr="00F71665">
        <w:rPr>
          <w:rFonts w:ascii="Arial" w:hAnsi="Arial" w:cs="Arial"/>
          <w:sz w:val="22"/>
          <w:szCs w:val="22"/>
          <w:shd w:val="clear" w:color="auto" w:fill="FFFFFF"/>
        </w:rPr>
        <w:instrText>ADDIN CSL_CITATION { "citationItems" : [ { "id" : "ITEM-1", "itemData" : { "DOI" : "10.1111/j.1469-7610.2005.01557.x", "ISBN" : "0021-9630 (Print)\\n0021-9630 (Linking)", "ISSN" : "00219630", "PMID" : "16492258", "abstract" : "Gene-environment interplay is a general term that covers several divergent concepts with different meanings and different implications. In this review, we evaluate research evidence on four varieties of gene-environment interplay. First, we consider epigenetic mechanisms by which environmental influences alter the effects of genes. Second, we focus on variations in heritability according to environmental circumstances. Third, we discuss what is known about gene-environment correlations. Finally, we assess concepts and findings on the interaction between specific identified genes and specific measured environmental risks. In order to provide an understanding of what may be involved in gene-environment interplay, we begin our presentation with a brief historical review of prevailing views about the role of genetic and environmental factors in the causation of mental disorders, and we provide a simplified account of some of the key features of how genes 'work'.", "author" : [ { "dropping-particle" : "", "family" : "Rutter", "given" : "Michael", "non-dropping-particle" : "", "parse-names" : false, "suffix" : "" }, { "dropping-particle" : "", "family" : "Moffitt", "given" : "Terrie E.", "non-dropping-particle" : "", "parse-names" : false, "suffix" : "" }, { "dropping-particle" : "", "family" : "Caspi", "given" : "Avshalom", "non-dropping-particle" : "", "parse-names" : false, "suffix" : "" } ], "container-title" : "Journal of Child Psychology and Psychiatry and Allied Disciplines", "id" : "ITEM-1", "issue" : "3-4", "issued" : { "date-parts" : [ [ "2006" ] ] }, "page" : "226-261", "title" : "Gene-environment interplay and psychopathology: Multiple varieties but real effects", "type" : "article-journal", "volume" : "47" }, "uris" : [ "http://www.mendeley.com/documents/?uuid=e54bf3fc-9cf7-4cfc-9441-cea1654e4281" ] } ], "mendeley" : { "formattedCitation" : "(100)", "plainTextFormattedCitation" : "(100)", "previouslyFormattedCitation" : "(100)" }, "properties" : { "noteIndex" : 7 }, "schema" : "https://github.com/citation-style-language/schema/raw/master/csl-citation.json" }</w:instrText>
      </w:r>
      <w:r w:rsidR="00BC3BBB" w:rsidRPr="00F71665">
        <w:rPr>
          <w:rFonts w:ascii="Arial" w:hAnsi="Arial" w:cs="Arial"/>
          <w:sz w:val="22"/>
          <w:szCs w:val="22"/>
          <w:shd w:val="clear" w:color="auto" w:fill="FFFFFF"/>
        </w:rPr>
        <w:fldChar w:fldCharType="separate"/>
      </w:r>
      <w:r w:rsidRPr="00F71665">
        <w:rPr>
          <w:rFonts w:ascii="Arial" w:hAnsi="Arial" w:cs="Arial"/>
          <w:noProof/>
          <w:sz w:val="22"/>
          <w:szCs w:val="22"/>
          <w:shd w:val="clear" w:color="auto" w:fill="FFFFFF"/>
        </w:rPr>
        <w:t>(100)</w:t>
      </w:r>
      <w:r w:rsidR="00BC3BBB" w:rsidRPr="00F71665">
        <w:rPr>
          <w:rFonts w:ascii="Arial" w:hAnsi="Arial" w:cs="Arial"/>
          <w:sz w:val="22"/>
          <w:szCs w:val="22"/>
          <w:shd w:val="clear" w:color="auto" w:fill="FFFFFF"/>
        </w:rPr>
        <w:fldChar w:fldCharType="end"/>
      </w:r>
      <w:r w:rsidRPr="00F71665">
        <w:rPr>
          <w:rFonts w:ascii="Arial" w:hAnsi="Arial" w:cs="Arial"/>
          <w:sz w:val="22"/>
          <w:szCs w:val="22"/>
          <w:shd w:val="clear" w:color="auto" w:fill="FFFFFF"/>
        </w:rPr>
        <w:t xml:space="preserve">. Bu nedenle rGE GxE şeklinde açığa çıkabilir ve gelecekteki çalışmaların potansiyel etkileri açısından araştırmaciların rGE'yi kontrol etmelerinin gerekliliği vurgulanmıştır </w:t>
      </w:r>
      <w:r w:rsidR="00BC3BBB" w:rsidRPr="00F71665">
        <w:rPr>
          <w:rFonts w:ascii="Arial" w:hAnsi="Arial" w:cs="Arial"/>
          <w:sz w:val="22"/>
          <w:szCs w:val="22"/>
          <w:shd w:val="clear" w:color="auto" w:fill="FFFFFF"/>
        </w:rPr>
        <w:fldChar w:fldCharType="begin" w:fldLock="1"/>
      </w:r>
      <w:r w:rsidRPr="00F71665">
        <w:rPr>
          <w:rFonts w:ascii="Arial" w:hAnsi="Arial" w:cs="Arial"/>
          <w:sz w:val="22"/>
          <w:szCs w:val="22"/>
          <w:shd w:val="clear" w:color="auto" w:fill="FFFFFF"/>
        </w:rPr>
        <w:instrText>ADDIN CSL_CITATION { "citationItems" : [ { "id" : "ITEM-1", "itemData" : { "DOI" : "10.1007/s00787-009-0082-z", "ISBN" : "1435-165X (Electronic)\\n1018-8827 (Linking)", "ISSN" : "10188827", "PMID" : "20024596", "abstract" : "It is now generally accepted that complex mental disorders are the results of interplay between genetic and environmental factors. This holds out the prospect that by studying G x E interplay we can explain individual variation in vulnerability and resilience to environmental hazards in the development of mental disorders. Furthermore studying G x E findings may give insights in neurobiological mechanisms of psychiatric disorder and so improve individualized treatment and potentially prevention. In this paper, we provide an overview of the state of field with regard to G x E in mental disorders. Strategies for G x E research are introduced. G x E findings from selected mental disorders with onset in childhood or adolescence are reviewed [such as depressive disorders, attention-deficit/hyperactivity disorder (ADHD), obesity, schizophrenia and substance use disorders]. Early seminal studies provided evidence for G x E in the pathogenesis of depression implicating 5-HTTLPR, and conduct problems implicating MAOA. Since then G x E effects have been seen across a wide range of mental disorders (e.g., ADHD, anxiety, schizophrenia, substance abuse disorder) implicating a wide range of measured genes and measured environments (e.g., pre-, peri- and postnatal influences of both a physical and a social nature). To date few of these G x E effects have been sufficiently replicated. Indeed meta-analyses have raised doubts about the robustness of even the most well studied findings. In future we need larger, sufficiently powered studies that include a detailed and sophisticated characterization of both phenotype and the environmental risk.", "author" : [ { "dropping-particle" : "", "family" : "Wermter", "given" : "Anne Kathrin", "non-dropping-particle" : "", "parse-names" : false, "suffix" : "" }, { "dropping-particle" : "", "family" : "Laucht", "given" : "Manfred", "non-dropping-particle" : "", "parse-names" : false, "suffix" : "" }, { "dropping-particle" : "", "family" : "Schimmelmann", "given" : "Benno G.", "non-dropping-particle" : "", "parse-names" : false, "suffix" : "" }, { "dropping-particle" : "", "family" : "Banaschweski", "given" : "Tobias", "non-dropping-particle" : "", "parse-names" : false, "suffix" : "" }, { "dropping-particle" : "", "family" : "Sonuga-Barke", "given" : "Edmund J.S.", "non-dropping-particle" : "", "parse-names" : false, "suffix" : "" }, { "dropping-particle" : "", "family" : "Rietschel", "given" : "Marcella", "non-dropping-particle" : "", "parse-names" : false, "suffix" : "" }, { "dropping-particle" : "", "family" : "Becker", "given" : "Katja", "non-dropping-particle" : "", "parse-names" : false, "suffix" : "" } ], "container-title" : "European Child and Adolescent Psychiatry", "id" : "ITEM-1", "issue" : "3", "issued" : { "date-parts" : [ [ "2010" ] ] }, "page" : "199-210", "title" : "From nature versus nurture, via nature and nurture, to gene \u00d7 environment interaction in mental disorders", "type" : "article-journal", "volume" : "19" }, "uris" : [ "http://www.mendeley.com/documents/?uuid=8c41c6b2-fe5a-406c-88b1-112d3ac8f9f9" ] } ], "mendeley" : { "formattedCitation" : "(101)", "plainTextFormattedCitation" : "(101)", "previouslyFormattedCitation" : "(101)" }, "properties" : { "noteIndex" : 7 }, "schema" : "https://github.com/citation-style-language/schema/raw/master/csl-citation.json" }</w:instrText>
      </w:r>
      <w:r w:rsidR="00BC3BBB" w:rsidRPr="00F71665">
        <w:rPr>
          <w:rFonts w:ascii="Arial" w:hAnsi="Arial" w:cs="Arial"/>
          <w:sz w:val="22"/>
          <w:szCs w:val="22"/>
          <w:shd w:val="clear" w:color="auto" w:fill="FFFFFF"/>
        </w:rPr>
        <w:fldChar w:fldCharType="separate"/>
      </w:r>
      <w:r w:rsidRPr="00F71665">
        <w:rPr>
          <w:rFonts w:ascii="Arial" w:hAnsi="Arial" w:cs="Arial"/>
          <w:noProof/>
          <w:sz w:val="22"/>
          <w:szCs w:val="22"/>
          <w:shd w:val="clear" w:color="auto" w:fill="FFFFFF"/>
        </w:rPr>
        <w:t>(101)</w:t>
      </w:r>
      <w:r w:rsidR="00BC3BBB" w:rsidRPr="00F71665">
        <w:rPr>
          <w:rFonts w:ascii="Arial" w:hAnsi="Arial" w:cs="Arial"/>
          <w:sz w:val="22"/>
          <w:szCs w:val="22"/>
          <w:shd w:val="clear" w:color="auto" w:fill="FFFFFF"/>
        </w:rPr>
        <w:fldChar w:fldCharType="end"/>
      </w:r>
      <w:r w:rsidRPr="00F71665">
        <w:rPr>
          <w:rFonts w:ascii="Arial" w:hAnsi="Arial" w:cs="Arial"/>
          <w:sz w:val="22"/>
          <w:szCs w:val="22"/>
          <w:shd w:val="clear" w:color="auto" w:fill="FFFFFF"/>
        </w:rPr>
        <w:t xml:space="preserve">. </w:t>
      </w:r>
    </w:p>
    <w:p w:rsidR="00C60153" w:rsidRPr="00F71665" w:rsidRDefault="00C60153" w:rsidP="00C60153">
      <w:pPr>
        <w:spacing w:line="360" w:lineRule="auto"/>
        <w:ind w:firstLine="567"/>
        <w:contextualSpacing/>
        <w:jc w:val="both"/>
        <w:rPr>
          <w:rFonts w:ascii="Arial" w:hAnsi="Arial" w:cs="Arial"/>
          <w:b/>
          <w:sz w:val="22"/>
          <w:szCs w:val="22"/>
        </w:rPr>
      </w:pPr>
    </w:p>
    <w:p w:rsidR="00C60153" w:rsidRPr="00F71665" w:rsidRDefault="00C60153" w:rsidP="00C60153">
      <w:pPr>
        <w:spacing w:line="360" w:lineRule="auto"/>
        <w:ind w:firstLine="567"/>
        <w:contextualSpacing/>
        <w:jc w:val="both"/>
        <w:rPr>
          <w:rFonts w:ascii="Arial" w:hAnsi="Arial" w:cs="Arial"/>
          <w:b/>
          <w:sz w:val="22"/>
          <w:szCs w:val="22"/>
        </w:rPr>
      </w:pPr>
      <w:r w:rsidRPr="00F71665">
        <w:rPr>
          <w:rFonts w:ascii="Arial" w:hAnsi="Arial" w:cs="Arial"/>
          <w:b/>
          <w:sz w:val="22"/>
          <w:szCs w:val="22"/>
        </w:rPr>
        <w:t>DEĞERLENDİRME</w:t>
      </w:r>
      <w:r w:rsidRPr="00F71665">
        <w:rPr>
          <w:rFonts w:ascii="Arial" w:hAnsi="Arial" w:cs="Arial"/>
          <w:b/>
          <w:sz w:val="22"/>
          <w:szCs w:val="22"/>
        </w:rPr>
        <w:tab/>
      </w:r>
    </w:p>
    <w:p w:rsidR="00C60153" w:rsidRPr="00F71665" w:rsidRDefault="00C60153" w:rsidP="00F71665">
      <w:pPr>
        <w:spacing w:line="360" w:lineRule="auto"/>
        <w:ind w:firstLine="567"/>
        <w:contextualSpacing/>
        <w:jc w:val="both"/>
        <w:rPr>
          <w:rFonts w:ascii="Arial" w:hAnsi="Arial" w:cs="Arial"/>
          <w:sz w:val="22"/>
          <w:szCs w:val="22"/>
        </w:rPr>
      </w:pPr>
      <w:r w:rsidRPr="00F71665">
        <w:rPr>
          <w:rFonts w:ascii="Arial" w:hAnsi="Arial" w:cs="Arial"/>
          <w:sz w:val="22"/>
          <w:szCs w:val="22"/>
        </w:rPr>
        <w:t xml:space="preserve">DEHB değerlendirmesi, çocuk ve ebeveynlerle görüşme, gelişimsel ve tıbbi öykünün alınması, öğretmenden bilgi alınması, komorbid tanıların değerlendirilmesi ve gerekli test ve incelemelerin yapılmasını kapsar. Çocukla yapılan görüşmenin amacı, çocuğun bilişsel ve psikiyatrik durumunu değerlendirmektir. Ebeveynlerle görüşmede, genel psikiyatrik muayene sonrası DSM-5’te yer alan 18 DEHB belirtisi aileyle birlikte değerlendirilir. Tıbbi durum değerlendirmesinde genel fizik bakı, boy-kilo ölçümü, kan basıncı ve nabız kontrolü istenir. DEHB belirtilerini taklit eden bir bozukluğun varlığı açısından genel sağlık durumunun pediatrist tarafından değerlendirilmesi gerekebilir </w:t>
      </w:r>
      <w:r w:rsidR="00BC3BBB" w:rsidRPr="00F71665">
        <w:rPr>
          <w:rFonts w:ascii="Arial" w:hAnsi="Arial" w:cs="Arial"/>
          <w:sz w:val="22"/>
          <w:szCs w:val="22"/>
        </w:rPr>
        <w:fldChar w:fldCharType="begin" w:fldLock="1"/>
      </w:r>
      <w:r w:rsidRPr="00F71665">
        <w:rPr>
          <w:rFonts w:ascii="Arial" w:hAnsi="Arial" w:cs="Arial"/>
          <w:sz w:val="22"/>
          <w:szCs w:val="22"/>
        </w:rPr>
        <w:instrText>ADDIN CSL_CITATION { "citationItems" : [ { "id" : "ITEM-1", "itemData" : { "author" : [ { "dropping-particle" : "", "family" : "Pekcanlar Akay", "given" : "Aynur", "non-dropping-particle" : "", "parse-names" : false, "suffix" : "" }, { "dropping-particle" : "", "family" : "Ercan", "given" : "Ey\u00fcp Sabri", "non-dropping-particle" : "", "parse-names" : false, "suffix" : "" } ], "container-title" : "T\u00fcrkiye \u00c7ocuk ve Gen\u00e7 Psikiyatrisi Derner\u011fi Yay\u0131n No: 9", "id" : "ITEM-1", "issued" : { "date-parts" : [ [ "2016" ] ] }, "publisher-place" : "Istanbul", "title" : "\u00c7ocuk ve Ergen Ruh Sa\u011fl\u0131\u011f\u0131 ve Hastal\u0131klar\u0131", "type" : "book" }, "uris" : [ "http://www.mendeley.com/documents/?uuid=63b17491-dbbf-4c05-8fcd-0abe6f8c49e4" ] } ], "mendeley" : { "formattedCitation" : "(102)", "plainTextFormattedCitation" : "(102)", "previouslyFormattedCitation" : "(102)" }, "properties" : { "noteIndex" : 7 }, "schema" : "https://github.com/citation-style-language/schema/raw/master/csl-citation.json" }</w:instrText>
      </w:r>
      <w:r w:rsidR="00BC3BBB" w:rsidRPr="00F71665">
        <w:rPr>
          <w:rFonts w:ascii="Arial" w:hAnsi="Arial" w:cs="Arial"/>
          <w:sz w:val="22"/>
          <w:szCs w:val="22"/>
        </w:rPr>
        <w:fldChar w:fldCharType="separate"/>
      </w:r>
      <w:r w:rsidRPr="00F71665">
        <w:rPr>
          <w:rFonts w:ascii="Arial" w:hAnsi="Arial" w:cs="Arial"/>
          <w:noProof/>
          <w:sz w:val="22"/>
          <w:szCs w:val="22"/>
        </w:rPr>
        <w:t>(102)</w:t>
      </w:r>
      <w:r w:rsidR="00BC3BBB" w:rsidRPr="00F71665">
        <w:rPr>
          <w:rFonts w:ascii="Arial" w:hAnsi="Arial" w:cs="Arial"/>
          <w:sz w:val="22"/>
          <w:szCs w:val="22"/>
        </w:rPr>
        <w:fldChar w:fldCharType="end"/>
      </w:r>
      <w:r w:rsidRPr="00F71665">
        <w:rPr>
          <w:rFonts w:ascii="Arial" w:hAnsi="Arial" w:cs="Arial"/>
          <w:sz w:val="22"/>
          <w:szCs w:val="22"/>
        </w:rPr>
        <w:t xml:space="preserve">. </w:t>
      </w:r>
    </w:p>
    <w:p w:rsidR="00C60153" w:rsidRPr="00F71665" w:rsidRDefault="00C60153" w:rsidP="00C60153">
      <w:pPr>
        <w:spacing w:line="360" w:lineRule="auto"/>
        <w:ind w:firstLine="567"/>
        <w:contextualSpacing/>
        <w:jc w:val="both"/>
        <w:rPr>
          <w:rFonts w:ascii="Arial" w:hAnsi="Arial" w:cs="Arial"/>
          <w:b/>
          <w:sz w:val="22"/>
          <w:szCs w:val="22"/>
        </w:rPr>
      </w:pPr>
      <w:r w:rsidRPr="00F71665">
        <w:rPr>
          <w:rFonts w:ascii="Arial" w:hAnsi="Arial" w:cs="Arial"/>
          <w:b/>
          <w:sz w:val="22"/>
          <w:szCs w:val="22"/>
        </w:rPr>
        <w:t>Tanı Ölçütleri</w:t>
      </w:r>
    </w:p>
    <w:p w:rsidR="00C60153" w:rsidRPr="00F71665" w:rsidRDefault="00C60153" w:rsidP="00C60153">
      <w:pPr>
        <w:spacing w:line="360" w:lineRule="auto"/>
        <w:ind w:firstLine="567"/>
        <w:jc w:val="both"/>
        <w:rPr>
          <w:rFonts w:ascii="Arial" w:hAnsi="Arial" w:cs="Arial"/>
          <w:sz w:val="22"/>
          <w:szCs w:val="22"/>
        </w:rPr>
      </w:pPr>
      <w:r w:rsidRPr="00F71665">
        <w:rPr>
          <w:rFonts w:ascii="Arial" w:hAnsi="Arial" w:cs="Arial"/>
          <w:sz w:val="22"/>
          <w:szCs w:val="22"/>
        </w:rPr>
        <w:t>DEHB için güncel tanı ölçütleri DSM-5 (1) ve ICD-10 (122) ile belirlenmiştir.</w:t>
      </w:r>
    </w:p>
    <w:p w:rsidR="00C60153" w:rsidRPr="00F71665" w:rsidRDefault="00C60153" w:rsidP="00C60153">
      <w:pPr>
        <w:spacing w:line="360" w:lineRule="auto"/>
        <w:ind w:firstLine="567"/>
        <w:jc w:val="both"/>
        <w:rPr>
          <w:rFonts w:ascii="Arial" w:hAnsi="Arial" w:cs="Arial"/>
          <w:b/>
          <w:i/>
          <w:sz w:val="22"/>
          <w:szCs w:val="22"/>
        </w:rPr>
      </w:pPr>
      <w:r w:rsidRPr="00F71665">
        <w:rPr>
          <w:rFonts w:ascii="Arial" w:hAnsi="Arial" w:cs="Arial"/>
          <w:b/>
          <w:i/>
          <w:sz w:val="22"/>
          <w:szCs w:val="22"/>
        </w:rPr>
        <w:t>DSM-5’e Göre Dikkat Eksikliği Hiperaktivite Bozukluğu Tanı Ölçütleri</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A.</w:t>
      </w:r>
      <w:r w:rsidRPr="00F71665">
        <w:rPr>
          <w:rFonts w:ascii="Arial" w:hAnsi="Arial" w:cs="Arial"/>
          <w:sz w:val="22"/>
          <w:szCs w:val="22"/>
        </w:rPr>
        <w:tab/>
        <w:t>Aşağıdakilerden (1) ve/ya da (2) ile belirli, işlevsellik ya da gelişimi bozan, süregiden bir dikkatsizlik ve/ ya da aşırı hareketlilik –dürtüsellik örüntüsü:</w:t>
      </w:r>
    </w:p>
    <w:p w:rsidR="00C60153" w:rsidRPr="00F71665" w:rsidRDefault="00C60153" w:rsidP="00C60153">
      <w:pPr>
        <w:spacing w:line="360" w:lineRule="auto"/>
        <w:ind w:firstLine="708"/>
        <w:jc w:val="both"/>
        <w:rPr>
          <w:rFonts w:ascii="Arial" w:hAnsi="Arial" w:cs="Arial"/>
          <w:sz w:val="22"/>
          <w:szCs w:val="22"/>
        </w:rPr>
      </w:pPr>
      <w:r w:rsidRPr="00F71665">
        <w:rPr>
          <w:rFonts w:ascii="Arial" w:hAnsi="Arial" w:cs="Arial"/>
          <w:sz w:val="22"/>
          <w:szCs w:val="22"/>
        </w:rPr>
        <w:t>1.</w:t>
      </w:r>
      <w:r w:rsidRPr="00F71665">
        <w:rPr>
          <w:rFonts w:ascii="Arial" w:hAnsi="Arial" w:cs="Arial"/>
          <w:sz w:val="22"/>
          <w:szCs w:val="22"/>
        </w:rPr>
        <w:tab/>
        <w:t>Dikkatsizlik: Gelişimsel düzeye göre uygun olmayan ve toplumsal ve okulla/işle ilgili etkinlikleri doğrudan olumsuz etkileyen , aşağıdaki altı ( ya da daha çok) belirti en az altı aydır sürmektedir:</w:t>
      </w:r>
    </w:p>
    <w:p w:rsidR="00C60153" w:rsidRPr="00F71665" w:rsidRDefault="00C60153" w:rsidP="00C60153">
      <w:pPr>
        <w:spacing w:line="360" w:lineRule="auto"/>
        <w:ind w:firstLine="708"/>
        <w:jc w:val="both"/>
        <w:rPr>
          <w:rFonts w:ascii="Arial" w:hAnsi="Arial" w:cs="Arial"/>
          <w:sz w:val="22"/>
          <w:szCs w:val="22"/>
        </w:rPr>
      </w:pPr>
      <w:r w:rsidRPr="00F71665">
        <w:rPr>
          <w:rFonts w:ascii="Arial" w:hAnsi="Arial" w:cs="Arial"/>
          <w:sz w:val="22"/>
          <w:szCs w:val="22"/>
        </w:rPr>
        <w:t>Not: Belirtiler, yalnızca karşıt olmanın, karşı gelmenin düşmancıl tutumun ya da verilen görevleri anlayamamanın bir dışavurumu değildir. Yaşı ileri gençlerde ve erişkinlerde (17 yaşında ve daha büyük olanlarda) en az beş belirti olması gerekir.</w:t>
      </w:r>
    </w:p>
    <w:p w:rsidR="00C60153" w:rsidRPr="00F71665" w:rsidRDefault="00C60153" w:rsidP="00C60153">
      <w:pPr>
        <w:spacing w:line="360" w:lineRule="auto"/>
        <w:ind w:left="708" w:firstLine="708"/>
        <w:jc w:val="both"/>
        <w:rPr>
          <w:rFonts w:ascii="Arial" w:hAnsi="Arial" w:cs="Arial"/>
          <w:sz w:val="22"/>
          <w:szCs w:val="22"/>
        </w:rPr>
      </w:pPr>
      <w:r w:rsidRPr="00F71665">
        <w:rPr>
          <w:rFonts w:ascii="Arial" w:hAnsi="Arial" w:cs="Arial"/>
          <w:sz w:val="22"/>
          <w:szCs w:val="22"/>
        </w:rPr>
        <w:lastRenderedPageBreak/>
        <w:t>a.</w:t>
      </w:r>
      <w:r w:rsidRPr="00F71665">
        <w:rPr>
          <w:rFonts w:ascii="Arial" w:hAnsi="Arial" w:cs="Arial"/>
          <w:sz w:val="22"/>
          <w:szCs w:val="22"/>
        </w:rPr>
        <w:tab/>
        <w:t>Çoğu kez , ayrıntılara özen göstermez ya da okul çalışmlarında (derslerde), işte ya da etkinlikler sırasında dikkatsizce yanlışlar yapar</w:t>
      </w:r>
    </w:p>
    <w:p w:rsidR="00C60153" w:rsidRPr="00F71665" w:rsidRDefault="00C60153" w:rsidP="00C60153">
      <w:pPr>
        <w:spacing w:line="360" w:lineRule="auto"/>
        <w:ind w:left="708" w:firstLine="708"/>
        <w:jc w:val="both"/>
        <w:rPr>
          <w:rFonts w:ascii="Arial" w:hAnsi="Arial" w:cs="Arial"/>
          <w:sz w:val="22"/>
          <w:szCs w:val="22"/>
        </w:rPr>
      </w:pPr>
      <w:r w:rsidRPr="00F71665">
        <w:rPr>
          <w:rFonts w:ascii="Arial" w:hAnsi="Arial" w:cs="Arial"/>
          <w:sz w:val="22"/>
          <w:szCs w:val="22"/>
        </w:rPr>
        <w:t>b.</w:t>
      </w:r>
      <w:r w:rsidRPr="00F71665">
        <w:rPr>
          <w:rFonts w:ascii="Arial" w:hAnsi="Arial" w:cs="Arial"/>
          <w:sz w:val="22"/>
          <w:szCs w:val="22"/>
        </w:rPr>
        <w:tab/>
        <w:t>Çoğu kez, iş yaparken ya da oyun oynarken dikkatini sürdürmekte güçlük çeker.</w:t>
      </w:r>
    </w:p>
    <w:p w:rsidR="00C60153" w:rsidRPr="00F71665" w:rsidRDefault="00C60153" w:rsidP="00C60153">
      <w:pPr>
        <w:spacing w:line="360" w:lineRule="auto"/>
        <w:ind w:left="708" w:firstLine="708"/>
        <w:jc w:val="both"/>
        <w:rPr>
          <w:rFonts w:ascii="Arial" w:hAnsi="Arial" w:cs="Arial"/>
          <w:sz w:val="22"/>
          <w:szCs w:val="22"/>
        </w:rPr>
      </w:pPr>
      <w:r w:rsidRPr="00F71665">
        <w:rPr>
          <w:rFonts w:ascii="Arial" w:hAnsi="Arial" w:cs="Arial"/>
          <w:sz w:val="22"/>
          <w:szCs w:val="22"/>
        </w:rPr>
        <w:t>c.</w:t>
      </w:r>
      <w:r w:rsidRPr="00F71665">
        <w:rPr>
          <w:rFonts w:ascii="Arial" w:hAnsi="Arial" w:cs="Arial"/>
          <w:sz w:val="22"/>
          <w:szCs w:val="22"/>
        </w:rPr>
        <w:tab/>
        <w:t>Çoğu kez, doğrudan kendisine doğru konuşulurken, dinlemiyor gibi görünür.</w:t>
      </w:r>
    </w:p>
    <w:p w:rsidR="00C60153" w:rsidRPr="00F71665" w:rsidRDefault="00C60153" w:rsidP="00C60153">
      <w:pPr>
        <w:spacing w:line="360" w:lineRule="auto"/>
        <w:ind w:left="708" w:firstLine="708"/>
        <w:jc w:val="both"/>
        <w:rPr>
          <w:rFonts w:ascii="Arial" w:hAnsi="Arial" w:cs="Arial"/>
          <w:sz w:val="22"/>
          <w:szCs w:val="22"/>
        </w:rPr>
      </w:pPr>
      <w:r w:rsidRPr="00F71665">
        <w:rPr>
          <w:rFonts w:ascii="Arial" w:hAnsi="Arial" w:cs="Arial"/>
          <w:sz w:val="22"/>
          <w:szCs w:val="22"/>
        </w:rPr>
        <w:t>d.</w:t>
      </w:r>
      <w:r w:rsidRPr="00F71665">
        <w:rPr>
          <w:rFonts w:ascii="Arial" w:hAnsi="Arial" w:cs="Arial"/>
          <w:sz w:val="22"/>
          <w:szCs w:val="22"/>
        </w:rPr>
        <w:tab/>
        <w:t>Çoğu kez, verilen yönergeleri izlemez ve okulda verilen görevleri, sıradan günlük işleri ya da işyeri sorumluluklarını tamamlayamaz.</w:t>
      </w:r>
    </w:p>
    <w:p w:rsidR="00C60153" w:rsidRPr="00F71665" w:rsidRDefault="00C60153" w:rsidP="00C60153">
      <w:pPr>
        <w:spacing w:line="360" w:lineRule="auto"/>
        <w:ind w:left="708" w:firstLine="708"/>
        <w:jc w:val="both"/>
        <w:rPr>
          <w:rFonts w:ascii="Arial" w:hAnsi="Arial" w:cs="Arial"/>
          <w:sz w:val="22"/>
          <w:szCs w:val="22"/>
        </w:rPr>
      </w:pPr>
      <w:r w:rsidRPr="00F71665">
        <w:rPr>
          <w:rFonts w:ascii="Arial" w:hAnsi="Arial" w:cs="Arial"/>
          <w:sz w:val="22"/>
          <w:szCs w:val="22"/>
        </w:rPr>
        <w:t>e.</w:t>
      </w:r>
      <w:r w:rsidRPr="00F71665">
        <w:rPr>
          <w:rFonts w:ascii="Arial" w:hAnsi="Arial" w:cs="Arial"/>
          <w:sz w:val="22"/>
          <w:szCs w:val="22"/>
        </w:rPr>
        <w:tab/>
        <w:t>Çoğu kez, işleri ve etkinlikleri düzenlemekte güçlük çeker.</w:t>
      </w:r>
    </w:p>
    <w:p w:rsidR="00C60153" w:rsidRPr="00F71665" w:rsidRDefault="00C60153" w:rsidP="00C60153">
      <w:pPr>
        <w:spacing w:line="360" w:lineRule="auto"/>
        <w:ind w:left="708" w:firstLine="708"/>
        <w:jc w:val="both"/>
        <w:rPr>
          <w:rFonts w:ascii="Arial" w:hAnsi="Arial" w:cs="Arial"/>
          <w:sz w:val="22"/>
          <w:szCs w:val="22"/>
        </w:rPr>
      </w:pPr>
      <w:r w:rsidRPr="00F71665">
        <w:rPr>
          <w:rFonts w:ascii="Arial" w:hAnsi="Arial" w:cs="Arial"/>
          <w:sz w:val="22"/>
          <w:szCs w:val="22"/>
        </w:rPr>
        <w:t>f.</w:t>
      </w:r>
      <w:r w:rsidRPr="00F71665">
        <w:rPr>
          <w:rFonts w:ascii="Arial" w:hAnsi="Arial" w:cs="Arial"/>
          <w:sz w:val="22"/>
          <w:szCs w:val="22"/>
        </w:rPr>
        <w:tab/>
        <w:t>Çoğu kez, sürekli bir zihinsel çaba gerektiren işlerden kaçınır, bu tür işleri sevmez ya da bu tür işlere girmek istemez.</w:t>
      </w:r>
    </w:p>
    <w:p w:rsidR="00C60153" w:rsidRPr="00F71665" w:rsidRDefault="00C60153" w:rsidP="00C60153">
      <w:pPr>
        <w:spacing w:line="360" w:lineRule="auto"/>
        <w:ind w:left="708" w:firstLine="708"/>
        <w:jc w:val="both"/>
        <w:rPr>
          <w:rFonts w:ascii="Arial" w:hAnsi="Arial" w:cs="Arial"/>
          <w:sz w:val="22"/>
          <w:szCs w:val="22"/>
        </w:rPr>
      </w:pPr>
      <w:r w:rsidRPr="00F71665">
        <w:rPr>
          <w:rFonts w:ascii="Arial" w:hAnsi="Arial" w:cs="Arial"/>
          <w:sz w:val="22"/>
          <w:szCs w:val="22"/>
        </w:rPr>
        <w:t>g.</w:t>
      </w:r>
      <w:r w:rsidRPr="00F71665">
        <w:rPr>
          <w:rFonts w:ascii="Arial" w:hAnsi="Arial" w:cs="Arial"/>
          <w:sz w:val="22"/>
          <w:szCs w:val="22"/>
        </w:rPr>
        <w:tab/>
        <w:t>Çoğu kez, işi ya da etkinlikleri için gerekli nesneleri kaybeder.</w:t>
      </w:r>
    </w:p>
    <w:p w:rsidR="00C60153" w:rsidRPr="00F71665" w:rsidRDefault="00C60153" w:rsidP="00C60153">
      <w:pPr>
        <w:spacing w:line="360" w:lineRule="auto"/>
        <w:ind w:left="708" w:firstLine="708"/>
        <w:jc w:val="both"/>
        <w:rPr>
          <w:rFonts w:ascii="Arial" w:hAnsi="Arial" w:cs="Arial"/>
          <w:sz w:val="22"/>
          <w:szCs w:val="22"/>
        </w:rPr>
      </w:pPr>
      <w:r w:rsidRPr="00F71665">
        <w:rPr>
          <w:rFonts w:ascii="Arial" w:hAnsi="Arial" w:cs="Arial"/>
          <w:sz w:val="22"/>
          <w:szCs w:val="22"/>
        </w:rPr>
        <w:t>h.</w:t>
      </w:r>
      <w:r w:rsidRPr="00F71665">
        <w:rPr>
          <w:rFonts w:ascii="Arial" w:hAnsi="Arial" w:cs="Arial"/>
          <w:sz w:val="22"/>
          <w:szCs w:val="22"/>
        </w:rPr>
        <w:tab/>
        <w:t>Çoğu kez, uyaranlarla dikkati kolaylıkla dağılır.</w:t>
      </w:r>
    </w:p>
    <w:p w:rsidR="00C60153" w:rsidRPr="00F71665" w:rsidRDefault="00C60153" w:rsidP="00C60153">
      <w:pPr>
        <w:spacing w:line="360" w:lineRule="auto"/>
        <w:ind w:left="708" w:firstLine="708"/>
        <w:jc w:val="both"/>
        <w:rPr>
          <w:rFonts w:ascii="Arial" w:hAnsi="Arial" w:cs="Arial"/>
          <w:sz w:val="22"/>
          <w:szCs w:val="22"/>
        </w:rPr>
      </w:pPr>
      <w:r w:rsidRPr="00F71665">
        <w:rPr>
          <w:rFonts w:ascii="Arial" w:hAnsi="Arial" w:cs="Arial"/>
          <w:sz w:val="22"/>
          <w:szCs w:val="22"/>
        </w:rPr>
        <w:t>i.</w:t>
      </w:r>
      <w:r w:rsidRPr="00F71665">
        <w:rPr>
          <w:rFonts w:ascii="Arial" w:hAnsi="Arial" w:cs="Arial"/>
          <w:sz w:val="22"/>
          <w:szCs w:val="22"/>
        </w:rPr>
        <w:tab/>
        <w:t>Çoğu kez, günlük etkinliklerde unutkandır.</w:t>
      </w:r>
    </w:p>
    <w:p w:rsidR="00C60153" w:rsidRPr="00F71665" w:rsidRDefault="00C60153" w:rsidP="00C60153">
      <w:pPr>
        <w:spacing w:line="360" w:lineRule="auto"/>
        <w:jc w:val="both"/>
        <w:rPr>
          <w:rFonts w:ascii="Arial" w:hAnsi="Arial" w:cs="Arial"/>
          <w:sz w:val="22"/>
          <w:szCs w:val="22"/>
        </w:rPr>
      </w:pPr>
    </w:p>
    <w:p w:rsidR="00C60153" w:rsidRPr="00F71665" w:rsidRDefault="00C60153" w:rsidP="00C60153">
      <w:pPr>
        <w:spacing w:line="360" w:lineRule="auto"/>
        <w:ind w:firstLine="708"/>
        <w:jc w:val="both"/>
        <w:rPr>
          <w:rFonts w:ascii="Arial" w:hAnsi="Arial" w:cs="Arial"/>
          <w:sz w:val="22"/>
          <w:szCs w:val="22"/>
        </w:rPr>
      </w:pPr>
      <w:r w:rsidRPr="00F71665">
        <w:rPr>
          <w:rFonts w:ascii="Arial" w:hAnsi="Arial" w:cs="Arial"/>
          <w:sz w:val="22"/>
          <w:szCs w:val="22"/>
        </w:rPr>
        <w:t>2.</w:t>
      </w:r>
      <w:r w:rsidRPr="00F71665">
        <w:rPr>
          <w:rFonts w:ascii="Arial" w:hAnsi="Arial" w:cs="Arial"/>
          <w:sz w:val="22"/>
          <w:szCs w:val="22"/>
        </w:rPr>
        <w:tab/>
        <w:t>Aşırı hareketlilik ve dürtüsellik: Gelişimsel düzeye göre uygun olmayan ve toplumsal ve okulla/işle ilgili etkinlikleri doğrudan olumsuz etkileyen, aşağıdaki altı (ya da daha çok) belirti en az altı aydır sürmektedir:</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 xml:space="preserve">       </w:t>
      </w:r>
      <w:r w:rsidRPr="00F71665">
        <w:rPr>
          <w:rFonts w:ascii="Arial" w:hAnsi="Arial" w:cs="Arial"/>
          <w:sz w:val="22"/>
          <w:szCs w:val="22"/>
        </w:rPr>
        <w:tab/>
        <w:t xml:space="preserve">  Not: Belirtiler, yalnızca karşıt olmanın, karşı gelmenin düşmancıl tutumun ya da verilen görevleri anlayamamanın bir dışavurumu değildir. Yaşı ileri gençlerde ve erişkinlerde (17 yaşında ve daha büyük olanlarda) en az beş belirti olması gerekir.</w:t>
      </w:r>
    </w:p>
    <w:p w:rsidR="00C60153" w:rsidRPr="00F71665" w:rsidRDefault="00C60153" w:rsidP="00C60153">
      <w:pPr>
        <w:spacing w:line="360" w:lineRule="auto"/>
        <w:ind w:left="708" w:firstLine="708"/>
        <w:jc w:val="both"/>
        <w:rPr>
          <w:rFonts w:ascii="Arial" w:hAnsi="Arial" w:cs="Arial"/>
          <w:sz w:val="22"/>
          <w:szCs w:val="22"/>
        </w:rPr>
      </w:pPr>
      <w:r w:rsidRPr="00F71665">
        <w:rPr>
          <w:rFonts w:ascii="Arial" w:hAnsi="Arial" w:cs="Arial"/>
          <w:sz w:val="22"/>
          <w:szCs w:val="22"/>
        </w:rPr>
        <w:t>a.</w:t>
      </w:r>
      <w:r w:rsidRPr="00F71665">
        <w:rPr>
          <w:rFonts w:ascii="Arial" w:hAnsi="Arial" w:cs="Arial"/>
          <w:sz w:val="22"/>
          <w:szCs w:val="22"/>
        </w:rPr>
        <w:tab/>
        <w:t>Çoğu kez, kıpırdanır ya da ellerini ya da ayaklarını vurur ya da oturduğu yerde kıvranır.</w:t>
      </w:r>
    </w:p>
    <w:p w:rsidR="00C60153" w:rsidRPr="00F71665" w:rsidRDefault="00C60153" w:rsidP="00C60153">
      <w:pPr>
        <w:spacing w:line="360" w:lineRule="auto"/>
        <w:ind w:left="708" w:firstLine="708"/>
        <w:jc w:val="both"/>
        <w:rPr>
          <w:rFonts w:ascii="Arial" w:hAnsi="Arial" w:cs="Arial"/>
          <w:sz w:val="22"/>
          <w:szCs w:val="22"/>
        </w:rPr>
      </w:pPr>
      <w:r w:rsidRPr="00F71665">
        <w:rPr>
          <w:rFonts w:ascii="Arial" w:hAnsi="Arial" w:cs="Arial"/>
          <w:sz w:val="22"/>
          <w:szCs w:val="22"/>
        </w:rPr>
        <w:t>b.</w:t>
      </w:r>
      <w:r w:rsidRPr="00F71665">
        <w:rPr>
          <w:rFonts w:ascii="Arial" w:hAnsi="Arial" w:cs="Arial"/>
          <w:sz w:val="22"/>
          <w:szCs w:val="22"/>
        </w:rPr>
        <w:tab/>
        <w:t>Çoğu kez, oturmasının beklendiği durumlarda oturduğu yerden kalkar.</w:t>
      </w:r>
    </w:p>
    <w:p w:rsidR="00C60153" w:rsidRPr="00F71665" w:rsidRDefault="00C60153" w:rsidP="00C60153">
      <w:pPr>
        <w:spacing w:line="360" w:lineRule="auto"/>
        <w:ind w:left="708" w:firstLine="708"/>
        <w:jc w:val="both"/>
        <w:rPr>
          <w:rFonts w:ascii="Arial" w:hAnsi="Arial" w:cs="Arial"/>
          <w:sz w:val="22"/>
          <w:szCs w:val="22"/>
        </w:rPr>
      </w:pPr>
      <w:r w:rsidRPr="00F71665">
        <w:rPr>
          <w:rFonts w:ascii="Arial" w:hAnsi="Arial" w:cs="Arial"/>
          <w:sz w:val="22"/>
          <w:szCs w:val="22"/>
        </w:rPr>
        <w:t>c.</w:t>
      </w:r>
      <w:r w:rsidRPr="00F71665">
        <w:rPr>
          <w:rFonts w:ascii="Arial" w:hAnsi="Arial" w:cs="Arial"/>
          <w:sz w:val="22"/>
          <w:szCs w:val="22"/>
        </w:rPr>
        <w:tab/>
        <w:t>Çoğu kez, uygunsuz ortamlarda, ortalıkta koşturur durur ya da bir yere tırmanır. (Not: Yaşı ileri gençlerde ve erişkinlerde, kendini huzursuz hissetmekle sınırlı olabilir.)</w:t>
      </w:r>
    </w:p>
    <w:p w:rsidR="00C60153" w:rsidRPr="00F71665" w:rsidRDefault="00C60153" w:rsidP="00C60153">
      <w:pPr>
        <w:spacing w:line="360" w:lineRule="auto"/>
        <w:ind w:left="708" w:firstLine="708"/>
        <w:jc w:val="both"/>
        <w:rPr>
          <w:rFonts w:ascii="Arial" w:hAnsi="Arial" w:cs="Arial"/>
          <w:sz w:val="22"/>
          <w:szCs w:val="22"/>
        </w:rPr>
      </w:pPr>
      <w:r w:rsidRPr="00F71665">
        <w:rPr>
          <w:rFonts w:ascii="Arial" w:hAnsi="Arial" w:cs="Arial"/>
          <w:sz w:val="22"/>
          <w:szCs w:val="22"/>
        </w:rPr>
        <w:t>d.</w:t>
      </w:r>
      <w:r w:rsidRPr="00F71665">
        <w:rPr>
          <w:rFonts w:ascii="Arial" w:hAnsi="Arial" w:cs="Arial"/>
          <w:sz w:val="22"/>
          <w:szCs w:val="22"/>
        </w:rPr>
        <w:tab/>
        <w:t>Çoğu kez, boş zaman etkinliklerine sessiz bir biçimde katılamaz ya da sessiz bir biçimde oyun oynayamaz.</w:t>
      </w:r>
    </w:p>
    <w:p w:rsidR="00C60153" w:rsidRPr="00F71665" w:rsidRDefault="00C60153" w:rsidP="00C60153">
      <w:pPr>
        <w:spacing w:line="360" w:lineRule="auto"/>
        <w:ind w:left="708" w:firstLine="708"/>
        <w:jc w:val="both"/>
        <w:rPr>
          <w:rFonts w:ascii="Arial" w:hAnsi="Arial" w:cs="Arial"/>
          <w:sz w:val="22"/>
          <w:szCs w:val="22"/>
        </w:rPr>
      </w:pPr>
      <w:r w:rsidRPr="00F71665">
        <w:rPr>
          <w:rFonts w:ascii="Arial" w:hAnsi="Arial" w:cs="Arial"/>
          <w:sz w:val="22"/>
          <w:szCs w:val="22"/>
        </w:rPr>
        <w:t>e.</w:t>
      </w:r>
      <w:r w:rsidRPr="00F71665">
        <w:rPr>
          <w:rFonts w:ascii="Arial" w:hAnsi="Arial" w:cs="Arial"/>
          <w:sz w:val="22"/>
          <w:szCs w:val="22"/>
        </w:rPr>
        <w:tab/>
        <w:t>Çoğu kez, “her an hareket halindedir”, “motor takılmış” gibi davranır.</w:t>
      </w:r>
    </w:p>
    <w:p w:rsidR="00C60153" w:rsidRPr="00F71665" w:rsidRDefault="00C60153" w:rsidP="00C60153">
      <w:pPr>
        <w:spacing w:line="360" w:lineRule="auto"/>
        <w:ind w:left="708" w:firstLine="708"/>
        <w:jc w:val="both"/>
        <w:rPr>
          <w:rFonts w:ascii="Arial" w:hAnsi="Arial" w:cs="Arial"/>
          <w:sz w:val="22"/>
          <w:szCs w:val="22"/>
        </w:rPr>
      </w:pPr>
      <w:r w:rsidRPr="00F71665">
        <w:rPr>
          <w:rFonts w:ascii="Arial" w:hAnsi="Arial" w:cs="Arial"/>
          <w:sz w:val="22"/>
          <w:szCs w:val="22"/>
        </w:rPr>
        <w:t>f.</w:t>
      </w:r>
      <w:r w:rsidRPr="00F71665">
        <w:rPr>
          <w:rFonts w:ascii="Arial" w:hAnsi="Arial" w:cs="Arial"/>
          <w:sz w:val="22"/>
          <w:szCs w:val="22"/>
        </w:rPr>
        <w:tab/>
        <w:t>Çoğu kez aşırı konuşur.</w:t>
      </w:r>
    </w:p>
    <w:p w:rsidR="00C60153" w:rsidRPr="00F71665" w:rsidRDefault="00C60153" w:rsidP="00C60153">
      <w:pPr>
        <w:spacing w:line="360" w:lineRule="auto"/>
        <w:ind w:left="708" w:firstLine="708"/>
        <w:jc w:val="both"/>
        <w:rPr>
          <w:rFonts w:ascii="Arial" w:hAnsi="Arial" w:cs="Arial"/>
          <w:sz w:val="22"/>
          <w:szCs w:val="22"/>
        </w:rPr>
      </w:pPr>
      <w:r w:rsidRPr="00F71665">
        <w:rPr>
          <w:rFonts w:ascii="Arial" w:hAnsi="Arial" w:cs="Arial"/>
          <w:sz w:val="22"/>
          <w:szCs w:val="22"/>
        </w:rPr>
        <w:lastRenderedPageBreak/>
        <w:t>g.</w:t>
      </w:r>
      <w:r w:rsidRPr="00F71665">
        <w:rPr>
          <w:rFonts w:ascii="Arial" w:hAnsi="Arial" w:cs="Arial"/>
          <w:sz w:val="22"/>
          <w:szCs w:val="22"/>
        </w:rPr>
        <w:tab/>
        <w:t>Çoğu kez, sorulan soru tamamlanmadan yanıtını yapıştırır.</w:t>
      </w:r>
    </w:p>
    <w:p w:rsidR="00C60153" w:rsidRPr="00F71665" w:rsidRDefault="00C60153" w:rsidP="00C60153">
      <w:pPr>
        <w:spacing w:line="360" w:lineRule="auto"/>
        <w:ind w:left="708" w:firstLine="708"/>
        <w:jc w:val="both"/>
        <w:rPr>
          <w:rFonts w:ascii="Arial" w:hAnsi="Arial" w:cs="Arial"/>
          <w:sz w:val="22"/>
          <w:szCs w:val="22"/>
        </w:rPr>
      </w:pPr>
      <w:r w:rsidRPr="00F71665">
        <w:rPr>
          <w:rFonts w:ascii="Arial" w:hAnsi="Arial" w:cs="Arial"/>
          <w:sz w:val="22"/>
          <w:szCs w:val="22"/>
        </w:rPr>
        <w:t>h.</w:t>
      </w:r>
      <w:r w:rsidRPr="00F71665">
        <w:rPr>
          <w:rFonts w:ascii="Arial" w:hAnsi="Arial" w:cs="Arial"/>
          <w:sz w:val="22"/>
          <w:szCs w:val="22"/>
        </w:rPr>
        <w:tab/>
        <w:t>Çoğu kez sırasını bekleyemez.</w:t>
      </w:r>
    </w:p>
    <w:p w:rsidR="00C60153" w:rsidRPr="00F71665" w:rsidRDefault="00C60153" w:rsidP="00C60153">
      <w:pPr>
        <w:spacing w:line="360" w:lineRule="auto"/>
        <w:ind w:left="708" w:firstLine="708"/>
        <w:jc w:val="both"/>
        <w:rPr>
          <w:rFonts w:ascii="Arial" w:hAnsi="Arial" w:cs="Arial"/>
          <w:sz w:val="22"/>
          <w:szCs w:val="22"/>
        </w:rPr>
      </w:pPr>
      <w:r w:rsidRPr="00F71665">
        <w:rPr>
          <w:rFonts w:ascii="Arial" w:hAnsi="Arial" w:cs="Arial"/>
          <w:sz w:val="22"/>
          <w:szCs w:val="22"/>
        </w:rPr>
        <w:t>i.</w:t>
      </w:r>
      <w:r w:rsidRPr="00F71665">
        <w:rPr>
          <w:rFonts w:ascii="Arial" w:hAnsi="Arial" w:cs="Arial"/>
          <w:sz w:val="22"/>
          <w:szCs w:val="22"/>
        </w:rPr>
        <w:tab/>
        <w:t>Çoğu kez, başkalarının sözünü keser ya da araya girer.</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B.</w:t>
      </w:r>
      <w:r w:rsidRPr="00F71665">
        <w:rPr>
          <w:rFonts w:ascii="Arial" w:hAnsi="Arial" w:cs="Arial"/>
          <w:sz w:val="22"/>
          <w:szCs w:val="22"/>
        </w:rPr>
        <w:tab/>
        <w:t>On iki yaşından önce birkaç dikkatsizlik ya da aşırı hareketlilik-dürtüsellik belirtisi olmuştur.</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C.</w:t>
      </w:r>
      <w:r w:rsidRPr="00F71665">
        <w:rPr>
          <w:rFonts w:ascii="Arial" w:hAnsi="Arial" w:cs="Arial"/>
          <w:sz w:val="22"/>
          <w:szCs w:val="22"/>
        </w:rPr>
        <w:tab/>
        <w:t>Birkaç dikkatsizlik ya da aşırı hareketlilik-dürtüsellik belirtisi iki ya da daha çok ortamda vardır.</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D.</w:t>
      </w:r>
      <w:r w:rsidRPr="00F71665">
        <w:rPr>
          <w:rFonts w:ascii="Arial" w:hAnsi="Arial" w:cs="Arial"/>
          <w:sz w:val="22"/>
          <w:szCs w:val="22"/>
        </w:rPr>
        <w:tab/>
        <w:t>Bu belirtilerin, toplumsal, okulla ya da işle ilgili işlevselliği bozduğuna ya da işelvselliğin niteliğini düşürdüğüne dair açık kanıtlar vardır.</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E.</w:t>
      </w:r>
      <w:r w:rsidRPr="00F71665">
        <w:rPr>
          <w:rFonts w:ascii="Arial" w:hAnsi="Arial" w:cs="Arial"/>
          <w:sz w:val="22"/>
          <w:szCs w:val="22"/>
        </w:rPr>
        <w:tab/>
        <w:t>Bu belirtiler, yalnızca, şizofreni ya da psikozla giden başka bir bozukluğun gidişi sırasında ortaya çıkmamaktadır ve başka bir ruhsal bozuklukla daha iyi açıklanamaz.</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Belirteçler</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Bileşik görünüm: Son altı ay içinde, hem A1 hem de A2 tanı ölçütleri karşılanmıştır.</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Dikkatsizliğin baskın olduğu görünüm: Son altı ay içinde A1 tanı ölçütü karşılanmış, ancak A2 tanı ölçütü karşılanmamıştır.</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Aşırı hareketliliğin/dürtüselliğin baskın olduğu görünüm: Son altı ay içinde A2 tanı ölçütü karşılanmış, ancak A1 tanı ölçütü karşılanmamıştır.</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Tam olmayan yatışma gösteren: Daha önceden bütün tanı ölçütleri karşılanmış olmakla birlikte, son altı ay içinde bütün tanı ölçütlerinden daha azı karşılanmıştır ve belirtiler bugün için de toplumsal, okulla ya da işle ilgili işlevsellikte bozulmaya neden olmaktadır.</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Ağır olmayan: Tanı koymak için gerekli belirtilerden, varsa bile, biraz daha çoğu vardır ve belirtiler toplumsal ya da işle ilgili işlevselliği çok az bozmaktan öteye gitmemiştir.</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Orta derecede: Belirtiler ya da işlevsellikte bozulma “ağır olmayan” ile “ağır” arasında orta bir yerdedir.</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Ağır: Tanı koymak için gerekli belirtilerden çok daha çoğu ya da birkaç, özellikle ağır belirti vardır ya da toplumsal ya da işle ilgili işlevselliği ileri derecede bozmuştur.</w:t>
      </w:r>
    </w:p>
    <w:p w:rsidR="00C60153" w:rsidRDefault="00C60153" w:rsidP="00C60153">
      <w:pPr>
        <w:spacing w:line="360" w:lineRule="auto"/>
        <w:jc w:val="both"/>
        <w:rPr>
          <w:rFonts w:ascii="Arial" w:hAnsi="Arial" w:cs="Arial"/>
          <w:sz w:val="22"/>
          <w:szCs w:val="22"/>
        </w:rPr>
      </w:pPr>
    </w:p>
    <w:p w:rsidR="00E828D6" w:rsidRDefault="00E828D6" w:rsidP="00C60153">
      <w:pPr>
        <w:spacing w:line="360" w:lineRule="auto"/>
        <w:jc w:val="both"/>
        <w:rPr>
          <w:rFonts w:ascii="Arial" w:hAnsi="Arial" w:cs="Arial"/>
          <w:sz w:val="22"/>
          <w:szCs w:val="22"/>
        </w:rPr>
      </w:pPr>
    </w:p>
    <w:p w:rsidR="00E828D6" w:rsidRDefault="00E828D6" w:rsidP="00C60153">
      <w:pPr>
        <w:spacing w:line="360" w:lineRule="auto"/>
        <w:jc w:val="both"/>
        <w:rPr>
          <w:rFonts w:ascii="Arial" w:hAnsi="Arial" w:cs="Arial"/>
          <w:sz w:val="22"/>
          <w:szCs w:val="22"/>
        </w:rPr>
      </w:pPr>
    </w:p>
    <w:p w:rsidR="00E828D6" w:rsidRDefault="00E828D6" w:rsidP="00C60153">
      <w:pPr>
        <w:spacing w:line="360" w:lineRule="auto"/>
        <w:jc w:val="both"/>
        <w:rPr>
          <w:rFonts w:ascii="Arial" w:hAnsi="Arial" w:cs="Arial"/>
          <w:sz w:val="22"/>
          <w:szCs w:val="22"/>
        </w:rPr>
      </w:pPr>
    </w:p>
    <w:p w:rsidR="00E828D6" w:rsidRDefault="00E828D6" w:rsidP="00C60153">
      <w:pPr>
        <w:spacing w:line="360" w:lineRule="auto"/>
        <w:jc w:val="both"/>
        <w:rPr>
          <w:rFonts w:ascii="Arial" w:hAnsi="Arial" w:cs="Arial"/>
          <w:sz w:val="22"/>
          <w:szCs w:val="22"/>
        </w:rPr>
      </w:pPr>
    </w:p>
    <w:p w:rsidR="00E828D6" w:rsidRDefault="00E828D6" w:rsidP="00C60153">
      <w:pPr>
        <w:spacing w:line="360" w:lineRule="auto"/>
        <w:jc w:val="both"/>
        <w:rPr>
          <w:rFonts w:ascii="Arial" w:hAnsi="Arial" w:cs="Arial"/>
          <w:sz w:val="22"/>
          <w:szCs w:val="22"/>
        </w:rPr>
      </w:pPr>
    </w:p>
    <w:p w:rsidR="00C60153" w:rsidRPr="00F71665" w:rsidRDefault="00C60153" w:rsidP="00C60153">
      <w:pPr>
        <w:spacing w:line="360" w:lineRule="auto"/>
        <w:jc w:val="both"/>
        <w:rPr>
          <w:rFonts w:ascii="Arial" w:hAnsi="Arial" w:cs="Arial"/>
          <w:b/>
          <w:i/>
          <w:sz w:val="22"/>
          <w:szCs w:val="22"/>
        </w:rPr>
      </w:pPr>
      <w:r w:rsidRPr="00F71665">
        <w:rPr>
          <w:rFonts w:ascii="Arial" w:hAnsi="Arial" w:cs="Arial"/>
          <w:b/>
          <w:i/>
          <w:sz w:val="22"/>
          <w:szCs w:val="22"/>
        </w:rPr>
        <w:lastRenderedPageBreak/>
        <w:t>Hiperkinetik Bozukluklar için ICD-10 Tanı Ölçütleri</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 xml:space="preserve">G1 Çocuğun yaş ve gelişim düzeyine göre evde dikkat, hareketlilik ve impulsivitede (1), (2) ve (3) maddelerde belirtilen gösterilebilir anormallik: </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1.İzleyen dikkat sorunlarından en az üçü:</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a. Kendiliğinden etkinliklerin süresinin kısa olması;</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b. Sıklıkla oyun etkinliklerini tamamlamadan ayrılma;</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c. Bir etkinlikten diğerine sık geçiş;</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d. Yetişkinlerin düzenlediği görevlerde sürekliliğin olmaması;</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e. Ev ödevleri ya da okuma görevleri gibi çalışmalar sırasında yüksek düzeyde dikkatsizlik.</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2. Ek olarak aşağıdaki hareketlilik sorunlarından en az üçü:</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a. Uygun olmayan durumlarda oldukça sık aşırı koşma ya da tırmanma; hareket etmeden duramıyor görünme;</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b. Kendiliğinden etkinlikler sırasında yerinde duramama, kıpır kıpır olma;</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c. Görece olarak hareketsiz olması beklenen ortamlarda belirgin aşırı etkinlik (örn. sofrada, yolculukta, misafirlikte);</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d. Sınıf içi ya da diğer oturması beklenen ortamlarda sıklıkla oturamama;</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e. Sessizce oyun oynamakta sıklıkla zorlanma;.</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3. Ek olarak aşağıdaki impulsivite sorunlarından en az biri:</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a. Oyunlar ya da grup etkinliklerinde sıranın kendine gelmesini beklemede sıklıkla güçlük çekme;</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b. Sıklıkla diğerlerini bölme, araya girme (örn. diğerlerinin oyunlarını ya da konuşmalarını bölme);</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c. Sıklıkla soru tamamlanmadan cevaplamaya çalışma.</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 xml:space="preserve">G2 Çocuğun yaş ve gelişim düzeyine göre okulda ya da kreşte dikkat ve hareketlilikte (1) ve (2) maddelerde belirtilen gösterilebilir anormallik: </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1. Aşağıdaki dikkat sorunlarından en az ikisi:</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a. Görevleri tamamlayamama;</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b. Yüksek oranda distraktibilite (örn. çok sık dış uyaranlara yönelme);</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c. Seçime izin verildiğinde etkinlikler arasında sık değişimler;</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d. Oyun etkinliklerinin çok kısa sürmesi.</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2. Ve aşağıdaki hareketlilik sorunlarının en az üçü:</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a. Serbest etkinliğe izin verilen durumlarda sürekli (ya da hemen hemen sürekli) ve aşırı hareketlilik (koşma zıplama gibi);</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b. Yapılandırılmış durumlarda belirgin yerinde duramama, kıpır kıpır olma;</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lastRenderedPageBreak/>
        <w:t>c. Görevler sırasında sıklıkla görevin kesintiye uğraması;</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d. Oturması gerektiğinde sıklıkla oturamama;</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e. Sakince oynamada sıklıkla zorlanma.</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 xml:space="preserve">G3 Dikkat veya hareketlilikte doğrudan gözlemlenen anormallik. Bu durum çocuğun yaşı ve gelişim düzeyine göre aşırı olmalıdır. Kanıt aşağıdakilerden herhangi biri olabilir: </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1. G1 ya da G2’deki ölçütlerin doğrudan gözlenmesi; sadece anne-baba veya öğretmen bildirimi yeterli değildir.</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2. Ev ya da okul dışında bir ortamda (örn. klinik veya laboratuvarda) aşırı hareketlilik, işleri bitirmeden bırakma ya da etkinliklerde sürekliliğin olmamasının anormal düzeyde gözlenmesi.</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3. Dikkate ilişkin psikometrik test performansında belirgin yetersizliğin olması.</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G4 Yaygın Gelişimsel Bozukluklar (F84), mani (F30), depresif (F32), ya da anksiyete bozukluklarının (F41) tanı ölçütlerini karşılamaz.</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 xml:space="preserve">G5 Başlangıç yedi yaştan öncedir. </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G6 Süre en az altı aydır.</w:t>
      </w:r>
    </w:p>
    <w:p w:rsidR="00C60153" w:rsidRPr="00F71665" w:rsidRDefault="00C60153" w:rsidP="00C60153">
      <w:pPr>
        <w:spacing w:line="360" w:lineRule="auto"/>
        <w:jc w:val="both"/>
        <w:rPr>
          <w:rFonts w:ascii="Arial" w:hAnsi="Arial" w:cs="Arial"/>
          <w:sz w:val="22"/>
          <w:szCs w:val="22"/>
        </w:rPr>
      </w:pPr>
      <w:r w:rsidRPr="00F71665">
        <w:rPr>
          <w:rFonts w:ascii="Arial" w:hAnsi="Arial" w:cs="Arial"/>
          <w:sz w:val="22"/>
          <w:szCs w:val="22"/>
        </w:rPr>
        <w:t>G7 IQ 50’nin üzerindedir.</w:t>
      </w:r>
    </w:p>
    <w:p w:rsidR="00C60153" w:rsidRPr="00F71665" w:rsidRDefault="00C60153" w:rsidP="00C60153">
      <w:pPr>
        <w:spacing w:line="360" w:lineRule="auto"/>
        <w:jc w:val="both"/>
        <w:rPr>
          <w:rFonts w:ascii="Arial" w:hAnsi="Arial" w:cs="Arial"/>
          <w:b/>
          <w:sz w:val="22"/>
          <w:szCs w:val="22"/>
        </w:rPr>
      </w:pPr>
      <w:r w:rsidRPr="004958CB">
        <w:rPr>
          <w:rFonts w:ascii="Arial" w:hAnsi="Arial" w:cs="Arial"/>
          <w:b/>
        </w:rPr>
        <w:tab/>
      </w:r>
      <w:r w:rsidRPr="00F71665">
        <w:rPr>
          <w:rFonts w:ascii="Arial" w:hAnsi="Arial" w:cs="Arial"/>
          <w:b/>
          <w:sz w:val="22"/>
          <w:szCs w:val="22"/>
        </w:rPr>
        <w:t>Test ve Ölçekler</w:t>
      </w:r>
    </w:p>
    <w:p w:rsidR="00C60153" w:rsidRPr="00F71665" w:rsidRDefault="00C60153" w:rsidP="00C60153">
      <w:pPr>
        <w:spacing w:line="360" w:lineRule="auto"/>
        <w:jc w:val="both"/>
        <w:rPr>
          <w:rFonts w:ascii="Arial" w:hAnsi="Arial" w:cs="Arial"/>
          <w:sz w:val="22"/>
          <w:szCs w:val="22"/>
        </w:rPr>
      </w:pPr>
      <w:r w:rsidRPr="00F71665">
        <w:rPr>
          <w:rFonts w:ascii="Arial" w:hAnsi="Arial" w:cs="Arial"/>
          <w:b/>
          <w:sz w:val="22"/>
          <w:szCs w:val="22"/>
        </w:rPr>
        <w:tab/>
      </w:r>
      <w:r w:rsidRPr="00F71665">
        <w:rPr>
          <w:rFonts w:ascii="Arial" w:hAnsi="Arial" w:cs="Arial"/>
          <w:i/>
          <w:sz w:val="22"/>
          <w:szCs w:val="22"/>
        </w:rPr>
        <w:t xml:space="preserve">Ebeveyn ve Öğretmenler tarafından doldurulan DSM-IV Belirti Listesi, </w:t>
      </w:r>
      <w:r w:rsidRPr="00F71665">
        <w:rPr>
          <w:rFonts w:ascii="Arial" w:hAnsi="Arial" w:cs="Arial"/>
          <w:sz w:val="22"/>
          <w:szCs w:val="22"/>
        </w:rPr>
        <w:t xml:space="preserve">tanı ve tedavinin izleminde en faydalı formların başında gelir. DEHB ile sıklıkla bir arada görülen Karşıt Olma Karşıt Gelme Bozukluğu ile Davranım Bozukluğu tanı kritlerini de içermektedir </w:t>
      </w:r>
      <w:r w:rsidR="00BC3BBB" w:rsidRPr="00F71665">
        <w:rPr>
          <w:rFonts w:ascii="Arial" w:hAnsi="Arial" w:cs="Arial"/>
          <w:sz w:val="22"/>
          <w:szCs w:val="22"/>
        </w:rPr>
        <w:fldChar w:fldCharType="begin" w:fldLock="1"/>
      </w:r>
      <w:r w:rsidRPr="00F71665">
        <w:rPr>
          <w:rFonts w:ascii="Arial" w:hAnsi="Arial" w:cs="Arial"/>
          <w:sz w:val="22"/>
          <w:szCs w:val="22"/>
        </w:rPr>
        <w:instrText>ADDIN CSL_CITATION { "citationItems" : [ { "id" : "ITEM-1", "itemData" : { "author" : [ { "dropping-particle" : "", "family" : "Pekcanlar Akay", "given" : "Aynur", "non-dropping-particle" : "", "parse-names" : false, "suffix" : "" }, { "dropping-particle" : "", "family" : "Ercan", "given" : "Ey\u00fcp Sabri", "non-dropping-particle" : "", "parse-names" : false, "suffix" : "" } ], "container-title" : "T\u00fcrkiye \u00c7ocuk ve Gen\u00e7 Psikiyatrisi Derner\u011fi Yay\u0131n No: 9", "id" : "ITEM-1", "issued" : { "date-parts" : [ [ "2016" ] ] }, "publisher-place" : "Istanbul", "title" : "\u00c7ocuk ve Ergen Ruh Sa\u011fl\u0131\u011f\u0131 ve Hastal\u0131klar\u0131", "type" : "book" }, "uris" : [ "http://www.mendeley.com/documents/?uuid=63b17491-dbbf-4c05-8fcd-0abe6f8c49e4" ] } ], "mendeley" : { "formattedCitation" : "(102)", "plainTextFormattedCitation" : "(102)", "previouslyFormattedCitation" : "(102)" }, "properties" : { "noteIndex" : 12 }, "schema" : "https://github.com/citation-style-language/schema/raw/master/csl-citation.json" }</w:instrText>
      </w:r>
      <w:r w:rsidR="00BC3BBB" w:rsidRPr="00F71665">
        <w:rPr>
          <w:rFonts w:ascii="Arial" w:hAnsi="Arial" w:cs="Arial"/>
          <w:sz w:val="22"/>
          <w:szCs w:val="22"/>
        </w:rPr>
        <w:fldChar w:fldCharType="separate"/>
      </w:r>
      <w:r w:rsidRPr="00F71665">
        <w:rPr>
          <w:rFonts w:ascii="Arial" w:hAnsi="Arial" w:cs="Arial"/>
          <w:noProof/>
          <w:sz w:val="22"/>
          <w:szCs w:val="22"/>
        </w:rPr>
        <w:t>(102)</w:t>
      </w:r>
      <w:r w:rsidR="00BC3BBB" w:rsidRPr="00F71665">
        <w:rPr>
          <w:rFonts w:ascii="Arial" w:hAnsi="Arial" w:cs="Arial"/>
          <w:sz w:val="22"/>
          <w:szCs w:val="22"/>
        </w:rPr>
        <w:fldChar w:fldCharType="end"/>
      </w:r>
      <w:r w:rsidRPr="00F71665">
        <w:rPr>
          <w:rFonts w:ascii="Arial" w:hAnsi="Arial" w:cs="Arial"/>
          <w:sz w:val="22"/>
          <w:szCs w:val="22"/>
        </w:rPr>
        <w:t xml:space="preserve">.  Tüm dünyada yaygın olarak kullanılan bu ölçeğin Türkçe geçerlilik – güvenirliği yapılmış 41 maddelik formu kullanılmaktadır </w:t>
      </w:r>
      <w:r w:rsidR="00BC3BBB" w:rsidRPr="00F71665">
        <w:rPr>
          <w:rFonts w:ascii="Arial" w:hAnsi="Arial" w:cs="Arial"/>
          <w:sz w:val="22"/>
          <w:szCs w:val="22"/>
        </w:rPr>
        <w:fldChar w:fldCharType="begin" w:fldLock="1"/>
      </w:r>
      <w:r w:rsidRPr="00F71665">
        <w:rPr>
          <w:rFonts w:ascii="Arial" w:hAnsi="Arial" w:cs="Arial"/>
          <w:sz w:val="22"/>
          <w:szCs w:val="22"/>
        </w:rPr>
        <w:instrText>ADDIN CSL_CITATION { "citationItems" : [ { "id" : "ITEM-1", "itemData" : { "author" : [ { "dropping-particle" : "", "family" : "Ercan", "given" : "ES", "non-dropping-particle" : "", "parse-names" : false, "suffix" : "" }, { "dropping-particle" : "", "family" : "Amado", "given" : "S", "non-dropping-particle" : "", "parse-names" : false, "suffix" : "" }, { "dropping-particle" : "", "family" : "Somer", "given" : "O", "non-dropping-particle" : "", "parse-names" : false, "suffix" : "" } ], "container-title" : "\u00c7ocuk ve Gen\u00e7lik Ruh Sa\u011fl\u0131\u011f\u0131 Dergisi", "id" : "ITEM-1", "issue" : "3", "issued" : { "date-parts" : [ [ "2001" ] ] }, "page" : "132-142", "title" : "Dikkat eksikli\u011fi ve hiperaktivite bozuklu\u011fu ve y\u0131k\u0131c\u0131 davran\u0131m bozukluklar\u0131 i\u00e7in bir test bataryas\u0131 geli\u015ftirme \u00e7abas\u0131", "type" : "article-journal", "volume" : "8" }, "uris" : [ "http://www.mendeley.com/documents/?uuid=d4667e4d-9376-4097-8612-5baf3ed612ae" ] } ], "mendeley" : { "formattedCitation" : "(103)", "plainTextFormattedCitation" : "(103)", "previouslyFormattedCitation" : "(103)" }, "properties" : { "noteIndex" : 12 }, "schema" : "https://github.com/citation-style-language/schema/raw/master/csl-citation.json" }</w:instrText>
      </w:r>
      <w:r w:rsidR="00BC3BBB" w:rsidRPr="00F71665">
        <w:rPr>
          <w:rFonts w:ascii="Arial" w:hAnsi="Arial" w:cs="Arial"/>
          <w:sz w:val="22"/>
          <w:szCs w:val="22"/>
        </w:rPr>
        <w:fldChar w:fldCharType="separate"/>
      </w:r>
      <w:r w:rsidRPr="00F71665">
        <w:rPr>
          <w:rFonts w:ascii="Arial" w:hAnsi="Arial" w:cs="Arial"/>
          <w:noProof/>
          <w:sz w:val="22"/>
          <w:szCs w:val="22"/>
        </w:rPr>
        <w:t>(103)</w:t>
      </w:r>
      <w:r w:rsidR="00BC3BBB" w:rsidRPr="00F71665">
        <w:rPr>
          <w:rFonts w:ascii="Arial" w:hAnsi="Arial" w:cs="Arial"/>
          <w:sz w:val="22"/>
          <w:szCs w:val="22"/>
        </w:rPr>
        <w:fldChar w:fldCharType="end"/>
      </w:r>
      <w:r w:rsidRPr="00F71665">
        <w:rPr>
          <w:rFonts w:ascii="Arial" w:hAnsi="Arial" w:cs="Arial"/>
          <w:sz w:val="22"/>
          <w:szCs w:val="22"/>
        </w:rPr>
        <w:t xml:space="preserve">. </w:t>
      </w:r>
    </w:p>
    <w:p w:rsidR="00C60153" w:rsidRPr="00F71665" w:rsidRDefault="00C60153" w:rsidP="00C60153">
      <w:pPr>
        <w:pStyle w:val="HTMLncedenBiimlendirilmi"/>
        <w:shd w:val="clear" w:color="auto" w:fill="FFFFFF"/>
        <w:spacing w:line="360" w:lineRule="auto"/>
        <w:jc w:val="both"/>
        <w:rPr>
          <w:rFonts w:ascii="Arial" w:hAnsi="Arial" w:cs="Arial"/>
          <w:color w:val="4F81BD" w:themeColor="accent1"/>
          <w:sz w:val="22"/>
          <w:szCs w:val="22"/>
        </w:rPr>
      </w:pPr>
      <w:r w:rsidRPr="00F71665">
        <w:rPr>
          <w:rFonts w:ascii="Arial" w:hAnsi="Arial" w:cs="Arial"/>
          <w:i/>
          <w:sz w:val="22"/>
          <w:szCs w:val="22"/>
        </w:rPr>
        <w:tab/>
      </w:r>
      <w:r w:rsidRPr="00F71665">
        <w:rPr>
          <w:rFonts w:ascii="Arial" w:hAnsi="Arial" w:cs="Arial"/>
          <w:sz w:val="22"/>
          <w:szCs w:val="22"/>
        </w:rPr>
        <w:t xml:space="preserve">Yarı yapılandırılmış bir görüşme olan </w:t>
      </w:r>
      <w:r w:rsidRPr="00F71665">
        <w:rPr>
          <w:rFonts w:ascii="Arial" w:hAnsi="Arial" w:cs="Arial"/>
          <w:i/>
          <w:sz w:val="22"/>
          <w:szCs w:val="22"/>
        </w:rPr>
        <w:t xml:space="preserve">DEHB Çocuk Değerlendirme (ACE) Uygulaması </w:t>
      </w:r>
      <w:r w:rsidRPr="00F71665">
        <w:rPr>
          <w:rFonts w:ascii="Arial" w:hAnsi="Arial" w:cs="Arial"/>
          <w:sz w:val="22"/>
          <w:szCs w:val="22"/>
        </w:rPr>
        <w:t xml:space="preserve">sağlık çalışanlarının çocuklarda DEHB değerlendirmesini yapmalarında yardımcı olmak amacıyla geliştirilmiş bir araçtır. ACE görüşmesi, DEHB’nin temel belirtilerini ve bunların işlevselliği ne kadar bozduğunu değerlendirerek görüşmeciye tanısal süreçte yol gösterir. ACE dikkat eksikliği, hiperaktivite ve dürtüselliğin temel belirtileriyle örtüşen bir dizi soru sorar. Bu belirtilerin ortaya çıkma şekillerinden tipik örnekler ile görüşmeciye kolaylık sağlar ve klinik yargıya rehberlik eder. Temel belirtilerin iki veya daha fazla ortamda önemli bozulmaya yol açıp açmadığının değerlendirilebilmesi amacıyla ACE her bir belirti için hem ev hem de okul ortamını sorgular. Her ortam için ayrı ayrı örnekler bulunur. Okul dışı etkinlikler ev ortamı ile ilgili örnekler olarak değerlendirilmelidir </w:t>
      </w:r>
      <w:r w:rsidR="00BC3BBB" w:rsidRPr="00F71665">
        <w:rPr>
          <w:rFonts w:ascii="Arial" w:hAnsi="Arial" w:cs="Arial"/>
          <w:sz w:val="22"/>
          <w:szCs w:val="22"/>
        </w:rPr>
        <w:fldChar w:fldCharType="begin" w:fldLock="1"/>
      </w:r>
      <w:r w:rsidRPr="00F71665">
        <w:rPr>
          <w:rFonts w:ascii="Arial" w:hAnsi="Arial" w:cs="Arial"/>
          <w:sz w:val="22"/>
          <w:szCs w:val="22"/>
        </w:rPr>
        <w:instrText>ADDIN CSL_CITATION { "citationItems" : [ { "id" : "ITEM-1", "itemData" : { "author" : [ { "dropping-particle" : "", "family" : "Young", "given" : "Susan", "non-dropping-particle" : "", "parse-names" : false, "suffix" : "" } ], "id" : "ITEM-1", "issued" : { "date-parts" : [ [ "2015" ] ] }, "title" : "ADHD Child Evaluation (ACE) T\u00fcrk\u00e7e \u00c7ocuklarda DEHB \u0130\u00e7in Tan\u0131sal G\u00f6r\u00fc\u015fme", "type" : "article-journal" }, "uris" : [ "http://www.mendeley.com/documents/?uuid=3b3f2d16-03d8-49dc-9d6d-6645505feaf6" ] } ], "mendeley" : { "formattedCitation" : "(104)", "plainTextFormattedCitation" : "(104)", "previouslyFormattedCitation" : "(104)" }, "properties" : { "noteIndex" : 12 }, "schema" : "https://github.com/citation-style-language/schema/raw/master/csl-citation.json" }</w:instrText>
      </w:r>
      <w:r w:rsidR="00BC3BBB" w:rsidRPr="00F71665">
        <w:rPr>
          <w:rFonts w:ascii="Arial" w:hAnsi="Arial" w:cs="Arial"/>
          <w:sz w:val="22"/>
          <w:szCs w:val="22"/>
        </w:rPr>
        <w:fldChar w:fldCharType="separate"/>
      </w:r>
      <w:r w:rsidRPr="00F71665">
        <w:rPr>
          <w:rFonts w:ascii="Arial" w:hAnsi="Arial" w:cs="Arial"/>
          <w:noProof/>
          <w:sz w:val="22"/>
          <w:szCs w:val="22"/>
        </w:rPr>
        <w:t>(104)</w:t>
      </w:r>
      <w:r w:rsidR="00BC3BBB" w:rsidRPr="00F71665">
        <w:rPr>
          <w:rFonts w:ascii="Arial" w:hAnsi="Arial" w:cs="Arial"/>
          <w:sz w:val="22"/>
          <w:szCs w:val="22"/>
        </w:rPr>
        <w:fldChar w:fldCharType="end"/>
      </w:r>
      <w:r w:rsidRPr="00F71665">
        <w:rPr>
          <w:rFonts w:ascii="Arial" w:hAnsi="Arial" w:cs="Arial"/>
          <w:sz w:val="22"/>
          <w:szCs w:val="22"/>
        </w:rPr>
        <w:t xml:space="preserve"> (ACE’nin Türkçe çevirisi: Prof.Dr. Bengi Semerci).</w:t>
      </w:r>
    </w:p>
    <w:p w:rsidR="00C60153" w:rsidRPr="00453BDF" w:rsidRDefault="00C60153" w:rsidP="00C60153">
      <w:pPr>
        <w:pStyle w:val="HTMLncedenBiimlendirilmi"/>
        <w:shd w:val="clear" w:color="auto" w:fill="FFFFFF"/>
        <w:spacing w:line="360" w:lineRule="auto"/>
        <w:jc w:val="both"/>
        <w:rPr>
          <w:rFonts w:ascii="Arial" w:hAnsi="Arial" w:cs="Arial"/>
          <w:b/>
          <w:sz w:val="22"/>
          <w:szCs w:val="22"/>
          <w:shd w:val="clear" w:color="auto" w:fill="FFFFFF"/>
        </w:rPr>
      </w:pPr>
      <w:r w:rsidRPr="00453BDF">
        <w:rPr>
          <w:rFonts w:ascii="Arial" w:hAnsi="Arial" w:cs="Arial"/>
          <w:b/>
          <w:color w:val="000000" w:themeColor="text1"/>
          <w:sz w:val="22"/>
          <w:szCs w:val="22"/>
        </w:rPr>
        <w:lastRenderedPageBreak/>
        <w:tab/>
      </w:r>
      <w:r w:rsidRPr="00453BDF">
        <w:rPr>
          <w:rFonts w:ascii="Arial" w:hAnsi="Arial" w:cs="Arial"/>
          <w:b/>
          <w:sz w:val="22"/>
          <w:szCs w:val="22"/>
          <w:shd w:val="clear" w:color="auto" w:fill="FFFFFF"/>
        </w:rPr>
        <w:t>EŞLİK EDEN HASTALIKLAR VE İŞLEVSEL BOZUKLUKLAR</w:t>
      </w:r>
    </w:p>
    <w:p w:rsidR="00C60153" w:rsidRDefault="00C60153" w:rsidP="00C60153">
      <w:pPr>
        <w:pStyle w:val="HTMLncedenBiimlendirilmi"/>
        <w:shd w:val="clear" w:color="auto" w:fill="FFFFFF"/>
        <w:spacing w:line="360" w:lineRule="auto"/>
        <w:jc w:val="both"/>
        <w:rPr>
          <w:rFonts w:ascii="Arial" w:hAnsi="Arial" w:cs="Arial"/>
          <w:sz w:val="22"/>
          <w:szCs w:val="22"/>
          <w:shd w:val="clear" w:color="auto" w:fill="FFFFFF"/>
        </w:rPr>
      </w:pPr>
      <w:r w:rsidRPr="00453BDF">
        <w:rPr>
          <w:rFonts w:ascii="Arial" w:hAnsi="Arial" w:cs="Arial"/>
          <w:sz w:val="22"/>
          <w:szCs w:val="22"/>
          <w:shd w:val="clear" w:color="auto" w:fill="FFFFFF"/>
        </w:rPr>
        <w:tab/>
        <w:t>DEHB’ye klinik değerlendirmeler sırasında belirginleşecek diğer psikiyatrik bozukluklar ve işlevsel bozukluklar sıklıkla eşlik eder. Ebeveynler DEHB belirtilerinden ziyade bu gibi bozukluklar hakkında daha fazla endişe duyabilir ve bu nedenle tedavi planlaması sırasında dikkate alınması gereken önemli faktörlerdir</w:t>
      </w:r>
      <w:r>
        <w:rPr>
          <w:rFonts w:ascii="Arial" w:hAnsi="Arial" w:cs="Arial"/>
          <w:sz w:val="22"/>
          <w:szCs w:val="22"/>
          <w:shd w:val="clear" w:color="auto" w:fill="FFFFFF"/>
        </w:rPr>
        <w:t xml:space="preserve">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"DOI" : "10.1111/cch.12139", "ISBN" : "0305-1862", "ISSN" : "03051862", "abstract" : "Attention-deficit hyperactivity disorder ( ADHD) is a complex disorder that can affect individuals across the lifespan. It is associated with substantial heterogeneity in terms of aetiology, clinical presentation and treatment outcome and is the subject of extensive research. Because of this, it can be difficult for clinicians to stay up to date with the most relevant findings and know how best to respond to parents' questions and concerns about the disorder and interventions. This is a narrative review that aims to summarize key findings from recent research into ADHD and its treatment that clinicians can share with families in order to increase their knowledge about ADHD and intervention options. ADHD develops as a result of complex interplay between interdependent genetic and non-genetic factors. The disorder is associated with substantial impairments in functioning and poor long-term outcomes. Pharmacological and non-pharmacological treatment options are available for symptom management and to improve function, but functioning outcomes often fail to normalize in children with ADHD. Despite extensive advances in understanding this complex disorder, it is clear that there is still a long way to go. In particular, we address the need for future non-pharmacological interventions to be more specifically targeted for ADHD symptoms and its commonly associated functioning deficits in order to ensure the best long-term outcomes for children with ADHD. [ABSTRACT FROM AUTHOR]", "author" : [ { "dropping-particle" : "", "family" : "Tarver", "given" : "J", "non-dropping-particle" : "", "parse-names" : false, "suffix" : "" }, { "dropping-particle" : "", "family" : "Daley", "given" : "D", "non-dropping-particle" : "", "parse-names" : false, "suffix" : "" }, { "dropping-particle" : "", "family" : "Sayal", "given" : "K", "non-dropping-particle" : "", "parse-names" : false, "suffix" : "" } ], "container-title" : "Child: Care, Health &amp; Development", "id" : "ITEM-1", "issue" : "6", "issued" : { "date-parts" : [ [ "2014" ] ] }, "page" : "762-774", "title" : "Attention-deficit hyperactivity disorder ( ADHD): an updated review of the essential facts.", "type" : "article-journal", "volume" : "40" }, "uris" : [ "http://www.mendeley.com/documents/?uuid=a435d2a9-aedb-4690-8342-390436c404f0" ] } ], "mendeley" : { "formattedCitation" : "(68)", "plainTextFormattedCitation" : "(68)", "previouslyFormattedCitation" : "(68)" }, "properties" : { "noteIndex" : 12 }, "schema" : "https://github.com/citation-style-language/schema/raw/master/csl-citation.json" }</w:instrText>
      </w:r>
      <w:r w:rsidR="00BC3BBB">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(68)</w:t>
      </w:r>
      <w:r w:rsidR="00BC3BBB">
        <w:rPr>
          <w:rFonts w:ascii="Arial" w:hAnsi="Arial" w:cs="Arial"/>
          <w:sz w:val="22"/>
          <w:szCs w:val="22"/>
          <w:shd w:val="clear" w:color="auto" w:fill="FFFFFF"/>
        </w:rPr>
        <w:fldChar w:fldCharType="end"/>
      </w:r>
      <w:r w:rsidRPr="00453BDF">
        <w:rPr>
          <w:rFonts w:ascii="Arial" w:hAnsi="Arial" w:cs="Arial"/>
          <w:sz w:val="22"/>
          <w:szCs w:val="22"/>
          <w:shd w:val="clear" w:color="auto" w:fill="FFFFFF"/>
        </w:rPr>
        <w:t xml:space="preserve">. </w:t>
      </w:r>
    </w:p>
    <w:p w:rsidR="00C60153" w:rsidRDefault="00C60153" w:rsidP="00C60153">
      <w:pPr>
        <w:pStyle w:val="HTMLncedenBiimlendirilmi"/>
        <w:shd w:val="clear" w:color="auto" w:fill="FFFFFF"/>
        <w:spacing w:line="360" w:lineRule="auto"/>
        <w:jc w:val="both"/>
        <w:rPr>
          <w:rFonts w:ascii="Arial" w:hAnsi="Arial" w:cs="Arial"/>
          <w:b/>
          <w:sz w:val="22"/>
          <w:szCs w:val="22"/>
        </w:rPr>
      </w:pPr>
      <w:r>
        <w:rPr>
          <w:rFonts w:ascii="Arial" w:hAnsi="Arial" w:cs="Arial"/>
          <w:b/>
          <w:sz w:val="22"/>
          <w:szCs w:val="22"/>
        </w:rPr>
        <w:tab/>
        <w:t xml:space="preserve">Nöropsikolojik </w:t>
      </w:r>
      <w:r w:rsidRPr="00453BDF">
        <w:rPr>
          <w:rFonts w:ascii="Arial" w:hAnsi="Arial" w:cs="Arial"/>
          <w:b/>
          <w:sz w:val="22"/>
          <w:szCs w:val="22"/>
        </w:rPr>
        <w:t>İşlevler</w:t>
      </w:r>
    </w:p>
    <w:p w:rsidR="00C60153" w:rsidRPr="002C6CFF" w:rsidRDefault="00C60153" w:rsidP="00C60153">
      <w:pPr>
        <w:pStyle w:val="HTMLncedenBiimlendirilmi"/>
        <w:shd w:val="clear" w:color="auto" w:fill="FFFFFF"/>
        <w:spacing w:line="360" w:lineRule="auto"/>
        <w:jc w:val="both"/>
        <w:rPr>
          <w:rFonts w:ascii="Arial" w:hAnsi="Arial" w:cs="Arial"/>
          <w:b/>
          <w:sz w:val="22"/>
          <w:szCs w:val="22"/>
        </w:rPr>
      </w:pPr>
      <w:r>
        <w:rPr>
          <w:rFonts w:ascii="Arial" w:hAnsi="Arial" w:cs="Arial"/>
          <w:b/>
          <w:sz w:val="22"/>
          <w:szCs w:val="22"/>
        </w:rPr>
        <w:tab/>
      </w:r>
      <w:r w:rsidRPr="00453BDF">
        <w:rPr>
          <w:rFonts w:ascii="Arial" w:hAnsi="Arial" w:cs="Arial"/>
          <w:sz w:val="22"/>
          <w:szCs w:val="22"/>
          <w:shd w:val="clear" w:color="auto" w:fill="FFFFFF"/>
        </w:rPr>
        <w:t>DEHB'nin nöropsikolojik modelleri DEHB'nin davranışsal ve bilişsel belirtilerini açıklamaya çalışmaktadır. Bunlara yürütücü işlevlerdeki kusurlar</w:t>
      </w:r>
      <w:r>
        <w:rPr>
          <w:rFonts w:ascii="Arial" w:hAnsi="Arial" w:cs="Arial"/>
          <w:sz w:val="22"/>
          <w:szCs w:val="22"/>
          <w:shd w:val="clear" w:color="auto" w:fill="FFFFFF"/>
        </w:rPr>
        <w:t xml:space="preserve"> </w:t>
      </w:r>
      <w:r w:rsidR="00BC3BBB">
        <w:rPr>
          <w:rFonts w:ascii="Arial" w:hAnsi="Arial" w:cs="Arial"/>
          <w:sz w:val="22"/>
          <w:szCs w:val="22"/>
          <w:shd w:val="clear" w:color="auto" w:fill="FFFFFF"/>
        </w:rPr>
        <w:fldChar w:fldCharType="begin" w:fldLock="1"/>
      </w:r>
      <w:r w:rsidR="0037573A">
        <w:rPr>
          <w:rFonts w:ascii="Arial" w:hAnsi="Arial" w:cs="Arial"/>
          <w:sz w:val="22"/>
          <w:szCs w:val="22"/>
          <w:shd w:val="clear" w:color="auto" w:fill="FFFFFF"/>
        </w:rPr>
        <w:instrText>ADDIN CSL_CITATION { "citationItems" : [ { "id" : "ITEM-1", "itemData" : { "author" : [ { "dropping-particle" : "", "family" : "Barkley", "given" : "R A", "non-dropping-particle" : "", "parse-names" : false, "suffix" : "" } ], "container-title" : "Pb", "id" : "ITEM-1", "issue" : "1", "issued" : { "date-parts" : [ [ "1997" ] ] }, "page" : "65-94", "title" : "Behavioral inhibition, sustained attention, and executive functions: constructing a unifying theory of ADHD", "type" : "article-journal", "volume" : "121" }, "uris" : [ "http://www.mendeley.com/documents/?uuid=dbab7bfd-fce5-420b-966c-17eb16289b56" ] }, { "id" : "ITEM-2", "itemData" : { "DOI" : "10.1038/nrn896", "ISBN" : "1471003X", "ISSN" : "1471-003X", "PMID" : "12154363", "abstract" : "Research on attention-deficit/hyperactivity disorder (ADHD), a highly prevalent and controversial condition, has, for the most part, been descriptive and atheoretical. The imperative to discover the genetic and environmental risk factors for ADHD is motivating the search for quantifiable intermediate constructs, termed endophenotypes. In this selective review, we conclude that such endophenotypes should be solidly grounded in the neurosciences. We propose that three such endophenotypes \u2014 a specific abnormality in reward-related circuitry that leads to shortened delay gradients, deficits in temporal processing that result in high intrasubject intertrial variability, and deficits in working memory \u2014 are most amenable to integrative collaborative approaches that aim to uncover the causes of ADHD.", "author" : [ { "dropping-particle" : "", "family" : "Castellanos", "given" : "F. Xavier", "non-dropping-particle" : "", "parse-names" : false, "suffix" : "" }, { "dropping-particle" : "", "family" : "Tannock", "given" : "Rosemary", "non-dropping-particle" : "", "parse-names" : false, "suffix" : "" } ], "container-title" : "Nature Reviews Neuroscience", "id" : "ITEM-2", "issue" : "8", "issued" : { "date-parts" : [ [ "2002" ] ] }, "page" : "617-628", "title" : "Neuroscience of attention-deficit/hyperactivity disorder: the search for endophenotypes", "type" : "article-journal", "volume" : "3" }, "uris" : [ "http://www.mendeley.com/documents/?uuid=4ad2cba2-81fe-4c06-bb9e-02fe6ea636e9" ] } ], "mendeley" : { "formattedCitation" : "(105, 106)", "plainTextFormattedCitation" : "(105, 106)", "previouslyFormattedCitation" : "(105, 106)" }, "properties" : { "noteIndex" : 12 }, "schema" : "https://github.com/citation-style-language/schema/raw/master/csl-citation.json" }</w:instrText>
      </w:r>
      <w:r w:rsidR="00BC3BBB">
        <w:rPr>
          <w:rFonts w:ascii="Arial" w:hAnsi="Arial" w:cs="Arial"/>
          <w:sz w:val="22"/>
          <w:szCs w:val="22"/>
          <w:shd w:val="clear" w:color="auto" w:fill="FFFFFF"/>
        </w:rPr>
        <w:fldChar w:fldCharType="separate"/>
      </w:r>
      <w:r w:rsidR="00BF1F00" w:rsidRPr="00BF1F00">
        <w:rPr>
          <w:rFonts w:ascii="Arial" w:hAnsi="Arial" w:cs="Arial"/>
          <w:noProof/>
          <w:sz w:val="22"/>
          <w:szCs w:val="22"/>
          <w:shd w:val="clear" w:color="auto" w:fill="FFFFFF"/>
        </w:rPr>
        <w:t>(105, 106)</w:t>
      </w:r>
      <w:r w:rsidR="00BC3BBB">
        <w:rPr>
          <w:rFonts w:ascii="Arial" w:hAnsi="Arial" w:cs="Arial"/>
          <w:sz w:val="22"/>
          <w:szCs w:val="22"/>
          <w:shd w:val="clear" w:color="auto" w:fill="FFFFFF"/>
        </w:rPr>
        <w:fldChar w:fldCharType="end"/>
      </w:r>
      <w:r w:rsidRPr="00453BDF">
        <w:rPr>
          <w:rFonts w:ascii="Arial" w:hAnsi="Arial" w:cs="Arial"/>
          <w:sz w:val="22"/>
          <w:szCs w:val="22"/>
          <w:shd w:val="clear" w:color="auto" w:fill="FFFFFF"/>
        </w:rPr>
        <w:t xml:space="preserve">, ertelemeden kaçınma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"DOI" : "10.1111/j.1469-7610.1992.tb00874.x", "ISBN" : "0021-9630 (Print)", "ISSN" : "14697610", "PMID" : "1564081", "abstract" : "Two experiments are reported in which hyperactive and control children repeatedly chose between small immediate and large delayed rewards. In experiment 1, the best choice option was manipulated by varying levels of delay after reward delivery. In experiment 2 it was manipulated by changing the economic constraint (10 minutes or 20 trials). Both groups were equally efficient at earning points under most conditions, but hyperactive children exhibited a maladaptive preference for the small reward under the trials constraint. The results suggest that hyperactive children were more concerned to reduce overall delay levels than either to maximize reward amount or immediacy.", "author" : [ { "dropping-particle" : "", "family" : "Sonuga\u2010Barke", "given" : "E. J.S.", "non-dropping-particle" : "", "parse-names" : false, "suffix" : "" }, { "dropping-particle" : "", "family" : "Taylor", "given" : "E.", "non-dropping-particle" : "", "parse-names" : false, "suffix" : "" }, { "dropping-particle" : "", "family" : "Sembi", "given" : "S.", "non-dropping-particle" : "", "parse-names" : false, "suffix" : "" }, { "dropping-particle" : "", "family" : "Smith", "given" : "J.", "non-dropping-particle" : "", "parse-names" : false, "suffix" : "" } ], "container-title" : "Journal of Child Psychology and Psychiatry", "id" : "ITEM-1", "issue" : "2", "issued" : { "date-parts" : [ [ "1992" ] ] }, "page" : "387-398", "title" : "Hyperactivity and Delay Aversion\u2014I. The Effect of Delay on Choice", "type" : "article-journal", "volume" : "33" }, "uris" : [ "http://www.mendeley.com/documents/?uuid=1f91f04f-cd27-43e5-b99c-540cb35a296c" ] } ], "mendeley" : { "formattedCitation" : "(107)", "plainTextFormattedCitation" : "(107)", "previouslyFormattedCitation" : "(107)" }, "properties" : { "noteIndex" : 12 }, "schema" : "https://github.com/citation-style-language/schema/raw/master/csl-citation.json" }</w:instrText>
      </w:r>
      <w:r w:rsidR="00BC3BBB">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(107)</w:t>
      </w:r>
      <w:r w:rsidR="00BC3BBB">
        <w:rPr>
          <w:rFonts w:ascii="Arial" w:hAnsi="Arial" w:cs="Arial"/>
          <w:sz w:val="22"/>
          <w:szCs w:val="22"/>
          <w:shd w:val="clear" w:color="auto" w:fill="FFFFFF"/>
        </w:rPr>
        <w:fldChar w:fldCharType="end"/>
      </w:r>
      <w:r w:rsidRPr="00453BDF">
        <w:rPr>
          <w:rFonts w:ascii="Arial" w:hAnsi="Arial" w:cs="Arial"/>
          <w:color w:val="4F81BD" w:themeColor="accent1"/>
          <w:sz w:val="22"/>
          <w:szCs w:val="22"/>
          <w:shd w:val="clear" w:color="auto" w:fill="FFFFFF"/>
        </w:rPr>
        <w:t xml:space="preserve"> </w:t>
      </w:r>
      <w:r w:rsidRPr="00453BDF">
        <w:rPr>
          <w:rFonts w:ascii="Arial" w:hAnsi="Arial" w:cs="Arial"/>
          <w:color w:val="000000" w:themeColor="text1"/>
          <w:sz w:val="22"/>
          <w:szCs w:val="22"/>
          <w:shd w:val="clear" w:color="auto" w:fill="FFFFFF"/>
        </w:rPr>
        <w:t xml:space="preserve">ve zamansal işlem kusurları </w:t>
      </w:r>
      <w:r w:rsidR="00BC3BBB">
        <w:rPr>
          <w:rFonts w:ascii="Arial" w:hAnsi="Arial" w:cs="Arial"/>
          <w:color w:val="000000" w:themeColor="text1"/>
          <w:sz w:val="22"/>
          <w:szCs w:val="22"/>
          <w:shd w:val="clear" w:color="auto" w:fill="FFFFFF"/>
        </w:rPr>
        <w:fldChar w:fldCharType="begin" w:fldLock="1"/>
      </w:r>
      <w:r>
        <w:rPr>
          <w:rFonts w:ascii="Arial" w:hAnsi="Arial" w:cs="Arial"/>
          <w:color w:val="000000" w:themeColor="text1"/>
          <w:sz w:val="22"/>
          <w:szCs w:val="22"/>
          <w:shd w:val="clear" w:color="auto" w:fill="FFFFFF"/>
        </w:rPr>
        <w:instrText>ADDIN CSL_CITATION { "citationItems" : [ { "id" : "ITEM-1", "itemData" : { "DOI" : "10.1016/j.jaac.2009.12.018", "ISBN" : "0890-8567", "ISSN" : "08908567", "PMID" : "20410727", "abstract" : "OBJECTIVE\\nThe dual pathway model explains neuro-psychological heterogeneity in Attention Deficit/Hyperactivity Disorder (ADHD) in terms of dissociable cognitive and motivational deficits each affecting some but not other patients. We explore whether deficits in temporal processing might constitute a third dissociable neuropsychological component of ADHD. \\n\\nMETHOD\\nNine tasks designed to tap three domains (inhibitory control, delay aversion and temporal processing) were administered to ADHD probands (n=71; ages 6 to 17 years), their siblings (n=71; 65 unaffected by ADHD) and a group of non-ADHD controls (n=50). IQ and working memory were measured. \\n\\nRESULTS\\nTemporal processing, inhibitory control and delay-related deficits represented independent neuropsychological components. ADHD children differed from controls on all factors. For ADHD patients, the co-occurrence of inhibitory, temporal processing and delay-related deficits was no greater than expected by chance with substantial groups of patients showing only one problem. Domain-specific patterns of familial co-segregation provided evidence for the validity of neuropsychological subgroupings. \\n\\nCONCLUSION\\nThe current results illustrate the neuropsychological heterogeneity in ADHD and initial support for a triple pathway model. The findings need to be replicated in larger samples.", "author" : [ { "dropping-particle" : "", "family" : "Sonuga-Barke", "given" : "Edmund", "non-dropping-particle" : "", "parse-names" : false, "suffix" : "" }, { "dropping-particle" : "", "family" : "Bitsakou", "given" : "Paraskevi", "non-dropping-particle" : "", "parse-names" : false, "suffix" : "" }, { "dropping-particle" : "", "family" : "Thompson", "given" : "Margaret", "non-dropping-particle" : "", "parse-names" : false, "suffix" : "" } ], "container-title" : "Journal of the American Academy of Child &amp; Adolescent Psychiatry", "id" : "ITEM-1", "issue" : "4", "issued" : { "date-parts" : [ [ "2010" ] ] }, "page" : "345-355", "title" : "Beyond the Dual Pathway Model: Evidence for the Dissociation of Timing, Inhibitory, and Delay-Related Impairments in Attention-Deficit/Hyperactivity Disorder", "type" : "article-journal", "volume" : "49" }, "uris" : [ "http://www.mendeley.com/documents/?uuid=252458a7-413d-422b-9f20-68e0a2db18db" ] } ], "mendeley" : { "formattedCitation" : "(108)", "plainTextFormattedCitation" : "(108)", "previouslyFormattedCitation" : "(108)" }, "properties" : { "noteIndex" : 12 }, "schema" : "https://github.com/citation-style-language/schema/raw/master/csl-citation.json" }</w:instrText>
      </w:r>
      <w:r w:rsidR="00BC3BBB">
        <w:rPr>
          <w:rFonts w:ascii="Arial" w:hAnsi="Arial" w:cs="Arial"/>
          <w:color w:val="000000" w:themeColor="text1"/>
          <w:sz w:val="22"/>
          <w:szCs w:val="22"/>
          <w:shd w:val="clear" w:color="auto" w:fill="FFFFFF"/>
        </w:rPr>
        <w:fldChar w:fldCharType="separate"/>
      </w:r>
      <w:r w:rsidRPr="00F74A96">
        <w:rPr>
          <w:rFonts w:ascii="Arial" w:hAnsi="Arial" w:cs="Arial"/>
          <w:noProof/>
          <w:color w:val="000000" w:themeColor="text1"/>
          <w:sz w:val="22"/>
          <w:szCs w:val="22"/>
          <w:shd w:val="clear" w:color="auto" w:fill="FFFFFF"/>
        </w:rPr>
        <w:t>(108)</w:t>
      </w:r>
      <w:r w:rsidR="00BC3BBB">
        <w:rPr>
          <w:rFonts w:ascii="Arial" w:hAnsi="Arial" w:cs="Arial"/>
          <w:color w:val="000000" w:themeColor="text1"/>
          <w:sz w:val="22"/>
          <w:szCs w:val="22"/>
          <w:shd w:val="clear" w:color="auto" w:fill="FFFFFF"/>
        </w:rPr>
        <w:fldChar w:fldCharType="end"/>
      </w:r>
      <w:r w:rsidRPr="00453BDF">
        <w:rPr>
          <w:rFonts w:ascii="Arial" w:hAnsi="Arial" w:cs="Arial"/>
          <w:color w:val="4F81BD" w:themeColor="accent1"/>
          <w:sz w:val="22"/>
          <w:szCs w:val="22"/>
          <w:shd w:val="clear" w:color="auto" w:fill="FFFFFF"/>
        </w:rPr>
        <w:t xml:space="preserve"> </w:t>
      </w:r>
      <w:r w:rsidRPr="00453BDF">
        <w:rPr>
          <w:rFonts w:ascii="Arial" w:hAnsi="Arial" w:cs="Arial"/>
          <w:sz w:val="22"/>
          <w:szCs w:val="22"/>
          <w:shd w:val="clear" w:color="auto" w:fill="FFFFFF"/>
        </w:rPr>
        <w:t>dahildir. Yürütücü işlevler engelleyici kontrol ve çalışma belleği de dahil olmak üzere üst düzey bilişsel işlevleri tanımlamak için kullanılır. Yürütücü işlevlerdeki kusurlar</w:t>
      </w:r>
      <w:r>
        <w:rPr>
          <w:rFonts w:ascii="Arial" w:hAnsi="Arial" w:cs="Arial"/>
          <w:sz w:val="22"/>
          <w:szCs w:val="22"/>
          <w:shd w:val="clear" w:color="auto" w:fill="FFFFFF"/>
        </w:rPr>
        <w:t>ın</w:t>
      </w:r>
      <w:r w:rsidRPr="00453BDF">
        <w:rPr>
          <w:rFonts w:ascii="Arial" w:hAnsi="Arial" w:cs="Arial"/>
          <w:sz w:val="22"/>
          <w:szCs w:val="22"/>
        </w:rPr>
        <w:t xml:space="preserve"> DEHB'nin nöropsikolojik modellerinde göze çarpan özelliklere sahip</w:t>
      </w:r>
      <w:r>
        <w:rPr>
          <w:rFonts w:ascii="Arial" w:hAnsi="Arial" w:cs="Arial"/>
          <w:sz w:val="22"/>
          <w:szCs w:val="22"/>
        </w:rPr>
        <w:t xml:space="preserve"> olduğu </w:t>
      </w:r>
      <w:r w:rsidRPr="00453BDF">
        <w:rPr>
          <w:rFonts w:ascii="Arial" w:hAnsi="Arial" w:cs="Arial"/>
          <w:sz w:val="22"/>
          <w:szCs w:val="22"/>
        </w:rPr>
        <w:t>beynin frontal bölgelerinde gözlenen yapısal anormalliklerle tutarlı</w:t>
      </w:r>
      <w:r>
        <w:rPr>
          <w:rFonts w:ascii="Arial" w:hAnsi="Arial" w:cs="Arial"/>
          <w:sz w:val="22"/>
          <w:szCs w:val="22"/>
        </w:rPr>
        <w:t>lık</w:t>
      </w:r>
      <w:r w:rsidRPr="00453BDF">
        <w:rPr>
          <w:rFonts w:ascii="Arial" w:hAnsi="Arial" w:cs="Arial"/>
          <w:sz w:val="22"/>
          <w:szCs w:val="22"/>
        </w:rPr>
        <w:t xml:space="preserve"> </w:t>
      </w:r>
      <w:r>
        <w:rPr>
          <w:rFonts w:ascii="Arial" w:hAnsi="Arial" w:cs="Arial"/>
          <w:sz w:val="22"/>
          <w:szCs w:val="22"/>
        </w:rPr>
        <w:t>gösterdiği</w:t>
      </w:r>
      <w:r w:rsidRPr="00453BDF">
        <w:rPr>
          <w:rFonts w:ascii="Arial" w:hAnsi="Arial" w:cs="Arial"/>
          <w:sz w:val="22"/>
          <w:szCs w:val="22"/>
        </w:rPr>
        <w:t xml:space="preserve"> saptanmaıştır</w:t>
      </w:r>
      <w:r>
        <w:rPr>
          <w:rFonts w:ascii="Arial" w:hAnsi="Arial" w:cs="Arial"/>
          <w:sz w:val="22"/>
          <w:szCs w:val="22"/>
        </w:rPr>
        <w:t xml:space="preserve"> </w:t>
      </w:r>
      <w:r w:rsidR="00BC3BBB">
        <w:rPr>
          <w:rFonts w:ascii="Arial" w:hAnsi="Arial" w:cs="Arial"/>
          <w:sz w:val="22"/>
          <w:szCs w:val="22"/>
        </w:rPr>
        <w:fldChar w:fldCharType="begin" w:fldLock="1"/>
      </w:r>
      <w:r>
        <w:rPr>
          <w:rFonts w:ascii="Arial" w:hAnsi="Arial" w:cs="Arial"/>
          <w:sz w:val="22"/>
          <w:szCs w:val="22"/>
        </w:rPr>
        <w:instrText>ADDIN CSL_CITATION { "citationItems" : [ { "id" : "ITEM-1", "itemData" : { "DOI" : "10.1016/j.cpr.2006.01.004", "ISBN" : "0272-7358 (Print)\\r0272-7358 (Linking)", "ISSN" : "02727358", "PMID" : "16473440", "abstract" : "ADHD is defined by behavioral characteristics similar to neuropsychological disorders of executive dysfunction. This paper is a literature review of the neurocognitive characteristics of ADHD from early childhood through adulthood. The author addresses the development of the concept of attention and executive function (EF) deficits in ADHD, clinical neuropsychological studies of pre-teenage children, teenagers and adults with ADHD, gender and the role of psychiatric co-morbidity including the relationship of learning disabilities to ADHD, heterogeneity of neuropsychological dysfunctions, experimental neuropsychological studies, the relationship of brain structure to function, psychopharmacology of ADHD, and clinical neuropsychological assessment. The group data clearly supports the hypothesis that executive dysfunctions are correlates of ADHD regardless of gender and age, and these EF deficits are exacerbated by co-morbidity with learning disabilities such as dyslexia. However, there is limited data on children under the age of 5, teenagers from age 13-18, and adults with ADHD over the age of 40. Studies of individual classification of people with ADHD compared to healthy, non-psychiatric controls do not support the use of neuropsychological tests for the clinical diagnosis of ADHD, and indicate that not all persons with ADHD have EF deficits. Some persons with ADHD may have deficits in brain reward systems that are relatively independent of EF impairments. Future research should clarify the multiple sources of ADHD impairments, continue to refine neuropsychological tools optimized for assessment, and incorporate longitudinal, developmental designs to understand ADHD across the lifespan. \u00a9 2006 Elsevier Ltd. All rights reserved.", "author" : [ { "dropping-particle" : "", "family" : "Seidman", "given" : "Larry J.", "non-dropping-particle" : "", "parse-names" : false, "suffix" : "" } ], "container-title" : "Clinical Psychology Review", "id" : "ITEM-1", "issue" : "4", "issued" : { "date-parts" : [ [ "2006" ] ] }, "page" : "466-485", "title" : "Neuropsychological functioning in people with ADHD across the lifespan", "type" : "article-journal", "volume" : "26" }, "uris" : [ "http://www.mendeley.com/documents/?uuid=33652038-1d91-48e0-8d04-f1a99b7d7a31" ] } ], "mendeley" : { "formattedCitation" : "(109)", "plainTextFormattedCitation" : "(109)", "previouslyFormattedCitation" : "(109)" }, "properties" : { "noteIndex" : 13 }, "schema" : "https://github.com/citation-style-language/schema/raw/master/csl-citation.json" }</w:instrText>
      </w:r>
      <w:r w:rsidR="00BC3BBB">
        <w:rPr>
          <w:rFonts w:ascii="Arial" w:hAnsi="Arial" w:cs="Arial"/>
          <w:sz w:val="22"/>
          <w:szCs w:val="22"/>
        </w:rPr>
        <w:fldChar w:fldCharType="separate"/>
      </w:r>
      <w:r w:rsidRPr="00F74A96">
        <w:rPr>
          <w:rFonts w:ascii="Arial" w:hAnsi="Arial" w:cs="Arial"/>
          <w:noProof/>
          <w:sz w:val="22"/>
          <w:szCs w:val="22"/>
        </w:rPr>
        <w:t>(109)</w:t>
      </w:r>
      <w:r w:rsidR="00BC3BBB">
        <w:rPr>
          <w:rFonts w:ascii="Arial" w:hAnsi="Arial" w:cs="Arial"/>
          <w:sz w:val="22"/>
          <w:szCs w:val="22"/>
        </w:rPr>
        <w:fldChar w:fldCharType="end"/>
      </w:r>
      <w:r w:rsidRPr="00453BDF">
        <w:rPr>
          <w:rFonts w:ascii="Arial" w:hAnsi="Arial" w:cs="Arial"/>
          <w:sz w:val="22"/>
          <w:szCs w:val="22"/>
        </w:rPr>
        <w:t>.</w:t>
      </w:r>
      <w:r w:rsidRPr="00453BDF">
        <w:rPr>
          <w:rFonts w:ascii="Arial" w:hAnsi="Arial" w:cs="Arial"/>
          <w:color w:val="212121"/>
          <w:sz w:val="22"/>
          <w:szCs w:val="22"/>
        </w:rPr>
        <w:t xml:space="preserve"> </w:t>
      </w:r>
      <w:r w:rsidRPr="00453BDF">
        <w:rPr>
          <w:rFonts w:ascii="Arial" w:hAnsi="Arial" w:cs="Arial"/>
          <w:sz w:val="22"/>
          <w:szCs w:val="22"/>
          <w:shd w:val="clear" w:color="auto" w:fill="FFFFFF"/>
        </w:rPr>
        <w:t xml:space="preserve">Fonksiyonel manyetik rezonans görüntüleme (fMRI) verileri, yürütücü işlevleri ölçen görevlerde genellikle zayıf performans sergileyen DEHB'li çocuklarda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"author" : [ { "dropping-particle" : "", "family" : "Willcutt", "given" : "E G", "non-dropping-particle" : "", "parse-names" : false, "suffix" : "" }, { "dropping-particle" : "", "family" : "Doyle", "given" : "A E", "non-dropping-particle" : "", "parse-names" : false, "suffix" : "" }, { "dropping-particle" : "", "family" : "Nigg", "given" : "J T", "non-dropping-particle" : "", "parse-names" : false, "suffix" : "" }, { "dropping-particle" : "V", "family" : "Faraone\u2026", "given" : "S", "non-dropping-particle" : "", "parse-names" : false, "suffix" : "" } ], "container-title" : "Biological \u2026", "id" : "ITEM-1", "issued" : { "date-parts" : [ [ "2005" ] ] }, "title" : "Validity of the executive function theory of attention-deficit/hyperactivity disorder: a meta-analytic review", "type" : "article-journal" }, "uris" : [ "http://www.mendeley.com/documents/?uuid=797a1b7f-9bcf-4b48-814a-d8f925d4821a" ] } ], "mendeley" : { "formattedCitation" : "(110)", "plainTextFormattedCitation" : "(110)", "previouslyFormattedCitation" : "(110)" }, "properties" : { "noteIndex" : 13 }, "schema" : "https://github.com/citation-style-language/schema/raw/master/csl-citation.json" }</w:instrText>
      </w:r>
      <w:r w:rsidR="00BC3BBB">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(110)</w:t>
      </w:r>
      <w:r w:rsidR="00BC3BBB">
        <w:rPr>
          <w:rFonts w:ascii="Arial" w:hAnsi="Arial" w:cs="Arial"/>
          <w:sz w:val="22"/>
          <w:szCs w:val="22"/>
          <w:shd w:val="clear" w:color="auto" w:fill="FFFFFF"/>
        </w:rPr>
        <w:fldChar w:fldCharType="end"/>
      </w:r>
      <w:r w:rsidRPr="00453BDF">
        <w:rPr>
          <w:rFonts w:ascii="Arial" w:hAnsi="Arial" w:cs="Arial"/>
          <w:sz w:val="22"/>
          <w:szCs w:val="22"/>
          <w:shd w:val="clear" w:color="auto" w:fill="FFFFFF"/>
        </w:rPr>
        <w:t xml:space="preserve"> </w:t>
      </w:r>
      <w:r>
        <w:rPr>
          <w:rFonts w:ascii="Arial" w:hAnsi="Arial" w:cs="Arial"/>
          <w:sz w:val="22"/>
          <w:szCs w:val="22"/>
          <w:shd w:val="clear" w:color="auto" w:fill="FFFFFF"/>
        </w:rPr>
        <w:t>bu</w:t>
      </w:r>
      <w:r w:rsidRPr="00453BDF">
        <w:rPr>
          <w:rFonts w:ascii="Arial" w:hAnsi="Arial" w:cs="Arial"/>
          <w:sz w:val="22"/>
          <w:szCs w:val="22"/>
          <w:shd w:val="clear" w:color="auto" w:fill="FFFFFF"/>
        </w:rPr>
        <w:t xml:space="preserve"> işlevler ile ilgili alanlarda hipo-aktivasyonunu ortaya koymaktadır</w:t>
      </w:r>
      <w:r>
        <w:rPr>
          <w:rFonts w:ascii="Arial" w:hAnsi="Arial" w:cs="Arial"/>
          <w:sz w:val="22"/>
          <w:szCs w:val="22"/>
          <w:shd w:val="clear" w:color="auto" w:fill="FFFFFF"/>
        </w:rPr>
        <w:t xml:space="preserve">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"DOI" : "10.1176/appi.ajp.2012.11101521", "ISBN" : "0002-953X", "ISSN" : "15357228", "PMID" : "22983386", "abstract" : "Objective\u00a0 The authors performed a comprehensive meta-analysis of task-based functional MRI studies of attention deficit hyperactivity disorder (ADHD).Method The authors searched PubMed, Ovid, EMBASE, Web of Science, ERIC, CINAHAL, and NeuroSynth for studies published through June 30, 2011. Significant differences in brain region activation between individuals with ADHD and comparison subjects were detected using activation likelihood estimation meta-analysis. Dysfunctional regions in ADHD were related to seven reference neuronal systems. The authors performed a set of meta-analyses focused on age groups (children and adults), clinical characteristics (history of stimulant treatment and presence of psychiatric comorbidities), and specific neuropsychological tasks (inhibition, working memory, and vigilance/attention).Results Fifty-five studies were included (39 for children and 16 for adults). In children, hypoactivation in ADHD relative to comparison subjects was observed mostly in systems involved in executive function (frontoparietal network) and attention (ventral attentional network). Significant hyperactivation in ADHD relative to comparison subjects was observed predominantly in the default, ventral attention, and somatomotor networks. In adults, ADHD-related hypoactivation was predominant in the frontoparietal system, while ADHD-related hyperactivation was present in the visual, dorsal attention, and default networks. Significant ADHD-related dysfunction largely reflected task features and was detected even in the absence of comorbid mental disorders or a history of stimulant treatment.Conclusions A growing literature provides evidence of ADHD-related dysfunction in multiple neuronal systems involved in higher-level cognitive functions but also in sensorimotor processes, including the visual system, and in the default network. This meta-analytic evidence extends early models of ADHD pathophysiology that were focused on prefrontal-striatal circuits.Abstract Teaser", "author" : [ { "dropping-particle" : "", "family" : "Cortese", "given" : "Samuele", "non-dropping-particle" : "", "parse-names" : false, "suffix" : "" }, { "dropping-particle" : "", "family" : "Kelly", "given" : "Clare", "non-dropping-particle" : "", "parse-names" : false, "suffix" : "" }, { "dropping-particle" : "", "family" : "Chabernaud", "given" : "Camille", "non-dropping-particle" : "", "parse-names" : false, "suffix" : "" }, { "dropping-particle" : "", "family" : "Proal", "given" : "Erika", "non-dropping-particle" : "", "parse-names" : false, "suffix" : "" }, { "dropping-particle" : "", "family" : "Martino", "given" : "Adriana", "non-dropping-particle" : "Di", "parse-names" : false, "suffix" : "" }, { "dropping-particle" : "", "family" : "Milham", "given" : "Michael P.", "non-dropping-particle" : "", "parse-names" : false, "suffix" : "" }, { "dropping-particle" : "", "family" : "Castellanos", "given" : "F. Xavier", "non-dropping-particle" : "", "parse-names" : false, "suffix" : "" } ], "container-title" : "American Journal of Psychiatry", "id" : "ITEM-1", "issue" : "10", "issued" : { "date-parts" : [ [ "2012" ] ] }, "page" : "1038-1055", "title" : "Toward systems neuroscience of ADHD: A meta-analysis of 55 fMRI sudies", "type" : "article-journal", "volume" : "169" }, "uris" : [ "http://www.mendeley.com/documents/?uuid=bb86bbf8-5754-4b29-86e6-339a876e72b7" ] } ], "mendeley" : { "formattedCitation" : "(111)", "plainTextFormattedCitation" : "(111)", "previouslyFormattedCitation" : "(111)" }, "properties" : { "noteIndex" : 13 }, "schema" : "https://github.com/citation-style-language/schema/raw/master/csl-citation.json" }</w:instrText>
      </w:r>
      <w:r w:rsidR="00BC3BBB">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(111)</w:t>
      </w:r>
      <w:r w:rsidR="00BC3BBB">
        <w:rPr>
          <w:rFonts w:ascii="Arial" w:hAnsi="Arial" w:cs="Arial"/>
          <w:sz w:val="22"/>
          <w:szCs w:val="22"/>
          <w:shd w:val="clear" w:color="auto" w:fill="FFFFFF"/>
        </w:rPr>
        <w:fldChar w:fldCharType="end"/>
      </w:r>
      <w:r>
        <w:rPr>
          <w:rFonts w:ascii="Arial" w:hAnsi="Arial" w:cs="Arial"/>
          <w:sz w:val="22"/>
          <w:szCs w:val="22"/>
          <w:shd w:val="clear" w:color="auto" w:fill="FFFFFF"/>
        </w:rPr>
        <w:t xml:space="preserve">. </w:t>
      </w:r>
      <w:r w:rsidRPr="00453BDF">
        <w:rPr>
          <w:rFonts w:ascii="Arial" w:hAnsi="Arial" w:cs="Arial"/>
          <w:sz w:val="22"/>
          <w:szCs w:val="22"/>
          <w:shd w:val="clear" w:color="auto" w:fill="FFFFFF"/>
        </w:rPr>
        <w:t>Davranışsal olarak yürütücü işlevlerdeki kusurlar, okula hazırlık gibi günlük görevleri planlamada v</w:t>
      </w:r>
      <w:r>
        <w:rPr>
          <w:rFonts w:ascii="Arial" w:hAnsi="Arial" w:cs="Arial"/>
          <w:sz w:val="22"/>
          <w:szCs w:val="22"/>
          <w:shd w:val="clear" w:color="auto" w:fill="FFFFFF"/>
        </w:rPr>
        <w:t>e koordine etmede unutkanlık ve zorlanma</w:t>
      </w:r>
      <w:r w:rsidRPr="00453BDF">
        <w:rPr>
          <w:rFonts w:ascii="Arial" w:hAnsi="Arial" w:cs="Arial"/>
          <w:sz w:val="22"/>
          <w:szCs w:val="22"/>
          <w:shd w:val="clear" w:color="auto" w:fill="FFFFFF"/>
        </w:rPr>
        <w:t xml:space="preserve"> olarak kendini gösterebilir. </w:t>
      </w:r>
      <w:r>
        <w:rPr>
          <w:rFonts w:ascii="Arial" w:hAnsi="Arial" w:cs="Arial"/>
          <w:sz w:val="22"/>
          <w:szCs w:val="22"/>
        </w:rPr>
        <w:t xml:space="preserve"> </w:t>
      </w:r>
      <w:r w:rsidRPr="00453BDF">
        <w:rPr>
          <w:rFonts w:ascii="Arial" w:hAnsi="Arial" w:cs="Arial"/>
          <w:sz w:val="22"/>
          <w:szCs w:val="22"/>
          <w:shd w:val="clear" w:color="auto" w:fill="FFFFFF"/>
        </w:rPr>
        <w:t>Bununla birlikte DEHB'li çocuklarda nöropsikolojik işlevleri ölçen görevlerde</w:t>
      </w:r>
      <w:r>
        <w:rPr>
          <w:rFonts w:ascii="Arial" w:hAnsi="Arial" w:cs="Arial"/>
          <w:sz w:val="22"/>
          <w:szCs w:val="22"/>
          <w:shd w:val="clear" w:color="auto" w:fill="FFFFFF"/>
        </w:rPr>
        <w:t>,</w:t>
      </w:r>
      <w:r w:rsidRPr="00453BDF">
        <w:rPr>
          <w:rFonts w:ascii="Arial" w:hAnsi="Arial" w:cs="Arial"/>
          <w:sz w:val="22"/>
          <w:szCs w:val="22"/>
          <w:shd w:val="clear" w:color="auto" w:fill="FFFFFF"/>
        </w:rPr>
        <w:t xml:space="preserve"> </w:t>
      </w:r>
      <w:r>
        <w:rPr>
          <w:rFonts w:ascii="Arial" w:hAnsi="Arial" w:cs="Arial"/>
          <w:sz w:val="22"/>
          <w:szCs w:val="22"/>
          <w:shd w:val="clear" w:color="auto" w:fill="FFFFFF"/>
        </w:rPr>
        <w:t>farklı</w:t>
      </w:r>
      <w:r w:rsidRPr="00453BDF">
        <w:rPr>
          <w:rFonts w:ascii="Arial" w:hAnsi="Arial" w:cs="Arial"/>
          <w:sz w:val="22"/>
          <w:szCs w:val="22"/>
          <w:shd w:val="clear" w:color="auto" w:fill="FFFFFF"/>
        </w:rPr>
        <w:t xml:space="preserve"> performans</w:t>
      </w:r>
      <w:r>
        <w:rPr>
          <w:rFonts w:ascii="Arial" w:hAnsi="Arial" w:cs="Arial"/>
          <w:sz w:val="22"/>
          <w:szCs w:val="22"/>
          <w:shd w:val="clear" w:color="auto" w:fill="FFFFFF"/>
        </w:rPr>
        <w:t>lar gösteren</w:t>
      </w:r>
      <w:r w:rsidRPr="00453BDF">
        <w:rPr>
          <w:rFonts w:ascii="Arial" w:hAnsi="Arial" w:cs="Arial"/>
          <w:sz w:val="22"/>
          <w:szCs w:val="22"/>
          <w:shd w:val="clear" w:color="auto" w:fill="FFFFFF"/>
        </w:rPr>
        <w:t xml:space="preserve"> ortaya konulmuş birbirinden ayrı nöropsikolojik profiller </w:t>
      </w:r>
      <w:r>
        <w:rPr>
          <w:rFonts w:ascii="Arial" w:hAnsi="Arial" w:cs="Arial"/>
          <w:sz w:val="22"/>
          <w:szCs w:val="22"/>
          <w:shd w:val="clear" w:color="auto" w:fill="FFFFFF"/>
        </w:rPr>
        <w:t xml:space="preserve">izlenmektedir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"DOI" : "10.1017/S0033291713002547", "ISBN" : "0033291713", "ISSN" : "0033-2917", "PMID" : "24176104", "abstract" : "BACKGROUND: Although attention deficit hyperactivity disorder (ADHD) has been associated with a broad range of deficits across various neuropsychological domains, most studies have assessed only a narrow range of neuropsychological functions. Direct cross-domain comparisons are rare, with almost all studies restricted to less than four domains. Therefore, the relationships between these various domains remain undefined. In addition, almost all studies included previously medicated participants, limiting the conclusions that can be drawn. We present the first study to compare a large cohort of medication-naive boys with ADHD with healthy controls on a broad battery of neuropsychological tasks, assessing six key domains of neuropsychological functioning. METHOD: The neuropsychological functioning of 83 medication-naive boys with well-characterized ADHD (mean age 8.9 years) was compared with that of 66 typically developing (TYP) boys (mean age 9.0 years) on a broad battery of validated neuropsychological tasks. RESULTS: Data reduction using complementary factor analysis (CFA) confirmed six distinct neuropsychological domains: working memory, inhibition, delay aversion, decision making, timing and response variability. Boys with ADHD performed less well across all six domains although, for each domain, only a minority of boys with ADHD had a deficit [effect size (% with deficit) ADHD versus TYP: working memory 0.95 (30.1), inhibition 0.61 (22.9), delay aversion 0.82 (36.1), decision making 0.55 (20.5), timing 0.71 (31.3), response variability 0.37 (18.1)]. CONCLUSIONS: The clinical syndrome of ADHD is neuropsychologically heterogeneous. These data highlight the complexity of the relationships between the different neuropsychological profiles associated with ADHD and the clinical symptoms and functional impairment.", "author" : [ { "dropping-particle" : "", "family" : "Coghill", "given" : "D. R.", "non-dropping-particle" : "", "parse-names" : false, "suffix" : "" }, { "dropping-particle" : "", "family" : "Seth", "given" : "S.", "non-dropping-particle" : "", "parse-names" : false, "suffix" : "" }, { "dropping-particle" : "", "family" : "Matthews", "given" : "K.", "non-dropping-particle" : "", "parse-names" : false, "suffix" : "" } ], "container-title" : "Psychological Medicine", "id" : "ITEM-1", "issue" : "09", "issued" : { "date-parts" : [ [ "2014" ] ] }, "page" : "1989-2001", "title" : "A comprehensive assessment of memory, delay aversion, timing, inhibition, decision making and variability in attention deficit hyperactivity disorder: advancing beyond the three-pathway models", "type" : "article-journal", "volume" : "44" }, "uris" : [ "http://www.mendeley.com/documents/?uuid=54f2dea0-a520-4cec-90bc-153a7cb08d2e" ] } ], "mendeley" : { "formattedCitation" : "(112)", "plainTextFormattedCitation" : "(112)", "previouslyFormattedCitation" : "(112)" }, "properties" : { "noteIndex" : 13 }, "schema" : "https://github.com/citation-style-language/schema/raw/master/csl-citation.json" }</w:instrText>
      </w:r>
      <w:r w:rsidR="00BC3BBB">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(112)</w:t>
      </w:r>
      <w:r w:rsidR="00BC3BBB">
        <w:rPr>
          <w:rFonts w:ascii="Arial" w:hAnsi="Arial" w:cs="Arial"/>
          <w:sz w:val="22"/>
          <w:szCs w:val="22"/>
          <w:shd w:val="clear" w:color="auto" w:fill="FFFFFF"/>
        </w:rPr>
        <w:fldChar w:fldCharType="end"/>
      </w:r>
      <w:r w:rsidRPr="00453BDF">
        <w:rPr>
          <w:rFonts w:ascii="Arial" w:hAnsi="Arial" w:cs="Arial"/>
          <w:sz w:val="22"/>
          <w:szCs w:val="22"/>
          <w:shd w:val="clear" w:color="auto" w:fill="FFFFFF"/>
        </w:rPr>
        <w:t xml:space="preserve">. </w:t>
      </w:r>
      <w:r w:rsidRPr="00453BDF">
        <w:rPr>
          <w:rFonts w:ascii="Arial" w:hAnsi="Arial" w:cs="Arial"/>
          <w:color w:val="000000" w:themeColor="text1"/>
          <w:sz w:val="22"/>
          <w:szCs w:val="22"/>
          <w:lang w:eastAsia="en-US"/>
        </w:rPr>
        <w:t>Alternatif teoriler arasında DEHB’li çocukların, daha küçük</w:t>
      </w:r>
      <w:r>
        <w:rPr>
          <w:rFonts w:ascii="Arial" w:hAnsi="Arial" w:cs="Arial"/>
          <w:color w:val="000000" w:themeColor="text1"/>
          <w:sz w:val="22"/>
          <w:szCs w:val="22"/>
          <w:lang w:eastAsia="en-US"/>
        </w:rPr>
        <w:t xml:space="preserve"> ve</w:t>
      </w:r>
      <w:r w:rsidRPr="00453BDF">
        <w:rPr>
          <w:rFonts w:ascii="Arial" w:hAnsi="Arial" w:cs="Arial"/>
          <w:color w:val="000000" w:themeColor="text1"/>
          <w:sz w:val="22"/>
          <w:szCs w:val="22"/>
          <w:lang w:eastAsia="en-US"/>
        </w:rPr>
        <w:t xml:space="preserve"> yakın ödülleri, daha büyük </w:t>
      </w:r>
      <w:r>
        <w:rPr>
          <w:rFonts w:ascii="Arial" w:hAnsi="Arial" w:cs="Arial"/>
          <w:color w:val="000000" w:themeColor="text1"/>
          <w:sz w:val="22"/>
          <w:szCs w:val="22"/>
          <w:lang w:eastAsia="en-US"/>
        </w:rPr>
        <w:t xml:space="preserve">ce </w:t>
      </w:r>
      <w:r w:rsidRPr="00453BDF">
        <w:rPr>
          <w:rFonts w:ascii="Arial" w:hAnsi="Arial" w:cs="Arial"/>
          <w:color w:val="000000" w:themeColor="text1"/>
          <w:sz w:val="22"/>
          <w:szCs w:val="22"/>
          <w:lang w:eastAsia="en-US"/>
        </w:rPr>
        <w:t xml:space="preserve">geç ödüllere tercih ettiklerini gösteren </w:t>
      </w:r>
      <w:r w:rsidRPr="00453BDF">
        <w:rPr>
          <w:rFonts w:ascii="Arial" w:hAnsi="Arial" w:cs="Arial"/>
          <w:i/>
          <w:color w:val="000000" w:themeColor="text1"/>
          <w:sz w:val="22"/>
          <w:szCs w:val="22"/>
          <w:lang w:eastAsia="en-US"/>
        </w:rPr>
        <w:t>“</w:t>
      </w:r>
      <w:r w:rsidRPr="00453BDF">
        <w:rPr>
          <w:rFonts w:ascii="Arial" w:hAnsi="Arial" w:cs="Arial"/>
          <w:i/>
          <w:color w:val="000000" w:themeColor="text1"/>
          <w:sz w:val="22"/>
          <w:szCs w:val="22"/>
          <w:shd w:val="clear" w:color="auto" w:fill="FFFFFF"/>
        </w:rPr>
        <w:t>ertelemeden kaçınma”</w:t>
      </w:r>
      <w:r>
        <w:rPr>
          <w:rFonts w:ascii="Arial" w:hAnsi="Arial" w:cs="Arial"/>
          <w:i/>
          <w:color w:val="000000" w:themeColor="text1"/>
          <w:sz w:val="22"/>
          <w:szCs w:val="22"/>
          <w:shd w:val="clear" w:color="auto" w:fill="FFFFFF"/>
        </w:rPr>
        <w:t xml:space="preserve"> </w:t>
      </w:r>
      <w:r w:rsidR="00BC3BBB">
        <w:rPr>
          <w:rFonts w:ascii="Arial" w:hAnsi="Arial" w:cs="Arial"/>
          <w:i/>
          <w:color w:val="000000" w:themeColor="text1"/>
          <w:sz w:val="22"/>
          <w:szCs w:val="22"/>
          <w:shd w:val="clear" w:color="auto" w:fill="FFFFFF"/>
        </w:rPr>
        <w:fldChar w:fldCharType="begin" w:fldLock="1"/>
      </w:r>
      <w:r>
        <w:rPr>
          <w:rFonts w:ascii="Arial" w:hAnsi="Arial" w:cs="Arial"/>
          <w:i/>
          <w:color w:val="000000" w:themeColor="text1"/>
          <w:sz w:val="22"/>
          <w:szCs w:val="22"/>
          <w:shd w:val="clear" w:color="auto" w:fill="FFFFFF"/>
        </w:rPr>
        <w:instrText>ADDIN CSL_CITATION { "citationItems" : [ { "id" : "ITEM-1", "itemData" : { "DOI" : "10.1111/j.1469-7610.1992.tb00874.x", "ISBN" : "0021-9630 (Print)", "ISSN" : "14697610", "PMID" : "1564081", "abstract" : "Two experiments are reported in which hyperactive and control children repeatedly chose between small immediate and large delayed rewards. In experiment 1, the best choice option was manipulated by varying levels of delay after reward delivery. In experiment 2 it was manipulated by changing the economic constraint (10 minutes or 20 trials). Both groups were equally efficient at earning points under most conditions, but hyperactive children exhibited a maladaptive preference for the small reward under the trials constraint. The results suggest that hyperactive children were more concerned to reduce overall delay levels than either to maximize reward amount or immediacy.", "author" : [ { "dropping-particle" : "", "family" : "Sonuga\u2010Barke", "given" : "E. J.S.", "non-dropping-particle" : "", "parse-names" : false, "suffix" : "" }, { "dropping-particle" : "", "family" : "Taylor", "given" : "E.", "non-dropping-particle" : "", "parse-names" : false, "suffix" : "" }, { "dropping-particle" : "", "family" : "Sembi", "given" : "S.", "non-dropping-particle" : "", "parse-names" : false, "suffix" : "" }, { "dropping-particle" : "", "family" : "Smith", "given" : "J.", "non-dropping-particle" : "", "parse-names" : false, "suffix" : "" } ], "container-title" : "Journal of Child Psychology and Psychiatry", "id" : "ITEM-1", "issue" : "2", "issued" : { "date-parts" : [ [ "1992" ] ] }, "page" : "387-398", "title" : "Hyperactivity and Delay Aversion\u2014I. The Effect of Delay on Choice", "type" : "article-journal", "volume" : "33" }, "uris" : [ "http://www.mendeley.com/documents/?uuid=1f91f04f-cd27-43e5-b99c-540cb35a296c" ] } ], "mendeley" : { "formattedCitation" : "(107)", "plainTextFormattedCitation" : "(107)", "previouslyFormattedCitation" : "(107)" }, "properties" : { "noteIndex" : 13 }, "schema" : "https://github.com/citation-style-language/schema/raw/master/csl-citation.json" }</w:instrText>
      </w:r>
      <w:r w:rsidR="00BC3BBB">
        <w:rPr>
          <w:rFonts w:ascii="Arial" w:hAnsi="Arial" w:cs="Arial"/>
          <w:i/>
          <w:color w:val="000000" w:themeColor="text1"/>
          <w:sz w:val="22"/>
          <w:szCs w:val="22"/>
          <w:shd w:val="clear" w:color="auto" w:fill="FFFFFF"/>
        </w:rPr>
        <w:fldChar w:fldCharType="separate"/>
      </w:r>
      <w:r w:rsidRPr="00F74A96">
        <w:rPr>
          <w:rFonts w:ascii="Arial" w:hAnsi="Arial" w:cs="Arial"/>
          <w:noProof/>
          <w:color w:val="000000" w:themeColor="text1"/>
          <w:sz w:val="22"/>
          <w:szCs w:val="22"/>
          <w:shd w:val="clear" w:color="auto" w:fill="FFFFFF"/>
        </w:rPr>
        <w:t>(107)</w:t>
      </w:r>
      <w:r w:rsidR="00BC3BBB">
        <w:rPr>
          <w:rFonts w:ascii="Arial" w:hAnsi="Arial" w:cs="Arial"/>
          <w:i/>
          <w:color w:val="000000" w:themeColor="text1"/>
          <w:sz w:val="22"/>
          <w:szCs w:val="22"/>
          <w:shd w:val="clear" w:color="auto" w:fill="FFFFFF"/>
        </w:rPr>
        <w:fldChar w:fldCharType="end"/>
      </w:r>
      <w:r w:rsidRPr="00453BDF">
        <w:rPr>
          <w:rFonts w:ascii="Arial" w:hAnsi="Arial" w:cs="Arial"/>
          <w:i/>
          <w:color w:val="000000" w:themeColor="text1"/>
          <w:sz w:val="22"/>
          <w:szCs w:val="22"/>
          <w:shd w:val="clear" w:color="auto" w:fill="FFFFFF"/>
        </w:rPr>
        <w:t xml:space="preserve"> </w:t>
      </w:r>
      <w:r w:rsidRPr="00453BDF">
        <w:rPr>
          <w:rFonts w:ascii="Arial" w:hAnsi="Arial" w:cs="Arial"/>
          <w:color w:val="000000" w:themeColor="text1"/>
          <w:sz w:val="22"/>
          <w:szCs w:val="22"/>
          <w:shd w:val="clear" w:color="auto" w:fill="FFFFFF"/>
        </w:rPr>
        <w:t xml:space="preserve">ve geçen zamanı yanlış değerlendirlmelerine neden olan </w:t>
      </w:r>
      <w:r w:rsidRPr="00453BDF">
        <w:rPr>
          <w:rFonts w:ascii="Arial" w:hAnsi="Arial" w:cs="Arial"/>
          <w:i/>
          <w:color w:val="000000" w:themeColor="text1"/>
          <w:sz w:val="22"/>
          <w:szCs w:val="22"/>
          <w:shd w:val="clear" w:color="auto" w:fill="FFFFFF"/>
        </w:rPr>
        <w:t>“zamansal işlem kusurları”</w:t>
      </w:r>
      <w:r w:rsidRPr="00453BDF">
        <w:rPr>
          <w:rFonts w:ascii="Arial" w:hAnsi="Arial" w:cs="Arial"/>
          <w:color w:val="000000" w:themeColor="text1"/>
          <w:sz w:val="22"/>
          <w:szCs w:val="22"/>
          <w:shd w:val="clear" w:color="auto" w:fill="FFFFFF"/>
        </w:rPr>
        <w:t xml:space="preserve"> bulun</w:t>
      </w:r>
      <w:r>
        <w:rPr>
          <w:rFonts w:ascii="Arial" w:hAnsi="Arial" w:cs="Arial"/>
          <w:color w:val="000000" w:themeColor="text1"/>
          <w:sz w:val="22"/>
          <w:szCs w:val="22"/>
          <w:shd w:val="clear" w:color="auto" w:fill="FFFFFF"/>
        </w:rPr>
        <w:t xml:space="preserve">maktadır </w:t>
      </w:r>
      <w:r w:rsidR="00BC3BBB">
        <w:rPr>
          <w:rFonts w:ascii="Arial" w:hAnsi="Arial" w:cs="Arial"/>
          <w:color w:val="000000" w:themeColor="text1"/>
          <w:sz w:val="22"/>
          <w:szCs w:val="22"/>
          <w:shd w:val="clear" w:color="auto" w:fill="FFFFFF"/>
        </w:rPr>
        <w:fldChar w:fldCharType="begin" w:fldLock="1"/>
      </w:r>
      <w:r>
        <w:rPr>
          <w:rFonts w:ascii="Arial" w:hAnsi="Arial" w:cs="Arial"/>
          <w:color w:val="000000" w:themeColor="text1"/>
          <w:sz w:val="22"/>
          <w:szCs w:val="22"/>
          <w:shd w:val="clear" w:color="auto" w:fill="FFFFFF"/>
        </w:rPr>
        <w:instrText>ADDIN CSL_CITATION { "citationItems" : [ { "id" : "ITEM-1", "itemData" : { "DOI" : "10.1016/j.jneumeth.2005.09.018", "ISBN" : "0165-0270 (Print)\\r0165-0270 (Linking)", "ISSN" : "01650270", "PMID" : "16378641", "abstract" : "The ability to perceive and represent time is a fundamental but complex cognitive skill that allows us to perceive and organize sequences of events and actions, and to anticipate or predict when future events will occur. It is a multidimensional construct, and a variety of methods have been used to understand timing performance in ADHD samples, which makes it difficult to integrate findings across studies. While further replication is needed, growing evidence links ADHD to problems in several aspects of temporal information processing, including duration discrimination, duration reproduction, and finger tapping. Neuroimaging studies of ADHD have also implicated cerebellar, basal ganglia, and prefrontal regions of the brain, which are believed to subserve temporal information processing. This line of research implicates more basic cognitive mechanisms than previously linked with ADHD and challenges researchers to develop and utilize innovative, multidisciplinary, scientific methods to dissect the various components of temporal information processing. Recent advances in neuroimaging, such as magnetoencephalography in collaboration with structural magnetic resonance imaging, can discriminate temporal processing at the level of a millisecond. This approach can lay the groundwork to provide a more precise understanding of neural network activity during different aspects and stages of temporal information processing in ADHD. \u00a9 2005 Elsevier B.V. All rights reserved.", "author" : [ { "dropping-particle" : "", "family" : "Toplak", "given" : "Maggie E.", "non-dropping-particle" : "", "parse-names" : false, "suffix" : "" }, { "dropping-particle" : "", "family" : "Dockstader", "given" : "Colleen", "non-dropping-particle" : "", "parse-names" : false, "suffix" : "" }, { "dropping-particle" : "", "family" : "Tannock", "given" : "Rosemary", "non-dropping-particle" : "", "parse-names" : false, "suffix" : "" } ], "container-title" : "Journal of Neuroscience Methods", "id" : "ITEM-1", "issue" : "1", "issued" : { "date-parts" : [ [ "2006" ] ] }, "page" : "15-29", "title" : "Temporal information processing in ADHD: Findings to date and new methods", "type" : "article-journal", "volume" : "151" }, "uris" : [ "http://www.mendeley.com/documents/?uuid=369eed88-a603-44a3-9e80-2e9540f0898b" ] } ], "mendeley" : { "formattedCitation" : "(113)", "plainTextFormattedCitation" : "(113)", "previouslyFormattedCitation" : "(113)" }, "properties" : { "noteIndex" : 13 }, "schema" : "https://github.com/citation-style-language/schema/raw/master/csl-citation.json" }</w:instrText>
      </w:r>
      <w:r w:rsidR="00BC3BBB">
        <w:rPr>
          <w:rFonts w:ascii="Arial" w:hAnsi="Arial" w:cs="Arial"/>
          <w:color w:val="000000" w:themeColor="text1"/>
          <w:sz w:val="22"/>
          <w:szCs w:val="22"/>
          <w:shd w:val="clear" w:color="auto" w:fill="FFFFFF"/>
        </w:rPr>
        <w:fldChar w:fldCharType="separate"/>
      </w:r>
      <w:r w:rsidRPr="00F74A96">
        <w:rPr>
          <w:rFonts w:ascii="Arial" w:hAnsi="Arial" w:cs="Arial"/>
          <w:noProof/>
          <w:color w:val="000000" w:themeColor="text1"/>
          <w:sz w:val="22"/>
          <w:szCs w:val="22"/>
          <w:shd w:val="clear" w:color="auto" w:fill="FFFFFF"/>
        </w:rPr>
        <w:t>(113)</w:t>
      </w:r>
      <w:r w:rsidR="00BC3BBB">
        <w:rPr>
          <w:rFonts w:ascii="Arial" w:hAnsi="Arial" w:cs="Arial"/>
          <w:color w:val="000000" w:themeColor="text1"/>
          <w:sz w:val="22"/>
          <w:szCs w:val="22"/>
          <w:shd w:val="clear" w:color="auto" w:fill="FFFFFF"/>
        </w:rPr>
        <w:fldChar w:fldCharType="end"/>
      </w:r>
      <w:r>
        <w:rPr>
          <w:rFonts w:ascii="Arial" w:hAnsi="Arial" w:cs="Arial"/>
          <w:color w:val="000000" w:themeColor="text1"/>
          <w:sz w:val="22"/>
          <w:szCs w:val="22"/>
          <w:shd w:val="clear" w:color="auto" w:fill="FFFFFF"/>
        </w:rPr>
        <w:t>.</w:t>
      </w:r>
      <w:r w:rsidRPr="00453BDF">
        <w:rPr>
          <w:rFonts w:ascii="Arial" w:hAnsi="Arial" w:cs="Arial"/>
          <w:sz w:val="22"/>
          <w:szCs w:val="22"/>
          <w:shd w:val="clear" w:color="auto" w:fill="FFFFFF"/>
        </w:rPr>
        <w:t xml:space="preserve"> Bu özellikli kusurun sıra beklemede zorlanma gibi davranışları açıklayabileceği belirtilmiştir</w:t>
      </w:r>
      <w:r>
        <w:rPr>
          <w:rFonts w:ascii="Arial" w:hAnsi="Arial" w:cs="Arial"/>
          <w:sz w:val="22"/>
          <w:szCs w:val="22"/>
          <w:shd w:val="clear" w:color="auto" w:fill="FFFFFF"/>
        </w:rPr>
        <w:t xml:space="preserve">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"DOI" : "10.1007/s10802-005-6743-6", "ISBN" : "0091-0627", "ISSN" : "1573-2835", "PMID" : "16195956", "abstract" : "Time perception performance was systematically investigated in adolescents with and without attention-deficit/hyperactivity disorder (ADHD). Specifically, the effects of manipulating modality (auditory and visual) and length of duration (200 and 1000 ms) were examined. Forty-six adolescents with ADHD and 44 controls were administered four duration discrimination tasks and two control tasks, and a set of standardized measures. Participants with ADHD had higher thresholds than controls on all of the duration discrimination tasks, with the largest effect size obtained on the visual 1000 ms duration discrimination task. No group differences were observed on the control tasks. Visual--spatial memory was found to be a significant predictor of visual and auditory duration discrimination at longer intervals (1000 ms) in the ADHD sample, whereas auditory verbal working memory predicted auditory discrimination at longer intervals (1000 ms) in the control sample. These group differences suggest impairments in basic timing mechanisms in ADHD.", "author" : [ { "dropping-particle" : "", "family" : "Toplak", "given" : "Maggie E", "non-dropping-particle" : "", "parse-names" : false, "suffix" : "" }, { "dropping-particle" : "", "family" : "Tannock", "given" : "Rosemary", "non-dropping-particle" : "", "parse-names" : false, "suffix" : "" } ], "container-title" : "Journal of Abnormal Child Psychology", "id" : "ITEM-1", "issue" : "5", "issued" : { "date-parts" : [ [ "2005" ] ] }, "page" : "639-654", "title" : "Time perception: modality and duration effects in attention-deficit/hyperactivity disorder (ADHD)", "type" : "article-journal", "volume" : "33" }, "uris" : [ "http://www.mendeley.com/documents/?uuid=0ef4a478-c165-4e8a-8771-628509b4ca5b" ] } ], "mendeley" : { "formattedCitation" : "(114)", "plainTextFormattedCitation" : "(114)", "previouslyFormattedCitation" : "(114)" }, "properties" : { "noteIndex" : 13 }, "schema" : "https://github.com/citation-style-language/schema/raw/master/csl-citation.json" }</w:instrText>
      </w:r>
      <w:r w:rsidR="00BC3BBB">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(114)</w:t>
      </w:r>
      <w:r w:rsidR="00BC3BBB">
        <w:rPr>
          <w:rFonts w:ascii="Arial" w:hAnsi="Arial" w:cs="Arial"/>
          <w:sz w:val="22"/>
          <w:szCs w:val="22"/>
          <w:shd w:val="clear" w:color="auto" w:fill="FFFFFF"/>
        </w:rPr>
        <w:fldChar w:fldCharType="end"/>
      </w:r>
      <w:r w:rsidRPr="00453BDF">
        <w:rPr>
          <w:rFonts w:ascii="Arial" w:hAnsi="Arial" w:cs="Arial"/>
          <w:sz w:val="22"/>
          <w:szCs w:val="22"/>
          <w:shd w:val="clear" w:color="auto" w:fill="FFFFFF"/>
        </w:rPr>
        <w:t>.</w:t>
      </w:r>
      <w:r w:rsidRPr="00453BDF">
        <w:rPr>
          <w:rFonts w:ascii="Arial" w:hAnsi="Arial" w:cs="Arial"/>
          <w:sz w:val="22"/>
          <w:szCs w:val="22"/>
        </w:rPr>
        <w:t xml:space="preserve"> </w:t>
      </w:r>
    </w:p>
    <w:p w:rsidR="00C60153" w:rsidRPr="00453BDF" w:rsidRDefault="00C60153" w:rsidP="00C60153">
      <w:pPr>
        <w:pStyle w:val="HTMLncedenBiimlendirilmi"/>
        <w:shd w:val="clear" w:color="auto" w:fill="FFFFFF"/>
        <w:spacing w:line="360" w:lineRule="auto"/>
        <w:jc w:val="both"/>
        <w:rPr>
          <w:rFonts w:ascii="Arial" w:hAnsi="Arial" w:cs="Arial"/>
          <w:b/>
          <w:color w:val="212121"/>
          <w:sz w:val="22"/>
          <w:szCs w:val="22"/>
          <w:shd w:val="clear" w:color="auto" w:fill="FFFFFF"/>
        </w:rPr>
      </w:pPr>
      <w:r w:rsidRPr="00453BDF">
        <w:rPr>
          <w:rFonts w:ascii="Arial" w:hAnsi="Arial" w:cs="Arial"/>
          <w:b/>
          <w:sz w:val="22"/>
          <w:szCs w:val="22"/>
        </w:rPr>
        <w:tab/>
      </w:r>
      <w:r w:rsidRPr="00453BDF">
        <w:rPr>
          <w:rFonts w:ascii="Arial" w:hAnsi="Arial" w:cs="Arial"/>
          <w:b/>
          <w:color w:val="212121"/>
          <w:sz w:val="22"/>
          <w:szCs w:val="22"/>
          <w:shd w:val="clear" w:color="auto" w:fill="FFFFFF"/>
        </w:rPr>
        <w:t xml:space="preserve">Duygusal </w:t>
      </w:r>
      <w:r>
        <w:rPr>
          <w:rFonts w:ascii="Arial" w:hAnsi="Arial" w:cs="Arial"/>
          <w:b/>
          <w:color w:val="212121"/>
          <w:sz w:val="22"/>
          <w:szCs w:val="22"/>
          <w:shd w:val="clear" w:color="auto" w:fill="FFFFFF"/>
        </w:rPr>
        <w:t>İ</w:t>
      </w:r>
      <w:r w:rsidRPr="00453BDF">
        <w:rPr>
          <w:rFonts w:ascii="Arial" w:hAnsi="Arial" w:cs="Arial"/>
          <w:b/>
          <w:color w:val="212121"/>
          <w:sz w:val="22"/>
          <w:szCs w:val="22"/>
          <w:shd w:val="clear" w:color="auto" w:fill="FFFFFF"/>
        </w:rPr>
        <w:t>şlevsellik</w:t>
      </w:r>
    </w:p>
    <w:p w:rsidR="00C60153" w:rsidRPr="00453BDF" w:rsidRDefault="00C60153" w:rsidP="00C60153">
      <w:pPr>
        <w:pStyle w:val="HTMLncedenBiimlendirilmi"/>
        <w:shd w:val="clear" w:color="auto" w:fill="FFFFFF"/>
        <w:spacing w:line="360" w:lineRule="auto"/>
        <w:jc w:val="both"/>
        <w:rPr>
          <w:rFonts w:ascii="Arial" w:hAnsi="Arial" w:cs="Arial"/>
          <w:color w:val="4F81BD" w:themeColor="accent1"/>
          <w:sz w:val="22"/>
          <w:szCs w:val="22"/>
        </w:rPr>
      </w:pPr>
      <w:r w:rsidRPr="00453BDF">
        <w:rPr>
          <w:rFonts w:ascii="Arial" w:hAnsi="Arial" w:cs="Arial"/>
          <w:b/>
          <w:color w:val="212121"/>
          <w:sz w:val="22"/>
          <w:szCs w:val="22"/>
          <w:shd w:val="clear" w:color="auto" w:fill="FFFFFF"/>
        </w:rPr>
        <w:tab/>
      </w:r>
      <w:r w:rsidRPr="00453BDF">
        <w:rPr>
          <w:rFonts w:ascii="Arial" w:hAnsi="Arial" w:cs="Arial"/>
          <w:color w:val="212121"/>
          <w:sz w:val="22"/>
          <w:szCs w:val="22"/>
          <w:shd w:val="clear" w:color="auto" w:fill="FFFFFF"/>
        </w:rPr>
        <w:t xml:space="preserve">Duygusal işlevlerde bozukluk da DEHB'nin ortak bir özelliğidir. </w:t>
      </w:r>
      <w:r w:rsidRPr="00453BDF">
        <w:rPr>
          <w:rFonts w:ascii="Arial" w:hAnsi="Arial" w:cs="Arial"/>
          <w:sz w:val="22"/>
          <w:szCs w:val="22"/>
          <w:shd w:val="clear" w:color="auto" w:fill="FFFFFF"/>
        </w:rPr>
        <w:t xml:space="preserve">Çoğu ebeveyn, çocuğunun düşük düzeyde duygusal kontrole sahip olduğunu ve yüksek düzeyde olumsuz duygusallık (öfke, hüsran) gösterdiğini bildirmektedir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"DOI" : "10.1177/1087054710370567.Self-Regulation", "ISBN" : "1087054710", "author" : [ { "dropping-particle" : "", "family" : "Anastopoulos", "given" : "A D", "non-dropping-particle" : "", "parse-names" : false, "suffix" : "" }, { "dropping-particle" : "", "family" : "Smith", "given" : "T F", "non-dropping-particle" : "", "parse-names" : false, "suffix" : "" }, { "dropping-particle" : "", "family" : "Garrett", "given" : "M E", "non-dropping-particle" : "", "parse-names" : false, "suffix" : "" }, { "dropping-particle" : "", "family" : "Morrissey-Kane", "given" : "E", "non-dropping-particle" : "", "parse-names" : false, "suffix" : "" }, { "dropping-particle" : "", "family" : "Schatz", "given" : "N K", "non-dropping-particle" : "", "parse-names" : false, "suffix" : "" }, { "dropping-particle" : "", "family" : "Sommer", "given" : "J L", "non-dropping-particle" : "", "parse-names" : false, "suffix" : "" }, { "dropping-particle" : "", "family" : "Kollins", "given" : "S H", "non-dropping-particle" : "", "parse-names" : false, "suffix" : "" }, { "dropping-particle" : "", "family" : "Ashley-Koch", "given" : "A", "non-dropping-particle" : "", "parse-names" : false, "suffix" : "" } ], "container-title" : "Journal of Attention Disorders", "id" : "ITEM-1", "issue" : "7", "issued" : { "date-parts" : [ [ "2012" ] ] }, "page" : "583-592", "title" : "Self-Regulation of Emotion, Functional Impairment, and Comorbidity Among Children With AD/HD", "type" : "article-journal", "volume" : "15" }, "uris" : [ "http://www.mendeley.com/documents/?uuid=09981099-49e6-4ee2-b977-7e77d158c0d2" ] } ], "mendeley" : { "formattedCitation" : "(115)", "plainTextFormattedCitation" : "(115)", "previouslyFormattedCitation" : "(115)" }, "properties" : { "noteIndex" : 13 }, "schema" : "https://github.com/citation-style-language/schema/raw/master/csl-citation.json" }</w:instrText>
      </w:r>
      <w:r w:rsidR="00BC3BBB">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(115)</w:t>
      </w:r>
      <w:r w:rsidR="00BC3BBB">
        <w:rPr>
          <w:rFonts w:ascii="Arial" w:hAnsi="Arial" w:cs="Arial"/>
          <w:sz w:val="22"/>
          <w:szCs w:val="22"/>
          <w:shd w:val="clear" w:color="auto" w:fill="FFFFFF"/>
        </w:rPr>
        <w:fldChar w:fldCharType="end"/>
      </w:r>
      <w:r w:rsidRPr="00453BDF">
        <w:rPr>
          <w:rFonts w:ascii="Arial" w:hAnsi="Arial" w:cs="Arial"/>
          <w:color w:val="4F81BD" w:themeColor="accent1"/>
          <w:sz w:val="22"/>
          <w:szCs w:val="22"/>
        </w:rPr>
        <w:t xml:space="preserve"> </w:t>
      </w:r>
      <w:r w:rsidRPr="009A041F">
        <w:rPr>
          <w:rFonts w:ascii="Arial" w:hAnsi="Arial" w:cs="Arial"/>
          <w:sz w:val="22"/>
          <w:szCs w:val="22"/>
        </w:rPr>
        <w:t>DEHB’li çocukların</w:t>
      </w:r>
      <w:r>
        <w:rPr>
          <w:rFonts w:ascii="Arial" w:hAnsi="Arial" w:cs="Arial"/>
          <w:color w:val="4F81BD" w:themeColor="accent1"/>
          <w:sz w:val="22"/>
          <w:szCs w:val="22"/>
        </w:rPr>
        <w:t xml:space="preserve"> </w:t>
      </w:r>
      <w:r>
        <w:rPr>
          <w:rFonts w:ascii="Arial" w:hAnsi="Arial" w:cs="Arial"/>
          <w:color w:val="212121"/>
          <w:sz w:val="22"/>
          <w:szCs w:val="22"/>
          <w:shd w:val="clear" w:color="auto" w:fill="FFFFFF"/>
        </w:rPr>
        <w:t>d</w:t>
      </w:r>
      <w:r w:rsidRPr="00453BDF">
        <w:rPr>
          <w:rFonts w:ascii="Arial" w:hAnsi="Arial" w:cs="Arial"/>
          <w:color w:val="212121"/>
          <w:sz w:val="22"/>
          <w:szCs w:val="22"/>
          <w:shd w:val="clear" w:color="auto" w:fill="FFFFFF"/>
        </w:rPr>
        <w:t>uygu tanıma görevleri sırasında bozu</w:t>
      </w:r>
      <w:r>
        <w:rPr>
          <w:rFonts w:ascii="Arial" w:hAnsi="Arial" w:cs="Arial"/>
          <w:color w:val="212121"/>
          <w:sz w:val="22"/>
          <w:szCs w:val="22"/>
          <w:shd w:val="clear" w:color="auto" w:fill="FFFFFF"/>
        </w:rPr>
        <w:t>kluk</w:t>
      </w:r>
      <w:r w:rsidRPr="00453BDF">
        <w:rPr>
          <w:rFonts w:ascii="Arial" w:hAnsi="Arial" w:cs="Arial"/>
          <w:color w:val="212121"/>
          <w:sz w:val="22"/>
          <w:szCs w:val="22"/>
          <w:shd w:val="clear" w:color="auto" w:fill="FFFFFF"/>
        </w:rPr>
        <w:t xml:space="preserve"> gösterdikleri saptanmıştır</w:t>
      </w:r>
      <w:r>
        <w:rPr>
          <w:rFonts w:ascii="Arial" w:hAnsi="Arial" w:cs="Arial"/>
          <w:color w:val="212121"/>
          <w:sz w:val="22"/>
          <w:szCs w:val="22"/>
          <w:shd w:val="clear" w:color="auto" w:fill="FFFFFF"/>
        </w:rPr>
        <w:t xml:space="preserve"> </w:t>
      </w:r>
      <w:r w:rsidR="00BC3BBB">
        <w:rPr>
          <w:rFonts w:ascii="Arial" w:hAnsi="Arial" w:cs="Arial"/>
          <w:color w:val="212121"/>
          <w:sz w:val="22"/>
          <w:szCs w:val="22"/>
          <w:shd w:val="clear" w:color="auto" w:fill="FFFFFF"/>
        </w:rPr>
        <w:fldChar w:fldCharType="begin" w:fldLock="1"/>
      </w:r>
      <w:r w:rsidR="0037573A">
        <w:rPr>
          <w:rFonts w:ascii="Arial" w:hAnsi="Arial" w:cs="Arial"/>
          <w:color w:val="212121"/>
          <w:sz w:val="22"/>
          <w:szCs w:val="22"/>
          <w:shd w:val="clear" w:color="auto" w:fill="FFFFFF"/>
        </w:rPr>
        <w:instrText>ADDIN CSL_CITATION { "citationItems" : [ { "id" : "ITEM-1", "itemData" : { "DOI" : "10.1007/s10578-008-0114-9", "ISSN" : "0009-398X", "abstract" : "Several studies suggest that children with ADHD tend to perform worse\nthan typically developing children on emotion recognition tasks.\nHowever, most of these studies have focused on the recognition of facial\nexpression, while there is evidence that context plays a major role on\nemotion perception. This study aims at further investigating emotion\nprocessing in children with ADHD, by assessing not only facial emotion\nrecognition (Experiment 1) but also emotion recognition on the basis of\ncontextual cues (Experiment 2). Twenty-seven children and adolescents\nwith ADHD were compared to age-matched typically developing controls.\nImportantly, findings of this study show that emotion-processing\ndifficulties in children with ADHD extend beyond facial emotion and also\naffect the recognition of emotions on the basis of contextual\ninformation. Our data thus indicate that children with ADHD have an\noverall emotion-processing deficit.", "author" : [ { "dropping-particle" : "", "family" : "Fonseca", "given" : "David", "non-dropping-particle" : "Da", "parse-names" : false, "suffix" : "" }, { "dropping-particle" : "", "family" : "Seguier", "given" : "Valerie", "non-dropping-particle" : "", "parse-names" : false, "suffix" : "" }, { "dropping-particle" : "", "family" : "Santos", "given" : "Andreia", "non-dropping-particle" : "", "parse-names" : false, "suffix" : "" }, { "dropping-particle" : "", "family" : "Poinso", "given" : "Francois", "non-dropping-particle" : "", "parse-names" : false, "suffix" : "" }, { "dropping-particle" : "", "family" : "Deruelle", "given" : "Christine", "non-dropping-particle" : "", "parse-names" : false, "suffix" : "" } ], "container-title" : "Child Psychiatry &amp; Human Development", "id" : "ITEM-1", "issue" : "1", "issued" : { "date-parts" : [ [ "2009" ] ] }, "page" : "111-121", "title" : "Emotion Understanding in Children with ADHD", "type" : "article-journal", "volume" : "40" }, "uris" : [ "http://www.mendeley.com/documents/?uuid=10c7e747-8d61-4be5-8745-af7e29b888f2" ] }, { "id" : "ITEM-2", "itemData" : { "DOI" : "10.1111/jcpp.12006", "ISBN" : "0021-9630", "ISSN" : "00219630", "PMID" : "23061803", "abstract" : "Background: The notion that ADHD constitutes a heterogeneous disorder is well accepted. However, this study contributes with new important knowledge by examining independent effects of a large range of neuropsychological deficits. In addition, the study investigated whether deficits in emotional functioning constitute a dissociable component of ADHD. Method: The study included children with ADHD (n = 102; 7-13 years) and a control sample individually matched with regard to age and gender. The administered tasks were designed to tap into three different neuropsychological domains: executive functions (i.e., working memory, inhibition, and shifting), delay aversion, and reaction time variability. Parent ratings of emotion regulation and a test of emotion recognition were also included. Results: Children with ADHD differed significantly from controls on all measures, except for delay aversion and recognition of disgust. No main effects of gender or interaction effects of gender and group were found. More importantly, executive functioning, reaction time variability, and emotional functioning all contributed independently to distinguishing between children with ADHD and controls. Conclusions: The current study supports the view of ADHD as a heterogeneous disorder related to multiple neuropsychological deficits. In addition, emotional functioning appears to be an area of importance for ADHD that needs to be incorporated into future theoretical models. \u00a9 2012 The Authors.", "author" : [ { "dropping-particle" : "", "family" : "Sj\u00f6wall", "given" : "Douglas", "non-dropping-particle" : "", "parse-names" : false, "suffix" : "" }, { "dropping-particle" : "", "family" : "Roth", "given" : "Linda", "non-dropping-particle" : "", "parse-names" : false, "suffix" : "" }, { "dropping-particle" : "", "family" : "Lindqvist", "given" : "Sofia", "non-dropping-particle" : "", "parse-names" : false, "suffix" : "" }, { "dropping-particle" : "", "family" : "Thorell", "given" : "Lisa B.", "non-dropping-particle" : "", "parse-names" : false, "suffix" : "" } ], "container-title" : "Journal of Child Psychology and Psychiatry and Allied Disciplines", "id" : "ITEM-2", "issue" : "6", "issued" : { "date-parts" : [ [ "2013" ] ] }, "page" : "619-627", "title" : "Multiple deficits in ADHD: Executive dysfunction, delay aversion, reaction time variability, and emotional deficits", "type" : "article-journal", "volume" : "54" }, "uris" : [ "http://www.mendeley.com/documents/?uuid=226e2cd8-c61a-45ab-a93c-74523262c439" ] } ], "mendeley" : { "formattedCitation" : "(116, 117)", "plainTextFormattedCitation" : "(116, 117)", "previouslyFormattedCitation" : "(116, 117)" }, "properties" : { "noteIndex" : 13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00BF1F00" w:rsidRPr="00BF1F00">
        <w:rPr>
          <w:rFonts w:ascii="Arial" w:hAnsi="Arial" w:cs="Arial"/>
          <w:noProof/>
          <w:color w:val="212121"/>
          <w:sz w:val="22"/>
          <w:szCs w:val="22"/>
          <w:shd w:val="clear" w:color="auto" w:fill="FFFFFF"/>
        </w:rPr>
        <w:t>(116, 117)</w:t>
      </w:r>
      <w:r w:rsidR="00BC3BBB">
        <w:rPr>
          <w:rFonts w:ascii="Arial" w:hAnsi="Arial" w:cs="Arial"/>
          <w:color w:val="212121"/>
          <w:sz w:val="22"/>
          <w:szCs w:val="22"/>
          <w:shd w:val="clear" w:color="auto" w:fill="FFFFFF"/>
        </w:rPr>
        <w:fldChar w:fldCharType="end"/>
      </w:r>
      <w:r w:rsidRPr="00453BDF">
        <w:rPr>
          <w:rFonts w:ascii="Arial" w:hAnsi="Arial" w:cs="Arial"/>
          <w:color w:val="212121"/>
          <w:sz w:val="22"/>
          <w:szCs w:val="22"/>
          <w:shd w:val="clear" w:color="auto" w:fill="FFFFFF"/>
        </w:rPr>
        <w:t>.</w:t>
      </w:r>
      <w:r>
        <w:rPr>
          <w:rFonts w:ascii="Arial" w:hAnsi="Arial" w:cs="Arial"/>
          <w:color w:val="212121"/>
          <w:sz w:val="22"/>
          <w:szCs w:val="22"/>
          <w:shd w:val="clear" w:color="auto" w:fill="FFFFFF"/>
        </w:rPr>
        <w:t xml:space="preserve"> </w:t>
      </w:r>
      <w:r w:rsidRPr="00453BDF">
        <w:rPr>
          <w:rFonts w:ascii="Arial" w:hAnsi="Arial" w:cs="Arial"/>
          <w:sz w:val="22"/>
          <w:szCs w:val="22"/>
        </w:rPr>
        <w:t>Tıpkı</w:t>
      </w:r>
      <w:r w:rsidRPr="00453BDF">
        <w:rPr>
          <w:rFonts w:ascii="Arial" w:hAnsi="Arial" w:cs="Arial"/>
          <w:color w:val="1F497D" w:themeColor="text2"/>
          <w:sz w:val="22"/>
          <w:szCs w:val="22"/>
        </w:rPr>
        <w:t xml:space="preserve"> </w:t>
      </w:r>
      <w:r w:rsidRPr="00CA5D0F">
        <w:rPr>
          <w:rFonts w:ascii="Arial" w:hAnsi="Arial" w:cs="Arial"/>
          <w:sz w:val="22"/>
          <w:szCs w:val="22"/>
        </w:rPr>
        <w:t>n</w:t>
      </w:r>
      <w:r w:rsidRPr="00453BDF">
        <w:rPr>
          <w:rFonts w:ascii="Arial" w:hAnsi="Arial" w:cs="Arial"/>
          <w:color w:val="212121"/>
          <w:sz w:val="22"/>
          <w:szCs w:val="22"/>
          <w:shd w:val="clear" w:color="auto" w:fill="FFFFFF"/>
        </w:rPr>
        <w:t xml:space="preserve">öropsikolojik işlevsellikteki gibi, DEHB'de duygusal işlevsellikteki kusurlar da heterojendir. </w:t>
      </w:r>
      <w:r>
        <w:rPr>
          <w:rFonts w:ascii="Arial" w:hAnsi="Arial" w:cs="Arial"/>
          <w:sz w:val="22"/>
          <w:szCs w:val="22"/>
          <w:shd w:val="clear" w:color="auto" w:fill="FFFFFF"/>
        </w:rPr>
        <w:t>Örneğin</w:t>
      </w:r>
      <w:r w:rsidRPr="00453BDF">
        <w:rPr>
          <w:rFonts w:ascii="Arial" w:hAnsi="Arial" w:cs="Arial"/>
          <w:sz w:val="22"/>
          <w:szCs w:val="22"/>
          <w:shd w:val="clear" w:color="auto" w:fill="FFFFFF"/>
        </w:rPr>
        <w:t xml:space="preserve"> duygu bastırma ve ortaya çıkarma görevleri sırasındaki otonomik etkinli</w:t>
      </w:r>
      <w:r>
        <w:rPr>
          <w:rFonts w:ascii="Arial" w:hAnsi="Arial" w:cs="Arial"/>
          <w:sz w:val="22"/>
          <w:szCs w:val="22"/>
          <w:shd w:val="clear" w:color="auto" w:fill="FFFFFF"/>
        </w:rPr>
        <w:t>klerin</w:t>
      </w:r>
      <w:r w:rsidRPr="00453BDF">
        <w:rPr>
          <w:rFonts w:ascii="Arial" w:hAnsi="Arial" w:cs="Arial"/>
          <w:sz w:val="22"/>
          <w:szCs w:val="22"/>
          <w:shd w:val="clear" w:color="auto" w:fill="FFFFFF"/>
        </w:rPr>
        <w:t xml:space="preserve"> analizi, DEHB’li çocuklarda gösterdikleri </w:t>
      </w:r>
      <w:r w:rsidRPr="00453BDF">
        <w:rPr>
          <w:rFonts w:ascii="Arial" w:hAnsi="Arial" w:cs="Arial"/>
          <w:sz w:val="22"/>
          <w:szCs w:val="22"/>
          <w:shd w:val="clear" w:color="auto" w:fill="FFFFFF"/>
        </w:rPr>
        <w:lastRenderedPageBreak/>
        <w:t>sosyal davranış düzeylerine göre farklı uyarılma modellerini ortaya koymuştur</w:t>
      </w:r>
      <w:r>
        <w:rPr>
          <w:rFonts w:ascii="Arial" w:hAnsi="Arial" w:cs="Arial"/>
          <w:sz w:val="22"/>
          <w:szCs w:val="22"/>
          <w:shd w:val="clear" w:color="auto" w:fill="FFFFFF"/>
        </w:rPr>
        <w:t xml:space="preserve">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"DOI" : "10.1016/j.jaac.2012.11.009", "ISSN" : "08908567", "PMID" : "23357443", "abstract" : "OBJECTIVE How best to capture heterogeneity in attention-deficit/hyperactivity disorder (ADHD) using biomarkers has been elusive. This study evaluated whether emotion reactivity and regulation provide a means to achieve this. METHOD Participants were classified into three groups: children with ADHD plus low prosocial behavior (hypothesized to be high in callous/unemotional traits; n = 21); children with ADHD with age-appropriate prosocial behavior (n = 54); and typically developing children (n = 75). Children completed a task with four conditions: negative induction, negative suppression, positive induction, and positive suppression of affect. The task required children to view an emotion-laden film clip, while either facially mimicking (induction) or masking (suppression) the emotion of the main character. Parasympathetic and sympathetic nervous system activity were assessed via respiratory sinus arrhythmia (RSA) and cardiac pre-ejection period (PEP), respectively. Symptoms of anxiety, conduct, and oppositional defiant disorders were treated as covariates. RESULTS The ADHD-typical-prosocial group displayed atypically elevated parasympathetic reactivity (emotion dysregulation) during positive induction, along with increased sympathetic activity (elevated arousal) across conditions. In contrast, the ADHD-low-prosocial group displayed reduced parasympathetic reactivity and reduced sympathetic activity (low emotional arousal) across baseline and task conditions. Thus, both ADHD groups had altered patterns of autonomic functioning, but in two distinct forms. CONCLUSION Although ADHD is heterogeneous clinically, results suggest that ADHD is also heterogeneous with regard to physiological indices of emotion and regulation. Future studies of emotion, regulation, and ADHD should take this into account. Further study of physiological responding in ADHD may yield clinically and etiologically distinct domains or groups.", "author" : [ { "dropping-particle" : "", "family" : "Musser", "given" : "Erica D.", "non-dropping-particle" : "", "parse-names" : false, "suffix" : "" }, { "dropping-particle" : "", "family" : "Galloway-Long", "given" : "Hilary S.", "non-dropping-particle" : "", "parse-names" : false, "suffix" : "" }, { "dropping-particle" : "", "family" : "Frick", "given" : "Paul J.", "non-dropping-particle" : "", "parse-names" : false, "suffix" : "" }, { "dropping-particle" : "", "family" : "Nigg", "given" : "Joel T.", "non-dropping-particle" : "", "parse-names" : false, "suffix" : "" } ], "container-title" : "Journal of the American Academy of Child &amp; Adolescent Psychiatry", "id" : "ITEM-1", "issue" : "2", "issued" : { "date-parts" : [ [ "2013", "2" ] ] }, "page" : "163-171.e2", "title" : "Emotion Regulation and Heterogeneity in Attention-Deficit/Hyperactivity Disorder", "type" : "article-journal", "volume" : "52" }, "uris" : [ "http://www.mendeley.com/documents/?uuid=af9ac055-6157-3610-a7ec-be28427cd9e6" ] } ], "mendeley" : { "formattedCitation" : "(118)", "plainTextFormattedCitation" : "(118)", "previouslyFormattedCitation" : "(118)" }, "properties" : { "noteIndex" : 13 }, "schema" : "https://github.com/citation-style-language/schema/raw/master/csl-citation.json" }</w:instrText>
      </w:r>
      <w:r w:rsidR="00BC3BBB">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(118)</w:t>
      </w:r>
      <w:r w:rsidR="00BC3BBB">
        <w:rPr>
          <w:rFonts w:ascii="Arial" w:hAnsi="Arial" w:cs="Arial"/>
          <w:sz w:val="22"/>
          <w:szCs w:val="22"/>
          <w:shd w:val="clear" w:color="auto" w:fill="FFFFFF"/>
        </w:rPr>
        <w:fldChar w:fldCharType="end"/>
      </w:r>
      <w:r w:rsidRPr="00453BDF">
        <w:rPr>
          <w:rFonts w:ascii="Arial" w:hAnsi="Arial" w:cs="Arial"/>
          <w:sz w:val="22"/>
          <w:szCs w:val="22"/>
          <w:shd w:val="clear" w:color="auto" w:fill="FFFFFF"/>
        </w:rPr>
        <w:t xml:space="preserve">. </w:t>
      </w:r>
      <w:r w:rsidRPr="00453BDF">
        <w:rPr>
          <w:rFonts w:ascii="Arial" w:hAnsi="Arial" w:cs="Arial"/>
          <w:color w:val="000000" w:themeColor="text1"/>
          <w:sz w:val="22"/>
          <w:szCs w:val="22"/>
          <w:lang w:eastAsia="en-US"/>
        </w:rPr>
        <w:t xml:space="preserve">DEHB’li çocuklarda duygusal işlemlerin rolünün daha iyi anlaşılmasına ve gelecekteki nöropsikolojik modellere olasılıkla duygusal düzenlemenin dahil edilmesine ihtiyaç duyulmaktadır </w:t>
      </w:r>
      <w:r w:rsidR="00BC3BBB">
        <w:rPr>
          <w:rFonts w:ascii="Arial" w:hAnsi="Arial" w:cs="Arial"/>
          <w:color w:val="000000" w:themeColor="text1"/>
          <w:sz w:val="22"/>
          <w:szCs w:val="22"/>
          <w:lang w:eastAsia="en-US"/>
        </w:rPr>
        <w:fldChar w:fldCharType="begin" w:fldLock="1"/>
      </w:r>
      <w:r>
        <w:rPr>
          <w:rFonts w:ascii="Arial" w:hAnsi="Arial" w:cs="Arial"/>
          <w:color w:val="000000" w:themeColor="text1"/>
          <w:sz w:val="22"/>
          <w:szCs w:val="22"/>
          <w:lang w:eastAsia="en-US"/>
        </w:rPr>
        <w:instrText>ADDIN CSL_CITATION { "citationItems" : [ { "id" : "ITEM-1", "itemData" : { "DOI" : "JCPP2105 [pii]\\n10.1111/j.1469-7610.2009.02105.x", "ISBN" : "1469-7610 (Electronic)\\n0021-9630 (Linking)", "PMID" : "19508495", "abstract" : "Attention-deficit/hyperactivity disorder (ADHD) is a common example of developmental psychopathology that might be able to be better understood by taking an emotion regulation perspective. As discussed herein, emotion regulation is understood to consist of two component processes, emotion (e.g., positive and negative emotionality) and regulation (e.g., effortful and reactive forms of control), which interact with one another at the behavioral level. Review of work to date suggests that the heterogeneous behavioral category of ADHD may encompass two distinct kinds of inputs: inattentive ADHD symptoms may be primarily associated with breakdowns in the regulation side, whereas hyperactivity-impulsive ADHD symptoms may be associated with breakdowns in the emotionality side. It is argued that breakdowns in control may be a signature for ADHD specifically, while increased negative emotionality may serve as non-specific risk factors for disruptive behavior disorders, explaining their comorbidity. Increased understanding of the interrelations and interactions of component emotion regulation processes may elucidate developmental, sex, and neural mechanisms of ADHD and associated comorbid disruptive disorders.", "author" : [ { "dropping-particle" : "", "family" : "Martel", "given" : "M M", "non-dropping-particle" : "", "parse-names" : false, "suffix" : "" } ], "container-title" : "J Child Psychol Psychiatry", "id" : "ITEM-1", "issue" : "9", "issued" : { "date-parts" : [ [ "2009" ] ] }, "page" : "1042-1051", "title" : "Research review: a new perspective on attention-deficit/hyperactivity disorder: emotion dysregulation and trait models", "type" : "article-journal", "volume" : "50" }, "uris" : [ "http://www.mendeley.com/documents/?uuid=0c4502dc-db08-4a09-a6f0-ab7211932c16" ] } ], "mendeley" : { "formattedCitation" : "(119)", "plainTextFormattedCitation" : "(119)", "previouslyFormattedCitation" : "(119)" }, "properties" : { "noteIndex" : 13 }, "schema" : "https://github.com/citation-style-language/schema/raw/master/csl-citation.json" }</w:instrText>
      </w:r>
      <w:r w:rsidR="00BC3BBB">
        <w:rPr>
          <w:rFonts w:ascii="Arial" w:hAnsi="Arial" w:cs="Arial"/>
          <w:color w:val="000000" w:themeColor="text1"/>
          <w:sz w:val="22"/>
          <w:szCs w:val="22"/>
          <w:lang w:eastAsia="en-US"/>
        </w:rPr>
        <w:fldChar w:fldCharType="separate"/>
      </w:r>
      <w:r w:rsidRPr="00F74A96">
        <w:rPr>
          <w:rFonts w:ascii="Arial" w:hAnsi="Arial" w:cs="Arial"/>
          <w:noProof/>
          <w:color w:val="000000" w:themeColor="text1"/>
          <w:sz w:val="22"/>
          <w:szCs w:val="22"/>
          <w:lang w:eastAsia="en-US"/>
        </w:rPr>
        <w:t>(119)</w:t>
      </w:r>
      <w:r w:rsidR="00BC3BBB">
        <w:rPr>
          <w:rFonts w:ascii="Arial" w:hAnsi="Arial" w:cs="Arial"/>
          <w:color w:val="000000" w:themeColor="text1"/>
          <w:sz w:val="22"/>
          <w:szCs w:val="22"/>
          <w:lang w:eastAsia="en-US"/>
        </w:rPr>
        <w:fldChar w:fldCharType="end"/>
      </w:r>
      <w:r>
        <w:rPr>
          <w:rFonts w:ascii="Arial" w:hAnsi="Arial" w:cs="Arial"/>
          <w:color w:val="4F81BD" w:themeColor="accent1"/>
          <w:sz w:val="22"/>
          <w:szCs w:val="22"/>
        </w:rPr>
        <w:t>.</w:t>
      </w:r>
      <w:r w:rsidRPr="00453BDF">
        <w:rPr>
          <w:rFonts w:ascii="Arial" w:hAnsi="Arial" w:cs="Arial"/>
          <w:color w:val="4F81BD" w:themeColor="accent1"/>
          <w:sz w:val="22"/>
          <w:szCs w:val="22"/>
        </w:rPr>
        <w:t xml:space="preserve"> </w:t>
      </w:r>
      <w:r w:rsidRPr="00453BDF">
        <w:rPr>
          <w:rFonts w:ascii="Arial" w:hAnsi="Arial" w:cs="Arial"/>
          <w:sz w:val="22"/>
          <w:szCs w:val="22"/>
          <w:lang w:eastAsia="en-US"/>
        </w:rPr>
        <w:t>Bu, bazı çocukların duygusal işlevsellikte kusurlar gösterdikleri, ancak yürütücü işlev ve ertelemeden kaçınmayı içeren nöropsikolojik işlevsellik ölçütlerinde bozulma göstermediklerini ortaya koyan bulgulara uymaktadır</w:t>
      </w:r>
      <w:r>
        <w:rPr>
          <w:rFonts w:ascii="Arial" w:hAnsi="Arial" w:cs="Arial"/>
          <w:sz w:val="22"/>
          <w:szCs w:val="22"/>
          <w:lang w:eastAsia="en-US"/>
        </w:rPr>
        <w:t xml:space="preserve"> </w:t>
      </w:r>
      <w:r w:rsidR="00BC3BBB">
        <w:rPr>
          <w:rFonts w:ascii="Arial" w:hAnsi="Arial" w:cs="Arial"/>
          <w:sz w:val="22"/>
          <w:szCs w:val="22"/>
          <w:lang w:eastAsia="en-US"/>
        </w:rPr>
        <w:fldChar w:fldCharType="begin" w:fldLock="1"/>
      </w:r>
      <w:r>
        <w:rPr>
          <w:rFonts w:ascii="Arial" w:hAnsi="Arial" w:cs="Arial"/>
          <w:sz w:val="22"/>
          <w:szCs w:val="22"/>
          <w:lang w:eastAsia="en-US"/>
        </w:rPr>
        <w:instrText>ADDIN CSL_CITATION { "citationItems" : [ { "id" : "ITEM-1", "itemData" : { "DOI" : "10.1111/jcpp.12006", "ISBN" : "0021-9630", "ISSN" : "00219630", "PMID" : "23061803", "abstract" : "Background: The notion that ADHD constitutes a heterogeneous disorder is well accepted. However, this study contributes with new important knowledge by examining independent effects of a large range of neuropsychological deficits. In addition, the study investigated whether deficits in emotional functioning constitute a dissociable component of ADHD. Method: The study included children with ADHD (n = 102; 7-13 years) and a control sample individually matched with regard to age and gender. The administered tasks were designed to tap into three different neuropsychological domains: executive functions (i.e., working memory, inhibition, and shifting), delay aversion, and reaction time variability. Parent ratings of emotion regulation and a test of emotion recognition were also included. Results: Children with ADHD differed significantly from controls on all measures, except for delay aversion and recognition of disgust. No main effects of gender or interaction effects of gender and group were found. More importantly, executive functioning, reaction time variability, and emotional functioning all contributed independently to distinguishing between children with ADHD and controls. Conclusions: The current study supports the view of ADHD as a heterogeneous disorder related to multiple neuropsychological deficits. In addition, emotional functioning appears to be an area of importance for ADHD that needs to be incorporated into future theoretical models. \u00a9 2012 The Authors.", "author" : [ { "dropping-particle" : "", "family" : "Sj\u00f6wall", "given" : "Douglas", "non-dropping-particle" : "", "parse-names" : false, "suffix" : "" }, { "dropping-particle" : "", "family" : "Roth", "given" : "Linda", "non-dropping-particle" : "", "parse-names" : false, "suffix" : "" }, { "dropping-particle" : "", "family" : "Lindqvist", "given" : "Sofia", "non-dropping-particle" : "", "parse-names" : false, "suffix" : "" }, { "dropping-particle" : "", "family" : "Thorell", "given" : "Lisa B.", "non-dropping-particle" : "", "parse-names" : false, "suffix" : "" } ], "container-title" : "Journal of Child Psychology and Psychiatry and Allied Disciplines", "id" : "ITEM-1", "issue" : "6", "issued" : { "date-parts" : [ [ "2013" ] ] }, "page" : "619-627", "title" : "Multiple deficits in ADHD: Executive dysfunction, delay aversion, reaction time variability, and emotional deficits", "type" : "article-journal", "volume" : "54" }, "uris" : [ "http://www.mendeley.com/documents/?uuid=226e2cd8-c61a-45ab-a93c-74523262c439" ] } ], "mendeley" : { "formattedCitation" : "(117)", "plainTextFormattedCitation" : "(117)", "previouslyFormattedCitation" : "(117)" }, "properties" : { "noteIndex" : 13 }, "schema" : "https://github.com/citation-style-language/schema/raw/master/csl-citation.json" }</w:instrText>
      </w:r>
      <w:r w:rsidR="00BC3BBB">
        <w:rPr>
          <w:rFonts w:ascii="Arial" w:hAnsi="Arial" w:cs="Arial"/>
          <w:sz w:val="22"/>
          <w:szCs w:val="22"/>
          <w:lang w:eastAsia="en-US"/>
        </w:rPr>
        <w:fldChar w:fldCharType="separate"/>
      </w:r>
      <w:r w:rsidRPr="00F74A96">
        <w:rPr>
          <w:rFonts w:ascii="Arial" w:hAnsi="Arial" w:cs="Arial"/>
          <w:noProof/>
          <w:sz w:val="22"/>
          <w:szCs w:val="22"/>
          <w:lang w:eastAsia="en-US"/>
        </w:rPr>
        <w:t>(117)</w:t>
      </w:r>
      <w:r w:rsidR="00BC3BBB">
        <w:rPr>
          <w:rFonts w:ascii="Arial" w:hAnsi="Arial" w:cs="Arial"/>
          <w:sz w:val="22"/>
          <w:szCs w:val="22"/>
          <w:lang w:eastAsia="en-US"/>
        </w:rPr>
        <w:fldChar w:fldCharType="end"/>
      </w:r>
      <w:r w:rsidRPr="00453BDF">
        <w:rPr>
          <w:rFonts w:ascii="Arial" w:hAnsi="Arial" w:cs="Arial"/>
          <w:sz w:val="22"/>
          <w:szCs w:val="22"/>
          <w:lang w:eastAsia="en-US"/>
        </w:rPr>
        <w:t>.</w:t>
      </w:r>
      <w:r w:rsidRPr="00453BDF">
        <w:rPr>
          <w:rFonts w:ascii="Arial" w:hAnsi="Arial" w:cs="Arial"/>
          <w:color w:val="1F497D" w:themeColor="text2"/>
          <w:sz w:val="22"/>
          <w:szCs w:val="22"/>
        </w:rPr>
        <w:t xml:space="preserve"> </w:t>
      </w:r>
      <w:r w:rsidRPr="00525116">
        <w:rPr>
          <w:rFonts w:ascii="Arial" w:hAnsi="Arial" w:cs="Arial"/>
          <w:sz w:val="22"/>
          <w:szCs w:val="22"/>
        </w:rPr>
        <w:t>Bunlara ilaveten</w:t>
      </w:r>
      <w:r w:rsidRPr="00453BDF">
        <w:rPr>
          <w:rFonts w:ascii="Arial" w:hAnsi="Arial" w:cs="Arial"/>
          <w:color w:val="212121"/>
          <w:sz w:val="22"/>
          <w:szCs w:val="22"/>
          <w:shd w:val="clear" w:color="auto" w:fill="FFFFFF"/>
        </w:rPr>
        <w:t xml:space="preserve"> duygusal düzenleme, okuldan atılmalar ve aile ilişkilerindeki zorluklar da dahil olmak üzere daha olumsuz yaşam olaylarını öngörmede anahtar bir faktördür ve müdahalelerde duygusal işlevselliği hedeflemenin önemini vurgulamaktadır </w:t>
      </w:r>
      <w:r w:rsidR="00BC3BBB">
        <w:rPr>
          <w:rFonts w:ascii="Arial" w:hAnsi="Arial" w:cs="Arial"/>
          <w:color w:val="212121"/>
          <w:sz w:val="22"/>
          <w:szCs w:val="22"/>
          <w:shd w:val="clear" w:color="auto" w:fill="FFFFFF"/>
        </w:rPr>
        <w:fldChar w:fldCharType="begin" w:fldLock="1"/>
      </w:r>
      <w:r>
        <w:rPr>
          <w:rFonts w:ascii="Arial" w:hAnsi="Arial" w:cs="Arial"/>
          <w:color w:val="212121"/>
          <w:sz w:val="22"/>
          <w:szCs w:val="22"/>
          <w:shd w:val="clear" w:color="auto" w:fill="FFFFFF"/>
        </w:rPr>
        <w:instrText>ADDIN CSL_CITATION { "citationItems" : [ { "id" : "ITEM-1", "itemData" : { "DOI" : "10.1016/j.jaac.2010.01.019", "ISBN" : "0890-8567\\r1527-5418", "ISSN" : "08908567", "PMID" : "20431470", "abstract" : "OBJECTIVE: Emotional impulsiveness (EI) may be a central feature of attention-deficit/hyperactivity disorder (ADHD) contributing impairment beyond the two ADHD dimensions of inattention and hyperactivity-impulsivity. METHOD: We evaluated EI in hyperactive (N = 135) and control (N = 75) children followed to adulthood (mean age 27 years). The hyperactive cases were subdivided into those individuals whose ADHD persisted (ADHD-P) and did not persist (ADHD-NP) to adulthood. We examined the additional contribution of EI apart from ADHD symptoms to global ratings of impairment in 10 major life activities, adverse occupational and educational outcomes, criminal and driving outcomes, and money management difficulties at ages 21 and 27. RESULTS: The ADHD-P group reported more EI symptoms than either the ADHD-NP or community control groups. EI uniquely contributed to seven of 10 major life domains and to overall impairment beyond ADHD symptoms. Severity of EI uniquely contributed to numerous impairments in occupational, educational, criminal, driving, and financial outcomes beyond ADHD symptoms. CONCLUSIONS: EI is as much a component of ADHD as are its two traditional dimensions and is associated with impairments beyond those contributed by the two traditional dimensions.", "author" : [ { "dropping-particle" : "", "family" : "Barkley", "given" : "Russell A.", "non-dropping-particle" : "", "parse-names" : false, "suffix" : "" }, { "dropping-particle" : "", "family" : "Fischer", "given" : "Mariellen", "non-dropping-particle" : "", "parse-names" : false, "suffix" : "" } ], "container-title" : "Journal of the American Academy of Child &amp; Adolescent Psychiatry", "id" : "ITEM-1", "issue" : "5", "issued" : { "date-parts" : [ [ "2010" ] ] }, "page" : "503-513", "title" : "The Unique Contribution of Emotional Impulsiveness to Impairment in Major Life Activities in Hyperactive Children as Adults", "type" : "article-journal", "volume" : "49" }, "uris" : [ "http://www.mendeley.com/documents/?uuid=0ba40ef2-8c44-49b4-9716-cde5ff523b9a" ] } ], "mendeley" : { "formattedCitation" : "(120)", "plainTextFormattedCitation" : "(120)", "previouslyFormattedCitation" : "(120)" }, "properties" : { "noteIndex" : 13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Pr="00F74A96">
        <w:rPr>
          <w:rFonts w:ascii="Arial" w:hAnsi="Arial" w:cs="Arial"/>
          <w:noProof/>
          <w:color w:val="212121"/>
          <w:sz w:val="22"/>
          <w:szCs w:val="22"/>
          <w:shd w:val="clear" w:color="auto" w:fill="FFFFFF"/>
        </w:rPr>
        <w:t>(120)</w:t>
      </w:r>
      <w:r w:rsidR="00BC3BBB">
        <w:rPr>
          <w:rFonts w:ascii="Arial" w:hAnsi="Arial" w:cs="Arial"/>
          <w:color w:val="212121"/>
          <w:sz w:val="22"/>
          <w:szCs w:val="22"/>
          <w:shd w:val="clear" w:color="auto" w:fill="FFFFFF"/>
        </w:rPr>
        <w:fldChar w:fldCharType="end"/>
      </w:r>
      <w:r>
        <w:rPr>
          <w:rFonts w:ascii="Arial" w:hAnsi="Arial" w:cs="Arial"/>
          <w:color w:val="4F81BD" w:themeColor="accent1"/>
          <w:sz w:val="22"/>
          <w:szCs w:val="22"/>
        </w:rPr>
        <w:t>.</w:t>
      </w:r>
    </w:p>
    <w:p w:rsidR="00C60153" w:rsidRPr="00453BDF" w:rsidRDefault="00C60153" w:rsidP="00C60153">
      <w:pPr>
        <w:pStyle w:val="HTMLncedenBiimlendirilmi"/>
        <w:shd w:val="clear" w:color="auto" w:fill="FFFFFF"/>
        <w:spacing w:line="360" w:lineRule="auto"/>
        <w:jc w:val="both"/>
        <w:rPr>
          <w:rFonts w:ascii="Arial" w:hAnsi="Arial" w:cs="Arial"/>
          <w:b/>
          <w:color w:val="000000" w:themeColor="text1"/>
          <w:sz w:val="22"/>
          <w:szCs w:val="22"/>
        </w:rPr>
      </w:pPr>
      <w:r w:rsidRPr="00453BDF">
        <w:rPr>
          <w:rFonts w:ascii="Arial" w:hAnsi="Arial" w:cs="Arial"/>
          <w:b/>
          <w:color w:val="000000" w:themeColor="text1"/>
          <w:sz w:val="22"/>
          <w:szCs w:val="22"/>
        </w:rPr>
        <w:tab/>
        <w:t>Sosyal / Akran İşlevselliği</w:t>
      </w:r>
    </w:p>
    <w:p w:rsidR="00C60153" w:rsidRPr="00453BDF" w:rsidRDefault="00C60153" w:rsidP="00C60153">
      <w:pPr>
        <w:pStyle w:val="HTMLncedenBiimlendirilmi"/>
        <w:shd w:val="clear" w:color="auto" w:fill="FFFFFF"/>
        <w:spacing w:line="360" w:lineRule="auto"/>
        <w:jc w:val="both"/>
        <w:rPr>
          <w:rFonts w:ascii="Arial" w:hAnsi="Arial" w:cs="Arial"/>
          <w:color w:val="4F81BD" w:themeColor="accent1"/>
          <w:sz w:val="22"/>
          <w:szCs w:val="22"/>
        </w:rPr>
      </w:pPr>
      <w:r w:rsidRPr="00453BDF">
        <w:rPr>
          <w:rFonts w:ascii="Arial" w:hAnsi="Arial" w:cs="Arial"/>
          <w:b/>
          <w:color w:val="000000" w:themeColor="text1"/>
          <w:sz w:val="22"/>
          <w:szCs w:val="22"/>
        </w:rPr>
        <w:tab/>
      </w:r>
      <w:r w:rsidRPr="00453BDF">
        <w:rPr>
          <w:rFonts w:ascii="Arial" w:hAnsi="Arial" w:cs="Arial"/>
          <w:color w:val="212121"/>
          <w:sz w:val="22"/>
          <w:szCs w:val="22"/>
          <w:lang w:eastAsia="en-US"/>
        </w:rPr>
        <w:t>DEHB tanılı çocukların genellikle sosyal performansı bozulmuş ve akranları tarafından arkadaş edinilme olasılıkları</w:t>
      </w:r>
      <w:r>
        <w:rPr>
          <w:rFonts w:ascii="Arial" w:hAnsi="Arial" w:cs="Arial"/>
          <w:color w:val="212121"/>
          <w:sz w:val="22"/>
          <w:szCs w:val="22"/>
          <w:lang w:eastAsia="en-US"/>
        </w:rPr>
        <w:t>nın</w:t>
      </w:r>
      <w:r w:rsidRPr="00453BDF">
        <w:rPr>
          <w:rFonts w:ascii="Arial" w:hAnsi="Arial" w:cs="Arial"/>
          <w:color w:val="212121"/>
          <w:sz w:val="22"/>
          <w:szCs w:val="22"/>
          <w:lang w:eastAsia="en-US"/>
        </w:rPr>
        <w:t xml:space="preserve"> daha düşük</w:t>
      </w:r>
      <w:r>
        <w:rPr>
          <w:rFonts w:ascii="Arial" w:hAnsi="Arial" w:cs="Arial"/>
          <w:color w:val="212121"/>
          <w:sz w:val="22"/>
          <w:szCs w:val="22"/>
          <w:lang w:eastAsia="en-US"/>
        </w:rPr>
        <w:t xml:space="preserve"> olduğu belirtilmiştir </w:t>
      </w:r>
      <w:r w:rsidR="00BC3BBB">
        <w:rPr>
          <w:rFonts w:ascii="Arial" w:hAnsi="Arial" w:cs="Arial"/>
          <w:color w:val="212121"/>
          <w:sz w:val="22"/>
          <w:szCs w:val="22"/>
          <w:lang w:eastAsia="en-US"/>
        </w:rPr>
        <w:fldChar w:fldCharType="begin" w:fldLock="1"/>
      </w:r>
      <w:r>
        <w:rPr>
          <w:rFonts w:ascii="Arial" w:hAnsi="Arial" w:cs="Arial"/>
          <w:color w:val="212121"/>
          <w:sz w:val="22"/>
          <w:szCs w:val="22"/>
          <w:lang w:eastAsia="en-US"/>
        </w:rPr>
        <w:instrText>ADDIN CSL_CITATION { "citationItems" : [ { "id" : "ITEM-1", "itemData" : { "author" : [ { "dropping-particle" : "", "family" : "Hinshaw", "given" : "Stephen P", "non-dropping-particle" : "", "parse-names" : false, "suffix" : "" }, { "dropping-particle" : "", "family" : "Melnick", "given" : "Sharon M", "non-dropping-particle" : "", "parse-names" : false, "suffix" : "" } ], "id" : "ITEM-1", "issued" : { "date-parts" : [ [ "1995" ] ] }, "title" : "Peer relationships in boys with attention-deficit hyperactivity disorder with and without comorbid aggression", "type" : "article-journal" }, "uris" : [ "http://www.mendeley.com/documents/?uuid=eef49138-4b71-45ec-bfe8-77fa160b77ac" ] } ], "mendeley" : { "formattedCitation" : "(121)", "plainTextFormattedCitation" : "(121)", "previouslyFormattedCitation" : "(121)" }, "properties" : { "noteIndex" : 13 }, "schema" : "https://github.com/citation-style-language/schema/raw/master/csl-citation.json" }</w:instrText>
      </w:r>
      <w:r w:rsidR="00BC3BBB">
        <w:rPr>
          <w:rFonts w:ascii="Arial" w:hAnsi="Arial" w:cs="Arial"/>
          <w:color w:val="212121"/>
          <w:sz w:val="22"/>
          <w:szCs w:val="22"/>
          <w:lang w:eastAsia="en-US"/>
        </w:rPr>
        <w:fldChar w:fldCharType="separate"/>
      </w:r>
      <w:r w:rsidRPr="00F74A96">
        <w:rPr>
          <w:rFonts w:ascii="Arial" w:hAnsi="Arial" w:cs="Arial"/>
          <w:noProof/>
          <w:color w:val="212121"/>
          <w:sz w:val="22"/>
          <w:szCs w:val="22"/>
          <w:lang w:eastAsia="en-US"/>
        </w:rPr>
        <w:t>(121)</w:t>
      </w:r>
      <w:r w:rsidR="00BC3BBB">
        <w:rPr>
          <w:rFonts w:ascii="Arial" w:hAnsi="Arial" w:cs="Arial"/>
          <w:color w:val="212121"/>
          <w:sz w:val="22"/>
          <w:szCs w:val="22"/>
          <w:lang w:eastAsia="en-US"/>
        </w:rPr>
        <w:fldChar w:fldCharType="end"/>
      </w:r>
      <w:r w:rsidRPr="00453BDF">
        <w:rPr>
          <w:rFonts w:ascii="Arial" w:hAnsi="Arial" w:cs="Arial"/>
          <w:color w:val="212121"/>
          <w:sz w:val="22"/>
          <w:szCs w:val="22"/>
          <w:lang w:eastAsia="en-US"/>
        </w:rPr>
        <w:t>.</w:t>
      </w:r>
      <w:r w:rsidRPr="00453BDF">
        <w:rPr>
          <w:rFonts w:ascii="Arial" w:hAnsi="Arial" w:cs="Arial"/>
          <w:color w:val="212121"/>
          <w:sz w:val="22"/>
          <w:szCs w:val="22"/>
          <w:lang w:val="en-US" w:eastAsia="en-US"/>
        </w:rPr>
        <w:t xml:space="preserve"> </w:t>
      </w:r>
      <w:r w:rsidRPr="00453BDF">
        <w:rPr>
          <w:rFonts w:ascii="Arial" w:hAnsi="Arial" w:cs="Arial"/>
          <w:color w:val="212121"/>
          <w:sz w:val="22"/>
          <w:szCs w:val="22"/>
          <w:lang w:eastAsia="en-US"/>
        </w:rPr>
        <w:t xml:space="preserve">DEHB ile ilişkili davranış belirtilerinin sosyal performansı etkilemesi nedeniyle </w:t>
      </w:r>
      <w:r>
        <w:rPr>
          <w:rFonts w:ascii="Arial" w:hAnsi="Arial" w:cs="Arial"/>
          <w:color w:val="212121"/>
          <w:sz w:val="22"/>
          <w:szCs w:val="22"/>
          <w:lang w:eastAsia="en-US"/>
        </w:rPr>
        <w:t xml:space="preserve">bu </w:t>
      </w:r>
      <w:r w:rsidRPr="00453BDF">
        <w:rPr>
          <w:rFonts w:ascii="Arial" w:hAnsi="Arial" w:cs="Arial"/>
          <w:color w:val="212121"/>
          <w:sz w:val="22"/>
          <w:szCs w:val="22"/>
          <w:lang w:eastAsia="en-US"/>
        </w:rPr>
        <w:t>çocuklar</w:t>
      </w:r>
      <w:r>
        <w:rPr>
          <w:rFonts w:ascii="Arial" w:hAnsi="Arial" w:cs="Arial"/>
          <w:color w:val="212121"/>
          <w:sz w:val="22"/>
          <w:szCs w:val="22"/>
          <w:lang w:eastAsia="en-US"/>
        </w:rPr>
        <w:t>ın</w:t>
      </w:r>
      <w:r w:rsidRPr="00453BDF">
        <w:rPr>
          <w:rFonts w:ascii="Arial" w:hAnsi="Arial" w:cs="Arial"/>
          <w:color w:val="212121"/>
          <w:sz w:val="22"/>
          <w:szCs w:val="22"/>
          <w:lang w:eastAsia="en-US"/>
        </w:rPr>
        <w:t xml:space="preserve"> daha az çekici oyun arkadaşı olarak görül</w:t>
      </w:r>
      <w:r>
        <w:rPr>
          <w:rFonts w:ascii="Arial" w:hAnsi="Arial" w:cs="Arial"/>
          <w:color w:val="212121"/>
          <w:sz w:val="22"/>
          <w:szCs w:val="22"/>
          <w:lang w:eastAsia="en-US"/>
        </w:rPr>
        <w:t xml:space="preserve">dükleri saptanmıştır </w:t>
      </w:r>
      <w:r w:rsidR="00BC3BBB">
        <w:rPr>
          <w:rFonts w:ascii="Arial" w:hAnsi="Arial" w:cs="Arial"/>
          <w:color w:val="212121"/>
          <w:sz w:val="22"/>
          <w:szCs w:val="22"/>
          <w:lang w:eastAsia="en-US"/>
        </w:rPr>
        <w:fldChar w:fldCharType="begin" w:fldLock="1"/>
      </w:r>
      <w:r>
        <w:rPr>
          <w:rFonts w:ascii="Arial" w:hAnsi="Arial" w:cs="Arial"/>
          <w:color w:val="212121"/>
          <w:sz w:val="22"/>
          <w:szCs w:val="22"/>
          <w:lang w:eastAsia="en-US"/>
        </w:rPr>
        <w:instrText>ADDIN CSL_CITATION { "citationItems" : [ { "id" : "ITEM-1", "itemData" : { "PMID" : "17556400", "abstract" : "This article describes what is currently known about the peer relationships of children with attention-deficit/hyperactivity disorder (ADHD). This topic is addressed both from the perspective of how ADHD initially contributes to problematic relationships with peers, and also from the perspective of how peers' reactions to these problems may serve to maintain them. Given the limited improvement typically obtained in treatment studies that use peer report measures as outcomes with ADHD samples and the well-documented predictive validity of peer reports for later adjustment, the need for more intensive interventions and novel approaches to address the peer problems of children with ADHD is emphasized", "author" : [ { "dropping-particle" : "", "family" : "Hoza", "given" : "B", "non-dropping-particle" : "", "parse-names" : false, "suffix" : "" } ], "container-title" : "J.Pediatr.Psychol.", "id" : "ITEM-1", "issue" : "0146-8693 (Print)", "issued" : { "date-parts" : [ [ "2007" ] ] }, "page" : "655-663", "title" : "Peer functioning in children with ADHD", "type" : "article-journal", "volume" : "32" }, "uris" : [ "http://www.mendeley.com/documents/?uuid=c14b26c2-74ad-4f21-babe-124e50819937" ] } ], "mendeley" : { "formattedCitation" : "(122)", "plainTextFormattedCitation" : "(122)", "previouslyFormattedCitation" : "(122)" }, "properties" : { "noteIndex" : 13 }, "schema" : "https://github.com/citation-style-language/schema/raw/master/csl-citation.json" }</w:instrText>
      </w:r>
      <w:r w:rsidR="00BC3BBB">
        <w:rPr>
          <w:rFonts w:ascii="Arial" w:hAnsi="Arial" w:cs="Arial"/>
          <w:color w:val="212121"/>
          <w:sz w:val="22"/>
          <w:szCs w:val="22"/>
          <w:lang w:eastAsia="en-US"/>
        </w:rPr>
        <w:fldChar w:fldCharType="separate"/>
      </w:r>
      <w:r w:rsidRPr="00F74A96">
        <w:rPr>
          <w:rFonts w:ascii="Arial" w:hAnsi="Arial" w:cs="Arial"/>
          <w:noProof/>
          <w:color w:val="212121"/>
          <w:sz w:val="22"/>
          <w:szCs w:val="22"/>
          <w:lang w:eastAsia="en-US"/>
        </w:rPr>
        <w:t>(122)</w:t>
      </w:r>
      <w:r w:rsidR="00BC3BBB">
        <w:rPr>
          <w:rFonts w:ascii="Arial" w:hAnsi="Arial" w:cs="Arial"/>
          <w:color w:val="212121"/>
          <w:sz w:val="22"/>
          <w:szCs w:val="22"/>
          <w:lang w:eastAsia="en-US"/>
        </w:rPr>
        <w:fldChar w:fldCharType="end"/>
      </w:r>
      <w:r w:rsidRPr="00453BDF">
        <w:rPr>
          <w:rFonts w:ascii="Arial" w:hAnsi="Arial" w:cs="Arial"/>
          <w:color w:val="212121"/>
          <w:sz w:val="22"/>
          <w:szCs w:val="22"/>
          <w:lang w:eastAsia="en-US"/>
        </w:rPr>
        <w:t xml:space="preserve">. </w:t>
      </w:r>
      <w:r w:rsidRPr="00453BDF">
        <w:rPr>
          <w:rFonts w:ascii="Arial" w:hAnsi="Arial" w:cs="Arial"/>
          <w:sz w:val="22"/>
          <w:szCs w:val="22"/>
          <w:shd w:val="clear" w:color="auto" w:fill="FFFFFF"/>
        </w:rPr>
        <w:t>Örneğin, kombine tip DEHB olan çocuklar sosyal etkileşim sırasında daha agresif ve müdahaleci iken, dikkat eksikliği baskın tip çocuklar geri çekilmiş gibi görün</w:t>
      </w:r>
      <w:r>
        <w:rPr>
          <w:rFonts w:ascii="Arial" w:hAnsi="Arial" w:cs="Arial"/>
          <w:sz w:val="22"/>
          <w:szCs w:val="22"/>
          <w:shd w:val="clear" w:color="auto" w:fill="FFFFFF"/>
        </w:rPr>
        <w:t>ebildikleri</w:t>
      </w:r>
      <w:r w:rsidRPr="00453BDF">
        <w:rPr>
          <w:rFonts w:ascii="Arial" w:hAnsi="Arial" w:cs="Arial"/>
          <w:sz w:val="22"/>
          <w:szCs w:val="22"/>
          <w:shd w:val="clear" w:color="auto" w:fill="FFFFFF"/>
        </w:rPr>
        <w:t xml:space="preserve"> ve akranlarına kıyasla etkileşim içinde daha zayıf hafıza özellikleri</w:t>
      </w:r>
      <w:r>
        <w:rPr>
          <w:rFonts w:ascii="Arial" w:hAnsi="Arial" w:cs="Arial"/>
          <w:sz w:val="22"/>
          <w:szCs w:val="22"/>
          <w:shd w:val="clear" w:color="auto" w:fill="FFFFFF"/>
        </w:rPr>
        <w:t xml:space="preserve"> sergiledikleri ifade edilmiştir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"DOI" : "10.1007/s10802-007-9108-5", "ISBN" : "0091-0627", "ISSN" : "00910627", "PMID" : "17354064", "abstract" : "This study assessed social skills in 116 children aged 7-12 with ADHD-Combined Type (ADHD-C; n=33), ADHD-Inattentive Type (ADHD-I; n=45), and comparison children (n=38), with consideration of the role sluggish cognitive tempo (SCT) symptoms play in distinguishing profiles. Social skills were assessed using a novel computerized chat room task, in which participants were encouraged to join a conversation and type messages to interact with four computer-simulated peers. Every participant received the identical stimulus from the simulated peers, but was free to respond to it in his or her own unique way. Relative to comparison children, children with ADHD-C made off-topic and hostile responses; children with ADHD-I made off-topic responses, few responses and showed poor memory for the conversation. ADHD subtype differences remained after statistical control of IQ, reading achievement, typing skill, and comorbid disruptive behavior disorders. SCT symptoms, most prevalent among children with ADHD-I, predicted a distinct pattern of social withdrawal and lower hostility. Parent and teacher ratings and in-vivo observations of social skills correlate with this new measure.", "author" : [ { "dropping-particle" : "", "family" : "Mikami", "given" : "Amori Yee", "non-dropping-particle" : "", "parse-names" : false, "suffix" : "" }, { "dropping-particle" : "", "family" : "Huang-Pollock", "given" : "Cynthia L.", "non-dropping-particle" : "", "parse-names" : false, "suffix" : "" }, { "dropping-particle" : "", "family" : "Pfiffner", "given" : "Linda J.", "non-dropping-particle" : "", "parse-names" : false, "suffix" : "" }, { "dropping-particle" : "", "family" : "McBurnett", "given" : "Keith", "non-dropping-particle" : "", "parse-names" : false, "suffix" : "" }, { "dropping-particle" : "", "family" : "Hangai", "given" : "Dana", "non-dropping-particle" : "", "parse-names" : false, "suffix" : "" } ], "container-title" : "Journal of Abnormal Child Psychology", "id" : "ITEM-1", "issue" : "4", "issued" : { "date-parts" : [ [ "2007" ] ] }, "page" : "509-521", "title" : "Social skills differences among Attention-Deficit/Hyperactivity Disorder types in a chat room assessment task", "type" : "article-journal", "volume" : "35" }, "uris" : [ "http://www.mendeley.com/documents/?uuid=282f6b32-3c57-4ece-9702-3f415f78c259" ] } ], "mendeley" : { "formattedCitation" : "(123)", "plainTextFormattedCitation" : "(123)", "previouslyFormattedCitation" : "(123)" }, "properties" : { "noteIndex" : 14 }, "schema" : "https://github.com/citation-style-language/schema/raw/master/csl-citation.json" }</w:instrText>
      </w:r>
      <w:r w:rsidR="00BC3BBB">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(123)</w:t>
      </w:r>
      <w:r w:rsidR="00BC3BBB">
        <w:rPr>
          <w:rFonts w:ascii="Arial" w:hAnsi="Arial" w:cs="Arial"/>
          <w:sz w:val="22"/>
          <w:szCs w:val="22"/>
          <w:shd w:val="clear" w:color="auto" w:fill="FFFFFF"/>
        </w:rPr>
        <w:fldChar w:fldCharType="end"/>
      </w:r>
      <w:r>
        <w:rPr>
          <w:rFonts w:ascii="Arial" w:hAnsi="Arial" w:cs="Arial"/>
          <w:sz w:val="22"/>
          <w:szCs w:val="22"/>
          <w:shd w:val="clear" w:color="auto" w:fill="FFFFFF"/>
        </w:rPr>
        <w:t>.</w:t>
      </w:r>
      <w:r w:rsidRPr="00453BDF">
        <w:rPr>
          <w:rFonts w:ascii="Arial" w:hAnsi="Arial" w:cs="Arial"/>
          <w:sz w:val="22"/>
          <w:szCs w:val="22"/>
          <w:shd w:val="clear" w:color="auto" w:fill="FFFFFF"/>
        </w:rPr>
        <w:t xml:space="preserve"> </w:t>
      </w:r>
    </w:p>
    <w:p w:rsidR="00C60153" w:rsidRPr="00453BDF" w:rsidRDefault="00C60153" w:rsidP="00C60153">
      <w:pPr>
        <w:pStyle w:val="HTMLncedenBiimlendirilmi"/>
        <w:shd w:val="clear" w:color="auto" w:fill="FFFFFF"/>
        <w:spacing w:line="360" w:lineRule="auto"/>
        <w:jc w:val="both"/>
        <w:rPr>
          <w:rFonts w:ascii="Arial" w:hAnsi="Arial" w:cs="Arial"/>
          <w:b/>
          <w:sz w:val="22"/>
          <w:szCs w:val="22"/>
          <w:shd w:val="clear" w:color="auto" w:fill="FFFFFF"/>
        </w:rPr>
      </w:pPr>
      <w:r w:rsidRPr="00453BDF">
        <w:rPr>
          <w:rFonts w:ascii="Arial" w:hAnsi="Arial" w:cs="Arial"/>
          <w:b/>
          <w:sz w:val="22"/>
          <w:szCs w:val="22"/>
        </w:rPr>
        <w:tab/>
        <w:t>Akademik İşlevsellik</w:t>
      </w:r>
    </w:p>
    <w:p w:rsidR="00EC4DCF" w:rsidRDefault="00C60153" w:rsidP="00EC4DCF">
      <w:pPr>
        <w:pStyle w:val="HTMLncedenBiimlendirilmi"/>
        <w:shd w:val="clear" w:color="auto" w:fill="FFFFFF"/>
        <w:spacing w:line="360" w:lineRule="auto"/>
        <w:jc w:val="both"/>
        <w:rPr>
          <w:rFonts w:ascii="Arial" w:hAnsi="Arial" w:cs="Arial"/>
          <w:color w:val="E36C0A" w:themeColor="accent6" w:themeShade="BF"/>
          <w:sz w:val="22"/>
          <w:szCs w:val="22"/>
        </w:rPr>
      </w:pPr>
      <w:r w:rsidRPr="00453BDF">
        <w:rPr>
          <w:rFonts w:ascii="Arial" w:hAnsi="Arial" w:cs="Arial"/>
          <w:b/>
          <w:sz w:val="22"/>
          <w:szCs w:val="22"/>
          <w:shd w:val="clear" w:color="auto" w:fill="FFFFFF"/>
        </w:rPr>
        <w:tab/>
      </w:r>
      <w:r w:rsidRPr="00453BDF">
        <w:rPr>
          <w:rFonts w:ascii="Arial" w:hAnsi="Arial" w:cs="Arial"/>
          <w:color w:val="212121"/>
          <w:sz w:val="22"/>
          <w:szCs w:val="22"/>
          <w:shd w:val="clear" w:color="auto" w:fill="FFFFFF"/>
        </w:rPr>
        <w:t>Akademik başarısızlık, DEHB olan çocukların ortak bir özelliğidir ve okul öncesi dönemden</w:t>
      </w:r>
      <w:r>
        <w:rPr>
          <w:rFonts w:ascii="Arial" w:hAnsi="Arial" w:cs="Arial"/>
          <w:color w:val="212121"/>
          <w:sz w:val="22"/>
          <w:szCs w:val="22"/>
          <w:shd w:val="clear" w:color="auto" w:fill="FFFFFF"/>
        </w:rPr>
        <w:t xml:space="preserve"> </w:t>
      </w:r>
      <w:r w:rsidR="00BC3BBB">
        <w:rPr>
          <w:rFonts w:ascii="Arial" w:hAnsi="Arial" w:cs="Arial"/>
          <w:color w:val="212121"/>
          <w:sz w:val="22"/>
          <w:szCs w:val="22"/>
          <w:shd w:val="clear" w:color="auto" w:fill="FFFFFF"/>
        </w:rPr>
        <w:fldChar w:fldCharType="begin" w:fldLock="1"/>
      </w:r>
      <w:r>
        <w:rPr>
          <w:rFonts w:ascii="Arial" w:hAnsi="Arial" w:cs="Arial"/>
          <w:color w:val="212121"/>
          <w:sz w:val="22"/>
          <w:szCs w:val="22"/>
          <w:shd w:val="clear" w:color="auto" w:fill="FFFFFF"/>
        </w:rPr>
        <w:instrText>ADDIN CSL_CITATION { "citationItems" : [ { "id" : "ITEM-1", "itemData" : { "DOI" : "10.1080/00405841.2011.534935", "ISBN" : "0040-5841", "ISSN" : "0040-5841", "abstract" : "School-related difficulties are commonly associated with attention deficit hyperactivity disorder (ADHD). This article describes effective school- based intervention strategies including behavioral interventions, modifications to academic instruction, and home-school communication programs. One overlooked aspect of treatment of children with ADHD is the need to form partnerships among school professionals who can work collaboratively on interventions for children with ADHD. Approaches to developing effective collaboration between teachers and school psychologists are presented. Multiple treatment strategies implemented in a consistent fashion across school years can optimize the school success of students with ADHD.", "author" : [ { "dropping-particle" : "", "family" : "DuPaul", "given" : "George J.", "non-dropping-particle" : "", "parse-names" : false, "suffix" : "" }, { "dropping-particle" : "", "family" : "Weyandt", "given" : "Lisa L.", "non-dropping-particle" : "", "parse-names" : false, "suffix" : "" }, { "dropping-particle" : "", "family" : "Janusis", "given" : "Grace M.", "non-dropping-particle" : "", "parse-names" : false, "suffix" : "" } ], "container-title" : "Theory Into Practice", "id" : "ITEM-1", "issue" : "1", "issued" : { "date-parts" : [ [ "2011" ] ] }, "page" : "35-42", "title" : "ADHD in the Classroom: Effective Intervention Strategies", "type" : "article-journal", "volume" : "50" }, "uris" : [ "http://www.mendeley.com/documents/?uuid=ee8000bb-a265-49e7-bf04-4fbef825cf21" ] } ], "mendeley" : { "formattedCitation" : "(124)", "plainTextFormattedCitation" : "(124)", "previouslyFormattedCitation" : "(124)" }, "properties" : { "noteIndex" : 14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Pr="00F74A96">
        <w:rPr>
          <w:rFonts w:ascii="Arial" w:hAnsi="Arial" w:cs="Arial"/>
          <w:noProof/>
          <w:color w:val="212121"/>
          <w:sz w:val="22"/>
          <w:szCs w:val="22"/>
          <w:shd w:val="clear" w:color="auto" w:fill="FFFFFF"/>
        </w:rPr>
        <w:t>(124)</w:t>
      </w:r>
      <w:r w:rsidR="00BC3BBB">
        <w:rPr>
          <w:rFonts w:ascii="Arial" w:hAnsi="Arial" w:cs="Arial"/>
          <w:color w:val="212121"/>
          <w:sz w:val="22"/>
          <w:szCs w:val="22"/>
          <w:shd w:val="clear" w:color="auto" w:fill="FFFFFF"/>
        </w:rPr>
        <w:fldChar w:fldCharType="end"/>
      </w:r>
      <w:r>
        <w:rPr>
          <w:rFonts w:ascii="Arial" w:hAnsi="Arial" w:cs="Arial"/>
          <w:color w:val="212121"/>
          <w:sz w:val="22"/>
          <w:szCs w:val="22"/>
          <w:shd w:val="clear" w:color="auto" w:fill="FFFFFF"/>
        </w:rPr>
        <w:t xml:space="preserve">, </w:t>
      </w:r>
      <w:r w:rsidRPr="00453BDF">
        <w:rPr>
          <w:rFonts w:ascii="Arial" w:hAnsi="Arial" w:cs="Arial"/>
          <w:color w:val="212121"/>
          <w:sz w:val="22"/>
          <w:szCs w:val="22"/>
          <w:shd w:val="clear" w:color="auto" w:fill="FFFFFF"/>
        </w:rPr>
        <w:t xml:space="preserve">ergenliğe kadar </w:t>
      </w:r>
      <w:r>
        <w:rPr>
          <w:rFonts w:ascii="Arial" w:hAnsi="Arial" w:cs="Arial"/>
          <w:color w:val="212121"/>
          <w:sz w:val="22"/>
          <w:szCs w:val="22"/>
          <w:shd w:val="clear" w:color="auto" w:fill="FFFFFF"/>
        </w:rPr>
        <w:t xml:space="preserve">saptanmaktadır </w:t>
      </w:r>
      <w:r w:rsidR="00BC3BBB">
        <w:rPr>
          <w:rFonts w:ascii="Arial" w:hAnsi="Arial" w:cs="Arial"/>
          <w:color w:val="212121"/>
          <w:sz w:val="22"/>
          <w:szCs w:val="22"/>
          <w:shd w:val="clear" w:color="auto" w:fill="FFFFFF"/>
        </w:rPr>
        <w:fldChar w:fldCharType="begin" w:fldLock="1"/>
      </w:r>
      <w:r>
        <w:rPr>
          <w:rFonts w:ascii="Arial" w:hAnsi="Arial" w:cs="Arial"/>
          <w:color w:val="212121"/>
          <w:sz w:val="22"/>
          <w:szCs w:val="22"/>
          <w:shd w:val="clear" w:color="auto" w:fill="FFFFFF"/>
        </w:rPr>
        <w:instrText>ADDIN CSL_CITATION { "citationItems" : [ { "id" : "ITEM-1", "itemData" : { "DOI" : "10.1177/00222194070400010401", "ISBN" : "0022-2194, 0022-2194", "ISSN" : "0022-2194", "PMID" : "17274547", "abstract" : "This article presents results from two interrelated studies. The first study conducted a meta-analysis of the published literature since 1990 to determine the magnitude of achievement problems associated with attention-deficit/hyperactivity disorder (ADHD). Effect sizes were significantly different between participants with and without ADHD (sample weighted r = .32, sample weighted d = . 71; p = .001). Effects were also examined according to the moderators of age, gender, achievement domain (reading, math, spelling), measurement method (standardized tests vs. grades, parent/teacher ratings, etc.), sample type (clinical vs. nonclinical), and system used to identify ADHD (DSM-III-R vs. DSM-IV). Significant differences emerged from the moderator comparisons. The second study, using averaged effect sizes from the first study as a baseline for comparison, investigated achievement levels for an understudied age group with ADHD, namely, college students. Unlike previous studies at the college level, the sample incorporated both student and parent ratings (N = 380 dyads). The results were comparable to outcomes from the meta-analysis for college students and adults. Analyses demonstrated modest (R = .21) but meaningful predictive validity across 1 year to end-of-first-year grades. However, unlike earlier studies with children and adolescents, student ratings were as predictive as parent ratings. Findings are discussed in terms of the impact of moderator variables on ADHD and achievement.", "author" : [ { "dropping-particle" : "", "family" : "Frazier", "given" : "T. W.", "non-dropping-particle" : "", "parse-names" : false, "suffix" : "" }, { "dropping-particle" : "", "family" : "Youngstrom", "given" : "E. A.", "non-dropping-particle" : "", "parse-names" : false, "suffix" : "" }, { "dropping-particle" : "", "family" : "Glutting", "given" : "J. J.", "non-dropping-particle" : "", "parse-names" : false, "suffix" : "" }, { "dropping-particle" : "", "family" : "Watkins", "given" : "M. W.", "non-dropping-particle" : "", "parse-names" : false, "suffix" : "" } ], "container-title" : "Journal of Learning Disabilities", "id" : "ITEM-1", "issue" : "1", "issued" : { "date-parts" : [ [ "2007" ] ] }, "page" : "49-65", "title" : "ADHD and Achievement: Meta-Analysis of the Child, Adolescent, and Adult Literatures and a Concomitant Study With College Students", "type" : "article-journal", "volume" : "40" }, "uris" : [ "http://www.mendeley.com/documents/?uuid=fc245675-3f5e-4988-9d63-3796cdd5757d" ] } ], "mendeley" : { "formattedCitation" : "(26)", "plainTextFormattedCitation" : "(26)", "previouslyFormattedCitation" : "(26)" }, "properties" : { "noteIndex" : 14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Pr="00F74A96">
        <w:rPr>
          <w:rFonts w:ascii="Arial" w:hAnsi="Arial" w:cs="Arial"/>
          <w:noProof/>
          <w:color w:val="212121"/>
          <w:sz w:val="22"/>
          <w:szCs w:val="22"/>
          <w:shd w:val="clear" w:color="auto" w:fill="FFFFFF"/>
        </w:rPr>
        <w:t>(26)</w:t>
      </w:r>
      <w:r w:rsidR="00BC3BBB">
        <w:rPr>
          <w:rFonts w:ascii="Arial" w:hAnsi="Arial" w:cs="Arial"/>
          <w:color w:val="212121"/>
          <w:sz w:val="22"/>
          <w:szCs w:val="22"/>
          <w:shd w:val="clear" w:color="auto" w:fill="FFFFFF"/>
        </w:rPr>
        <w:fldChar w:fldCharType="end"/>
      </w:r>
      <w:r w:rsidRPr="00453BDF">
        <w:rPr>
          <w:rFonts w:ascii="Arial" w:hAnsi="Arial" w:cs="Arial"/>
          <w:color w:val="212121"/>
          <w:sz w:val="22"/>
          <w:szCs w:val="22"/>
          <w:shd w:val="clear" w:color="auto" w:fill="FFFFFF"/>
        </w:rPr>
        <w:t>.</w:t>
      </w:r>
      <w:r>
        <w:rPr>
          <w:rFonts w:ascii="Arial" w:hAnsi="Arial" w:cs="Arial"/>
          <w:color w:val="212121"/>
          <w:sz w:val="22"/>
          <w:szCs w:val="22"/>
          <w:shd w:val="clear" w:color="auto" w:fill="FFFFFF"/>
        </w:rPr>
        <w:t xml:space="preserve"> </w:t>
      </w:r>
      <w:r w:rsidRPr="00453BDF">
        <w:rPr>
          <w:rFonts w:ascii="Arial" w:hAnsi="Arial" w:cs="Arial"/>
          <w:color w:val="212121"/>
          <w:sz w:val="22"/>
          <w:szCs w:val="22"/>
          <w:lang w:eastAsia="en-US"/>
        </w:rPr>
        <w:t>DEHB akademik becerilerin standartlaştırılmış testlerin</w:t>
      </w:r>
      <w:r>
        <w:rPr>
          <w:rFonts w:ascii="Arial" w:hAnsi="Arial" w:cs="Arial"/>
          <w:color w:val="212121"/>
          <w:sz w:val="22"/>
          <w:szCs w:val="22"/>
          <w:lang w:eastAsia="en-US"/>
        </w:rPr>
        <w:t>de düşük puanlar ile ilişkili olduğu saptanmıştır</w:t>
      </w:r>
      <w:r w:rsidRPr="00453BDF">
        <w:rPr>
          <w:rFonts w:ascii="Arial" w:hAnsi="Arial" w:cs="Arial"/>
          <w:color w:val="212121"/>
          <w:sz w:val="22"/>
          <w:szCs w:val="22"/>
          <w:lang w:eastAsia="en-US"/>
        </w:rPr>
        <w:t xml:space="preserve"> </w:t>
      </w:r>
      <w:r w:rsidR="00BC3BBB">
        <w:rPr>
          <w:rFonts w:ascii="Arial" w:hAnsi="Arial" w:cs="Arial"/>
          <w:color w:val="212121"/>
          <w:sz w:val="22"/>
          <w:szCs w:val="22"/>
          <w:lang w:eastAsia="en-US"/>
        </w:rPr>
        <w:fldChar w:fldCharType="begin" w:fldLock="1"/>
      </w:r>
      <w:r>
        <w:rPr>
          <w:rFonts w:ascii="Arial" w:hAnsi="Arial" w:cs="Arial"/>
          <w:color w:val="212121"/>
          <w:sz w:val="22"/>
          <w:szCs w:val="22"/>
          <w:lang w:eastAsia="en-US"/>
        </w:rPr>
        <w:instrText>ADDIN CSL_CITATION { "citationItems" : [ { "id" : "ITEM-1", "itemData" : { "DOI" : "10.1016/S0022-4405(02)00100-0", "ISBN" : "0022-4405", "ISSN" : "0022-4405", "abstract" : "Many children with Attention-Deficit/Hyperactivity Disorder (ADHD) achieve academically at a lower level than would be predicted given their intellectual abilities. However, the extent to which this is due to behavioral problems versus cognitive deficits associated with the disorder is unclear. In the present study, a group of children with ADHD (with average intellectual abilities) performed significantly below prediction in reading, writing, and mathematics skills and demonstrated a greater discrepancy between actual and predicted achievement than did a group of non-ADHD children. Even when controlling for performance on a measure of executive functioning, severity of ADHD symptoms, based on parent report, significantly predicted academic underachievement in reading, writing, and mathematics. These results indicate that the more severe the behavioral symptomatology of children with ADHD is, the more negatively impacted their school performance may be. Results are discussed in terms of diagnostic and intervention implications.", "author" : [ { "dropping-particle" : "", "family" : "Barry", "given" : "Tammy Deshazo", "non-dropping-particle" : "", "parse-names" : false, "suffix" : "" }, { "dropping-particle" : "", "family" : "Lyman", "given" : "Robert D", "non-dropping-particle" : "", "parse-names" : false, "suffix" : "" }, { "dropping-particle" : "", "family" : "Klinger", "given" : "Laura Grofer", "non-dropping-particle" : "", "parse-names" : false, "suffix" : "" } ], "container-title" : "Journal of School Psychology", "id" : "ITEM-1", "issue" : "3", "issued" : { "date-parts" : [ [ "2002" ] ] }, "page" : "259-283", "title" : "Academic underachievement and attention-deficit / hyperactivity disorder: the negative impact of symptom severity on school performance", "type" : "article-journal", "volume" : "40" }, "uris" : [ "http://www.mendeley.com/documents/?uuid=0f950f08-a4ca-4865-bb5a-20c824bcf617" ] } ], "mendeley" : { "formattedCitation" : "(125)", "plainTextFormattedCitation" : "(125)", "previouslyFormattedCitation" : "(125)" }, "properties" : { "noteIndex" : 14 }, "schema" : "https://github.com/citation-style-language/schema/raw/master/csl-citation.json" }</w:instrText>
      </w:r>
      <w:r w:rsidR="00BC3BBB">
        <w:rPr>
          <w:rFonts w:ascii="Arial" w:hAnsi="Arial" w:cs="Arial"/>
          <w:color w:val="212121"/>
          <w:sz w:val="22"/>
          <w:szCs w:val="22"/>
          <w:lang w:eastAsia="en-US"/>
        </w:rPr>
        <w:fldChar w:fldCharType="separate"/>
      </w:r>
      <w:r w:rsidRPr="00F74A96">
        <w:rPr>
          <w:rFonts w:ascii="Arial" w:hAnsi="Arial" w:cs="Arial"/>
          <w:noProof/>
          <w:color w:val="212121"/>
          <w:sz w:val="22"/>
          <w:szCs w:val="22"/>
          <w:lang w:eastAsia="en-US"/>
        </w:rPr>
        <w:t>(125)</w:t>
      </w:r>
      <w:r w:rsidR="00BC3BBB">
        <w:rPr>
          <w:rFonts w:ascii="Arial" w:hAnsi="Arial" w:cs="Arial"/>
          <w:color w:val="212121"/>
          <w:sz w:val="22"/>
          <w:szCs w:val="22"/>
          <w:lang w:eastAsia="en-US"/>
        </w:rPr>
        <w:fldChar w:fldCharType="end"/>
      </w:r>
      <w:r>
        <w:rPr>
          <w:rFonts w:ascii="Arial" w:hAnsi="Arial" w:cs="Arial"/>
          <w:color w:val="212121"/>
          <w:sz w:val="22"/>
          <w:szCs w:val="22"/>
          <w:lang w:eastAsia="en-US"/>
        </w:rPr>
        <w:t>.</w:t>
      </w:r>
      <w:r w:rsidRPr="00453BDF">
        <w:rPr>
          <w:rFonts w:ascii="Arial" w:hAnsi="Arial" w:cs="Arial"/>
          <w:color w:val="4F81BD" w:themeColor="accent1"/>
          <w:sz w:val="22"/>
          <w:szCs w:val="22"/>
        </w:rPr>
        <w:t xml:space="preserve"> </w:t>
      </w:r>
      <w:r w:rsidRPr="00453BDF">
        <w:rPr>
          <w:rFonts w:ascii="Arial" w:hAnsi="Arial" w:cs="Arial"/>
          <w:color w:val="212121"/>
          <w:sz w:val="22"/>
          <w:szCs w:val="22"/>
          <w:shd w:val="clear" w:color="auto" w:fill="FFFFFF"/>
        </w:rPr>
        <w:t xml:space="preserve">Dikkat eksikliği ve yürütücü işlev kusuru semptomlarının hiperaktivite veya komorbid yıkıcı davranış semptomlarına kıyasla akademik işlevsellikteki bozulmalarda daha büyük bir rol </w:t>
      </w:r>
      <w:r>
        <w:rPr>
          <w:rFonts w:ascii="Arial" w:hAnsi="Arial" w:cs="Arial"/>
          <w:color w:val="212121"/>
          <w:sz w:val="22"/>
          <w:szCs w:val="22"/>
          <w:shd w:val="clear" w:color="auto" w:fill="FFFFFF"/>
        </w:rPr>
        <w:t xml:space="preserve">oynadığı düşünülmektedir </w:t>
      </w:r>
      <w:r w:rsidR="00BC3BBB">
        <w:rPr>
          <w:rFonts w:ascii="Arial" w:hAnsi="Arial" w:cs="Arial"/>
          <w:color w:val="212121"/>
          <w:sz w:val="22"/>
          <w:szCs w:val="22"/>
          <w:shd w:val="clear" w:color="auto" w:fill="FFFFFF"/>
        </w:rPr>
        <w:fldChar w:fldCharType="begin" w:fldLock="1"/>
      </w:r>
      <w:r>
        <w:rPr>
          <w:rFonts w:ascii="Arial" w:hAnsi="Arial" w:cs="Arial"/>
          <w:color w:val="212121"/>
          <w:sz w:val="22"/>
          <w:szCs w:val="22"/>
          <w:shd w:val="clear" w:color="auto" w:fill="FFFFFF"/>
        </w:rPr>
        <w:instrText>ADDIN CSL_CITATION { "citationItems" : [ { "id" : "ITEM-1", "itemData" : { "author" : [ { "dropping-particle" : "", "family" : "Birchwood\u2020", "given" : "D. Daley*\u2020 and J.", "non-dropping-particle" : "", "parse-names" : false, "suffix" : "" } ], "container-title" : "Child: care, health and development Review Article", "id" : "ITEM-1", "issue" : "2010 Blackwell Publishing Ltd", "issued" : { "date-parts" : [ [ "2010" ] ] }, "page" : "1365-2214", "title" : "ADHD and academic performance: why does ADHD impact on academic performance and what can be done to support ADHD children in the classroom?", "type" : "article-journal", "volume" : "doi:10.111" }, "uris" : [ "http://www.mendeley.com/documents/?uuid=2aef0fbd-ef7f-487a-b583-35d51ffa1b89" ] } ], "mendeley" : { "formattedCitation" : "(126)", "plainTextFormattedCitation" : "(126)", "previouslyFormattedCitation" : "(126)" }, "properties" : { "noteIndex" : 14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Pr="00F74A96">
        <w:rPr>
          <w:rFonts w:ascii="Arial" w:hAnsi="Arial" w:cs="Arial"/>
          <w:noProof/>
          <w:color w:val="212121"/>
          <w:sz w:val="22"/>
          <w:szCs w:val="22"/>
          <w:shd w:val="clear" w:color="auto" w:fill="FFFFFF"/>
        </w:rPr>
        <w:t>(126)</w:t>
      </w:r>
      <w:r w:rsidR="00BC3BBB">
        <w:rPr>
          <w:rFonts w:ascii="Arial" w:hAnsi="Arial" w:cs="Arial"/>
          <w:color w:val="212121"/>
          <w:sz w:val="22"/>
          <w:szCs w:val="22"/>
          <w:shd w:val="clear" w:color="auto" w:fill="FFFFFF"/>
        </w:rPr>
        <w:fldChar w:fldCharType="end"/>
      </w:r>
      <w:r w:rsidRPr="00453BDF">
        <w:rPr>
          <w:rFonts w:ascii="Arial" w:hAnsi="Arial" w:cs="Arial"/>
          <w:color w:val="212121"/>
          <w:sz w:val="22"/>
          <w:szCs w:val="22"/>
          <w:shd w:val="clear" w:color="auto" w:fill="FFFFFF"/>
        </w:rPr>
        <w:t>.</w:t>
      </w:r>
      <w:r w:rsidRPr="00453BDF">
        <w:rPr>
          <w:rFonts w:ascii="Arial" w:hAnsi="Arial" w:cs="Arial"/>
          <w:sz w:val="22"/>
          <w:szCs w:val="22"/>
        </w:rPr>
        <w:t xml:space="preserve"> </w:t>
      </w:r>
      <w:r w:rsidRPr="00453BDF">
        <w:rPr>
          <w:rFonts w:ascii="Arial" w:hAnsi="Arial" w:cs="Arial"/>
          <w:sz w:val="22"/>
          <w:szCs w:val="22"/>
          <w:shd w:val="clear" w:color="auto" w:fill="FFFFFF"/>
        </w:rPr>
        <w:t>DEHB’li çocukların uzman akademik desteğine ihtiyaç duyma, okul yılı tekrarlama veya okuldan erken ayrılma olasılıkları daha yüksektir</w:t>
      </w:r>
      <w:r>
        <w:rPr>
          <w:rFonts w:ascii="Arial" w:hAnsi="Arial" w:cs="Arial"/>
          <w:sz w:val="22"/>
          <w:szCs w:val="22"/>
          <w:shd w:val="clear" w:color="auto" w:fill="FFFFFF"/>
        </w:rPr>
        <w:t xml:space="preserve">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"author" : [ { "dropping-particle" : "", "family" : "Barkley", "given" : "Russell A", "non-dropping-particle" : "", "parse-names" : false, "suffix" : "" }, { "dropping-particle" : "", "family" : "Fischer", "given" : "Mariellen", "non-dropping-particle" : "", "parse-names" : false, "suffix" : "" }, { "dropping-particle" : "", "family" : "Smallish", "given" : "Lori", "non-dropping-particle" : "", "parse-names" : false, "suffix" : "" }, { "dropping-particle" : "", "family" : "Fletcher", "given" : "Kenneth", "non-dropping-particle" : "", "parse-names" : false, "suffix" : "" } ], "container-title" : "Journal of the American Academy of Child and Adolescent Psychiatry", "id" : "ITEM-1", "issue" : "2", "issued" : { "date-parts" : [ [ "0" ] ] }, "page" : "192-202", "title" : "Young Adult Outcome of Hyperactive Children: Adaptive Functioning in Major Life Activities", "type" : "article-journal", "volume" : "45" }, "uris" : [ "http://www.mendeley.com/documents/?uuid=0cbb0f9c-c94e-4e0d-958d-c0bfb4a0ca46" ] } ], "mendeley" : { "formattedCitation" : "(127)", "plainTextFormattedCitation" : "(127)", "previouslyFormattedCitation" : "(127)" }, "properties" : { "noteIndex" : 14 }, "schema" : "https://github.com/citation-style-language/schema/raw/master/csl-citation.json" }</w:instrText>
      </w:r>
      <w:r w:rsidR="00BC3BBB">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(127)</w:t>
      </w:r>
      <w:r w:rsidR="00BC3BBB">
        <w:rPr>
          <w:rFonts w:ascii="Arial" w:hAnsi="Arial" w:cs="Arial"/>
          <w:sz w:val="22"/>
          <w:szCs w:val="22"/>
          <w:shd w:val="clear" w:color="auto" w:fill="FFFFFF"/>
        </w:rPr>
        <w:fldChar w:fldCharType="end"/>
      </w:r>
      <w:r w:rsidRPr="00453BDF">
        <w:rPr>
          <w:rFonts w:ascii="Arial" w:hAnsi="Arial" w:cs="Arial"/>
          <w:sz w:val="22"/>
          <w:szCs w:val="22"/>
          <w:shd w:val="clear" w:color="auto" w:fill="FFFFFF"/>
        </w:rPr>
        <w:t xml:space="preserve"> </w:t>
      </w:r>
      <w:r w:rsidRPr="00453BDF">
        <w:rPr>
          <w:rFonts w:ascii="Arial" w:hAnsi="Arial" w:cs="Arial"/>
          <w:color w:val="212121"/>
          <w:sz w:val="22"/>
          <w:szCs w:val="22"/>
          <w:shd w:val="clear" w:color="auto" w:fill="FFFFFF"/>
        </w:rPr>
        <w:t xml:space="preserve">Bu nedenle, DEHB’li çocuklarda en iyi uzun vadeli sonuçları sağlamak için yapılan müdahalelerin akademik işlevselliği hedef alması çok önemlidir </w:t>
      </w:r>
      <w:r w:rsidR="00BC3BBB">
        <w:rPr>
          <w:rFonts w:ascii="Arial" w:hAnsi="Arial" w:cs="Arial"/>
          <w:color w:val="212121"/>
          <w:sz w:val="22"/>
          <w:szCs w:val="22"/>
          <w:shd w:val="clear" w:color="auto" w:fill="FFFFFF"/>
        </w:rPr>
        <w:fldChar w:fldCharType="begin" w:fldLock="1"/>
      </w:r>
      <w:r>
        <w:rPr>
          <w:rFonts w:ascii="Arial" w:hAnsi="Arial" w:cs="Arial"/>
          <w:color w:val="212121"/>
          <w:sz w:val="22"/>
          <w:szCs w:val="22"/>
          <w:shd w:val="clear" w:color="auto" w:fill="FFFFFF"/>
        </w:rPr>
        <w:instrText>ADDIN CSL_CITATION { "citationItems" : [ { "id" : "ITEM-1", "itemData" : { "DOI" : "10.1111/cch.12139", "ISBN" : "0305-1862", "ISSN" : "03051862", "abstract" : "Attention-deficit hyperactivity disorder ( ADHD) is a complex disorder that can affect individuals across the lifespan. It is associated with substantial heterogeneity in terms of aetiology, clinical presentation and treatment outcome and is the subject of extensive research. Because of this, it can be difficult for clinicians to stay up to date with the most relevant findings and know how best to respond to parents' questions and concerns about the disorder and interventions. This is a narrative review that aims to summarize key findings from recent research into ADHD and its treatment that clinicians can share with families in order to increase their knowledge about ADHD and intervention options. ADHD develops as a result of complex interplay between interdependent genetic and non-genetic factors. The disorder is associated with substantial impairments in functioning and poor long-term outcomes. Pharmacological and non-pharmacological treatment options are available for symptom management and to improve function, but functioning outcomes often fail to normalize in children with ADHD. Despite extensive advances in understanding this complex disorder, it is clear that there is still a long way to go. In particular, we address the need for future non-pharmacological interventions to be more specifically targeted for ADHD symptoms and its commonly associated functioning deficits in order to ensure the best long-term outcomes for children with ADHD. [ABSTRACT FROM AUTHOR]", "author" : [ { "dropping-particle" : "", "family" : "Tarver", "given" : "J", "non-dropping-particle" : "", "parse-names" : false, "suffix" : "" }, { "dropping-particle" : "", "family" : "Daley", "given" : "D", "non-dropping-particle" : "", "parse-names" : false, "suffix" : "" }, { "dropping-particle" : "", "family" : "Sayal", "given" : "K", "non-dropping-particle" : "", "parse-names" : false, "suffix" : "" } ], "container-title" : "Child: Care, Health &amp; Development", "id" : "ITEM-1", "issue" : "6", "issued" : { "date-parts" : [ [ "2014" ] ] }, "page" : "762-774", "title" : "Attention-deficit hyperactivity disorder ( ADHD): an updated review of the essential facts.", "type" : "article-journal", "volume" : "40" }, "uris" : [ "http://www.mendeley.com/documents/?uuid=a435d2a9-aedb-4690-8342-390436c404f0" ] } ], "mendeley" : { "formattedCitation" : "(68)", "plainTextFormattedCitation" : "(68)", "previouslyFormattedCitation" : "(68)" }, "properties" : { "noteIndex" : 14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Pr="00F74A96">
        <w:rPr>
          <w:rFonts w:ascii="Arial" w:hAnsi="Arial" w:cs="Arial"/>
          <w:noProof/>
          <w:color w:val="212121"/>
          <w:sz w:val="22"/>
          <w:szCs w:val="22"/>
          <w:shd w:val="clear" w:color="auto" w:fill="FFFFFF"/>
        </w:rPr>
        <w:t>(68)</w:t>
      </w:r>
      <w:r w:rsidR="00BC3BBB">
        <w:rPr>
          <w:rFonts w:ascii="Arial" w:hAnsi="Arial" w:cs="Arial"/>
          <w:color w:val="212121"/>
          <w:sz w:val="22"/>
          <w:szCs w:val="22"/>
          <w:shd w:val="clear" w:color="auto" w:fill="FFFFFF"/>
        </w:rPr>
        <w:fldChar w:fldCharType="end"/>
      </w:r>
      <w:r>
        <w:rPr>
          <w:rFonts w:ascii="Arial" w:hAnsi="Arial" w:cs="Arial"/>
          <w:color w:val="212121"/>
          <w:sz w:val="22"/>
          <w:szCs w:val="22"/>
          <w:shd w:val="clear" w:color="auto" w:fill="FFFFFF"/>
        </w:rPr>
        <w:t>.</w:t>
      </w:r>
    </w:p>
    <w:p w:rsidR="00C60153" w:rsidRPr="00EC4DCF" w:rsidRDefault="00EC4DCF" w:rsidP="00EC4DCF">
      <w:pPr>
        <w:pStyle w:val="HTMLncedenBiimlendirilmi"/>
        <w:shd w:val="clear" w:color="auto" w:fill="FFFFFF"/>
        <w:spacing w:line="360" w:lineRule="auto"/>
        <w:jc w:val="both"/>
        <w:rPr>
          <w:rFonts w:ascii="Arial" w:hAnsi="Arial" w:cs="Arial"/>
          <w:color w:val="E36C0A" w:themeColor="accent6" w:themeShade="BF"/>
          <w:sz w:val="22"/>
          <w:szCs w:val="22"/>
        </w:rPr>
      </w:pPr>
      <w:r>
        <w:rPr>
          <w:rFonts w:ascii="Arial" w:hAnsi="Arial" w:cs="Arial"/>
          <w:b/>
          <w:color w:val="212121"/>
          <w:sz w:val="22"/>
          <w:szCs w:val="22"/>
          <w:shd w:val="clear" w:color="auto" w:fill="FFFFFF"/>
        </w:rPr>
        <w:tab/>
      </w:r>
      <w:r w:rsidR="00C60153" w:rsidRPr="00453BDF">
        <w:rPr>
          <w:rFonts w:ascii="Arial" w:hAnsi="Arial" w:cs="Arial"/>
          <w:b/>
          <w:color w:val="212121"/>
          <w:sz w:val="22"/>
          <w:szCs w:val="22"/>
          <w:shd w:val="clear" w:color="auto" w:fill="FFFFFF"/>
        </w:rPr>
        <w:t>Yıkıcı Davranış Bozuklukları</w:t>
      </w:r>
    </w:p>
    <w:p w:rsidR="00C60153" w:rsidRPr="00453BDF" w:rsidRDefault="00C60153" w:rsidP="00C60153">
      <w:pPr>
        <w:pStyle w:val="HTMLncedenBiimlendirilmi"/>
        <w:shd w:val="clear" w:color="auto" w:fill="FFFFFF"/>
        <w:spacing w:line="360" w:lineRule="auto"/>
        <w:jc w:val="both"/>
        <w:rPr>
          <w:rFonts w:ascii="Arial" w:hAnsi="Arial" w:cs="Arial"/>
          <w:color w:val="4F81BD" w:themeColor="accent1"/>
          <w:sz w:val="22"/>
          <w:szCs w:val="22"/>
        </w:rPr>
      </w:pPr>
      <w:r w:rsidRPr="00453BDF">
        <w:rPr>
          <w:rFonts w:ascii="Arial" w:hAnsi="Arial" w:cs="Arial"/>
          <w:color w:val="4F81BD" w:themeColor="accent1"/>
          <w:sz w:val="22"/>
          <w:szCs w:val="22"/>
        </w:rPr>
        <w:tab/>
      </w:r>
      <w:r w:rsidRPr="00453BDF">
        <w:rPr>
          <w:rFonts w:ascii="Arial" w:hAnsi="Arial" w:cs="Arial"/>
          <w:color w:val="000000" w:themeColor="text1"/>
          <w:sz w:val="22"/>
          <w:szCs w:val="22"/>
        </w:rPr>
        <w:t>DEHB sıklıkla “</w:t>
      </w:r>
      <w:r w:rsidRPr="00453BDF">
        <w:rPr>
          <w:rFonts w:ascii="Arial" w:hAnsi="Arial" w:cs="Arial"/>
          <w:i/>
          <w:color w:val="000000" w:themeColor="text1"/>
          <w:sz w:val="22"/>
          <w:szCs w:val="22"/>
        </w:rPr>
        <w:t>Karşıt Olma, Karşı Gelme Bozukluğu”</w:t>
      </w:r>
      <w:r w:rsidRPr="00453BDF">
        <w:rPr>
          <w:rFonts w:ascii="Arial" w:hAnsi="Arial" w:cs="Arial"/>
          <w:color w:val="000000" w:themeColor="text1"/>
          <w:sz w:val="22"/>
          <w:szCs w:val="22"/>
        </w:rPr>
        <w:t xml:space="preserve"> </w:t>
      </w:r>
      <w:r w:rsidRPr="00A64070">
        <w:rPr>
          <w:rFonts w:ascii="Arial" w:hAnsi="Arial" w:cs="Arial"/>
          <w:sz w:val="22"/>
          <w:szCs w:val="22"/>
        </w:rPr>
        <w:t>(KOKB</w:t>
      </w:r>
      <w:r w:rsidRPr="00453BDF">
        <w:rPr>
          <w:rFonts w:ascii="Arial" w:hAnsi="Arial" w:cs="Arial"/>
          <w:color w:val="000000" w:themeColor="text1"/>
          <w:sz w:val="22"/>
          <w:szCs w:val="22"/>
        </w:rPr>
        <w:t>) ve “</w:t>
      </w:r>
      <w:r w:rsidRPr="00453BDF">
        <w:rPr>
          <w:rFonts w:ascii="Arial" w:hAnsi="Arial" w:cs="Arial"/>
          <w:i/>
          <w:color w:val="000000" w:themeColor="text1"/>
          <w:sz w:val="22"/>
          <w:szCs w:val="22"/>
        </w:rPr>
        <w:t>Davranış Bozukluğu”</w:t>
      </w:r>
      <w:r w:rsidRPr="00453BDF">
        <w:rPr>
          <w:rFonts w:ascii="Arial" w:hAnsi="Arial" w:cs="Arial"/>
          <w:color w:val="000000" w:themeColor="text1"/>
          <w:sz w:val="22"/>
          <w:szCs w:val="22"/>
        </w:rPr>
        <w:t xml:space="preserve"> (</w:t>
      </w:r>
      <w:r w:rsidRPr="00A64070">
        <w:rPr>
          <w:rFonts w:ascii="Arial" w:hAnsi="Arial" w:cs="Arial"/>
          <w:sz w:val="22"/>
          <w:szCs w:val="22"/>
        </w:rPr>
        <w:t>DB</w:t>
      </w:r>
      <w:r w:rsidRPr="00453BDF">
        <w:rPr>
          <w:rFonts w:ascii="Arial" w:hAnsi="Arial" w:cs="Arial"/>
          <w:color w:val="000000" w:themeColor="text1"/>
          <w:sz w:val="22"/>
          <w:szCs w:val="22"/>
        </w:rPr>
        <w:t>) gibi yıkıcı davranış bozukluklarıyla birlikte görülür. Çocukların% 50'sine DB veya KOKB eşlik ettiği belirtilmiştir</w:t>
      </w:r>
      <w:r>
        <w:rPr>
          <w:rFonts w:ascii="Arial" w:hAnsi="Arial" w:cs="Arial"/>
          <w:color w:val="000000" w:themeColor="text1"/>
          <w:sz w:val="22"/>
          <w:szCs w:val="22"/>
        </w:rPr>
        <w:t xml:space="preserve"> </w:t>
      </w:r>
      <w:r w:rsidR="00BC3BBB">
        <w:rPr>
          <w:rFonts w:ascii="Arial" w:hAnsi="Arial" w:cs="Arial"/>
          <w:color w:val="000000" w:themeColor="text1"/>
          <w:sz w:val="22"/>
          <w:szCs w:val="22"/>
        </w:rPr>
        <w:fldChar w:fldCharType="begin" w:fldLock="1"/>
      </w:r>
      <w:r w:rsidR="0037573A">
        <w:rPr>
          <w:rFonts w:ascii="Arial" w:hAnsi="Arial" w:cs="Arial"/>
          <w:color w:val="000000" w:themeColor="text1"/>
          <w:sz w:val="22"/>
          <w:szCs w:val="22"/>
        </w:rPr>
        <w:instrText>ADDIN CSL_CITATION { "citationItems" : [ { "id" : "ITEM-1", "itemData" : { "author" : [ { "dropping-particle" : "", "family" : "Biederman", "given" : "J", "non-dropping-particle" : "", "parse-names" : false, "suffix" : "" }, { "dropping-particle" : "", "family" : "Newcorn", "given" : "J", "non-dropping-particle" : "", "parse-names" : false, "suffix" : "" }, { "dropping-particle" : "", "family" : "Sprich", "given" : "S", "non-dropping-particle" : "", "parse-names" : false, "suffix" : "" } ], "container-title" : "Am J Psychiatry", "id" : "ITEM-1", "issued" : { "date-parts" : [ [ "1991" ] ] }, "title" : "Comorbidity of Attention Deficit Hyperactivity Disorder", "type" : "article-journal" }, "uris" : [ "http://www.mendeley.com/documents/?uuid=8eb5629c-5783-4592-8b67-2bc308a11bf9" ] }, { "id" : "ITEM-2", "itemData" : { "DOI" : "10.1177/108705470200600102", "ISBN" : "1087054702", "ISSN" : "1087-0547", "PMID" : "12045756", "abstract" : "Determined if there are differences in the clinical expression and correlates of Attention-Deficit/Hyperactivity Disorder (ADHD) between children and adolescents. Subjects were 811 boys and girls aged 6-17 yrs with ADHD, and 132 gender- and age-matched controls. Blind raters, using DSM-III-R structured diagnostic interviews and psychometric measures, assessed psychiatric diagnoses, intellectual performance, social disability, and school failure. Children and adolescents with ADHD had very similar patterns of outcome in multiple domains of assessment, including comorbidity with conduct, mood and anxiety disorders, and school functioning. There was some evidence that the rate of ODD was greater in adolescents compared to children, and that this difference was greater in the control sample. These findings document the diagnostic continuity of ADHD between childhood and adolescence and support the inclusion of adolescent samples in ADHD research protocols. (PsycINFO Database Record (c) 2003 APA, all rights reserved)", "author" : [ { "dropping-particle" : "", "family" : "Faraone", "given" : "S", "non-dropping-particle" : "", "parse-names" : false, "suffix" : "" }, { "dropping-particle" : "", "family" : "Biederman", "given" : "J", "non-dropping-particle" : "", "parse-names" : false, "suffix" : "" }, { "dropping-particle" : "", "family" : "Monuteaux", "given" : "M C", "non-dropping-particle" : "", "parse-names" : false, "suffix" : "" } ], "container-title" : "Journal of Attention Disorders", "id" : "ITEM-2", "issue" : "1", "issued" : { "date-parts" : [ [ "2002" ] ] }, "page" : "5-13", "title" : "Further evidence for the diagnostic continuity between child and adolescent ADHD", "type" : "article-journal", "volume" : "6" }, "uris" : [ "http://www.mendeley.com/documents/?uuid=bfe4bd64-6387-4891-b681-fbc796eab494" ] } ], "mendeley" : { "formattedCitation" : "(128, 129)", "plainTextFormattedCitation" : "(128, 129)", "previouslyFormattedCitation" : "(128, 129)" }, "properties" : { "noteIndex" : 14 }, "schema" : "https://github.com/citation-style-language/schema/raw/master/csl-citation.json" }</w:instrText>
      </w:r>
      <w:r w:rsidR="00BC3BBB">
        <w:rPr>
          <w:rFonts w:ascii="Arial" w:hAnsi="Arial" w:cs="Arial"/>
          <w:color w:val="000000" w:themeColor="text1"/>
          <w:sz w:val="22"/>
          <w:szCs w:val="22"/>
        </w:rPr>
        <w:fldChar w:fldCharType="separate"/>
      </w:r>
      <w:r w:rsidR="00BF1F00" w:rsidRPr="00BF1F00">
        <w:rPr>
          <w:rFonts w:ascii="Arial" w:hAnsi="Arial" w:cs="Arial"/>
          <w:noProof/>
          <w:color w:val="000000" w:themeColor="text1"/>
          <w:sz w:val="22"/>
          <w:szCs w:val="22"/>
        </w:rPr>
        <w:t>(128, 129)</w:t>
      </w:r>
      <w:r w:rsidR="00BC3BBB">
        <w:rPr>
          <w:rFonts w:ascii="Arial" w:hAnsi="Arial" w:cs="Arial"/>
          <w:color w:val="000000" w:themeColor="text1"/>
          <w:sz w:val="22"/>
          <w:szCs w:val="22"/>
        </w:rPr>
        <w:fldChar w:fldCharType="end"/>
      </w:r>
      <w:r w:rsidRPr="00453BDF">
        <w:rPr>
          <w:rFonts w:ascii="Arial" w:hAnsi="Arial" w:cs="Arial"/>
          <w:color w:val="000000" w:themeColor="text1"/>
          <w:sz w:val="22"/>
          <w:szCs w:val="22"/>
        </w:rPr>
        <w:t>.</w:t>
      </w:r>
      <w:r w:rsidRPr="00453BDF">
        <w:rPr>
          <w:rFonts w:ascii="Arial" w:hAnsi="Arial" w:cs="Arial"/>
          <w:color w:val="1F497D" w:themeColor="text2"/>
          <w:sz w:val="22"/>
          <w:szCs w:val="22"/>
        </w:rPr>
        <w:t xml:space="preserve"> </w:t>
      </w:r>
      <w:r w:rsidRPr="00453BDF">
        <w:rPr>
          <w:rFonts w:ascii="Arial" w:hAnsi="Arial" w:cs="Arial"/>
          <w:sz w:val="22"/>
          <w:szCs w:val="22"/>
        </w:rPr>
        <w:t xml:space="preserve">Eşlik eden davranışsal bozukluklarla ilişkili uzun dönem olumsuz sonuçlar göz önüne alındığında </w:t>
      </w:r>
      <w:r w:rsidRPr="00453BDF">
        <w:rPr>
          <w:rFonts w:ascii="Arial" w:hAnsi="Arial" w:cs="Arial"/>
          <w:sz w:val="22"/>
          <w:szCs w:val="22"/>
        </w:rPr>
        <w:lastRenderedPageBreak/>
        <w:t>hiperaktivite ve yıkıcı davranışların erken belirtilerini gösteren çocuklarda erken müdahalenin kritik önemi olduğu ifade edilmiştir</w:t>
      </w:r>
      <w:r>
        <w:rPr>
          <w:rFonts w:ascii="Arial" w:hAnsi="Arial" w:cs="Arial"/>
          <w:sz w:val="22"/>
          <w:szCs w:val="22"/>
        </w:rPr>
        <w:t xml:space="preserve"> </w:t>
      </w:r>
      <w:r w:rsidR="00BC3BBB">
        <w:rPr>
          <w:rFonts w:ascii="Arial" w:hAnsi="Arial" w:cs="Arial"/>
          <w:sz w:val="22"/>
          <w:szCs w:val="22"/>
        </w:rPr>
        <w:fldChar w:fldCharType="begin" w:fldLock="1"/>
      </w:r>
      <w:r>
        <w:rPr>
          <w:rFonts w:ascii="Arial" w:hAnsi="Arial" w:cs="Arial"/>
          <w:sz w:val="22"/>
          <w:szCs w:val="22"/>
        </w:rPr>
        <w:instrText>ADDIN CSL_CITATION { "citationItems" : [ { "id" : "ITEM-1", "itemData" : { "DOI" : "10.1097/DBP.0b013e3181e121bd", "ISBN" : "1536-7312 (Electronic)\\r0196-206X (Linking)", "ISSN" : "1536-7312", "PMID" : "20535081", "abstract" : "BACKGROUND Attention-deficit/hyperactivity disorder (ADHD) is a highly prevalent disorder with significant functional impairment. ADHD is frequently complicated by oppositional symptoms, which are difficult to separate from comorbidity with oppositional defiant disorder, conduct disorder, and aggressive symptoms. This review addresses the impact of oppositional symptoms on ADHD, disease course, functional impairment, clinical management, and treatment response. REVIEW OF CLINICAL EVIDENCE Oppositional defiant disorder or conduct disorder may be comorbid in more than half of ADHD cases and are more common with the combined than with the inattentive ADHD subtype. Comorbid symptoms of oppositional defiant disorder and conduct disorder in patients with ADHD can have a significant impact on the course and prognosis for these patients and may lead to differential treatment response to both behavioral and pharmacologic treatments. IMPACT ON CLINICAL MANAGEMENT Assessment of oppositional symptoms is an essential part of ADHD screening and diagnosis and should include parental, as well as educator, input. Although clinical evidence remains limited, some stimulant and nonstimulant medications have shown effectiveness in treating both core ADHD symptoms and oppositional symptoms. CONCLUSIONS Oppositional symptoms are a key consideration in ADHD management, although the optimum approach to treating ADHD complicated by such symptoms remains unclear. Future research should focus on the efficacy and safety of various behavioral and medication regimens, as well as longitudinal studies to further clarify the relationships between ADHD, oppositional defiant disorder, and conduct disorder.", "author" : [ { "dropping-particle" : "", "family" : "Connor", "given" : "Daniel F", "non-dropping-particle" : "", "parse-names" : false, "suffix" : "" }, { "dropping-particle" : "", "family" : "Steeber", "given" : "Jennifer", "non-dropping-particle" : "", "parse-names" : false, "suffix" : "" }, { "dropping-particle" : "", "family" : "McBurnett", "given" : "Keith", "non-dropping-particle" : "", "parse-names" : false, "suffix" : "" } ], "container-title" : "Journal of developmental and behavioral pediatrics : JDBP", "id" : "ITEM-1", "issue" : "5", "issued" : { "date-parts" : [ [ "2010" ] ] }, "page" : "427-40", "title" : "A review of attention-deficit/hyperactivity disorder complicated by symptoms of oppositional defiant disorder or conduct disorder.", "type" : "article-journal", "volume" : "31" }, "uris" : [ "http://www.mendeley.com/documents/?uuid=e7b9bb34-9706-4acb-ad2e-311e6e069044" ] } ], "mendeley" : { "formattedCitation" : "(130)", "plainTextFormattedCitation" : "(130)", "previouslyFormattedCitation" : "(130)" }, "properties" : { "noteIndex" : 14 }, "schema" : "https://github.com/citation-style-language/schema/raw/master/csl-citation.json" }</w:instrText>
      </w:r>
      <w:r w:rsidR="00BC3BBB">
        <w:rPr>
          <w:rFonts w:ascii="Arial" w:hAnsi="Arial" w:cs="Arial"/>
          <w:sz w:val="22"/>
          <w:szCs w:val="22"/>
        </w:rPr>
        <w:fldChar w:fldCharType="separate"/>
      </w:r>
      <w:r w:rsidRPr="00F74A96">
        <w:rPr>
          <w:rFonts w:ascii="Arial" w:hAnsi="Arial" w:cs="Arial"/>
          <w:noProof/>
          <w:sz w:val="22"/>
          <w:szCs w:val="22"/>
        </w:rPr>
        <w:t>(130)</w:t>
      </w:r>
      <w:r w:rsidR="00BC3BBB">
        <w:rPr>
          <w:rFonts w:ascii="Arial" w:hAnsi="Arial" w:cs="Arial"/>
          <w:sz w:val="22"/>
          <w:szCs w:val="22"/>
        </w:rPr>
        <w:fldChar w:fldCharType="end"/>
      </w:r>
      <w:r w:rsidRPr="00453BDF">
        <w:rPr>
          <w:rFonts w:ascii="Arial" w:hAnsi="Arial" w:cs="Arial"/>
          <w:sz w:val="22"/>
          <w:szCs w:val="22"/>
        </w:rPr>
        <w:t>.</w:t>
      </w:r>
      <w:r w:rsidRPr="00453BDF">
        <w:rPr>
          <w:rFonts w:ascii="Arial" w:hAnsi="Arial" w:cs="Arial"/>
          <w:color w:val="1F497D" w:themeColor="text2"/>
          <w:sz w:val="22"/>
          <w:szCs w:val="22"/>
        </w:rPr>
        <w:t xml:space="preserve"> </w:t>
      </w:r>
      <w:r>
        <w:rPr>
          <w:rFonts w:ascii="Arial" w:hAnsi="Arial" w:cs="Arial"/>
          <w:sz w:val="22"/>
          <w:szCs w:val="22"/>
          <w:shd w:val="clear" w:color="auto" w:fill="FFFFFF"/>
        </w:rPr>
        <w:t>Ayrıca</w:t>
      </w:r>
      <w:r w:rsidRPr="00453BDF">
        <w:rPr>
          <w:rFonts w:ascii="Arial" w:hAnsi="Arial" w:cs="Arial"/>
          <w:sz w:val="22"/>
          <w:szCs w:val="22"/>
          <w:shd w:val="clear" w:color="auto" w:fill="FFFFFF"/>
        </w:rPr>
        <w:t xml:space="preserve"> kanıtlar DEHB tanılı davranış problemleri olan çocukların tedaviye daha dirençli olma eğilimi olduğunu göstermektedir</w:t>
      </w:r>
      <w:r>
        <w:rPr>
          <w:rFonts w:ascii="Arial" w:hAnsi="Arial" w:cs="Arial"/>
          <w:sz w:val="22"/>
          <w:szCs w:val="22"/>
          <w:shd w:val="clear" w:color="auto" w:fill="FFFFFF"/>
        </w:rPr>
        <w:t xml:space="preserve">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"DOI" : "10.1016/j.micinf.2011.07.011.Innate", "ISBN" : "6176321972", "ISSN" : "1878-5832", "PMID" : "21959306", "abstract" : "The purpose of this review is to discuss issues in the prevention of serious conduct problems among children and adolescents with Attention Deficit/Hyperactivity Disorder (ADHD). We begin by reviewing research on the common genetic and environmental etiological factors, developmental trajectories, characteristics, and impairments associated with ADHD and comorbid Oppositional Defiant and Conduct Disorders. Next, we present empirically-based models for intervention with children and adolescents with ADHD that are at risk of developing serious conduct problems and detail the evidence supporting these models. Researchers have demonstrated the utility of medication and psychosocial intervention approaches to treat youth with these problems, but current evidence appears to support the superiority of multi-modal treatments that include both approaches. Future directions for researchers are discussed.", "author" : [ { "dropping-particle" : "", "family" : "Miguel T. Villodas, Linda J. Pfiffner", "given" : "Keith McBurnett", "non-dropping-particle" : "", "parse-names" : false, "suffix" : "" } ], "container-title" : "Narional Institute of Health", "id" : "ITEM-1", "issue" : "10", "issued" : { "date-parts" : [ [ "2012" ] ] }, "page" : "1253/1263", "title" : "Prevention of Serious Conduct Problems in Youth with Attention Deficit/Hyperactivity Disorde", "type" : "article-journal", "volume" : "12" }, "uris" : [ "http://www.mendeley.com/documents/?uuid=3b2b9dff-4361-4dec-9f41-ab80cd03df00" ] } ], "mendeley" : { "formattedCitation" : "(131)", "plainTextFormattedCitation" : "(131)", "previouslyFormattedCitation" : "(131)" }, "properties" : { "noteIndex" : 14 }, "schema" : "https://github.com/citation-style-language/schema/raw/master/csl-citation.json" }</w:instrText>
      </w:r>
      <w:r w:rsidR="00BC3BBB">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(131)</w:t>
      </w:r>
      <w:r w:rsidR="00BC3BBB">
        <w:rPr>
          <w:rFonts w:ascii="Arial" w:hAnsi="Arial" w:cs="Arial"/>
          <w:sz w:val="22"/>
          <w:szCs w:val="22"/>
          <w:shd w:val="clear" w:color="auto" w:fill="FFFFFF"/>
        </w:rPr>
        <w:fldChar w:fldCharType="end"/>
      </w:r>
      <w:r>
        <w:rPr>
          <w:rFonts w:ascii="Arial" w:hAnsi="Arial" w:cs="Arial"/>
          <w:sz w:val="22"/>
          <w:szCs w:val="22"/>
        </w:rPr>
        <w:t>.</w:t>
      </w:r>
    </w:p>
    <w:p w:rsidR="00C60153" w:rsidRPr="00453BDF" w:rsidRDefault="00C60153" w:rsidP="00C60153">
      <w:pPr>
        <w:pStyle w:val="HTMLncedenBiimlendirilmi"/>
        <w:shd w:val="clear" w:color="auto" w:fill="FFFFFF"/>
        <w:spacing w:line="360" w:lineRule="auto"/>
        <w:jc w:val="both"/>
        <w:rPr>
          <w:rFonts w:ascii="Arial" w:hAnsi="Arial" w:cs="Arial"/>
          <w:b/>
          <w:color w:val="000000" w:themeColor="text1"/>
          <w:sz w:val="22"/>
          <w:szCs w:val="22"/>
        </w:rPr>
      </w:pPr>
      <w:r w:rsidRPr="00453BDF">
        <w:rPr>
          <w:rFonts w:ascii="Arial" w:hAnsi="Arial" w:cs="Arial"/>
          <w:b/>
          <w:color w:val="000000" w:themeColor="text1"/>
          <w:sz w:val="22"/>
          <w:szCs w:val="22"/>
        </w:rPr>
        <w:tab/>
        <w:t>Duygudurum ve Anksiyete Bozuklukları</w:t>
      </w:r>
    </w:p>
    <w:p w:rsidR="00C60153" w:rsidRPr="00166918" w:rsidRDefault="00C60153" w:rsidP="00C60153">
      <w:pPr>
        <w:pStyle w:val="HTMLncedenBiimlendirilmi"/>
        <w:shd w:val="clear" w:color="auto" w:fill="FFFFFF"/>
        <w:spacing w:line="360" w:lineRule="auto"/>
        <w:jc w:val="both"/>
        <w:rPr>
          <w:rFonts w:ascii="Arial" w:hAnsi="Arial" w:cs="Arial"/>
          <w:color w:val="212121"/>
          <w:sz w:val="22"/>
          <w:szCs w:val="22"/>
          <w:lang w:val="en-US" w:eastAsia="en-US"/>
        </w:rPr>
      </w:pPr>
      <w:r w:rsidRPr="00453BDF">
        <w:rPr>
          <w:rFonts w:ascii="Arial" w:hAnsi="Arial" w:cs="Arial"/>
          <w:b/>
          <w:color w:val="000000" w:themeColor="text1"/>
          <w:sz w:val="22"/>
          <w:szCs w:val="22"/>
        </w:rPr>
        <w:tab/>
      </w:r>
      <w:r w:rsidRPr="00453BDF">
        <w:rPr>
          <w:rFonts w:ascii="Arial" w:hAnsi="Arial" w:cs="Arial"/>
          <w:color w:val="212121"/>
          <w:sz w:val="22"/>
          <w:szCs w:val="22"/>
          <w:lang w:eastAsia="en-US"/>
        </w:rPr>
        <w:t>Duygudurum bozuklukları (örn. major depresif bozukluk, distimi ve bipolar bozukluk) ve anksiyete bozuklukları (örn. ayrılma kaygısı, yaygın anksiyete bozukluğu, panik bozukluk) DEHB olan</w:t>
      </w:r>
      <w:r>
        <w:rPr>
          <w:rFonts w:ascii="Arial" w:hAnsi="Arial" w:cs="Arial"/>
          <w:color w:val="212121"/>
          <w:sz w:val="22"/>
          <w:szCs w:val="22"/>
          <w:lang w:eastAsia="en-US"/>
        </w:rPr>
        <w:t xml:space="preserve"> çocuklarda yaygın olarak görülmektedir </w:t>
      </w:r>
      <w:r w:rsidR="00BC3BBB">
        <w:rPr>
          <w:rFonts w:ascii="Arial" w:hAnsi="Arial" w:cs="Arial"/>
          <w:color w:val="212121"/>
          <w:sz w:val="22"/>
          <w:szCs w:val="22"/>
          <w:lang w:eastAsia="en-US"/>
        </w:rPr>
        <w:fldChar w:fldCharType="begin" w:fldLock="1"/>
      </w:r>
      <w:r>
        <w:rPr>
          <w:rFonts w:ascii="Arial" w:hAnsi="Arial" w:cs="Arial"/>
          <w:color w:val="212121"/>
          <w:sz w:val="22"/>
          <w:szCs w:val="22"/>
          <w:lang w:eastAsia="en-US"/>
        </w:rPr>
        <w:instrText>ADDIN CSL_CITATION { "citationItems" : [ { "id" : "ITEM-1", "itemData" : { "DOI" : "10.1111/cch.12139", "ISBN" : "0305-1862", "ISSN" : "03051862", "abstract" : "Attention-deficit hyperactivity disorder ( ADHD) is a complex disorder that can affect individuals across the lifespan. It is associated with substantial heterogeneity in terms of aetiology, clinical presentation and treatment outcome and is the subject of extensive research. Because of this, it can be difficult for clinicians to stay up to date with the most relevant findings and know how best to respond to parents' questions and concerns about the disorder and interventions. This is a narrative review that aims to summarize key findings from recent research into ADHD and its treatment that clinicians can share with families in order to increase their knowledge about ADHD and intervention options. ADHD develops as a result of complex interplay between interdependent genetic and non-genetic factors. The disorder is associated with substantial impairments in functioning and poor long-term outcomes. Pharmacological and non-pharmacological treatment options are available for symptom management and to improve function, but functioning outcomes often fail to normalize in children with ADHD. Despite extensive advances in understanding this complex disorder, it is clear that there is still a long way to go. In particular, we address the need for future non-pharmacological interventions to be more specifically targeted for ADHD symptoms and its commonly associated functioning deficits in order to ensure the best long-term outcomes for children with ADHD. [ABSTRACT FROM AUTHOR]", "author" : [ { "dropping-particle" : "", "family" : "Tarver", "given" : "J", "non-dropping-particle" : "", "parse-names" : false, "suffix" : "" }, { "dropping-particle" : "", "family" : "Daley", "given" : "D", "non-dropping-particle" : "", "parse-names" : false, "suffix" : "" }, { "dropping-particle" : "", "family" : "Sayal", "given" : "K", "non-dropping-particle" : "", "parse-names" : false, "suffix" : "" } ], "container-title" : "Child: Care, Health &amp; Development", "id" : "ITEM-1", "issue" : "6", "issued" : { "date-parts" : [ [ "2014" ] ] }, "page" : "762-774", "title" : "Attention-deficit hyperactivity disorder ( ADHD): an updated review of the essential facts.", "type" : "article-journal", "volume" : "40" }, "uris" : [ "http://www.mendeley.com/documents/?uuid=a435d2a9-aedb-4690-8342-390436c404f0" ] } ], "mendeley" : { "formattedCitation" : "(68)", "plainTextFormattedCitation" : "(68)", "previouslyFormattedCitation" : "(68)" }, "properties" : { "noteIndex" : 14 }, "schema" : "https://github.com/citation-style-language/schema/raw/master/csl-citation.json" }</w:instrText>
      </w:r>
      <w:r w:rsidR="00BC3BBB">
        <w:rPr>
          <w:rFonts w:ascii="Arial" w:hAnsi="Arial" w:cs="Arial"/>
          <w:color w:val="212121"/>
          <w:sz w:val="22"/>
          <w:szCs w:val="22"/>
          <w:lang w:eastAsia="en-US"/>
        </w:rPr>
        <w:fldChar w:fldCharType="separate"/>
      </w:r>
      <w:r w:rsidRPr="00F74A96">
        <w:rPr>
          <w:rFonts w:ascii="Arial" w:hAnsi="Arial" w:cs="Arial"/>
          <w:noProof/>
          <w:color w:val="212121"/>
          <w:sz w:val="22"/>
          <w:szCs w:val="22"/>
          <w:lang w:eastAsia="en-US"/>
        </w:rPr>
        <w:t>(68)</w:t>
      </w:r>
      <w:r w:rsidR="00BC3BBB">
        <w:rPr>
          <w:rFonts w:ascii="Arial" w:hAnsi="Arial" w:cs="Arial"/>
          <w:color w:val="212121"/>
          <w:sz w:val="22"/>
          <w:szCs w:val="22"/>
          <w:lang w:eastAsia="en-US"/>
        </w:rPr>
        <w:fldChar w:fldCharType="end"/>
      </w:r>
      <w:r w:rsidRPr="00453BDF">
        <w:rPr>
          <w:rFonts w:ascii="Arial" w:hAnsi="Arial" w:cs="Arial"/>
          <w:color w:val="212121"/>
          <w:sz w:val="22"/>
          <w:szCs w:val="22"/>
          <w:lang w:eastAsia="en-US"/>
        </w:rPr>
        <w:t xml:space="preserve">. </w:t>
      </w:r>
      <w:r w:rsidRPr="00453BDF">
        <w:rPr>
          <w:rFonts w:ascii="Arial" w:hAnsi="Arial" w:cs="Arial"/>
          <w:color w:val="000000" w:themeColor="text1"/>
          <w:sz w:val="22"/>
          <w:szCs w:val="22"/>
          <w:shd w:val="clear" w:color="auto" w:fill="FFFFFF"/>
        </w:rPr>
        <w:t>DEHB tanılı 381 okul çağı çocuğunu içeren örneklemin % 50'sinde duygudurum bozukluğu,% 33'ünde anksiyete bozukluğu saptanmıştır</w:t>
      </w:r>
      <w:r w:rsidRPr="00453BDF">
        <w:rPr>
          <w:rFonts w:ascii="Arial" w:hAnsi="Arial" w:cs="Arial"/>
          <w:color w:val="212121"/>
          <w:sz w:val="22"/>
          <w:szCs w:val="22"/>
          <w:shd w:val="clear" w:color="auto" w:fill="FFFFFF"/>
        </w:rPr>
        <w:t xml:space="preserve"> </w:t>
      </w:r>
      <w:r w:rsidR="00BC3BBB">
        <w:rPr>
          <w:rFonts w:ascii="Arial" w:hAnsi="Arial" w:cs="Arial"/>
          <w:color w:val="212121"/>
          <w:sz w:val="22"/>
          <w:szCs w:val="22"/>
          <w:shd w:val="clear" w:color="auto" w:fill="FFFFFF"/>
        </w:rPr>
        <w:fldChar w:fldCharType="begin" w:fldLock="1"/>
      </w:r>
      <w:r>
        <w:rPr>
          <w:rFonts w:ascii="Arial" w:hAnsi="Arial" w:cs="Arial"/>
          <w:color w:val="212121"/>
          <w:sz w:val="22"/>
          <w:szCs w:val="22"/>
          <w:shd w:val="clear" w:color="auto" w:fill="FFFFFF"/>
        </w:rPr>
        <w:instrText>ADDIN CSL_CITATION { "citationItems" : [ { "id" : "ITEM-1", "itemData" : { "DOI" : "10.1097/00004583-200203000-00005", "ISBN" : "0890-8567 (Print)\\n0890-8567 (Linking)", "ISSN" : "0890-8567", "PMID" : "11886020", "abstract" : "OBJECTIVE: Although the literature documents that attention-deficit/hyperactivity disorder (ADHD) commonly onsets prior to age 6, little is known about the disorder in preschool children. We evaluated the clinical characteristics, psychiatric comorbidity, and functioning of preschool children and school-age youths with ADHD referred to a pediatric psychiatric clinic for evaluation.\\n\\nMETHOD: Structured psychiatric interviews assessing lifetime psychopathology by DSM-III-R criteria were completed with parents about their children. Family, social, and overall functioning were also assessed at intake.\\n\\nRESULTS: We identified 165 children with ADHD aged 4 to 6 years (preschool children) and 381 youths aged 7 to 9 years (school-age) with ADHD. Despite being younger, preschool children had similar rates of comorbid psychopathology compared with school-age youths with ADHD. There was an earlier onset of ADHD and co-occurring psychopathology in the preschool children compared to school-age youths. Both preschool children and school-age youths had substantial impairment in school, social, and overall functioning.\\n\\nCONCLUSIONS: The results of this study suggest that despite being significantly younger, clinically referred preschool children with ADHD are reminiscent of school-age youths with ADHD in the quality of ADHD, high rates of comorbid psychopathology, and impaired functioning. Follow-up of these clinically referred preschool children with ADHD to evaluate the stability of their diagnoses, treatment response, and their long-term outcome are necessary.", "author" : [ { "dropping-particle" : "", "family" : "Wilens", "given" : "Timothy E", "non-dropping-particle" : "", "parse-names" : false, "suffix" : "" }, { "dropping-particle" : "", "family" : "Biederman", "given" : "Joseph", "non-dropping-particle" : "", "parse-names" : false, "suffix" : "" }, { "dropping-particle" : "", "family" : "Brown", "given" : "Sarah", "non-dropping-particle" : "", "parse-names" : false, "suffix" : "" }, { "dropping-particle" : "", "family" : "Tanguay", "given" : "Sarah", "non-dropping-particle" : "", "parse-names" : false, "suffix" : "" }, { "dropping-particle" : "", "family" : "Monuteaux", "given" : "Michael C", "non-dropping-particle" : "", "parse-names" : false, "suffix" : "" }, { "dropping-particle" : "", "family" : "Blake", "given" : "Christie", "non-dropping-particle" : "", "parse-names" : false, "suffix" : "" }, { "dropping-particle" : "", "family" : "Spencer", "given" : "Thomas J", "non-dropping-particle" : "", "parse-names" : false, "suffix" : "" } ], "container-title" : "Journal of the American Academy of Child and Adolescent Psychiatry", "id" : "ITEM-1", "issue" : "3", "issued" : { "date-parts" : [ [ "2002" ] ] }, "page" : "262-8", "title" : "Psychiatric comorbidity and functioning in clinically referred preschool children and school-age youths with ADHD.", "type" : "article-journal", "volume" : "41" }, "uris" : [ "http://www.mendeley.com/documents/?uuid=77087719-aefb-4289-9f46-5679bed11f05" ] } ], "mendeley" : { "formattedCitation" : "(132)", "plainTextFormattedCitation" : "(132)", "previouslyFormattedCitation" : "(132)" }, "properties" : { "noteIndex" : 14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Pr="00F74A96">
        <w:rPr>
          <w:rFonts w:ascii="Arial" w:hAnsi="Arial" w:cs="Arial"/>
          <w:noProof/>
          <w:color w:val="212121"/>
          <w:sz w:val="22"/>
          <w:szCs w:val="22"/>
          <w:shd w:val="clear" w:color="auto" w:fill="FFFFFF"/>
        </w:rPr>
        <w:t>(132)</w:t>
      </w:r>
      <w:r w:rsidR="00BC3BBB">
        <w:rPr>
          <w:rFonts w:ascii="Arial" w:hAnsi="Arial" w:cs="Arial"/>
          <w:color w:val="212121"/>
          <w:sz w:val="22"/>
          <w:szCs w:val="22"/>
          <w:shd w:val="clear" w:color="auto" w:fill="FFFFFF"/>
        </w:rPr>
        <w:fldChar w:fldCharType="end"/>
      </w:r>
      <w:r>
        <w:rPr>
          <w:rFonts w:ascii="Arial" w:hAnsi="Arial" w:cs="Arial"/>
          <w:color w:val="4F81BD" w:themeColor="accent1"/>
          <w:sz w:val="22"/>
          <w:szCs w:val="22"/>
        </w:rPr>
        <w:t>.</w:t>
      </w:r>
      <w:r w:rsidRPr="00453BDF">
        <w:rPr>
          <w:rFonts w:ascii="Arial" w:hAnsi="Arial" w:cs="Arial"/>
          <w:sz w:val="22"/>
          <w:szCs w:val="22"/>
        </w:rPr>
        <w:t xml:space="preserve"> </w:t>
      </w:r>
      <w:r w:rsidRPr="00453BDF">
        <w:rPr>
          <w:rFonts w:ascii="Arial" w:hAnsi="Arial" w:cs="Arial"/>
          <w:sz w:val="22"/>
          <w:szCs w:val="22"/>
          <w:shd w:val="clear" w:color="auto" w:fill="FFFFFF"/>
        </w:rPr>
        <w:t>Stimulan ilaçlarla tedavi, ileride duygudurum ve anksiyete bozukluklarının gelişme riskini azaltabilmektedi</w:t>
      </w:r>
      <w:r>
        <w:rPr>
          <w:rFonts w:ascii="Arial" w:hAnsi="Arial" w:cs="Arial"/>
          <w:sz w:val="22"/>
          <w:szCs w:val="22"/>
          <w:shd w:val="clear" w:color="auto" w:fill="FFFFFF"/>
        </w:rPr>
        <w:t xml:space="preserve">r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"DOI" : "10.1542/peds.2008-3347", "ISBN" : "6177262724", "ISSN" : "0031-4005", "PMID" : "19564285", "abstract" : "Objective\u2014Little is known about the effect of stimulant treatment in youth with ADHD on the subsequent development of comorbid psychiatric disorders. We tested the association between stimulant treatment and the subsequent development of psychiatric comorbidity in a longitudinal sample of ADHD patients. Patients and Methods\u2014We conducted a case-control, ten-year prospective follow-up study into young adult years of youth with ADHD grown up. At baseline, we assessed consecutively referred male, Caucasian children with (n=140) and without (n=120) ADHD, aged 6\u201318. At the ten-year follow-up, 112 (80%) and 105 (88%) of the ADHD and control children, respectively, were re- assessed (mean age 22 years). We examined the association between stimulant treatment in childhood and adolescence and subsequent comorbid disorders and grade retention using proportional hazards survival models. Objective\u2014Little is known about the effect of stimulant treatment in youth with ADHD on the subsequent development of comorbid psychiatric disorders. We tested the association between stimulant treatment and the subsequent development of psychiatric comorbidity in a longitudinal sample of ADHD patients. Patients and Methods\u2014We conducted a case-control, ten-year prospective follow-up study into young adult years of youth with ADHD grown up. At baseline, we assessed consecutively referred male, Caucasian children with (n=140) and without (n=120) ADHD, aged 6\u201318. At the ten-year follow-up, 112 (80%) and 105 (88%) of the ADHD and control children, respectively, were re- assessed (mean age 22 years). We examined the association between stimulant treatment in childhood and adolescence and subsequent comorbid disorders and grade retention using proportional hazards survival models.", "author" : [ { "dropping-particle" : "", "family" : "Biederman", "given" : "J.", "non-dropping-particle" : "", "parse-names" : false, "suffix" : "" }, { "dropping-particle" : "", "family" : "Monuteaux", "given" : "M. C.", "non-dropping-particle" : "", "parse-names" : false, "suffix" : "" }, { "dropping-particle" : "", "family" : "Spencer", "given" : "T.", "non-dropping-particle" : "", "parse-names" : false, "suffix" : "" }, { "dropping-particle" : "", "family" : "Wilens", "given" : "T. E.", "non-dropping-particle" : "", "parse-names" : false, "suffix" : "" }, { "dropping-particle" : "V.", "family" : "Faraone", "given" : "S.", "non-dropping-particle" : "", "parse-names" : false, "suffix" : "" } ], "container-title" : "Pediatrics", "id" : "ITEM-1", "issue" : "1", "issued" : { "date-parts" : [ [ "2009" ] ] }, "page" : "71-78", "title" : "Do Stimulants Protect Against Psychiatric Disorders in Youth With ADHD? A 10-Year Follow-up Study", "type" : "article-journal", "volume" : "124" }, "uris" : [ "http://www.mendeley.com/documents/?uuid=36ffc9b3-34cd-4268-a1c9-2d4d82aca7b7" ] } ], "mendeley" : { "formattedCitation" : "(133)", "plainTextFormattedCitation" : "(133)", "previouslyFormattedCitation" : "(133)" }, "properties" : { "noteIndex" : 14 }, "schema" : "https://github.com/citation-style-language/schema/raw/master/csl-citation.json" }</w:instrText>
      </w:r>
      <w:r w:rsidR="00BC3BBB">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(133)</w:t>
      </w:r>
      <w:r w:rsidR="00BC3BBB">
        <w:rPr>
          <w:rFonts w:ascii="Arial" w:hAnsi="Arial" w:cs="Arial"/>
          <w:sz w:val="22"/>
          <w:szCs w:val="22"/>
          <w:shd w:val="clear" w:color="auto" w:fill="FFFFFF"/>
        </w:rPr>
        <w:fldChar w:fldCharType="end"/>
      </w:r>
      <w:r>
        <w:rPr>
          <w:rFonts w:ascii="Arial" w:hAnsi="Arial" w:cs="Arial"/>
          <w:sz w:val="22"/>
          <w:szCs w:val="22"/>
          <w:shd w:val="clear" w:color="auto" w:fill="FFFFFF"/>
        </w:rPr>
        <w:t>.</w:t>
      </w:r>
      <w:r w:rsidRPr="004404F1">
        <w:rPr>
          <w:rFonts w:ascii="Arial" w:hAnsi="Arial" w:cs="Arial"/>
          <w:color w:val="E36C0A" w:themeColor="accent6" w:themeShade="BF"/>
          <w:sz w:val="22"/>
          <w:szCs w:val="22"/>
          <w:shd w:val="clear" w:color="auto" w:fill="FFFFFF"/>
        </w:rPr>
        <w:t xml:space="preserve"> </w:t>
      </w:r>
      <w:r w:rsidRPr="00166918">
        <w:rPr>
          <w:rFonts w:ascii="Arial" w:hAnsi="Arial" w:cs="Arial"/>
          <w:color w:val="212121"/>
          <w:sz w:val="22"/>
          <w:szCs w:val="22"/>
          <w:lang w:eastAsia="en-US"/>
        </w:rPr>
        <w:t>Aynı zamanda, eşlik eden içe yönelim sorunları</w:t>
      </w:r>
      <w:r>
        <w:rPr>
          <w:rFonts w:ascii="Arial" w:hAnsi="Arial" w:cs="Arial"/>
          <w:color w:val="212121"/>
          <w:sz w:val="22"/>
          <w:szCs w:val="22"/>
          <w:lang w:eastAsia="en-US"/>
        </w:rPr>
        <w:t>nı</w:t>
      </w:r>
      <w:r w:rsidRPr="00166918">
        <w:rPr>
          <w:rFonts w:ascii="Arial" w:hAnsi="Arial" w:cs="Arial"/>
          <w:color w:val="212121"/>
          <w:sz w:val="22"/>
          <w:szCs w:val="22"/>
          <w:lang w:eastAsia="en-US"/>
        </w:rPr>
        <w:t xml:space="preserve"> veya anksiyete semptomları</w:t>
      </w:r>
      <w:r>
        <w:rPr>
          <w:rFonts w:ascii="Arial" w:hAnsi="Arial" w:cs="Arial"/>
          <w:color w:val="212121"/>
          <w:sz w:val="22"/>
          <w:szCs w:val="22"/>
          <w:lang w:eastAsia="en-US"/>
        </w:rPr>
        <w:t>nı</w:t>
      </w:r>
      <w:r w:rsidRPr="00166918">
        <w:rPr>
          <w:rFonts w:ascii="Arial" w:hAnsi="Arial" w:cs="Arial"/>
          <w:color w:val="212121"/>
          <w:sz w:val="22"/>
          <w:szCs w:val="22"/>
          <w:lang w:eastAsia="en-US"/>
        </w:rPr>
        <w:t xml:space="preserve"> sergileyen çocukların davranışsal müdahalelere yanıt verdiğini gösteren kanıtlar da bulunmaktadır</w:t>
      </w:r>
      <w:r>
        <w:rPr>
          <w:rFonts w:ascii="Arial" w:hAnsi="Arial" w:cs="Arial"/>
          <w:color w:val="212121"/>
          <w:sz w:val="22"/>
          <w:szCs w:val="22"/>
          <w:lang w:eastAsia="en-US"/>
        </w:rPr>
        <w:t xml:space="preserve"> </w:t>
      </w:r>
      <w:r w:rsidR="00BC3BBB">
        <w:rPr>
          <w:rFonts w:ascii="Arial" w:hAnsi="Arial" w:cs="Arial"/>
          <w:color w:val="212121"/>
          <w:sz w:val="22"/>
          <w:szCs w:val="22"/>
          <w:lang w:eastAsia="en-US"/>
        </w:rPr>
        <w:fldChar w:fldCharType="begin" w:fldLock="1"/>
      </w:r>
      <w:r>
        <w:rPr>
          <w:rFonts w:ascii="Arial" w:hAnsi="Arial" w:cs="Arial"/>
          <w:color w:val="212121"/>
          <w:sz w:val="22"/>
          <w:szCs w:val="22"/>
          <w:lang w:eastAsia="en-US"/>
        </w:rPr>
        <w:instrText>ADDIN CSL_CITATION { "citationItems" : [ { "id" : "ITEM-1", "itemData" : { "DOI" : "10.1097/00004583-200102000-00009", "ISBN" : "1098-3511", "ISSN" : "0890-8567", "PMID" : "11211363", "abstract" : "OBJECTIVES Previous research has been inconclusive whether attention-deficit/hyperactivity disorder (ADHD), when comorbid with disruptive disorders (oppositional defiant disorder [ODD] or conduct disorder [CD]), with the internalizing disorders (anxiety and/or depression), or with both, should constitute separate clinical entities. Determination of the clinical significance of potential ADHD + internalizing disorder or ADHD + ODD/CD syndromes could yield better diagnostic decision-making, treatment planning, and treatment outcomes. METHOD Drawing upon cross-sectional and longitudinal information from 579 children (aged 7-9.9 years) with ADHD participating in the NIMH Collaborative Multisite Multimodal Treatment Study of Children With Attention-Deficit/Hyperactivity Disorder (MTA), investigators applied validational criteria to compare ADHD subjects with and without comorbid internalizing disorders and ODD/CD. RESULTS Substantial evidence of main effects of internalizing and externalizing comorbid disorders was found. Moderate evidence of interactions of parent-reported anxiety and ODD/CD status were noted on response to treatment, indicating that children with ADHD and anxiety disorders (but no ODD/CD) were likely to respond equally well to the MTA behavioral and medication treatments. Children with ADHD-only or ADHD with ODD/CD (but without anxiety disorders) responded best to MTA medication treatments (with or without behavioral treatments), while children with multiple comorbid disorders (anxiety and ODD/CD) responded optimally to combined (medication and behavioral) treatments. CONCLUSIONS Findings indicate that three clinical profiles, ADHD co-occurring with internalizing disorders (principally parent-reported anxiety disorders) absent any concurrent disruptive disorder (ADHD + ANX), ADHD co-occurring with ODD/CD but no anxiety (ADHD + ODD/CD), and ADHD with both anxiety and ODD/CD (ADHD + ANX + ODD/CD) may be sufficiently distinct to warrant classification as ADHD subtypes different from \"pure\" ADHD with neither comorbidity. Future clinical, etiological, and genetics research should explore the merits of these three ADHD classification options.", "author" : [ { "dropping-particle" : "", "family" : "Jensen", "given" : "P S", "non-dropping-particle" : "", "parse-names" : false, "suffix" : "" }, { "dropping-particle" : "", "family" : "Hinshaw", "given" : "S P", "non-dropping-particle" : "", "parse-names" : false, "suffix" : "" }, { "dropping-particle" : "", "family" : "Kraemer", "given" : "H C", "non-dropping-particle" : "", "parse-names" : false, "suffix" : "" }, { "dropping-particle" : "", "family" : "Lenora", "given" : "N", "non-dropping-particle" : "", "parse-names" : false, "suffix" : "" }, { "dropping-particle" : "", "family" : "Newcorn", "given" : "J H", "non-dropping-particle" : "", "parse-names" : false, "suffix" : "" }, { "dropping-particle" : "", "family" : "Abikoff", "given" : "H B", "non-dropping-particle" : "", "parse-names" : false, "suffix" : "" }, { "dropping-particle" : "", "family" : "March", "given" : "J S", "non-dropping-particle" : "", "parse-names" : false, "suffix" : "" }, { "dropping-particle" : "", "family" : "Arnold", "given" : "L E", "non-dropping-particle" : "", "parse-names" : false, "suffix" : "" }, { "dropping-particle" : "", "family" : "Cantwell", "given" : "D P", "non-dropping-particle" : "", "parse-names" : false, "suffix" : "" }, { "dropping-particle" : "", "family" : "Conners", "given" : "C Keith", "non-dropping-particle" : "", "parse-names" : false, "suffix" : "" }, { "dropping-particle" : "", "family" : "Elliott", "given" : "Glen R", "non-dropping-particle" : "", "parse-names" : false, "suffix" : "" }, { "dropping-particle" : "", "family" : "Greenhill", "given" : "Laurence L", "non-dropping-particle" : "", "parse-names" : false, "suffix" : "" }, { "dropping-particle" : "", "family" : "Hechtman", "given" : "L", "non-dropping-particle" : "", "parse-names" : false, "suffix" : "" }, { "dropping-particle" : "", "family" : "Hoza", "given" : "B", "non-dropping-particle" : "", "parse-names" : false, "suffix" : "" }, { "dropping-particle" : "", "family" : "Pelham", "given" : "W E", "non-dropping-particle" : "", "parse-names" : false, "suffix" : "" }, { "dropping-particle" : "", "family" : "Severe", "given" : "J B", "non-dropping-particle" : "", "parse-names" : false, "suffix" : "" }, { "dropping-particle" : "", "family" : "Swanson", "given" : "J M", "non-dropping-particle" : "", "parse-names" : false, "suffix" : "" }, { "dropping-particle" : "", "family" : "Wells", "given" : "K C", "non-dropping-particle" : "", "parse-names" : false, "suffix" : "" }, { "dropping-particle" : "", "family" : "Wigal", "given" : "T", "non-dropping-particle" : "", "parse-names" : false, "suffix" : "" }, { "dropping-particle" : "", "family" : "Vitiello", "given" : "B", "non-dropping-particle" : "", "parse-names" : false, "suffix" : "" } ], "container-title" : "Journal of the American Academy of Child and Adolescent Psychiatry", "id" : "ITEM-1", "issue" : "2", "issued" : { "date-parts" : [ [ "2001" ] ] }, "page" : "147-58", "title" : "ADHD comorbidity findings from the MTA study: comparing comorbid subgroups.", "type" : "article-journal", "volume" : "40" }, "uris" : [ "http://www.mendeley.com/documents/?uuid=89918143-b6cc-4f4e-905e-88ddb351825e" ] } ], "mendeley" : { "formattedCitation" : "(134)", "plainTextFormattedCitation" : "(134)", "previouslyFormattedCitation" : "(134)" }, "properties" : { "noteIndex" : 14 }, "schema" : "https://github.com/citation-style-language/schema/raw/master/csl-citation.json" }</w:instrText>
      </w:r>
      <w:r w:rsidR="00BC3BBB">
        <w:rPr>
          <w:rFonts w:ascii="Arial" w:hAnsi="Arial" w:cs="Arial"/>
          <w:color w:val="212121"/>
          <w:sz w:val="22"/>
          <w:szCs w:val="22"/>
          <w:lang w:eastAsia="en-US"/>
        </w:rPr>
        <w:fldChar w:fldCharType="separate"/>
      </w:r>
      <w:r w:rsidRPr="00F74A96">
        <w:rPr>
          <w:rFonts w:ascii="Arial" w:hAnsi="Arial" w:cs="Arial"/>
          <w:noProof/>
          <w:color w:val="212121"/>
          <w:sz w:val="22"/>
          <w:szCs w:val="22"/>
          <w:lang w:eastAsia="en-US"/>
        </w:rPr>
        <w:t>(134)</w:t>
      </w:r>
      <w:r w:rsidR="00BC3BBB">
        <w:rPr>
          <w:rFonts w:ascii="Arial" w:hAnsi="Arial" w:cs="Arial"/>
          <w:color w:val="212121"/>
          <w:sz w:val="22"/>
          <w:szCs w:val="22"/>
          <w:lang w:eastAsia="en-US"/>
        </w:rPr>
        <w:fldChar w:fldCharType="end"/>
      </w:r>
      <w:r>
        <w:rPr>
          <w:rFonts w:ascii="Arial" w:hAnsi="Arial" w:cs="Arial"/>
          <w:color w:val="212121"/>
          <w:sz w:val="22"/>
          <w:szCs w:val="22"/>
          <w:lang w:eastAsia="en-US"/>
        </w:rPr>
        <w:t>.</w:t>
      </w:r>
      <w:r w:rsidRPr="00166918">
        <w:rPr>
          <w:rFonts w:ascii="Arial" w:hAnsi="Arial" w:cs="Arial"/>
          <w:color w:val="212121"/>
          <w:sz w:val="22"/>
          <w:szCs w:val="22"/>
          <w:lang w:eastAsia="en-US"/>
        </w:rPr>
        <w:t xml:space="preserve"> </w:t>
      </w:r>
    </w:p>
    <w:p w:rsidR="00C60153" w:rsidRPr="0005043B" w:rsidRDefault="00C60153" w:rsidP="00C60153">
      <w:pPr>
        <w:pStyle w:val="HTMLncedenBiimlendirilmi"/>
        <w:shd w:val="clear" w:color="auto" w:fill="FFFFFF"/>
        <w:spacing w:line="360" w:lineRule="auto"/>
        <w:jc w:val="both"/>
        <w:rPr>
          <w:rFonts w:ascii="Arial" w:hAnsi="Arial" w:cs="Arial"/>
          <w:b/>
          <w:sz w:val="22"/>
          <w:szCs w:val="22"/>
          <w:lang w:val="en-US" w:eastAsia="en-US"/>
        </w:rPr>
      </w:pPr>
      <w:r w:rsidRPr="00166918">
        <w:rPr>
          <w:rFonts w:ascii="Arial" w:hAnsi="Arial" w:cs="Arial"/>
          <w:color w:val="4F81BD" w:themeColor="accent1"/>
          <w:sz w:val="22"/>
          <w:szCs w:val="22"/>
          <w:lang w:val="en-US" w:eastAsia="en-US"/>
        </w:rPr>
        <w:tab/>
      </w:r>
      <w:r w:rsidRPr="0005043B">
        <w:rPr>
          <w:rFonts w:ascii="Arial" w:hAnsi="Arial" w:cs="Arial"/>
          <w:b/>
          <w:sz w:val="22"/>
          <w:szCs w:val="22"/>
          <w:lang w:val="en-US" w:eastAsia="en-US"/>
        </w:rPr>
        <w:t>Tik Bozuklukları</w:t>
      </w:r>
    </w:p>
    <w:p w:rsidR="00C60153" w:rsidRPr="00A069EE" w:rsidRDefault="00C60153" w:rsidP="00C60153">
      <w:pPr>
        <w:pStyle w:val="HTMLncedenBiimlendirilmi"/>
        <w:shd w:val="clear" w:color="auto" w:fill="FFFFFF"/>
        <w:spacing w:line="360" w:lineRule="auto"/>
        <w:jc w:val="both"/>
        <w:rPr>
          <w:rFonts w:ascii="Arial" w:hAnsi="Arial" w:cs="Arial"/>
          <w:sz w:val="22"/>
          <w:szCs w:val="22"/>
        </w:rPr>
      </w:pPr>
      <w:r w:rsidRPr="0005043B">
        <w:rPr>
          <w:rFonts w:ascii="Arial" w:hAnsi="Arial" w:cs="Arial"/>
          <w:b/>
          <w:sz w:val="22"/>
          <w:szCs w:val="22"/>
          <w:lang w:val="en-US" w:eastAsia="en-US"/>
        </w:rPr>
        <w:tab/>
      </w:r>
      <w:r>
        <w:rPr>
          <w:rFonts w:ascii="Arial" w:hAnsi="Arial" w:cs="Arial"/>
          <w:color w:val="000000" w:themeColor="text1"/>
          <w:sz w:val="22"/>
          <w:szCs w:val="22"/>
          <w:shd w:val="clear" w:color="auto" w:fill="FFFFFF"/>
        </w:rPr>
        <w:t xml:space="preserve">DEHB’li </w:t>
      </w:r>
      <w:r w:rsidRPr="0005043B">
        <w:rPr>
          <w:rFonts w:ascii="Arial" w:hAnsi="Arial" w:cs="Arial"/>
          <w:color w:val="000000" w:themeColor="text1"/>
          <w:sz w:val="22"/>
          <w:szCs w:val="22"/>
          <w:shd w:val="clear" w:color="auto" w:fill="FFFFFF"/>
        </w:rPr>
        <w:t>çocuklar komorbid tik bozuklukları veya Tourette sendromu (</w:t>
      </w:r>
      <w:r w:rsidRPr="00D53CBF">
        <w:rPr>
          <w:rFonts w:ascii="Arial" w:hAnsi="Arial" w:cs="Arial"/>
          <w:sz w:val="22"/>
          <w:szCs w:val="22"/>
          <w:shd w:val="clear" w:color="auto" w:fill="FFFFFF"/>
        </w:rPr>
        <w:t>TS</w:t>
      </w:r>
      <w:r w:rsidRPr="0005043B">
        <w:rPr>
          <w:rFonts w:ascii="Arial" w:hAnsi="Arial" w:cs="Arial"/>
          <w:color w:val="000000" w:themeColor="text1"/>
          <w:sz w:val="22"/>
          <w:szCs w:val="22"/>
          <w:shd w:val="clear" w:color="auto" w:fill="FFFFFF"/>
        </w:rPr>
        <w:t>) ile başvurduğu, TS'li çocukların ise % 60-70'inin DEHB için tanı kriterlerini karşıladığı belirtilmiştir</w:t>
      </w:r>
      <w:r w:rsidRPr="0005043B">
        <w:rPr>
          <w:rFonts w:ascii="Arial" w:hAnsi="Arial" w:cs="Arial"/>
          <w:color w:val="212121"/>
          <w:sz w:val="22"/>
          <w:szCs w:val="22"/>
          <w:shd w:val="clear" w:color="auto" w:fill="FFFFFF"/>
        </w:rPr>
        <w:t xml:space="preserve"> </w:t>
      </w:r>
      <w:r w:rsidR="00BC3BBB">
        <w:rPr>
          <w:rFonts w:ascii="Arial" w:hAnsi="Arial" w:cs="Arial"/>
          <w:color w:val="212121"/>
          <w:sz w:val="22"/>
          <w:szCs w:val="22"/>
          <w:shd w:val="clear" w:color="auto" w:fill="FFFFFF"/>
        </w:rPr>
        <w:fldChar w:fldCharType="begin" w:fldLock="1"/>
      </w:r>
      <w:r>
        <w:rPr>
          <w:rFonts w:ascii="Arial" w:hAnsi="Arial" w:cs="Arial"/>
          <w:color w:val="212121"/>
          <w:sz w:val="22"/>
          <w:szCs w:val="22"/>
          <w:shd w:val="clear" w:color="auto" w:fill="FFFFFF"/>
        </w:rPr>
        <w:instrText>ADDIN CSL_CITATION { "citationItems" : [ { "id" : "ITEM-1", "itemData" : { "DOI" : "10.1097/chi.0b013e318068fbcc", "ISBN" : "0890-8567\\r1527-5418", "ISSN" : "0890-8567, 0890-8567", "PMID" : "17667475", "abstract" : "Objective: This is a review of progress made in the understanding of Tourette syndrome (TS) during the past decade including models of pathogenesis, state-of-the-art assessment techniques, and treatment. Method: Computerized literature searches were conducted under the key words \"Tourette syndrome,\" \"Tourette disorder,\" and \"tics.\" Only references from 1996-2006 were included. Results: Studies have documented the natural history of TS and the finding that tics usually improve by the end of the second decade of life. It has also become clear that TS frequently co-occurs with attention-deficit/hyperactivity disorder, obsessive-compulsive disorder, and a range of other mood and anxiety disorders. These comorbid conditions are often the major source of impairment for the affected child. Advances have also been made in understanding the underlying neurobiology of TS using in vivo neuroimaging and neurophysiology techniques. Progress on the genetic front has been less rapid. Proper diagnosis and education (involving the affected child and his or her parents, teachers, and peers) are essential prerequisites to the successful management of children with TS. When necessary, modestly effective antitic medications are available, although intervening to treat the comorbid attention-deficit/hyperactivity disorder and/or obsessive-compulsive disorder is usually the place to start. Conclusions: Prospective longitudinal studies and randomized clinical trials have led to the refinement of several models of pathogenesis and advanced our evidence base regarding treatment options. However, fully explanatory models are needed that would allow for more accurate prognosis and the development of targeted and efficacious treatments. (PsycINFO Database Record (c) 2012 APA, all rights reserved). (journal abstract)", "author" : [ { "dropping-particle" : "", "family" : "Swain", "given" : "James E", "non-dropping-particle" : "", "parse-names" : false, "suffix" : "" }, { "dropping-particle" : "", "family" : "Scahill", "given" : "Lawrence", "non-dropping-particle" : "", "parse-names" : false, "suffix" : "" }, { "dropping-particle" : "", "family" : "Lombroso", "given" : "Paul L", "non-dropping-particle" : "", "parse-names" : false, "suffix" : "" }, { "dropping-particle" : "", "family" : "King", "given" : "Robert a", "non-dropping-particle" : "", "parse-names" : false, "suffix" : "" }, { "dropping-particle" : "", "family" : "Leckman", "given" : "James F", "non-dropping-particle" : "", "parse-names" : false, "suffix" : "" } ], "container-title" : "Journal of the American Academy of Child &amp; Adolescent Psychiatry", "id" : "ITEM-1", "issue" : "8", "issued" : { "date-parts" : [ [ "2007" ] ] }, "page" : "947-968", "title" : "Tourette syndrome and tic disorders: A decade of progress", "type" : "article-journal", "volume" : "46" }, "uris" : [ "http://www.mendeley.com/documents/?uuid=2bcbf6cc-b570-4432-8cee-fd72b51d5394" ] } ], "mendeley" : { "formattedCitation" : "(135)", "plainTextFormattedCitation" : "(135)", "previouslyFormattedCitation" : "(135)" }, "properties" : { "noteIndex" : 15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Pr="00F74A96">
        <w:rPr>
          <w:rFonts w:ascii="Arial" w:hAnsi="Arial" w:cs="Arial"/>
          <w:noProof/>
          <w:color w:val="212121"/>
          <w:sz w:val="22"/>
          <w:szCs w:val="22"/>
          <w:shd w:val="clear" w:color="auto" w:fill="FFFFFF"/>
        </w:rPr>
        <w:t>(135)</w:t>
      </w:r>
      <w:r w:rsidR="00BC3BBB">
        <w:rPr>
          <w:rFonts w:ascii="Arial" w:hAnsi="Arial" w:cs="Arial"/>
          <w:color w:val="212121"/>
          <w:sz w:val="22"/>
          <w:szCs w:val="22"/>
          <w:shd w:val="clear" w:color="auto" w:fill="FFFFFF"/>
        </w:rPr>
        <w:fldChar w:fldCharType="end"/>
      </w:r>
      <w:r>
        <w:rPr>
          <w:rStyle w:val="author"/>
          <w:rFonts w:ascii="Arial" w:hAnsi="Arial" w:cs="Arial"/>
          <w:color w:val="4F81BD" w:themeColor="accent1"/>
          <w:sz w:val="22"/>
          <w:szCs w:val="22"/>
          <w:bdr w:val="none" w:sz="0" w:space="0" w:color="auto" w:frame="1"/>
          <w:shd w:val="clear" w:color="auto" w:fill="FFFFFF"/>
        </w:rPr>
        <w:t>.</w:t>
      </w:r>
      <w:r w:rsidRPr="0005043B">
        <w:rPr>
          <w:rFonts w:ascii="Arial" w:hAnsi="Arial" w:cs="Arial"/>
          <w:color w:val="4F81BD" w:themeColor="accent1"/>
          <w:sz w:val="22"/>
          <w:szCs w:val="22"/>
          <w:shd w:val="clear" w:color="auto" w:fill="FFFFFF"/>
        </w:rPr>
        <w:t xml:space="preserve"> </w:t>
      </w:r>
      <w:r w:rsidRPr="0005043B">
        <w:rPr>
          <w:rFonts w:ascii="Arial" w:hAnsi="Arial" w:cs="Arial"/>
          <w:color w:val="000000" w:themeColor="text1"/>
          <w:sz w:val="22"/>
          <w:szCs w:val="22"/>
          <w:shd w:val="clear" w:color="auto" w:fill="FFFFFF"/>
        </w:rPr>
        <w:t xml:space="preserve">Tiklerin varlığı, farmakolojik tedavinin tik belirtilerini daha da kötüleştirebileceği endişeleri nedeniyle tedavi planlamasını zorlaştırdığı ifade edilmektedir. Fakat </w:t>
      </w:r>
      <w:r>
        <w:rPr>
          <w:rFonts w:ascii="Arial" w:hAnsi="Arial" w:cs="Arial"/>
          <w:color w:val="000000" w:themeColor="text1"/>
          <w:sz w:val="22"/>
          <w:szCs w:val="22"/>
        </w:rPr>
        <w:t>metilfenidat ve atomoksetin</w:t>
      </w:r>
      <w:r w:rsidRPr="0005043B">
        <w:rPr>
          <w:rFonts w:ascii="Arial" w:hAnsi="Arial" w:cs="Arial"/>
          <w:color w:val="000000" w:themeColor="text1"/>
          <w:sz w:val="22"/>
          <w:szCs w:val="22"/>
        </w:rPr>
        <w:t xml:space="preserve"> tedavisinin, tik belirtilerini kötüleştirmeden DEHB için etkili tedaviler o</w:t>
      </w:r>
      <w:r>
        <w:rPr>
          <w:rFonts w:ascii="Arial" w:hAnsi="Arial" w:cs="Arial"/>
          <w:color w:val="000000" w:themeColor="text1"/>
          <w:sz w:val="22"/>
          <w:szCs w:val="22"/>
        </w:rPr>
        <w:t>lduklarına</w:t>
      </w:r>
      <w:r w:rsidRPr="0005043B">
        <w:rPr>
          <w:rFonts w:ascii="Arial" w:hAnsi="Arial" w:cs="Arial"/>
          <w:color w:val="000000" w:themeColor="text1"/>
          <w:sz w:val="22"/>
          <w:szCs w:val="22"/>
        </w:rPr>
        <w:t xml:space="preserve"> dair kanıtlar </w:t>
      </w:r>
      <w:r>
        <w:rPr>
          <w:rFonts w:ascii="Arial" w:hAnsi="Arial" w:cs="Arial"/>
          <w:color w:val="000000" w:themeColor="text1"/>
          <w:sz w:val="22"/>
          <w:szCs w:val="22"/>
        </w:rPr>
        <w:t xml:space="preserve">bulunmaktadır </w:t>
      </w:r>
      <w:r w:rsidR="00BC3BBB">
        <w:rPr>
          <w:rFonts w:ascii="Arial" w:hAnsi="Arial" w:cs="Arial"/>
          <w:color w:val="000000" w:themeColor="text1"/>
          <w:sz w:val="22"/>
          <w:szCs w:val="22"/>
        </w:rPr>
        <w:fldChar w:fldCharType="begin" w:fldLock="1"/>
      </w:r>
      <w:r>
        <w:rPr>
          <w:rFonts w:ascii="Arial" w:hAnsi="Arial" w:cs="Arial"/>
          <w:color w:val="000000" w:themeColor="text1"/>
          <w:sz w:val="22"/>
          <w:szCs w:val="22"/>
        </w:rPr>
        <w:instrText>ADDIN CSL_CITATION { "citationItems" : [ { "id" : "ITEM-1", "itemData" : { "author" : [ { "dropping-particle" : "", "family" : "Bloch", "given" : "M H", "non-dropping-particle" : "", "parse-names" : false, "suffix" : "" }, { "dropping-particle" : "", "family" : "Panza", "given" : "K E", "non-dropping-particle" : "", "parse-names" : false, "suffix" : "" }, { "dropping-particle" : "", "family" : "Landeros-Weisenberger", "given" : "A", "non-dropping-particle" : "", "parse-names" : false, "suffix" : "" }, { "dropping-particle" : "", "family" : "Leckman", "given" : "J", "non-dropping-particle" : "", "parse-names" : false, "suffix" : "" } ], "container-title" : "Journal of the American Academy of Child and Adolescent Psychiatry", "id" : "ITEM-1", "issue" : "9", "issued" : { "date-parts" : [ [ "2009" ] ] }, "page" : "884-893", "title" : "Meta-analysis : treatment of attention-Deficit/Hyperactivity Disorder in Children with comorbid tic disorders.", "type" : "article-journal", "volume" : "48" }, "uris" : [ "http://www.mendeley.com/documents/?uuid=c655926e-3246-40ba-8ba3-534737498c5d" ] } ], "mendeley" : { "formattedCitation" : "(136)", "plainTextFormattedCitation" : "(136)", "previouslyFormattedCitation" : "(136)" }, "properties" : { "noteIndex" : 15 }, "schema" : "https://github.com/citation-style-language/schema/raw/master/csl-citation.json" }</w:instrText>
      </w:r>
      <w:r w:rsidR="00BC3BBB">
        <w:rPr>
          <w:rFonts w:ascii="Arial" w:hAnsi="Arial" w:cs="Arial"/>
          <w:color w:val="000000" w:themeColor="text1"/>
          <w:sz w:val="22"/>
          <w:szCs w:val="22"/>
        </w:rPr>
        <w:fldChar w:fldCharType="separate"/>
      </w:r>
      <w:r w:rsidRPr="00F74A96">
        <w:rPr>
          <w:rFonts w:ascii="Arial" w:hAnsi="Arial" w:cs="Arial"/>
          <w:noProof/>
          <w:color w:val="000000" w:themeColor="text1"/>
          <w:sz w:val="22"/>
          <w:szCs w:val="22"/>
        </w:rPr>
        <w:t>(136)</w:t>
      </w:r>
      <w:r w:rsidR="00BC3BBB">
        <w:rPr>
          <w:rFonts w:ascii="Arial" w:hAnsi="Arial" w:cs="Arial"/>
          <w:color w:val="000000" w:themeColor="text1"/>
          <w:sz w:val="22"/>
          <w:szCs w:val="22"/>
        </w:rPr>
        <w:fldChar w:fldCharType="end"/>
      </w:r>
      <w:r>
        <w:rPr>
          <w:rFonts w:ascii="Arial" w:hAnsi="Arial" w:cs="Arial"/>
          <w:color w:val="000000" w:themeColor="text1"/>
          <w:sz w:val="22"/>
          <w:szCs w:val="22"/>
        </w:rPr>
        <w:t xml:space="preserve">. </w:t>
      </w:r>
      <w:r w:rsidRPr="00A069EE">
        <w:rPr>
          <w:rFonts w:ascii="Arial" w:hAnsi="Arial" w:cs="Arial"/>
          <w:sz w:val="22"/>
          <w:szCs w:val="22"/>
          <w:shd w:val="clear" w:color="auto" w:fill="FFFFFF"/>
        </w:rPr>
        <w:t>DEHB belirtilerinin eşlik ettiği olumsuz etkiler göz önüne alındığında TS'li çocuklarda DEHB semptomlarının tedavisi</w:t>
      </w:r>
      <w:r>
        <w:rPr>
          <w:rFonts w:ascii="Arial" w:hAnsi="Arial" w:cs="Arial"/>
          <w:sz w:val="22"/>
          <w:szCs w:val="22"/>
          <w:shd w:val="clear" w:color="auto" w:fill="FFFFFF"/>
        </w:rPr>
        <w:t xml:space="preserve">nin önemli olduğu belirtilmiştir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"DOI" : "10.1177/0883073809336215", "ISBN" : "1708-8283 (Electronic)\\r0883-0738 (Linking)", "ISSN" : "0883-0738", "PMID" : "19482837", "abstract" : "We assessed the psychosocial and educational consequences of Tourette syndrome using a structured interview and child behavior checklist in 314 children with Tourette syndrome and 81 healthy controls. Of the children with Tourette syndrome, 59.0% needed some kind of educational support, 44.7% had been teased, and 61.8% withheld themselves from taking part in social activities because of Tourette syndrome-related problems. There were significantly more psychosocial and educational problems in children with Tourette syndrome compared with healthy controls. A higher rate of these problems was also seen if the comorbidities attention-deficit hyperactivity disorder (ADHD) and/or obsessive compulsive disorder were present. It is very important for the physicians, teachers, and other professionals to be aware of the high prevalence of these social and educational problems to be able to deal with them and to teach the families to cope with them.", "author" : [ { "dropping-particle" : "", "family" : "Debes", "given" : "N. M M M", "non-dropping-particle" : "", "parse-names" : false, "suffix" : "" }, { "dropping-particle" : "", "family" : "Hjalgrim", "given" : "Helle", "non-dropping-particle" : "", "parse-names" : false, "suffix" : "" }, { "dropping-particle" : "", "family" : "Skov", "given" : "Liselotte", "non-dropping-particle" : "", "parse-names" : false, "suffix" : "" } ], "container-title" : "Journal of child neurology", "id" : "ITEM-1", "issued" : { "date-parts" : [ [ "2010" ] ] }, "page" : "171-181", "title" : "The presence of attention-deficit hyperactivity disorder (ADHD) and obsessive-compulsive disorder worsen psychosocial and educational problems in Tourette syndrome.", "type" : "article-journal", "volume" : "25" }, "uris" : [ "http://www.mendeley.com/documents/?uuid=b99a050e-a27f-4232-b1c1-46b27964426b" ] } ], "mendeley" : { "formattedCitation" : "(137)", "plainTextFormattedCitation" : "(137)", "previouslyFormattedCitation" : "(137)" }, "properties" : { "noteIndex" : 15 }, "schema" : "https://github.com/citation-style-language/schema/raw/master/csl-citation.json" }</w:instrText>
      </w:r>
      <w:r w:rsidR="00BC3BBB">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(137)</w:t>
      </w:r>
      <w:r w:rsidR="00BC3BBB">
        <w:rPr>
          <w:rFonts w:ascii="Arial" w:hAnsi="Arial" w:cs="Arial"/>
          <w:sz w:val="22"/>
          <w:szCs w:val="22"/>
          <w:shd w:val="clear" w:color="auto" w:fill="FFFFFF"/>
        </w:rPr>
        <w:fldChar w:fldCharType="end"/>
      </w:r>
      <w:r>
        <w:rPr>
          <w:rFonts w:ascii="Arial" w:hAnsi="Arial" w:cs="Arial"/>
          <w:sz w:val="22"/>
          <w:szCs w:val="22"/>
          <w:shd w:val="clear" w:color="auto" w:fill="FFFFFF"/>
        </w:rPr>
        <w:t xml:space="preserve">. </w:t>
      </w:r>
    </w:p>
    <w:p w:rsidR="00C60153" w:rsidRPr="004404F1" w:rsidRDefault="00C60153" w:rsidP="00C60153">
      <w:pPr>
        <w:pStyle w:val="HTMLncedenBiimlendirilmi"/>
        <w:shd w:val="clear" w:color="auto" w:fill="FFFFFF"/>
        <w:spacing w:line="360" w:lineRule="auto"/>
        <w:jc w:val="both"/>
        <w:rPr>
          <w:rFonts w:ascii="Arial" w:hAnsi="Arial" w:cs="Arial"/>
          <w:b/>
          <w:color w:val="000000" w:themeColor="text1"/>
          <w:sz w:val="22"/>
          <w:szCs w:val="22"/>
        </w:rPr>
      </w:pPr>
      <w:r w:rsidRPr="00D706D4">
        <w:rPr>
          <w:rFonts w:ascii="Arial" w:hAnsi="Arial" w:cs="Arial"/>
          <w:b/>
          <w:color w:val="000000" w:themeColor="text1"/>
          <w:sz w:val="22"/>
          <w:szCs w:val="22"/>
        </w:rPr>
        <w:tab/>
      </w:r>
      <w:r w:rsidRPr="004404F1">
        <w:rPr>
          <w:rFonts w:ascii="Arial" w:hAnsi="Arial" w:cs="Arial"/>
          <w:b/>
          <w:color w:val="000000" w:themeColor="text1"/>
          <w:sz w:val="22"/>
          <w:szCs w:val="22"/>
        </w:rPr>
        <w:t>Madde Kötüye Kullanımı</w:t>
      </w:r>
    </w:p>
    <w:p w:rsidR="00C60153" w:rsidRPr="004404F1" w:rsidRDefault="00C60153" w:rsidP="00C60153">
      <w:pPr>
        <w:pStyle w:val="HTMLncedenBiimlendirilmi"/>
        <w:shd w:val="clear" w:color="auto" w:fill="FFFFFF"/>
        <w:spacing w:line="360" w:lineRule="auto"/>
        <w:jc w:val="both"/>
        <w:rPr>
          <w:rFonts w:ascii="Arial" w:hAnsi="Arial" w:cs="Arial"/>
          <w:color w:val="4F81BD" w:themeColor="accent1"/>
          <w:sz w:val="22"/>
          <w:szCs w:val="22"/>
        </w:rPr>
      </w:pPr>
      <w:r w:rsidRPr="004404F1">
        <w:rPr>
          <w:rFonts w:ascii="Arial" w:hAnsi="Arial" w:cs="Arial"/>
          <w:b/>
          <w:color w:val="000000" w:themeColor="text1"/>
          <w:sz w:val="22"/>
          <w:szCs w:val="22"/>
        </w:rPr>
        <w:tab/>
      </w:r>
      <w:r w:rsidRPr="004404F1">
        <w:rPr>
          <w:rFonts w:ascii="Arial" w:hAnsi="Arial" w:cs="Arial"/>
          <w:sz w:val="22"/>
          <w:szCs w:val="22"/>
          <w:shd w:val="clear" w:color="auto" w:fill="FFFFFF"/>
        </w:rPr>
        <w:t xml:space="preserve">DEHB madde bağımlılığı ile ilgili sorunlarla da ilişkilidir. </w:t>
      </w:r>
      <w:r w:rsidRPr="004404F1">
        <w:rPr>
          <w:rFonts w:ascii="Arial" w:hAnsi="Arial" w:cs="Arial"/>
          <w:sz w:val="22"/>
          <w:szCs w:val="22"/>
        </w:rPr>
        <w:t>Madde bağımlılığı bulunan yaklaşık dört hastadan birinde DEHB</w:t>
      </w:r>
      <w:r>
        <w:rPr>
          <w:rFonts w:ascii="Arial" w:hAnsi="Arial" w:cs="Arial"/>
          <w:sz w:val="22"/>
          <w:szCs w:val="22"/>
        </w:rPr>
        <w:t xml:space="preserve"> ek tanısının</w:t>
      </w:r>
      <w:r w:rsidRPr="004404F1">
        <w:rPr>
          <w:rFonts w:ascii="Arial" w:hAnsi="Arial" w:cs="Arial"/>
          <w:sz w:val="22"/>
          <w:szCs w:val="22"/>
        </w:rPr>
        <w:t xml:space="preserve"> olduğu saptanmıştır</w:t>
      </w:r>
      <w:r>
        <w:rPr>
          <w:rFonts w:ascii="Arial" w:hAnsi="Arial" w:cs="Arial"/>
          <w:sz w:val="22"/>
          <w:szCs w:val="22"/>
        </w:rPr>
        <w:t xml:space="preserve"> </w:t>
      </w:r>
      <w:r w:rsidR="00BC3BBB">
        <w:rPr>
          <w:rFonts w:ascii="Arial" w:hAnsi="Arial" w:cs="Arial"/>
          <w:sz w:val="22"/>
          <w:szCs w:val="22"/>
        </w:rPr>
        <w:fldChar w:fldCharType="begin" w:fldLock="1"/>
      </w:r>
      <w:r>
        <w:rPr>
          <w:rFonts w:ascii="Arial" w:hAnsi="Arial" w:cs="Arial"/>
          <w:sz w:val="22"/>
          <w:szCs w:val="22"/>
        </w:rPr>
        <w:instrText>ADDIN CSL_CITATION { "citationItems" : [ { "id" : "ITEM-1", "itemData" : { "DOI" : "10.1016/j.drugalcdep.2011.12.007", "ISBN" : "1879-0046 (Electronic)\\r0376-8716 (Linking)", "PMID" : "22209385", "abstract" : "CONTEXT: Substance use disorders (SUD) are a major public health problem. Attention deficit hyperactivity disorder (ADHD) is a comorbid condition associated with both onset and prognosis of SUD. Prevalence estimates of ADHD in SUD vary significantly. OBJECTIVE: To obtain a best estimate of the prevalence of ADHD in SUD populations. DATA SOURCES: A literature search was conducted using MEDLINE, PsycINFO and EMBASE. Search terms were ADHD, substance-related disorders, addiction, drug abuse, drug dependence, alcohol abuse, alcoholism, comorbidity, and prevalence. Results were limited to the English language. STUDY SELECTION: After assessing the quality of the retrieved studies, 29 studies were selected. Studies in which nicotine was the primary drug of abuse were not included. DATA EXTRACTION: All relevant data were extracted and analysed in a meta-analysis. A series of meta-regression analyses was performed to evaluate the effect of age, primary substance of abuse, setting and assessment procedure on the prevalence of ADHD in a variety of SUD populations. DATA SYNTHESIS: Overall, 23.1% (CI: 19.4-27.2%) of all SUD subjects met DSM-criteria for comorbid ADHD. Cocaine dependence was associated with lower ADHD prevalence than alcohol dependence, opioid dependence and other addictions. Studies using the DICA or the SADS-L for the diagnosis of ADHD showed significantly higher comorbidity rates than studies using the KSADS, DISC, DIS or other assessment instruments. CONCLUSIONS: ADHD is present in almost one out of every four patients with SUD. The prevalence estimate is dependent on substance of abuse and assessment instrument.", "author" : [ { "dropping-particle" : "", "family" : "Emmerik-van Oortmerssen", "given" : "K", "non-dropping-particle" : "van", "parse-names" : false, "suffix" : "" }, { "dropping-particle" : "", "family" : "Glind", "given" : "G", "non-dropping-particle" : "van de", "parse-names" : false, "suffix" : "" }, { "dropping-particle" : "", "family" : "Brink", "given" : "W", "non-dropping-particle" : "van den", "parse-names" : false, "suffix" : "" }, { "dropping-particle" : "", "family" : "Smit", "given" : "F", "non-dropping-particle" : "", "parse-names" : false, "suffix" : "" }, { "dropping-particle" : "", "family" : "Crunelle", "given" : "C L", "non-dropping-particle" : "", "parse-names" : false, "suffix" : "" }, { "dropping-particle" : "", "family" : "Swets", "given" : "M", "non-dropping-particle" : "", "parse-names" : false, "suffix" : "" }, { "dropping-particle" : "", "family" : "Schoevers", "given" : "R A", "non-dropping-particle" : "", "parse-names" : false, "suffix" : "" } ], "container-title" : "Drug Alcohol Depend", "id" : "ITEM-1", "issue" : "1-2", "issued" : { "date-parts" : [ [ "2012" ] ] }, "page" : "11-19", "title" : "Prevalence of attention-deficit hyperactivity disorder in substance use disorder patients: a meta-analysis and meta-regression analysis", "type" : "article-journal", "volume" : "122" }, "uris" : [ "http://www.mendeley.com/documents/?uuid=3d3c1c3e-9766-4cff-843e-bba74e9eef5b" ] } ], "mendeley" : { "formattedCitation" : "(138)", "plainTextFormattedCitation" : "(138)", "previouslyFormattedCitation" : "(138)" }, "properties" : { "noteIndex" : 15 }, "schema" : "https://github.com/citation-style-language/schema/raw/master/csl-citation.json" }</w:instrText>
      </w:r>
      <w:r w:rsidR="00BC3BBB">
        <w:rPr>
          <w:rFonts w:ascii="Arial" w:hAnsi="Arial" w:cs="Arial"/>
          <w:sz w:val="22"/>
          <w:szCs w:val="22"/>
        </w:rPr>
        <w:fldChar w:fldCharType="separate"/>
      </w:r>
      <w:r w:rsidRPr="00F74A96">
        <w:rPr>
          <w:rFonts w:ascii="Arial" w:hAnsi="Arial" w:cs="Arial"/>
          <w:noProof/>
          <w:sz w:val="22"/>
          <w:szCs w:val="22"/>
        </w:rPr>
        <w:t>(138)</w:t>
      </w:r>
      <w:r w:rsidR="00BC3BBB">
        <w:rPr>
          <w:rFonts w:ascii="Arial" w:hAnsi="Arial" w:cs="Arial"/>
          <w:sz w:val="22"/>
          <w:szCs w:val="22"/>
        </w:rPr>
        <w:fldChar w:fldCharType="end"/>
      </w:r>
      <w:r w:rsidRPr="004404F1">
        <w:rPr>
          <w:rFonts w:ascii="Arial" w:hAnsi="Arial" w:cs="Arial"/>
          <w:sz w:val="22"/>
          <w:szCs w:val="22"/>
        </w:rPr>
        <w:t xml:space="preserve">. </w:t>
      </w:r>
      <w:r w:rsidRPr="004404F1">
        <w:rPr>
          <w:rFonts w:ascii="Arial" w:hAnsi="Arial" w:cs="Arial"/>
          <w:sz w:val="22"/>
          <w:szCs w:val="22"/>
          <w:shd w:val="clear" w:color="auto" w:fill="FFFFFF"/>
        </w:rPr>
        <w:t>Bu aşamada komorbid DB’nin ne dereceye kadar DEHB  ve madde kullanımı arasındaki ilişkiden sorumlu olduğu be</w:t>
      </w:r>
      <w:r>
        <w:rPr>
          <w:rFonts w:ascii="Arial" w:hAnsi="Arial" w:cs="Arial"/>
          <w:sz w:val="22"/>
          <w:szCs w:val="22"/>
          <w:shd w:val="clear" w:color="auto" w:fill="FFFFFF"/>
        </w:rPr>
        <w:t>lirlenememiştir</w:t>
      </w:r>
      <w:r w:rsidRPr="004404F1">
        <w:rPr>
          <w:rFonts w:ascii="Arial" w:hAnsi="Arial" w:cs="Arial"/>
          <w:sz w:val="22"/>
          <w:szCs w:val="22"/>
          <w:shd w:val="clear" w:color="auto" w:fill="FFFFFF"/>
        </w:rPr>
        <w:t xml:space="preserve">. </w:t>
      </w:r>
      <w:r w:rsidRPr="004404F1">
        <w:rPr>
          <w:rFonts w:ascii="Arial" w:hAnsi="Arial" w:cs="Arial"/>
          <w:sz w:val="22"/>
          <w:szCs w:val="22"/>
        </w:rPr>
        <w:t>DB komorbid olan çocukların ileride madde bağımlılığı riskinin daha yüksek olduğu saptanmış</w:t>
      </w:r>
      <w:r>
        <w:rPr>
          <w:rFonts w:ascii="Arial" w:hAnsi="Arial" w:cs="Arial"/>
          <w:sz w:val="22"/>
          <w:szCs w:val="22"/>
        </w:rPr>
        <w:t xml:space="preserve"> </w:t>
      </w:r>
      <w:r w:rsidR="00BC3BBB">
        <w:rPr>
          <w:rFonts w:ascii="Arial" w:hAnsi="Arial" w:cs="Arial"/>
          <w:sz w:val="22"/>
          <w:szCs w:val="22"/>
        </w:rPr>
        <w:fldChar w:fldCharType="begin" w:fldLock="1"/>
      </w:r>
      <w:r>
        <w:rPr>
          <w:rFonts w:ascii="Arial" w:hAnsi="Arial" w:cs="Arial"/>
          <w:sz w:val="22"/>
          <w:szCs w:val="22"/>
        </w:rPr>
        <w:instrText>ADDIN CSL_CITATION { "citationItems" : [ { "id" : "ITEM-1", "itemData" : { "DOI" : "10.1016/j.cpr.2011.01.006", "ISBN" : "1873-7811 (Electronic)\\n0272-7358 (Linking)", "ISSN" : "02727358", "PMID" : "21382538", "abstract" : "Given the clinical and public health significance of substance disorders and the need to identify their early risk factors, we examined the association of childhood attention-deficit/hyperactivity disorder (ADHD) with substance use (nicotine, alcohol, marijuana) and abuse/dependence outcomes (nicotine, alcohol, marijuana, cocaine, other). To strengthen a potential causal inference, we meta-analyzed longitudinal studies that prospectively followed children with and without ADHD into adolescence or adulthood. Children with ADHD were significantly more likely to have ever used nicotine and other substances, but not alcohol. Children with ADHD were also more likely to develop disorders of abuse/dependence for nicotine, alcohol, marijuana, cocaine, and other substances (i.e., unspecified). Sex, age, race, publication year, sample source, and version of the Diagnostic and Statistical Manual of Mental Disorders (DSM) used to diagnose ADHD did not significantly moderate the associations with substance outcomes that yielded heterogeneous effect sizes. These findings suggest that children with ADHD are significantly more likely to develop substance use disorders than children without ADHD and that this increased risk is robust to demographic and methodological differences that varied across the studies. Finally, few studies addressed ADHD and comorbid disruptive behavior disorders (DBD), thus preventing a formal meta-analytic review. However, we qualitatively summarize the results of these studies and conclude that comorbid DBD complicates inferences about the specificity of ADHD effects on substance use outcomes. ?? 2011 Elsevier Ltd.", "author" : [ { "dropping-particle" : "", "family" : "Lee", "given" : "Steve S.", "non-dropping-particle" : "", "parse-names" : false, "suffix" : "" }, { "dropping-particle" : "", "family" : "Humphreys", "given" : "Kathryn L.", "non-dropping-particle" : "", "parse-names" : false, "suffix" : "" }, { "dropping-particle" : "", "family" : "Flory", "given" : "Kate", "non-dropping-particle" : "", "parse-names" : false, "suffix" : "" }, { "dropping-particle" : "", "family" : "Liu", "given" : "Rebecca", "non-dropping-particle" : "", "parse-names" : false, "suffix" : "" }, { "dropping-particle" : "", "family" : "Glass", "given" : "Kerrie", "non-dropping-particle" : "", "parse-names" : false, "suffix" : "" } ], "container-title" : "Clinical Psychology Review", "id" : "ITEM-1", "issue" : "3", "issued" : { "date-parts" : [ [ "2011" ] ] }, "page" : "328-341", "title" : "Prospective association of childhood attention-deficit/hyperactivity disorder (ADHD) and substance use and abuse/dependence: A meta-analytic review", "type" : "article-journal", "volume" : "31" }, "uris" : [ "http://www.mendeley.com/documents/?uuid=92ecc403-b06e-46b6-be7b-55b363e8d8c3" ] } ], "mendeley" : { "formattedCitation" : "(139)", "plainTextFormattedCitation" : "(139)", "previouslyFormattedCitation" : "(139)" }, "properties" : { "noteIndex" : 15 }, "schema" : "https://github.com/citation-style-language/schema/raw/master/csl-citation.json" }</w:instrText>
      </w:r>
      <w:r w:rsidR="00BC3BBB">
        <w:rPr>
          <w:rFonts w:ascii="Arial" w:hAnsi="Arial" w:cs="Arial"/>
          <w:sz w:val="22"/>
          <w:szCs w:val="22"/>
        </w:rPr>
        <w:fldChar w:fldCharType="separate"/>
      </w:r>
      <w:r w:rsidRPr="00F74A96">
        <w:rPr>
          <w:rFonts w:ascii="Arial" w:hAnsi="Arial" w:cs="Arial"/>
          <w:noProof/>
          <w:sz w:val="22"/>
          <w:szCs w:val="22"/>
        </w:rPr>
        <w:t>(139)</w:t>
      </w:r>
      <w:r w:rsidR="00BC3BBB">
        <w:rPr>
          <w:rFonts w:ascii="Arial" w:hAnsi="Arial" w:cs="Arial"/>
          <w:sz w:val="22"/>
          <w:szCs w:val="22"/>
        </w:rPr>
        <w:fldChar w:fldCharType="end"/>
      </w:r>
      <w:r w:rsidRPr="004404F1">
        <w:rPr>
          <w:rFonts w:ascii="Arial" w:hAnsi="Arial" w:cs="Arial"/>
          <w:sz w:val="22"/>
          <w:szCs w:val="22"/>
        </w:rPr>
        <w:t>,</w:t>
      </w:r>
      <w:r w:rsidRPr="004404F1">
        <w:rPr>
          <w:rFonts w:ascii="Arial" w:hAnsi="Arial" w:cs="Arial"/>
          <w:color w:val="212121"/>
          <w:sz w:val="22"/>
          <w:szCs w:val="22"/>
        </w:rPr>
        <w:t xml:space="preserve">  </w:t>
      </w:r>
      <w:r w:rsidRPr="004404F1">
        <w:rPr>
          <w:rFonts w:ascii="Arial" w:hAnsi="Arial" w:cs="Arial"/>
          <w:sz w:val="22"/>
          <w:szCs w:val="22"/>
          <w:shd w:val="clear" w:color="auto" w:fill="FFFFFF"/>
        </w:rPr>
        <w:t xml:space="preserve">ayrıca </w:t>
      </w:r>
      <w:r w:rsidRPr="004404F1">
        <w:rPr>
          <w:rFonts w:ascii="Arial" w:hAnsi="Arial" w:cs="Arial"/>
          <w:sz w:val="22"/>
          <w:szCs w:val="22"/>
        </w:rPr>
        <w:t>DEHB’nin madde kötüye kullanımına olan bağımsız etkisi de kanıtlanmıştır</w:t>
      </w:r>
      <w:r>
        <w:rPr>
          <w:rFonts w:ascii="Arial" w:hAnsi="Arial" w:cs="Arial"/>
          <w:sz w:val="22"/>
          <w:szCs w:val="22"/>
        </w:rPr>
        <w:t xml:space="preserve"> </w:t>
      </w:r>
      <w:r w:rsidR="00BC3BBB">
        <w:rPr>
          <w:rFonts w:ascii="Arial" w:hAnsi="Arial" w:cs="Arial"/>
          <w:sz w:val="22"/>
          <w:szCs w:val="22"/>
        </w:rPr>
        <w:fldChar w:fldCharType="begin" w:fldLock="1"/>
      </w:r>
      <w:r>
        <w:rPr>
          <w:rFonts w:ascii="Arial" w:hAnsi="Arial" w:cs="Arial"/>
          <w:sz w:val="22"/>
          <w:szCs w:val="22"/>
        </w:rPr>
        <w:instrText>ADDIN CSL_CITATION { "citationItems" : [ { "id" : "ITEM-1", "itemData" : { "DOI" : "ADD1850 [pii]\\r10.1111/j.1360-0443.2007.01850.x", "ISBN" : "0965-2140 (Print)\\r0965-2140 (Linking)", "ISSN" : "0965-2140", "PMID" : "17567400", "abstract" : "AIMS: This study aims at evaluating the association between attention-deficit/hyperactivity disorder (ADHD) and illicit substance use disorders (SUD) (marijuana, cocaine and inhalants), controlling for the association with conduct disorder (CD), in a community-based sample of adolescents. DESIGN: Case-control, community-based study. SETTING: A delimited geographical area in the South of Brazil, served by four public health clinics. PARTICIPANTS: A total of 968 male adolescents (15-20 years of age) were screened for SUD in their households. Of the subjects who were screened positive, we selected 61 cases with illicit SUD. For each case we selected, from the group which was screened negative, three controls without illicit or alcohol SUD, matched by age and proximity with the case's household. MEASUREMENTS: The screening instrument was the Alcohol Smoking and Substance Screening Test (ASSIST). SUD diagnoses were assessed by the drug section of the Mini International Neuropsychiatry Interview (MINI). Other psychiatric diagnoses were based on semistructured (Schedule for Affective Disorders and Schizophrenia for School-Age Children-epidemiological version; MINI) and clinical interviews. FINDINGS: Adolescents with ADHD presented a significantly higher odds ratio (OR) for illicit SUD than youths without ADHD, even after adjusting for potential confounders (CD, ethnicity, religion and estimated IQ) (OR = 9.12; 95% CI = 2.84-29.31, P &lt; 0.01). CONCLUSIONS: Our results suggest an association between ADHD and illicit SUD in Brazilian adolescents that is not mediated by CD. These findings are potentially important from a prevention perspective because treatments are available for ADHD.", "author" : [ { "dropping-particle" : "", "family" : "Szobot", "given" : "C M", "non-dropping-particle" : "", "parse-names" : false, "suffix" : "" }, { "dropping-particle" : "", "family" : "Rohde", "given" : "L A", "non-dropping-particle" : "", "parse-names" : false, "suffix" : "" }, { "dropping-particle" : "", "family" : "Bukstein", "given" : "O", "non-dropping-particle" : "", "parse-names" : false, "suffix" : "" }, { "dropping-particle" : "", "family" : "Molina", "given" : "B S", "non-dropping-particle" : "", "parse-names" : false, "suffix" : "" }, { "dropping-particle" : "", "family" : "Martins", "given" : "C", "non-dropping-particle" : "", "parse-names" : false, "suffix" : "" }, { "dropping-particle" : "", "family" : "Ruaro", "given" : "P", "non-dropping-particle" : "", "parse-names" : false, "suffix" : "" }, { "dropping-particle" : "", "family" : "Pechansky", "given" : "F", "non-dropping-particle" : "", "parse-names" : false, "suffix" : "" } ], "container-title" : "Addiction", "id" : "ITEM-1", "issue" : "7", "issued" : { "date-parts" : [ [ "2007" ] ] }, "page" : "1122-1130", "title" : "Is attention-deficit/hyperactivity disorder associated with illicit substance use disorders in male adolescents? A community-based case-control study", "type" : "article-journal", "volume" : "102" }, "uris" : [ "http://www.mendeley.com/documents/?uuid=4558b460-3007-4764-b90b-9b01aeb6f1ea" ] } ], "mendeley" : { "formattedCitation" : "(140)", "plainTextFormattedCitation" : "(140)", "previouslyFormattedCitation" : "(140)" }, "properties" : { "noteIndex" : 15 }, "schema" : "https://github.com/citation-style-language/schema/raw/master/csl-citation.json" }</w:instrText>
      </w:r>
      <w:r w:rsidR="00BC3BBB">
        <w:rPr>
          <w:rFonts w:ascii="Arial" w:hAnsi="Arial" w:cs="Arial"/>
          <w:sz w:val="22"/>
          <w:szCs w:val="22"/>
        </w:rPr>
        <w:fldChar w:fldCharType="separate"/>
      </w:r>
      <w:r w:rsidRPr="00F74A96">
        <w:rPr>
          <w:rFonts w:ascii="Arial" w:hAnsi="Arial" w:cs="Arial"/>
          <w:noProof/>
          <w:sz w:val="22"/>
          <w:szCs w:val="22"/>
        </w:rPr>
        <w:t>(140)</w:t>
      </w:r>
      <w:r w:rsidR="00BC3BBB">
        <w:rPr>
          <w:rFonts w:ascii="Arial" w:hAnsi="Arial" w:cs="Arial"/>
          <w:sz w:val="22"/>
          <w:szCs w:val="22"/>
        </w:rPr>
        <w:fldChar w:fldCharType="end"/>
      </w:r>
      <w:r w:rsidRPr="004404F1">
        <w:rPr>
          <w:rFonts w:ascii="Arial" w:hAnsi="Arial" w:cs="Arial"/>
          <w:sz w:val="22"/>
          <w:szCs w:val="22"/>
        </w:rPr>
        <w:t xml:space="preserve">. </w:t>
      </w:r>
      <w:r>
        <w:rPr>
          <w:rFonts w:ascii="Arial" w:hAnsi="Arial" w:cs="Arial"/>
          <w:color w:val="212121"/>
          <w:sz w:val="22"/>
          <w:szCs w:val="22"/>
        </w:rPr>
        <w:t>Meta-anal</w:t>
      </w:r>
      <w:r w:rsidRPr="004404F1">
        <w:rPr>
          <w:rFonts w:ascii="Arial" w:hAnsi="Arial" w:cs="Arial"/>
          <w:color w:val="212121"/>
          <w:sz w:val="22"/>
          <w:szCs w:val="22"/>
        </w:rPr>
        <w:t xml:space="preserve">izler, farmakoterapi tedavisi alan çocukların, almayanlarla karşılaştırıldığında, madde kötüye kullanımı riskinin 1.9 kat azaldığını </w:t>
      </w:r>
      <w:r>
        <w:rPr>
          <w:rFonts w:ascii="Arial" w:hAnsi="Arial" w:cs="Arial"/>
          <w:color w:val="212121"/>
          <w:sz w:val="22"/>
          <w:szCs w:val="22"/>
        </w:rPr>
        <w:t xml:space="preserve">göstermektedir </w:t>
      </w:r>
      <w:r w:rsidR="00BC3BBB">
        <w:rPr>
          <w:rFonts w:ascii="Arial" w:hAnsi="Arial" w:cs="Arial"/>
          <w:color w:val="212121"/>
          <w:sz w:val="22"/>
          <w:szCs w:val="22"/>
        </w:rPr>
        <w:fldChar w:fldCharType="begin" w:fldLock="1"/>
      </w:r>
      <w:r>
        <w:rPr>
          <w:rFonts w:ascii="Arial" w:hAnsi="Arial" w:cs="Arial"/>
          <w:color w:val="212121"/>
          <w:sz w:val="22"/>
          <w:szCs w:val="22"/>
        </w:rPr>
        <w:instrText>ADDIN CSL_CITATION { "citationItems" : [ { "id" : "ITEM-1", "itemData" : { "DOI" : "10.1542/peds.111.1.179", "ISBN" : "1098-4275 (Electronic)\\r0031-4005 (Linking)", "ISSN" : "0031-4005", "PMID" : "12509574", "abstract" : "Objective. Concerns exist that stimulant therapy of youths with attention-deficit/hyperactivity disorder (ADHD) may result in an increased risk for subsequent substance use disorders (SUD). We investi-gated all long-term studies in which pharmacologically treated and untreated youths with ADHD were examined for later SUD outcomes. Methods. A search of all available prospective and retrospective studies of children, adolescents, and adults with ADHD that had information relating childhood ex-posure to stimulant therapy and later SUD outcome in adolescence or adulthood was conducted through PubMed supplemented with data from scientific presen-tations. Meta-analysis was used to evaluate the relation-ship between stimulant therapy and subsequent SUD in youths with ADHD in general while addressing specifi-cally differential effects on alcohol use disorders or drug use disorders and the potential effects of covariates. Results. Six studies\u20142 with follow-up in adolescence and 4 in young adulthood\u2014were included and com-prised 674 medicated subjects and 360 unmedicated sub-jects who were followed at least 4 years. The pooled estimate of the odds ratio indicated a 1.9-fold reduction in risk for SUD in youths who were treated with stimu-lants compared with youths who did not receive phar-macotherapy for ADHD (z \u202b\u060d\u202c 2.1; 95% confidence interval for odds ratio [OR]: 1.1\u20133.6). We found similar reductions in risk for later drug and alcohol use disorders (z \u202b\u060d\u202c 1.1). Studies that reported follow-up into adolescence showed a greater protective effect on the development of SUD (OR: 5.8) than studies that followed subjects into adult-hood (OR: 1.4). Additional analyses showed that the re-sults could not be accounted for by any single study or by publication bias. Conclusion. Our results suggest that stimulant ther-apy in childhood is associated with a reduction in the risk for subsequent drug and alcohol use disorders. Pediatrics 2003;111:179 \u2013185; attention-deficit/hyperactiv-ity disorder, substance use, pharmacotherapy. ABBREVIATIONS. ADHD, attention-deficit/hyperactivity disor-der; SUD, substance use disorders; OR, odds ratio; POR, precision of the odds ratio; SN, standard normal deviate; CI, confidence interval; A ttention-deficit/hyperactivity disorder (ADHD) is the most common neurobehavioral disorder that is presented for treatment. It is estimated to affect from 4% to 9% of youths. 1\u20133 Pharmacotherapy in general and stimulants in particular remain a mainstay of tr\u2026", "author" : [ { "dropping-particle" : "", "family" : "Wilens", "given" : "T. E.", "non-dropping-particle" : "", "parse-names" : false, "suffix" : "" }, { "dropping-particle" : "V.", "family" : "Faraone", "given" : "S.", "non-dropping-particle" : "", "parse-names" : false, "suffix" : "" }, { "dropping-particle" : "", "family" : "Biederman", "given" : "J.", "non-dropping-particle" : "", "parse-names" : false, "suffix" : "" }, { "dropping-particle" : "", "family" : "Gunawardene", "given" : "S.", "non-dropping-particle" : "", "parse-names" : false, "suffix" : "" } ], "container-title" : "Pediatrics", "id" : "ITEM-1", "issue" : "1", "issued" : { "date-parts" : [ [ "2003" ] ] }, "page" : "179-185", "title" : "Does Stimulant Therapy of Attention-Deficit/Hyperactivity Disorder Beget Later Substance Abuse? A Meta-analytic Review of the Literature", "type" : "article-journal", "volume" : "111" }, "uris" : [ "http://www.mendeley.com/documents/?uuid=581bb3f3-b46e-4b37-bbf6-d562f7094335" ] } ], "mendeley" : { "formattedCitation" : "(141)", "plainTextFormattedCitation" : "(141)", "previouslyFormattedCitation" : "(141)" }, "properties" : { "noteIndex" : 15 }, "schema" : "https://github.com/citation-style-language/schema/raw/master/csl-citation.json" }</w:instrText>
      </w:r>
      <w:r w:rsidR="00BC3BBB">
        <w:rPr>
          <w:rFonts w:ascii="Arial" w:hAnsi="Arial" w:cs="Arial"/>
          <w:color w:val="212121"/>
          <w:sz w:val="22"/>
          <w:szCs w:val="22"/>
        </w:rPr>
        <w:fldChar w:fldCharType="separate"/>
      </w:r>
      <w:r w:rsidRPr="00F74A96">
        <w:rPr>
          <w:rFonts w:ascii="Arial" w:hAnsi="Arial" w:cs="Arial"/>
          <w:noProof/>
          <w:color w:val="212121"/>
          <w:sz w:val="22"/>
          <w:szCs w:val="22"/>
        </w:rPr>
        <w:t>(141)</w:t>
      </w:r>
      <w:r w:rsidR="00BC3BBB">
        <w:rPr>
          <w:rFonts w:ascii="Arial" w:hAnsi="Arial" w:cs="Arial"/>
          <w:color w:val="212121"/>
          <w:sz w:val="22"/>
          <w:szCs w:val="22"/>
        </w:rPr>
        <w:fldChar w:fldCharType="end"/>
      </w:r>
      <w:r w:rsidRPr="004404F1">
        <w:rPr>
          <w:rFonts w:ascii="Arial" w:hAnsi="Arial" w:cs="Arial"/>
          <w:color w:val="212121"/>
          <w:sz w:val="22"/>
          <w:szCs w:val="22"/>
        </w:rPr>
        <w:t xml:space="preserve">. </w:t>
      </w:r>
    </w:p>
    <w:p w:rsidR="00C60153" w:rsidRDefault="00C60153" w:rsidP="00C60153">
      <w:pPr>
        <w:pStyle w:val="HTMLncedenBiimlendirilmi"/>
        <w:shd w:val="clear" w:color="auto" w:fill="FFFFFF"/>
        <w:rPr>
          <w:rFonts w:ascii="inherit" w:hAnsi="inherit"/>
          <w:color w:val="212121"/>
        </w:rPr>
      </w:pPr>
    </w:p>
    <w:p w:rsidR="00DA176E" w:rsidRDefault="00DA176E" w:rsidP="00C60153">
      <w:pPr>
        <w:pStyle w:val="HTMLncedenBiimlendirilmi"/>
        <w:shd w:val="clear" w:color="auto" w:fill="FFFFFF"/>
        <w:rPr>
          <w:rFonts w:ascii="inherit" w:hAnsi="inherit"/>
          <w:color w:val="212121"/>
        </w:rPr>
      </w:pPr>
    </w:p>
    <w:p w:rsidR="00DA176E" w:rsidRDefault="00DA176E" w:rsidP="00C60153">
      <w:pPr>
        <w:pStyle w:val="HTMLncedenBiimlendirilmi"/>
        <w:shd w:val="clear" w:color="auto" w:fill="FFFFFF"/>
        <w:rPr>
          <w:rFonts w:ascii="inherit" w:hAnsi="inherit"/>
          <w:color w:val="212121"/>
        </w:rPr>
      </w:pPr>
    </w:p>
    <w:p w:rsidR="00EC4DCF" w:rsidRDefault="00C60153" w:rsidP="00C60153">
      <w:pPr>
        <w:pStyle w:val="HTMLncedenBiimlendirilmi"/>
        <w:shd w:val="clear" w:color="auto" w:fill="FFFFFF"/>
        <w:spacing w:line="360" w:lineRule="auto"/>
        <w:rPr>
          <w:rFonts w:ascii="Arial" w:hAnsi="Arial" w:cs="Arial"/>
          <w:b/>
          <w:color w:val="212121"/>
          <w:sz w:val="22"/>
          <w:szCs w:val="22"/>
        </w:rPr>
      </w:pPr>
      <w:r w:rsidRPr="003F1C96">
        <w:rPr>
          <w:rFonts w:ascii="Arial" w:hAnsi="Arial" w:cs="Arial"/>
          <w:b/>
          <w:color w:val="212121"/>
          <w:sz w:val="22"/>
          <w:szCs w:val="22"/>
        </w:rPr>
        <w:lastRenderedPageBreak/>
        <w:tab/>
      </w:r>
    </w:p>
    <w:p w:rsidR="00C60153" w:rsidRPr="003F1C96" w:rsidRDefault="00EC4DCF" w:rsidP="00C60153">
      <w:pPr>
        <w:pStyle w:val="HTMLncedenBiimlendirilmi"/>
        <w:shd w:val="clear" w:color="auto" w:fill="FFFFFF"/>
        <w:spacing w:line="360" w:lineRule="auto"/>
        <w:rPr>
          <w:rFonts w:ascii="Arial" w:hAnsi="Arial" w:cs="Arial"/>
          <w:b/>
          <w:color w:val="212121"/>
          <w:sz w:val="22"/>
          <w:szCs w:val="22"/>
        </w:rPr>
      </w:pPr>
      <w:r>
        <w:rPr>
          <w:rFonts w:ascii="Arial" w:hAnsi="Arial" w:cs="Arial"/>
          <w:b/>
          <w:color w:val="212121"/>
          <w:sz w:val="22"/>
          <w:szCs w:val="22"/>
        </w:rPr>
        <w:tab/>
      </w:r>
      <w:r w:rsidR="00C60153" w:rsidRPr="003F1C96">
        <w:rPr>
          <w:rFonts w:ascii="Arial" w:hAnsi="Arial" w:cs="Arial"/>
          <w:b/>
          <w:color w:val="212121"/>
          <w:sz w:val="22"/>
          <w:szCs w:val="22"/>
        </w:rPr>
        <w:t>TEDAVİ</w:t>
      </w:r>
    </w:p>
    <w:p w:rsidR="00C60153" w:rsidRPr="00EC4DCF" w:rsidRDefault="00EC4DCF" w:rsidP="00EC4DCF">
      <w:pPr>
        <w:pStyle w:val="HTMLncedenBiimlendirilmi"/>
        <w:shd w:val="clear" w:color="auto" w:fill="FFFFFF"/>
        <w:spacing w:line="360" w:lineRule="auto"/>
        <w:jc w:val="both"/>
        <w:rPr>
          <w:rFonts w:ascii="Arial" w:hAnsi="Arial" w:cs="Arial"/>
          <w:color w:val="E36C0A" w:themeColor="accent6" w:themeShade="BF"/>
          <w:sz w:val="22"/>
          <w:szCs w:val="22"/>
        </w:rPr>
      </w:pPr>
      <w:r>
        <w:rPr>
          <w:rFonts w:ascii="Arial" w:hAnsi="Arial" w:cs="Arial"/>
          <w:color w:val="212121"/>
          <w:sz w:val="22"/>
          <w:szCs w:val="22"/>
        </w:rPr>
        <w:tab/>
      </w:r>
      <w:r w:rsidR="00C60153" w:rsidRPr="003F1C96">
        <w:rPr>
          <w:rFonts w:ascii="Arial" w:hAnsi="Arial" w:cs="Arial"/>
          <w:color w:val="212121"/>
          <w:sz w:val="22"/>
          <w:szCs w:val="22"/>
        </w:rPr>
        <w:t xml:space="preserve">Semptomların yönetimi ve işlevselliği iyileştirmek için farmakolojik ve farmakolojik olmayan tedavi seçenekleri mevcuttur. </w:t>
      </w:r>
      <w:r w:rsidR="00C60153">
        <w:rPr>
          <w:rFonts w:ascii="Arial" w:hAnsi="Arial" w:cs="Arial"/>
          <w:color w:val="212121"/>
          <w:sz w:val="22"/>
          <w:szCs w:val="22"/>
          <w:shd w:val="clear" w:color="auto" w:fill="FFFFFF"/>
        </w:rPr>
        <w:t>Farmakolojik tedaviler hem stimulan</w:t>
      </w:r>
      <w:r w:rsidR="00C60153" w:rsidRPr="003F1C96">
        <w:rPr>
          <w:rFonts w:ascii="Arial" w:hAnsi="Arial" w:cs="Arial"/>
          <w:color w:val="212121"/>
          <w:sz w:val="22"/>
          <w:szCs w:val="22"/>
          <w:shd w:val="clear" w:color="auto" w:fill="FFFFFF"/>
        </w:rPr>
        <w:t xml:space="preserve"> hem de </w:t>
      </w:r>
      <w:r w:rsidR="00C60153">
        <w:rPr>
          <w:rFonts w:ascii="Arial" w:hAnsi="Arial" w:cs="Arial"/>
          <w:color w:val="212121"/>
          <w:sz w:val="22"/>
          <w:szCs w:val="22"/>
          <w:shd w:val="clear" w:color="auto" w:fill="FFFFFF"/>
        </w:rPr>
        <w:t>stimulan</w:t>
      </w:r>
      <w:r w:rsidR="00C60153" w:rsidRPr="003F1C96">
        <w:rPr>
          <w:rFonts w:ascii="Arial" w:hAnsi="Arial" w:cs="Arial"/>
          <w:color w:val="212121"/>
          <w:sz w:val="22"/>
          <w:szCs w:val="22"/>
          <w:shd w:val="clear" w:color="auto" w:fill="FFFFFF"/>
        </w:rPr>
        <w:t xml:space="preserve"> olmayan seçenekleri içerirken, tavsiye edilen farmakolojik olmayan tedavilere davranışsal ebeveynlik müdahal</w:t>
      </w:r>
      <w:r w:rsidR="00C60153">
        <w:rPr>
          <w:rFonts w:ascii="Arial" w:hAnsi="Arial" w:cs="Arial"/>
          <w:color w:val="212121"/>
          <w:sz w:val="22"/>
          <w:szCs w:val="22"/>
          <w:shd w:val="clear" w:color="auto" w:fill="FFFFFF"/>
        </w:rPr>
        <w:t>eleri ve çocuk psikolojik tedav</w:t>
      </w:r>
      <w:r w:rsidR="00C60153" w:rsidRPr="003F1C96">
        <w:rPr>
          <w:rFonts w:ascii="Arial" w:hAnsi="Arial" w:cs="Arial"/>
          <w:color w:val="212121"/>
          <w:sz w:val="22"/>
          <w:szCs w:val="22"/>
          <w:shd w:val="clear" w:color="auto" w:fill="FFFFFF"/>
        </w:rPr>
        <w:t>i</w:t>
      </w:r>
      <w:r w:rsidR="00C60153">
        <w:rPr>
          <w:rFonts w:ascii="Arial" w:hAnsi="Arial" w:cs="Arial"/>
          <w:color w:val="212121"/>
          <w:sz w:val="22"/>
          <w:szCs w:val="22"/>
          <w:shd w:val="clear" w:color="auto" w:fill="FFFFFF"/>
        </w:rPr>
        <w:t>si</w:t>
      </w:r>
      <w:r w:rsidR="00C60153" w:rsidRPr="003F1C96">
        <w:rPr>
          <w:rFonts w:ascii="Arial" w:hAnsi="Arial" w:cs="Arial"/>
          <w:color w:val="212121"/>
          <w:sz w:val="22"/>
          <w:szCs w:val="22"/>
          <w:shd w:val="clear" w:color="auto" w:fill="FFFFFF"/>
        </w:rPr>
        <w:t xml:space="preserve"> dahildir</w:t>
      </w:r>
      <w:r w:rsidR="00C60153">
        <w:rPr>
          <w:rFonts w:ascii="Arial" w:hAnsi="Arial" w:cs="Arial"/>
          <w:color w:val="212121"/>
          <w:sz w:val="22"/>
          <w:szCs w:val="22"/>
          <w:shd w:val="clear" w:color="auto" w:fill="FFFFFF"/>
        </w:rPr>
        <w:t xml:space="preserve"> </w:t>
      </w:r>
      <w:r w:rsidR="00BC3BBB">
        <w:rPr>
          <w:rFonts w:ascii="Arial" w:hAnsi="Arial" w:cs="Arial"/>
          <w:color w:val="212121"/>
          <w:sz w:val="22"/>
          <w:szCs w:val="22"/>
          <w:shd w:val="clear" w:color="auto" w:fill="FFFFFF"/>
        </w:rPr>
        <w:fldChar w:fldCharType="begin" w:fldLock="1"/>
      </w:r>
      <w:r w:rsidR="00C60153">
        <w:rPr>
          <w:rFonts w:ascii="Arial" w:hAnsi="Arial" w:cs="Arial"/>
          <w:color w:val="212121"/>
          <w:sz w:val="22"/>
          <w:szCs w:val="22"/>
          <w:shd w:val="clear" w:color="auto" w:fill="FFFFFF"/>
        </w:rPr>
        <w:instrText>ADDIN CSL_CITATION { "citationItems" : [ { "id" : "ITEM-1", "itemData" : { "DOI" : "10.1111/cch.12139", "ISBN" : "0305-1862", "ISSN" : "03051862", "abstract" : "Attention-deficit hyperactivity disorder ( ADHD) is a complex disorder that can affect individuals across the lifespan. It is associated with substantial heterogeneity in terms of aetiology, clinical presentation and treatment outcome and is the subject of extensive research. Because of this, it can be difficult for clinicians to stay up to date with the most relevant findings and know how best to respond to parents' questions and concerns about the disorder and interventions. This is a narrative review that aims to summarize key findings from recent research into ADHD and its treatment that clinicians can share with families in order to increase their knowledge about ADHD and intervention options. ADHD develops as a result of complex interplay between interdependent genetic and non-genetic factors. The disorder is associated with substantial impairments in functioning and poor long-term outcomes. Pharmacological and non-pharmacological treatment options are available for symptom management and to improve function, but functioning outcomes often fail to normalize in children with ADHD. Despite extensive advances in understanding this complex disorder, it is clear that there is still a long way to go. In particular, we address the need for future non-pharmacological interventions to be more specifically targeted for ADHD symptoms and its commonly associated functioning deficits in order to ensure the best long-term outcomes for children with ADHD. [ABSTRACT FROM AUTHOR]", "author" : [ { "dropping-particle" : "", "family" : "Tarver", "given" : "J", "non-dropping-particle" : "", "parse-names" : false, "suffix" : "" }, { "dropping-particle" : "", "family" : "Daley", "given" : "D", "non-dropping-particle" : "", "parse-names" : false, "suffix" : "" }, { "dropping-particle" : "", "family" : "Sayal", "given" : "K", "non-dropping-particle" : "", "parse-names" : false, "suffix" : "" } ], "container-title" : "Child: Care, Health &amp; Development", "id" : "ITEM-1", "issue" : "6", "issued" : { "date-parts" : [ [ "2014" ] ] }, "page" : "762-774", "title" : "Attention-deficit hyperactivity disorder ( ADHD): an updated review of the essential facts.", "type" : "article-journal", "volume" : "40" }, "uris" : [ "http://www.mendeley.com/documents/?uuid=a435d2a9-aedb-4690-8342-390436c404f0" ] } ], "mendeley" : { "formattedCitation" : "(68)", "plainTextFormattedCitation" : "(68)", "previouslyFormattedCitation" : "(68)" }, "properties" : { "noteIndex" : 15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00C60153" w:rsidRPr="00F74A96">
        <w:rPr>
          <w:rFonts w:ascii="Arial" w:hAnsi="Arial" w:cs="Arial"/>
          <w:noProof/>
          <w:color w:val="212121"/>
          <w:sz w:val="22"/>
          <w:szCs w:val="22"/>
          <w:shd w:val="clear" w:color="auto" w:fill="FFFFFF"/>
        </w:rPr>
        <w:t>(68)</w:t>
      </w:r>
      <w:r w:rsidR="00BC3BBB">
        <w:rPr>
          <w:rFonts w:ascii="Arial" w:hAnsi="Arial" w:cs="Arial"/>
          <w:color w:val="212121"/>
          <w:sz w:val="22"/>
          <w:szCs w:val="22"/>
          <w:shd w:val="clear" w:color="auto" w:fill="FFFFFF"/>
        </w:rPr>
        <w:fldChar w:fldCharType="end"/>
      </w:r>
      <w:r w:rsidR="00C60153" w:rsidRPr="003F1C96">
        <w:rPr>
          <w:rFonts w:ascii="Arial" w:hAnsi="Arial" w:cs="Arial"/>
          <w:color w:val="212121"/>
          <w:sz w:val="22"/>
          <w:szCs w:val="22"/>
          <w:shd w:val="clear" w:color="auto" w:fill="FFFFFF"/>
        </w:rPr>
        <w:t>.</w:t>
      </w:r>
      <w:r w:rsidR="00C60153" w:rsidRPr="003F1C96">
        <w:rPr>
          <w:rFonts w:ascii="Arial" w:hAnsi="Arial" w:cs="Arial"/>
          <w:color w:val="212121"/>
          <w:sz w:val="22"/>
          <w:szCs w:val="22"/>
        </w:rPr>
        <w:t xml:space="preserve"> </w:t>
      </w:r>
    </w:p>
    <w:p w:rsidR="00C60153" w:rsidRPr="007A2887" w:rsidRDefault="00C60153" w:rsidP="00C60153">
      <w:pPr>
        <w:pStyle w:val="HTMLncedenBiimlendirilmi"/>
        <w:shd w:val="clear" w:color="auto" w:fill="FFFFFF"/>
        <w:spacing w:line="360" w:lineRule="auto"/>
        <w:rPr>
          <w:rFonts w:ascii="Arial" w:hAnsi="Arial" w:cs="Arial"/>
          <w:b/>
          <w:sz w:val="22"/>
          <w:szCs w:val="22"/>
        </w:rPr>
      </w:pPr>
      <w:r w:rsidRPr="007A2887">
        <w:rPr>
          <w:rFonts w:ascii="Arial" w:hAnsi="Arial" w:cs="Arial"/>
          <w:b/>
          <w:sz w:val="22"/>
          <w:szCs w:val="22"/>
        </w:rPr>
        <w:tab/>
        <w:t>Farmakoterapi</w:t>
      </w:r>
    </w:p>
    <w:p w:rsidR="00C60153" w:rsidRPr="00EC4DCF" w:rsidRDefault="00C60153" w:rsidP="00EC4DCF">
      <w:pPr>
        <w:pStyle w:val="HTMLncedenBiimlendirilmi"/>
        <w:shd w:val="clear" w:color="auto" w:fill="FFFFFF"/>
        <w:spacing w:line="360" w:lineRule="auto"/>
        <w:jc w:val="both"/>
        <w:rPr>
          <w:rFonts w:ascii="Arial" w:hAnsi="Arial" w:cs="Arial"/>
          <w:color w:val="4F81BD" w:themeColor="accent1"/>
          <w:sz w:val="22"/>
          <w:szCs w:val="22"/>
          <w:shd w:val="clear" w:color="auto" w:fill="FFFFFF"/>
        </w:rPr>
      </w:pPr>
      <w:r w:rsidRPr="007A2887">
        <w:rPr>
          <w:rFonts w:ascii="Arial" w:hAnsi="Arial" w:cs="Arial"/>
          <w:b/>
          <w:sz w:val="22"/>
          <w:szCs w:val="22"/>
        </w:rPr>
        <w:tab/>
      </w:r>
      <w:r w:rsidRPr="007A2887">
        <w:rPr>
          <w:rFonts w:ascii="Arial" w:hAnsi="Arial" w:cs="Arial"/>
          <w:color w:val="212121"/>
          <w:sz w:val="22"/>
          <w:szCs w:val="22"/>
        </w:rPr>
        <w:t>Farmakoterapi</w:t>
      </w:r>
      <w:r>
        <w:rPr>
          <w:rFonts w:ascii="Arial" w:hAnsi="Arial" w:cs="Arial"/>
          <w:color w:val="212121"/>
          <w:sz w:val="22"/>
          <w:szCs w:val="22"/>
        </w:rPr>
        <w:t>nin DEHB belirtilerini kısa vadede iyileştirme</w:t>
      </w:r>
      <w:r w:rsidRPr="007A2887">
        <w:rPr>
          <w:rFonts w:ascii="Arial" w:hAnsi="Arial" w:cs="Arial"/>
          <w:color w:val="212121"/>
          <w:sz w:val="22"/>
          <w:szCs w:val="22"/>
        </w:rPr>
        <w:t xml:space="preserve"> etkinliği kanıtlamıştır, dolayısıyla orta ila ağır düzeyde bozulma gösteren okul çağındaki çocuklar için multimodal tedavi yaklaşımının bir parçası olarak önerilmektedi</w:t>
      </w:r>
      <w:r>
        <w:rPr>
          <w:rFonts w:ascii="Arial" w:hAnsi="Arial" w:cs="Arial"/>
          <w:color w:val="212121"/>
          <w:sz w:val="22"/>
          <w:szCs w:val="22"/>
        </w:rPr>
        <w:t xml:space="preserve">r </w:t>
      </w:r>
      <w:r w:rsidR="00BC3BBB">
        <w:rPr>
          <w:rFonts w:ascii="Arial" w:hAnsi="Arial" w:cs="Arial"/>
          <w:color w:val="212121"/>
          <w:sz w:val="22"/>
          <w:szCs w:val="22"/>
        </w:rPr>
        <w:fldChar w:fldCharType="begin" w:fldLock="1"/>
      </w:r>
      <w:r>
        <w:rPr>
          <w:rFonts w:ascii="Arial" w:hAnsi="Arial" w:cs="Arial"/>
          <w:color w:val="212121"/>
          <w:sz w:val="22"/>
          <w:szCs w:val="22"/>
        </w:rPr>
        <w:instrText>ADDIN CSL_CITATION { "citationItems" : [ { "id" : "ITEM-1", "itemData" : { "author" : [ { "dropping-particle" : "", "family" : "National Institute for Health and Clinical Excellence (NICE)", "given" : "", "non-dropping-particle" : "", "parse-names" : false, "suffix" : "" } ], "container-title" : "National Clinical Practice Guideline", "id" : "ITEM-1", "issue" : "April 2007", "issued" : { "date-parts" : [ [ "2008" ] ] }, "page" : "Available at: http://publications.nice.org.uk/atte", "title" : "Attention deficit hyperactivity disorder: Diagnosis and management of ADHD in children, young people and adults", "type" : "article-journal", "volume" : "72" }, "uris" : [ "http://www.mendeley.com/documents/?uuid=7aaa297c-bc76-4eda-a8a2-0e08df8848c7" ] } ], "mendeley" : { "formattedCitation" : "(1)", "plainTextFormattedCitation" : "(1)", "previouslyFormattedCitation" : "(1)" }, "properties" : { "noteIndex" : 15 }, "schema" : "https://github.com/citation-style-language/schema/raw/master/csl-citation.json" }</w:instrText>
      </w:r>
      <w:r w:rsidR="00BC3BBB">
        <w:rPr>
          <w:rFonts w:ascii="Arial" w:hAnsi="Arial" w:cs="Arial"/>
          <w:color w:val="212121"/>
          <w:sz w:val="22"/>
          <w:szCs w:val="22"/>
        </w:rPr>
        <w:fldChar w:fldCharType="separate"/>
      </w:r>
      <w:r w:rsidRPr="00B235DB">
        <w:rPr>
          <w:rFonts w:ascii="Arial" w:hAnsi="Arial" w:cs="Arial"/>
          <w:noProof/>
          <w:color w:val="212121"/>
          <w:sz w:val="22"/>
          <w:szCs w:val="22"/>
        </w:rPr>
        <w:t>(1)</w:t>
      </w:r>
      <w:r w:rsidR="00BC3BBB">
        <w:rPr>
          <w:rFonts w:ascii="Arial" w:hAnsi="Arial" w:cs="Arial"/>
          <w:color w:val="212121"/>
          <w:sz w:val="22"/>
          <w:szCs w:val="22"/>
        </w:rPr>
        <w:fldChar w:fldCharType="end"/>
      </w:r>
      <w:r w:rsidRPr="007A2887">
        <w:rPr>
          <w:rFonts w:ascii="Arial" w:hAnsi="Arial" w:cs="Arial"/>
          <w:color w:val="212121"/>
          <w:sz w:val="22"/>
          <w:szCs w:val="22"/>
        </w:rPr>
        <w:t xml:space="preserve">. </w:t>
      </w:r>
      <w:r w:rsidRPr="002C25FD">
        <w:rPr>
          <w:rFonts w:ascii="Arial" w:hAnsi="Arial" w:cs="Arial"/>
          <w:sz w:val="22"/>
          <w:szCs w:val="22"/>
          <w:shd w:val="clear" w:color="auto" w:fill="FFFFFF"/>
        </w:rPr>
        <w:t>Bir s</w:t>
      </w:r>
      <w:r w:rsidRPr="007A2887">
        <w:rPr>
          <w:rFonts w:ascii="Arial" w:hAnsi="Arial" w:cs="Arial"/>
          <w:sz w:val="22"/>
          <w:szCs w:val="22"/>
          <w:shd w:val="clear" w:color="auto" w:fill="FFFFFF"/>
        </w:rPr>
        <w:t xml:space="preserve">timulan olan metilfenidat, DEHB için en çok reçetelenen ilaçtır ve etkisini presinaptik nörona geri alımını bloke ederek hücre dışı dopamin düzeylerini arttırarak </w:t>
      </w:r>
      <w:r>
        <w:rPr>
          <w:rFonts w:ascii="Arial" w:hAnsi="Arial" w:cs="Arial"/>
          <w:sz w:val="22"/>
          <w:szCs w:val="22"/>
          <w:shd w:val="clear" w:color="auto" w:fill="FFFFFF"/>
        </w:rPr>
        <w:t xml:space="preserve">göstermektedir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"DOI" : "10.1007/s00787-009-0056-1", "ISSN" : "1018-8827", "PMID" : "19823900", "abstract" : "Attention-deficit/hyperactivity disorder (ADHD), one of the most common neuropsychiatric conditions of childhood, often has a chronic course and persists into adulthood in many individuals. ADHD may have a clinically important impact on health-related quality of life in children, a significant impact on parents' emotional health and interfere with family activities/cohesion. To date, the main targets of ADHD treatment have focused on reducing the severity of symptoms during the school day and improving academic performance. However, the treatment of ADHD should reach beyond symptom control to address the issues of social competencies and improvement of health-related quality of life from the perspectives of individuals with ADHD and their families, to support them in reaching their full developmental potential. Methylphenidate (MPH) is recognised as the first-line choice of pharmacotherapy for ADHD in children and adolescents. This paper focuses on the importance and benefits to child development of ADHD symptom control beyond the school day only, i.e. extending into late afternoon and evening and uses the example of an extended-release MPH formulation (OROS((R)) MPH) to demonstrate the potential benefits of active full day coverage (12 h) with a single daily dose. Concerns of long-term stimulant treatment are also discussed.", "author" : [ { "dropping-particle" : "", "family" : "Buitelaar", "given" : "Jan", "non-dropping-particle" : "", "parse-names" : false, "suffix" : "" }, { "dropping-particle" : "", "family" : "Medori", "given" : "Rossella", "non-dropping-particle" : "", "parse-names" : false, "suffix" : "" } ], "container-title" : "European Child &amp; Adolescent Psychiatry", "id" : "ITEM-1", "issue" : "4", "issued" : { "date-parts" : [ [ "2010", "4", "13" ] ] }, "page" : "325-340", "title" : "Treating attention-deficit/hyperactivity disorder beyond symptom control alone in children and adolescents: a review of the potential benefits of long-acting stimulants", "type" : "article-journal", "volume" : "19" }, "uris" : [ "http://www.mendeley.com/documents/?uuid=48ada082-7251-334e-9f09-6e1649001178" ] } ], "mendeley" : { "formattedCitation" : "(142)", "plainTextFormattedCitation" : "(142)", "previouslyFormattedCitation" : "(142)" }, "properties" : { "noteIndex" : 15 }, "schema" : "https://github.com/citation-style-language/schema/raw/master/csl-citation.json" }</w:instrText>
      </w:r>
      <w:r w:rsidR="00BC3BBB">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(142)</w:t>
      </w:r>
      <w:r w:rsidR="00BC3BBB">
        <w:rPr>
          <w:rFonts w:ascii="Arial" w:hAnsi="Arial" w:cs="Arial"/>
          <w:sz w:val="22"/>
          <w:szCs w:val="22"/>
          <w:shd w:val="clear" w:color="auto" w:fill="FFFFFF"/>
        </w:rPr>
        <w:fldChar w:fldCharType="end"/>
      </w:r>
      <w:r>
        <w:rPr>
          <w:rFonts w:ascii="Arial" w:hAnsi="Arial" w:cs="Arial"/>
          <w:sz w:val="22"/>
          <w:szCs w:val="22"/>
          <w:shd w:val="clear" w:color="auto" w:fill="FFFFFF"/>
        </w:rPr>
        <w:t>.</w:t>
      </w:r>
      <w:r w:rsidRPr="007A2887">
        <w:rPr>
          <w:rFonts w:ascii="Arial" w:hAnsi="Arial" w:cs="Arial"/>
          <w:sz w:val="22"/>
          <w:szCs w:val="22"/>
          <w:shd w:val="clear" w:color="auto" w:fill="FFFFFF"/>
        </w:rPr>
        <w:t xml:space="preserve"> Lisdexamfetamin dimesylate (LDX), klinik çalışmalarda etkinlik ve tolere edilebilirlik açısından kanıtlanmış, sonrasında İngiltere'de alternatif uzun etkili bir stimulan seçeneği olarak DEHB tedavisinde ruhsatlandırılmıştır</w:t>
      </w:r>
      <w:r>
        <w:rPr>
          <w:rFonts w:ascii="Arial" w:hAnsi="Arial" w:cs="Arial"/>
          <w:sz w:val="22"/>
          <w:szCs w:val="22"/>
          <w:shd w:val="clear" w:color="auto" w:fill="FFFFFF"/>
        </w:rPr>
        <w:t xml:space="preserve">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"DOI" : "10.1016/j.euroneuro.2012.11.012", "ISBN" : "1873-7862 (Electronic)\\r0924-977X (Linking)", "PMID" : "23332456", "abstract" : "This study evaluated the efficacy and safety of lisdexamfetamine dimesylate (LDX) compared with placebo in children and adolescents with attention-deficit/hyperactivity disorder (ADHD) in Europe. Osmotic-release oral system methylphenidate (OROS-MPH) was included as a reference arm. Patients (6-17 years old) with a baseline ADHD Rating Scale version IV (ADHD-RS-IV) total score \u2265 28 were randomized (1:1:1) to dose-optimized LDX (30, 50, or 70 mg/day), OROS-MPH (18, 36, or 54 mg/day) or placebo for 7 weeks. Primary and key secondary efficacy measures were the investigator-rated ADHD-RS-IV and the Clinical Global Impressions-Improvement (CGI-I) rating, respectively. Safety assessments included treatment-emergent adverse events (TEAEs), electrocardiograms, and vital signs. Of 336 patients randomized, 196 completed the study. The difference between LDX and placebo in least squares mean change in ADHD-RS-IV total score from baseline to endpoint was -18.6 (95% confidence interval [CI]: -21.5 to -15.7) (p&lt;0.001; effect size, 1.80). The difference between OROS-MPH and placebo in least squares mean change in ADHD-RS-IV total score from baseline to endpoint was -13.0 (95% CI: -15.9 to -10.2) (p&lt;0.001; effect size, 1.26). The proportions (95% CI) of patients showing improvement (CGI-I of 1 or 2) at endpoint were 78% (70-86), 14% (8-21), and 61% (51-70) for LDX, placebo, and OROS-MPH. The most common TEAEs for LDX were decreased appetite, headache, and insomnia. Mean changes in vital signs were modest and consistent with the known profile of LDX. LDX was effective and generally well tolerated in children and adolescents with ADHD.", "author" : [ { "dropping-particle" : "", "family" : "Coghill", "given" : "D", "non-dropping-particle" : "", "parse-names" : false, "suffix" : "" }, { "dropping-particle" : "", "family" : "Banaschewski", "given" : "T", "non-dropping-particle" : "", "parse-names" : false, "suffix" : "" }, { "dropping-particle" : "", "family" : "Lecendreux", "given" : "M", "non-dropping-particle" : "", "parse-names" : false, "suffix" : "" }, { "dropping-particle" : "", "family" : "Soutullo", "given" : "C", "non-dropping-particle" : "", "parse-names" : false, "suffix" : "" }, { "dropping-particle" : "", "family" : "Johnson", "given" : "M", "non-dropping-particle" : "", "parse-names" : false, "suffix" : "" }, { "dropping-particle" : "", "family" : "Zuddas", "given" : "A", "non-dropping-particle" : "", "parse-names" : false, "suffix" : "" }, { "dropping-particle" : "", "family" : "Anderson", "given" : "C", "non-dropping-particle" : "", "parse-names" : false, "suffix" : "" }, { "dropping-particle" : "", "family" : "Civil", "given" : "R", "non-dropping-particle" : "", "parse-names" : false, "suffix" : "" }, { "dropping-particle" : "", "family" : "Higgins", "given" : "N", "non-dropping-particle" : "", "parse-names" : false, "suffix" : "" }, { "dropping-particle" : "", "family" : "Lyne", "given" : "A", "non-dropping-particle" : "", "parse-names" : false, "suffix" : "" }, { "dropping-particle" : "", "family" : "Squires", "given" : "L", "non-dropping-particle" : "", "parse-names" : false, "suffix" : "" } ], "container-title" : "Eur Neuropsychopharmacol", "id" : "ITEM-1", "issue" : "10", "issued" : { "date-parts" : [ [ "2013" ] ] }, "page" : "1208-1218", "title" : "European, randomized, phase 3 study of lisdexamfetamine dimesylate in children and adolescents with attention-deficit/hyperactivity disorder", "type" : "article-journal", "volume" : "23" }, "uris" : [ "http://www.mendeley.com/documents/?uuid=fad32c32-9380-48ef-8fa4-9e34f7110355" ] } ], "mendeley" : { "formattedCitation" : "(143)", "plainTextFormattedCitation" : "(143)", "previouslyFormattedCitation" : "(143)" }, "properties" : { "noteIndex" : 15 }, "schema" : "https://github.com/citation-style-language/schema/raw/master/csl-citation.json" }</w:instrText>
      </w:r>
      <w:r w:rsidR="00BC3BBB">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(143)</w:t>
      </w:r>
      <w:r w:rsidR="00BC3BBB">
        <w:rPr>
          <w:rFonts w:ascii="Arial" w:hAnsi="Arial" w:cs="Arial"/>
          <w:sz w:val="22"/>
          <w:szCs w:val="22"/>
          <w:shd w:val="clear" w:color="auto" w:fill="FFFFFF"/>
        </w:rPr>
        <w:fldChar w:fldCharType="end"/>
      </w:r>
      <w:r w:rsidRPr="007A2887">
        <w:rPr>
          <w:rFonts w:ascii="Arial" w:hAnsi="Arial" w:cs="Arial"/>
          <w:sz w:val="22"/>
          <w:szCs w:val="22"/>
          <w:shd w:val="clear" w:color="auto" w:fill="FFFFFF"/>
        </w:rPr>
        <w:t>. LDX’in, maksimum tolere edilebilir metilfenidat dozlarından amaçlanan klinik yarar gözlenmediği</w:t>
      </w:r>
      <w:r>
        <w:rPr>
          <w:rFonts w:ascii="Arial" w:hAnsi="Arial" w:cs="Arial"/>
          <w:sz w:val="22"/>
          <w:szCs w:val="22"/>
          <w:shd w:val="clear" w:color="auto" w:fill="FFFFFF"/>
        </w:rPr>
        <w:t xml:space="preserve"> durumlarda kullanılması önerilmiştir. </w:t>
      </w:r>
      <w:r w:rsidRPr="007A2887">
        <w:rPr>
          <w:rFonts w:ascii="Arial" w:hAnsi="Arial" w:cs="Arial"/>
          <w:sz w:val="22"/>
          <w:szCs w:val="22"/>
        </w:rPr>
        <w:t xml:space="preserve">Atomoksetin stimulan olmayan bir seçenek </w:t>
      </w:r>
      <w:r>
        <w:rPr>
          <w:rFonts w:ascii="Arial" w:hAnsi="Arial" w:cs="Arial"/>
          <w:sz w:val="22"/>
          <w:szCs w:val="22"/>
        </w:rPr>
        <w:t>olarak</w:t>
      </w:r>
      <w:r w:rsidRPr="007A2887">
        <w:rPr>
          <w:rFonts w:ascii="Arial" w:hAnsi="Arial" w:cs="Arial"/>
          <w:sz w:val="22"/>
          <w:szCs w:val="22"/>
        </w:rPr>
        <w:t xml:space="preserve"> noradrenalinin hücre dışı düzeylerini arttırarak etki göste</w:t>
      </w:r>
      <w:r>
        <w:rPr>
          <w:rFonts w:ascii="Arial" w:hAnsi="Arial" w:cs="Arial"/>
          <w:sz w:val="22"/>
          <w:szCs w:val="22"/>
        </w:rPr>
        <w:t xml:space="preserve">rdiği belirtilmiştir </w:t>
      </w:r>
      <w:r w:rsidR="00BC3BBB">
        <w:rPr>
          <w:rFonts w:ascii="Arial" w:hAnsi="Arial" w:cs="Arial"/>
          <w:sz w:val="22"/>
          <w:szCs w:val="22"/>
        </w:rPr>
        <w:fldChar w:fldCharType="begin" w:fldLock="1"/>
      </w:r>
      <w:r>
        <w:rPr>
          <w:rFonts w:ascii="Arial" w:hAnsi="Arial" w:cs="Arial"/>
          <w:sz w:val="22"/>
          <w:szCs w:val="22"/>
        </w:rPr>
        <w:instrText>ADDIN CSL_CITATION { "citationItems" : [ { "id" : "ITEM-1", "itemData" : { "author" : [ { "dropping-particle" : "", "family" : "Hanwella", "given" : "Raveen", "non-dropping-particle" : "", "parse-names" : false, "suffix" : "" }, { "dropping-particle" : "", "family" : "Senanayake", "given" : "Madhri", "non-dropping-particle" : "", "parse-names" : false, "suffix" : "" }, { "dropping-particle" : "", "family" : "Silva", "given" : "Varuni", "non-dropping-particle" : "de", "parse-names" : false, "suffix" : "" } ], "container-title" : "BMC Pychiatry", "id" : "ITEM-1", "issue" : "176", "issued" : { "date-parts" : [ [ "2011" ] ] }, "page" : "1-8", "title" : "Comparative efficacy and acceptability of methylphenidate and atomoxetine in treatment of attention deficit hyperactivity disorder in children and adolescents: A meta-analysis", "type" : "article-journal", "volume" : "11" }, "uris" : [ "http://www.mendeley.com/documents/?uuid=eea6e977-cbe4-446c-9551-4a2bd3bfbad0" ] } ], "mendeley" : { "formattedCitation" : "(144)", "plainTextFormattedCitation" : "(144)", "previouslyFormattedCitation" : "(144)" }, "properties" : { "noteIndex" : 15 }, "schema" : "https://github.com/citation-style-language/schema/raw/master/csl-citation.json" }</w:instrText>
      </w:r>
      <w:r w:rsidR="00BC3BBB">
        <w:rPr>
          <w:rFonts w:ascii="Arial" w:hAnsi="Arial" w:cs="Arial"/>
          <w:sz w:val="22"/>
          <w:szCs w:val="22"/>
        </w:rPr>
        <w:fldChar w:fldCharType="separate"/>
      </w:r>
      <w:r w:rsidRPr="00F74A96">
        <w:rPr>
          <w:rFonts w:ascii="Arial" w:hAnsi="Arial" w:cs="Arial"/>
          <w:noProof/>
          <w:sz w:val="22"/>
          <w:szCs w:val="22"/>
        </w:rPr>
        <w:t>(144)</w:t>
      </w:r>
      <w:r w:rsidR="00BC3BBB">
        <w:rPr>
          <w:rFonts w:ascii="Arial" w:hAnsi="Arial" w:cs="Arial"/>
          <w:sz w:val="22"/>
          <w:szCs w:val="22"/>
        </w:rPr>
        <w:fldChar w:fldCharType="end"/>
      </w:r>
      <w:r>
        <w:rPr>
          <w:rFonts w:ascii="Arial" w:hAnsi="Arial" w:cs="Arial"/>
          <w:sz w:val="22"/>
          <w:szCs w:val="22"/>
        </w:rPr>
        <w:t xml:space="preserve">. </w:t>
      </w:r>
      <w:r w:rsidRPr="007A2887">
        <w:rPr>
          <w:rFonts w:ascii="Arial" w:hAnsi="Arial" w:cs="Arial"/>
          <w:color w:val="212121"/>
          <w:sz w:val="22"/>
          <w:szCs w:val="22"/>
        </w:rPr>
        <w:t>Metilfenidata yanıt vermeyen, tolere edilemeyen yan etkiler gösteren veya stimulanların uygun olmayan kullanımı konusunda endişe uyandıran çocuklar için atomoksetinin iyi bir seçenek olduğu ifade edilmektedir</w:t>
      </w:r>
      <w:r>
        <w:rPr>
          <w:rFonts w:ascii="Arial" w:hAnsi="Arial" w:cs="Arial"/>
          <w:color w:val="212121"/>
          <w:sz w:val="22"/>
          <w:szCs w:val="22"/>
        </w:rPr>
        <w:t xml:space="preserve"> </w:t>
      </w:r>
      <w:r w:rsidR="00BC3BBB">
        <w:rPr>
          <w:rFonts w:ascii="Arial" w:hAnsi="Arial" w:cs="Arial"/>
          <w:color w:val="212121"/>
          <w:sz w:val="22"/>
          <w:szCs w:val="22"/>
        </w:rPr>
        <w:fldChar w:fldCharType="begin" w:fldLock="1"/>
      </w:r>
      <w:r>
        <w:rPr>
          <w:rFonts w:ascii="Arial" w:hAnsi="Arial" w:cs="Arial"/>
          <w:color w:val="212121"/>
          <w:sz w:val="22"/>
          <w:szCs w:val="22"/>
        </w:rPr>
        <w:instrText>ADDIN CSL_CITATION { "citationItems" : [ { "id" : "ITEM-1", "itemData" : { "DOI" : "10.1111/cch.12139", "ISBN" : "0305-1862", "ISSN" : "03051862", "abstract" : "Attention-deficit hyperactivity disorder ( ADHD) is a complex disorder that can affect individuals across the lifespan. It is associated with substantial heterogeneity in terms of aetiology, clinical presentation and treatment outcome and is the subject of extensive research. Because of this, it can be difficult for clinicians to stay up to date with the most relevant findings and know how best to respond to parents' questions and concerns about the disorder and interventions. This is a narrative review that aims to summarize key findings from recent research into ADHD and its treatment that clinicians can share with families in order to increase their knowledge about ADHD and intervention options. ADHD develops as a result of complex interplay between interdependent genetic and non-genetic factors. The disorder is associated with substantial impairments in functioning and poor long-term outcomes. Pharmacological and non-pharmacological treatment options are available for symptom management and to improve function, but functioning outcomes often fail to normalize in children with ADHD. Despite extensive advances in understanding this complex disorder, it is clear that there is still a long way to go. In particular, we address the need for future non-pharmacological interventions to be more specifically targeted for ADHD symptoms and its commonly associated functioning deficits in order to ensure the best long-term outcomes for children with ADHD. [ABSTRACT FROM AUTHOR]", "author" : [ { "dropping-particle" : "", "family" : "Tarver", "given" : "J", "non-dropping-particle" : "", "parse-names" : false, "suffix" : "" }, { "dropping-particle" : "", "family" : "Daley", "given" : "D", "non-dropping-particle" : "", "parse-names" : false, "suffix" : "" }, { "dropping-particle" : "", "family" : "Sayal", "given" : "K", "non-dropping-particle" : "", "parse-names" : false, "suffix" : "" } ], "container-title" : "Child: Care, Health &amp; Development", "id" : "ITEM-1", "issue" : "6", "issued" : { "date-parts" : [ [ "2014" ] ] }, "page" : "762-774", "title" : "Attention-deficit hyperactivity disorder ( ADHD): an updated review of the essential facts.", "type" : "article-journal", "volume" : "40" }, "uris" : [ "http://www.mendeley.com/documents/?uuid=a435d2a9-aedb-4690-8342-390436c404f0" ] } ], "mendeley" : { "formattedCitation" : "(68)", "plainTextFormattedCitation" : "(68)", "previouslyFormattedCitation" : "(68)" }, "properties" : { "noteIndex" : 16 }, "schema" : "https://github.com/citation-style-language/schema/raw/master/csl-citation.json" }</w:instrText>
      </w:r>
      <w:r w:rsidR="00BC3BBB">
        <w:rPr>
          <w:rFonts w:ascii="Arial" w:hAnsi="Arial" w:cs="Arial"/>
          <w:color w:val="212121"/>
          <w:sz w:val="22"/>
          <w:szCs w:val="22"/>
        </w:rPr>
        <w:fldChar w:fldCharType="separate"/>
      </w:r>
      <w:r w:rsidRPr="00F74A96">
        <w:rPr>
          <w:rFonts w:ascii="Arial" w:hAnsi="Arial" w:cs="Arial"/>
          <w:noProof/>
          <w:color w:val="212121"/>
          <w:sz w:val="22"/>
          <w:szCs w:val="22"/>
        </w:rPr>
        <w:t>(68)</w:t>
      </w:r>
      <w:r w:rsidR="00BC3BBB">
        <w:rPr>
          <w:rFonts w:ascii="Arial" w:hAnsi="Arial" w:cs="Arial"/>
          <w:color w:val="212121"/>
          <w:sz w:val="22"/>
          <w:szCs w:val="22"/>
        </w:rPr>
        <w:fldChar w:fldCharType="end"/>
      </w:r>
      <w:r w:rsidRPr="007A2887">
        <w:rPr>
          <w:rFonts w:ascii="Arial" w:hAnsi="Arial" w:cs="Arial"/>
          <w:color w:val="212121"/>
          <w:sz w:val="22"/>
          <w:szCs w:val="22"/>
        </w:rPr>
        <w:t>. Farmakolojik tedavide bir takım istenmeyen yan etkiler bildirilmiştir. Genel olarak bu gibi yan etkiler özellikle amaçlanan tedavi sonuçları elde edilebiliyorsa yönetil</w:t>
      </w:r>
      <w:r>
        <w:rPr>
          <w:rFonts w:ascii="Arial" w:hAnsi="Arial" w:cs="Arial"/>
          <w:color w:val="212121"/>
          <w:sz w:val="22"/>
          <w:szCs w:val="22"/>
        </w:rPr>
        <w:t xml:space="preserve">mesi önerilmektedir </w:t>
      </w:r>
      <w:r w:rsidR="00BC3BBB">
        <w:rPr>
          <w:rFonts w:ascii="Arial" w:hAnsi="Arial" w:cs="Arial"/>
          <w:color w:val="212121"/>
          <w:sz w:val="22"/>
          <w:szCs w:val="22"/>
        </w:rPr>
        <w:fldChar w:fldCharType="begin" w:fldLock="1"/>
      </w:r>
      <w:r>
        <w:rPr>
          <w:rFonts w:ascii="Arial" w:hAnsi="Arial" w:cs="Arial"/>
          <w:color w:val="212121"/>
          <w:sz w:val="22"/>
          <w:szCs w:val="22"/>
        </w:rPr>
        <w:instrText>ADDIN CSL_CITATION { "citationItems" : [ { "id" : "ITEM-1", "itemData" : { "DOI" : "10.1111/jcpp.12036", "ISSN" : "1469-7610", "PMID" : "23294014", "abstract" : "BACKGROUND Medication is an important element of therapeutic strategies for ADHD. While medications for ADHD are generally well-tolerated, there are common, although less severe, as well as rare but severe adverse events AEs during treatment with ADHD drugs. The aim of this review is to provide evidence- and expert-based guidance concerning the management of (AEs) with medications for ADHD. METHODS For ease of use by practitioners and clinicians, the article is organized in a simple question and answer format regarding the prevalence and management of the most common AEs. Answers were based on empirical evidence from studies (preferably meta-analyses or systematic reviews) retrieved in PubMed, Ovid, EMBASE and Web of Knowledge through 30 June 2012. When no empirical evidence was available, expert consensus of the members of the European ADHD Guidelines Group is provided. The evidence-level of the management recommendations was based on the SIGN grading system. RESULTS The review covers monitoring and management strategies of loss of appetite and growth delay, cardiovascular risks, sleep disturbance, tics, substance misuse/abuse, seizures, suicidal thoughts/behaviours and psychotic symptoms. CONCLUSION Most AEs during treatment with drugs for ADHD are manageable and most of the times it is not necessary to stop medication, so that patients with ADHD may continue to benefit from the effectiveness of pharmacological treatment.", "author" : [ { "dropping-particle" : "", "family" : "Cortese", "given" : "Samuele", "non-dropping-particle" : "", "parse-names" : false, "suffix" : "" }, { "dropping-particle" : "", "family" : "Holtmann", "given" : "Martin", "non-dropping-particle" : "", "parse-names" : false, "suffix" : "" }, { "dropping-particle" : "", "family" : "Banaschewski", "given" : "Tobias", "non-dropping-particle" : "", "parse-names" : false, "suffix" : "" }, { "dropping-particle" : "", "family" : "Buitelaar", "given" : "Jan", "non-dropping-particle" : "", "parse-names" : false, "suffix" : "" }, { "dropping-particle" : "", "family" : "Coghill", "given" : "David", "non-dropping-particle" : "", "parse-names" : false, "suffix" : "" }, { "dropping-particle" : "", "family" : "Danckaerts", "given" : "Marina", "non-dropping-particle" : "", "parse-names" : false, "suffix" : "" }, { "dropping-particle" : "", "family" : "Dittmann", "given" : "Ralf W", "non-dropping-particle" : "", "parse-names" : false, "suffix" : "" }, { "dropping-particle" : "", "family" : "Graham", "given" : "John", "non-dropping-particle" : "", "parse-names" : false, "suffix" : "" }, { "dropping-particle" : "", "family" : "Taylor", "given" : "Eric", "non-dropping-particle" : "", "parse-names" : false, "suffix" : "" }, { "dropping-particle" : "", "family" : "Sergeant", "given" : "Joseph", "non-dropping-particle" : "", "parse-names" : false, "suffix" : "" }, { "dropping-particle" : "", "family" : "European ADHD Guidelines Group", "given" : "", "non-dropping-particle" : "", "parse-names" : false, "suffix" : "" } ], "container-title" : "Journal of child psychology and psychiatry, and allied disciplines", "id" : "ITEM-1", "issue" : "3", "issued" : { "date-parts" : [ [ "2013", "3" ] ] }, "page" : "227-46", "title" : "Practitioner review: current best practice in the management of adverse events during treatment with ADHD medications in children and adolescents.", "type" : "article-journal", "volume" : "54" }, "uris" : [ "http://www.mendeley.com/documents/?uuid=8effa178-ba0e-3bb9-b6b2-6873489f0ad7" ] } ], "mendeley" : { "formattedCitation" : "(145)", "plainTextFormattedCitation" : "(145)", "previouslyFormattedCitation" : "(145)" }, "properties" : { "noteIndex" : 16 }, "schema" : "https://github.com/citation-style-language/schema/raw/master/csl-citation.json" }</w:instrText>
      </w:r>
      <w:r w:rsidR="00BC3BBB">
        <w:rPr>
          <w:rFonts w:ascii="Arial" w:hAnsi="Arial" w:cs="Arial"/>
          <w:color w:val="212121"/>
          <w:sz w:val="22"/>
          <w:szCs w:val="22"/>
        </w:rPr>
        <w:fldChar w:fldCharType="separate"/>
      </w:r>
      <w:r w:rsidRPr="00F74A96">
        <w:rPr>
          <w:rFonts w:ascii="Arial" w:hAnsi="Arial" w:cs="Arial"/>
          <w:noProof/>
          <w:color w:val="212121"/>
          <w:sz w:val="22"/>
          <w:szCs w:val="22"/>
        </w:rPr>
        <w:t>(145)</w:t>
      </w:r>
      <w:r w:rsidR="00BC3BBB">
        <w:rPr>
          <w:rFonts w:ascii="Arial" w:hAnsi="Arial" w:cs="Arial"/>
          <w:color w:val="212121"/>
          <w:sz w:val="22"/>
          <w:szCs w:val="22"/>
        </w:rPr>
        <w:fldChar w:fldCharType="end"/>
      </w:r>
      <w:r w:rsidRPr="007A2887">
        <w:rPr>
          <w:rFonts w:ascii="Arial" w:hAnsi="Arial" w:cs="Arial"/>
          <w:color w:val="212121"/>
          <w:sz w:val="22"/>
          <w:szCs w:val="22"/>
        </w:rPr>
        <w:t>.</w:t>
      </w:r>
      <w:r w:rsidRPr="007A2887">
        <w:rPr>
          <w:rFonts w:ascii="Arial" w:hAnsi="Arial" w:cs="Arial"/>
          <w:color w:val="E36C0A" w:themeColor="accent6" w:themeShade="BF"/>
          <w:sz w:val="22"/>
          <w:szCs w:val="22"/>
          <w:shd w:val="clear" w:color="auto" w:fill="FFFFFF"/>
        </w:rPr>
        <w:t xml:space="preserve"> </w:t>
      </w:r>
      <w:r w:rsidRPr="007A2887">
        <w:rPr>
          <w:rFonts w:ascii="Arial" w:hAnsi="Arial" w:cs="Arial"/>
          <w:color w:val="212121"/>
          <w:sz w:val="22"/>
          <w:szCs w:val="22"/>
        </w:rPr>
        <w:t>İlaç tedavisinde süreklilik soruna neden olabilir, ancak gün boyunca bir kez alınan uzun süreli ilaç formülasyonlarının bu soruna çözüm olabileceği belirtilmiştir</w:t>
      </w:r>
      <w:r>
        <w:rPr>
          <w:rFonts w:ascii="Arial" w:hAnsi="Arial" w:cs="Arial"/>
          <w:color w:val="212121"/>
          <w:sz w:val="22"/>
          <w:szCs w:val="22"/>
        </w:rPr>
        <w:t xml:space="preserve"> </w:t>
      </w:r>
      <w:r w:rsidR="00BC3BBB">
        <w:rPr>
          <w:rFonts w:ascii="Arial" w:hAnsi="Arial" w:cs="Arial"/>
          <w:color w:val="212121"/>
          <w:sz w:val="22"/>
          <w:szCs w:val="22"/>
        </w:rPr>
        <w:fldChar w:fldCharType="begin" w:fldLock="1"/>
      </w:r>
      <w:r>
        <w:rPr>
          <w:rFonts w:ascii="Arial" w:hAnsi="Arial" w:cs="Arial"/>
          <w:color w:val="212121"/>
          <w:sz w:val="22"/>
          <w:szCs w:val="22"/>
        </w:rPr>
        <w:instrText>ADDIN CSL_CITATION { "citationItems" : [ { "id" : "ITEM-1", "itemData" : { "DOI" : "10.3810/pgm.2010.01.2112", "ISSN" : "00325481", "abstract" : "Objective: To review the literature on the prevalence, potential causes, and consequences of medication nonadherence in adult attention-deficit/ hyperactivity disorder (ADHD). Background: Attention-deficit/hyperactivity disorder is a common, chronic, and impairing neuropsychiatric disorder, affecting 4.4% of the US adult population. Medications alleviate many aspects of the disorder, but associated difficulties with disorganization and planning can lead patients to have poor adherence and subsequent treatment failure. This review will examine the scope and consequences of medication nonadherence in children and adults with ADHD. Methods: Comprehensive literature reviews via PubMed searches were conducted for continuity of medication and medication adherence (and related terms) in ADHD (and ADD). The studies were reviewed and classified regarding prevalence, measure of adherence or continuity, etiology, and consequences of medication nonadherence in childhood/adolescent and adult ADHD. Results: Studies of pharmacy claims databases and treatment studies have shown that the prevalence of medication discontinuation or nonadherence is between 13.2% to 64%. More studies have focused on medication adherence in children/adolescents than in adult ADHD. Medication nonadherence is more prevalent in immediate-release versus extended-release psychostirnulants in childhood/adolescent ADHD, but differences in the formulations have not been studied extensively in adults. Current studies have almost exclusively relied on patient reports. Possible etiologies of medication nonadherence have not been examined with formal rating instruments in adult ADHD. The long-terni consequences of medication nonadherence, in terms of impairments, have not been examined. Conclusions: Studies have documented that medication nonadherence is common in childhood/adolescent ADHD. Further prospective studies are necessary to document the scope of the problem in adult ADHD and to examine the potential benefits of utilizing extended-release medications in adult ADHD. Studies correlating the impact of medication nonadherence on symptoms and impairments in adult ADHD are needed. Future studies should consider utilizing technology to document medication nonadherence, such as MEMS caps. \u00a9 Postgraduate Medicine.", "author" : [ { "dropping-particle" : "", "family" : "Adler", "given" : "Lisa D", "non-dropping-particle" : "", "parse-names" : false, "suffix" : "" }, { "dropping-particle" : "", "family" : "Nierenberg", "given" : "Andrew A", "non-dropping-particle" : "", "parse-names" : false, "suffix" : "" } ], "id" : "ITEM-1", "issue" : "1", "issued" : { "date-parts" : [ [ "2010" ] ] }, "page" : "184-191", "title" : "Review of Medication Adherence in Children and Adults with ADHD", "type" : "article-journal", "volume" : "122" }, "uris" : [ "http://www.mendeley.com/documents/?uuid=bcbb8d3f-2ce9-48ec-a36e-75f44288d39e" ] } ], "mendeley" : { "formattedCitation" : "(146)", "plainTextFormattedCitation" : "(146)", "previouslyFormattedCitation" : "(146)" }, "properties" : { "noteIndex" : 16 }, "schema" : "https://github.com/citation-style-language/schema/raw/master/csl-citation.json" }</w:instrText>
      </w:r>
      <w:r w:rsidR="00BC3BBB">
        <w:rPr>
          <w:rFonts w:ascii="Arial" w:hAnsi="Arial" w:cs="Arial"/>
          <w:color w:val="212121"/>
          <w:sz w:val="22"/>
          <w:szCs w:val="22"/>
        </w:rPr>
        <w:fldChar w:fldCharType="separate"/>
      </w:r>
      <w:r w:rsidRPr="00F74A96">
        <w:rPr>
          <w:rFonts w:ascii="Arial" w:hAnsi="Arial" w:cs="Arial"/>
          <w:noProof/>
          <w:color w:val="212121"/>
          <w:sz w:val="22"/>
          <w:szCs w:val="22"/>
        </w:rPr>
        <w:t>(146)</w:t>
      </w:r>
      <w:r w:rsidR="00BC3BBB">
        <w:rPr>
          <w:rFonts w:ascii="Arial" w:hAnsi="Arial" w:cs="Arial"/>
          <w:color w:val="212121"/>
          <w:sz w:val="22"/>
          <w:szCs w:val="22"/>
        </w:rPr>
        <w:fldChar w:fldCharType="end"/>
      </w:r>
      <w:r w:rsidRPr="007A2887">
        <w:rPr>
          <w:rFonts w:ascii="Arial" w:hAnsi="Arial" w:cs="Arial"/>
          <w:color w:val="212121"/>
          <w:sz w:val="22"/>
          <w:szCs w:val="22"/>
        </w:rPr>
        <w:t>.</w:t>
      </w:r>
      <w:r w:rsidRPr="007A2887">
        <w:rPr>
          <w:rFonts w:ascii="Arial" w:hAnsi="Arial" w:cs="Arial"/>
          <w:color w:val="333333"/>
          <w:sz w:val="22"/>
          <w:szCs w:val="22"/>
          <w:bdr w:val="none" w:sz="0" w:space="0" w:color="auto" w:frame="1"/>
          <w:shd w:val="clear" w:color="auto" w:fill="FFFFFF"/>
        </w:rPr>
        <w:t xml:space="preserve"> </w:t>
      </w:r>
      <w:r w:rsidRPr="007A2887">
        <w:rPr>
          <w:rFonts w:ascii="Arial" w:hAnsi="Arial" w:cs="Arial"/>
          <w:sz w:val="22"/>
          <w:szCs w:val="22"/>
          <w:shd w:val="clear" w:color="auto" w:fill="FFFFFF"/>
        </w:rPr>
        <w:t xml:space="preserve">İlaçlar akademik verimliliği ve sınıftaki davranışı geliştirebilir, fakat klinisyenlerin tedavi boyunca hastalara karşı </w:t>
      </w:r>
      <w:r>
        <w:rPr>
          <w:rFonts w:ascii="Arial" w:hAnsi="Arial" w:cs="Arial"/>
          <w:sz w:val="22"/>
          <w:szCs w:val="22"/>
          <w:shd w:val="clear" w:color="auto" w:fill="FFFFFF"/>
        </w:rPr>
        <w:t>gerçekçi</w:t>
      </w:r>
      <w:r w:rsidRPr="007A2887">
        <w:rPr>
          <w:rFonts w:ascii="Arial" w:hAnsi="Arial" w:cs="Arial"/>
          <w:sz w:val="22"/>
          <w:szCs w:val="22"/>
          <w:shd w:val="clear" w:color="auto" w:fill="FFFFFF"/>
        </w:rPr>
        <w:t xml:space="preserve"> olması önerilmektedir</w:t>
      </w:r>
      <w:r>
        <w:rPr>
          <w:rFonts w:ascii="Arial" w:hAnsi="Arial" w:cs="Arial"/>
          <w:sz w:val="22"/>
          <w:szCs w:val="22"/>
          <w:shd w:val="clear" w:color="auto" w:fill="FFFFFF"/>
        </w:rPr>
        <w:t xml:space="preserve">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"DOI" : "10.1186/1741-7015-9-72", "ISBN" : "1741-7015 (Electronic)\\r1741-7015 (Linking)", "ISSN" : "1741-7015 (Electronic) 1741-7015 (Linking)", "PMID" : "21658285", "abstract" : "Attention deficit hyperactivity disorder (ADHD) is a neurocognitive behavioral developmental disorder most commonly seen in childhood and adolescence, which often extends to the adult years. Relative to a decade ago, there has been extensive research into understanding the factors underlying ADHD, leading to far more treatment options available for both adolescents and adults with this disorder. Novel stimulant formulations have made it possible to tailor treatment to the duration of efficacy required by patients, and to help mitigate the potential for abuse, misuse and diversion. Several new non-stimulant options have also emerged in the past few years. Among these, cognitive behavioral interventions have proven popular in the treatment of adult ADHD, especially within the adult population who cannot or will not use medications, along with the many medication-treated patients who continue to show residual disability.", "author" : [ { "dropping-particle" : "", "family" : "Antshel", "given" : "K M", "non-dropping-particle" : "", "parse-names" : false, "suffix" : "" }, { "dropping-particle" : "", "family" : "Hargrave", "given" : "T M", "non-dropping-particle" : "", "parse-names" : false, "suffix" : "" }, { "dropping-particle" : "", "family" : "Simonescu", "given" : "M", "non-dropping-particle" : "", "parse-names" : false, "suffix" : "" }, { "dropping-particle" : "", "family" : "Kaul", "given" : "P", "non-dropping-particle" : "", "parse-names" : false, "suffix" : "" }, { "dropping-particle" : "", "family" : "Hendricks", "given" : "K", "non-dropping-particle" : "", "parse-names" : false, "suffix" : "" }, { "dropping-particle" : "V", "family" : "Faraone", "given" : "S", "non-dropping-particle" : "", "parse-names" : false, "suffix" : "" } ], "container-title" : "BMC Med", "id" : "ITEM-1", "issued" : { "date-parts" : [ [ "2011" ] ] }, "page" : "72", "title" : "Advances in understanding and treating ADHD", "type" : "article-journal", "volume" : "9" }, "uris" : [ "http://www.mendeley.com/documents/?uuid=8cf21623-5b6c-4acc-83e2-0813ccc2d72f" ] } ], "mendeley" : { "formattedCitation" : "(147)", "plainTextFormattedCitation" : "(147)", "previouslyFormattedCitation" : "(147)" }, "properties" : { "noteIndex" : 16 }, "schema" : "https://github.com/citation-style-language/schema/raw/master/csl-citation.json" }</w:instrText>
      </w:r>
      <w:r w:rsidR="00BC3BBB">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(147)</w:t>
      </w:r>
      <w:r w:rsidR="00BC3BBB">
        <w:rPr>
          <w:rFonts w:ascii="Arial" w:hAnsi="Arial" w:cs="Arial"/>
          <w:sz w:val="22"/>
          <w:szCs w:val="22"/>
          <w:shd w:val="clear" w:color="auto" w:fill="FFFFFF"/>
        </w:rPr>
        <w:fldChar w:fldCharType="end"/>
      </w:r>
      <w:r w:rsidRPr="007A2887">
        <w:rPr>
          <w:rFonts w:ascii="Arial" w:hAnsi="Arial" w:cs="Arial"/>
          <w:sz w:val="22"/>
          <w:szCs w:val="22"/>
          <w:shd w:val="clear" w:color="auto" w:fill="FFFFFF"/>
        </w:rPr>
        <w:t xml:space="preserve">. </w:t>
      </w:r>
    </w:p>
    <w:p w:rsidR="00C60153" w:rsidRPr="00682EF4" w:rsidRDefault="00C60153" w:rsidP="00B9574B">
      <w:pPr>
        <w:pStyle w:val="HTMLncedenBiimlendirilmi"/>
        <w:shd w:val="clear" w:color="auto" w:fill="FFFFFF"/>
        <w:spacing w:line="360" w:lineRule="auto"/>
        <w:jc w:val="both"/>
        <w:rPr>
          <w:rFonts w:ascii="Arial" w:hAnsi="Arial" w:cs="Arial"/>
          <w:b/>
          <w:sz w:val="22"/>
          <w:szCs w:val="22"/>
          <w:shd w:val="clear" w:color="auto" w:fill="FFFFFF"/>
        </w:rPr>
      </w:pPr>
      <w:r w:rsidRPr="00682EF4">
        <w:rPr>
          <w:rFonts w:ascii="Arial" w:hAnsi="Arial" w:cs="Arial"/>
          <w:b/>
          <w:sz w:val="22"/>
          <w:szCs w:val="22"/>
          <w:shd w:val="clear" w:color="auto" w:fill="FFFFFF"/>
        </w:rPr>
        <w:tab/>
        <w:t>Farmakolojik Olmayan Tedaviler</w:t>
      </w:r>
    </w:p>
    <w:p w:rsidR="00C60153" w:rsidRPr="00682EF4" w:rsidRDefault="00C60153" w:rsidP="00B9574B">
      <w:pPr>
        <w:pStyle w:val="HTMLncedenBiimlendirilmi"/>
        <w:shd w:val="clear" w:color="auto" w:fill="FFFFFF"/>
        <w:spacing w:line="360" w:lineRule="auto"/>
        <w:jc w:val="both"/>
        <w:rPr>
          <w:rFonts w:ascii="inherit" w:hAnsi="inherit"/>
          <w:b/>
          <w:sz w:val="22"/>
          <w:szCs w:val="22"/>
        </w:rPr>
      </w:pPr>
      <w:r w:rsidRPr="00682EF4">
        <w:rPr>
          <w:rFonts w:ascii="Arial" w:hAnsi="Arial" w:cs="Arial"/>
          <w:b/>
          <w:sz w:val="22"/>
          <w:szCs w:val="22"/>
          <w:shd w:val="clear" w:color="auto" w:fill="FFFFFF"/>
        </w:rPr>
        <w:tab/>
      </w:r>
      <w:r w:rsidRPr="00682EF4">
        <w:rPr>
          <w:rFonts w:ascii="Arial" w:hAnsi="Arial" w:cs="Arial"/>
          <w:color w:val="212121"/>
          <w:sz w:val="22"/>
          <w:szCs w:val="22"/>
          <w:shd w:val="clear" w:color="auto" w:fill="FFFFFF"/>
        </w:rPr>
        <w:t>DEHB’ye müdahale seçenekleri olarak birtakım farmakolojik olmayan tedavi seçenekleri mevcuttur. Semptomlar üzerinde daha az kontrol sahibi olmalarına rağmen, klinisyenlerin çeşitli nedenlerle farmakolojik olmayan seçeneklerin de farkında olmaları ve bunlara erişebilmesinin önemi vurgulanmıştır</w:t>
      </w:r>
      <w:r>
        <w:rPr>
          <w:rFonts w:ascii="Arial" w:hAnsi="Arial" w:cs="Arial"/>
          <w:color w:val="212121"/>
          <w:sz w:val="22"/>
          <w:szCs w:val="22"/>
          <w:shd w:val="clear" w:color="auto" w:fill="FFFFFF"/>
        </w:rPr>
        <w:t xml:space="preserve"> </w:t>
      </w:r>
      <w:r w:rsidR="00BC3BBB">
        <w:rPr>
          <w:rFonts w:ascii="Arial" w:hAnsi="Arial" w:cs="Arial"/>
          <w:color w:val="212121"/>
          <w:sz w:val="22"/>
          <w:szCs w:val="22"/>
          <w:shd w:val="clear" w:color="auto" w:fill="FFFFFF"/>
        </w:rPr>
        <w:fldChar w:fldCharType="begin" w:fldLock="1"/>
      </w:r>
      <w:r>
        <w:rPr>
          <w:rFonts w:ascii="Arial" w:hAnsi="Arial" w:cs="Arial"/>
          <w:color w:val="212121"/>
          <w:sz w:val="22"/>
          <w:szCs w:val="22"/>
          <w:shd w:val="clear" w:color="auto" w:fill="FFFFFF"/>
        </w:rPr>
        <w:instrText>ADDIN CSL_CITATION { "citationItems" : [ { "id" : "ITEM-1", "itemData" : { "DOI" : "10.1111/cch.12139", "ISBN" : "0305-1862", "ISSN" : "03051862", "abstract" : "Attention-deficit hyperactivity disorder ( ADHD) is a complex disorder that can affect individuals across the lifespan. It is associated with substantial heterogeneity in terms of aetiology, clinical presentation and treatment outcome and is the subject of extensive research. Because of this, it can be difficult for clinicians to stay up to date with the most relevant findings and know how best to respond to parents' questions and concerns about the disorder and interventions. This is a narrative review that aims to summarize key findings from recent research into ADHD and its treatment that clinicians can share with families in order to increase their knowledge about ADHD and intervention options. ADHD develops as a result of complex interplay between interdependent genetic and non-genetic factors. The disorder is associated with substantial impairments in functioning and poor long-term outcomes. Pharmacological and non-pharmacological treatment options are available for symptom management and to improve function, but functioning outcomes often fail to normalize in children with ADHD. Despite extensive advances in understanding this complex disorder, it is clear that there is still a long way to go. In particular, we address the need for future non-pharmacological interventions to be more specifically targeted for ADHD symptoms and its commonly associated functioning deficits in order to ensure the best long-term outcomes for children with ADHD. [ABSTRACT FROM AUTHOR]", "author" : [ { "dropping-particle" : "", "family" : "Tarver", "given" : "J", "non-dropping-particle" : "", "parse-names" : false, "suffix" : "" }, { "dropping-particle" : "", "family" : "Daley", "given" : "D", "non-dropping-particle" : "", "parse-names" : false, "suffix" : "" }, { "dropping-particle" : "", "family" : "Sayal", "given" : "K", "non-dropping-particle" : "", "parse-names" : false, "suffix" : "" } ], "container-title" : "Child: Care, Health &amp; Development", "id" : "ITEM-1", "issue" : "6", "issued" : { "date-parts" : [ [ "2014" ] ] }, "page" : "762-774", "title" : "Attention-deficit hyperactivity disorder ( ADHD): an updated review of the essential facts.", "type" : "article-journal", "volume" : "40" }, "uris" : [ "http://www.mendeley.com/documents/?uuid=a435d2a9-aedb-4690-8342-390436c404f0" ] } ], "mendeley" : { "formattedCitation" : "(68)", "plainTextFormattedCitation" : "(68)", "previouslyFormattedCitation" : "(68)" }, "properties" : { "noteIndex" : 16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Pr="00F74A96">
        <w:rPr>
          <w:rFonts w:ascii="Arial" w:hAnsi="Arial" w:cs="Arial"/>
          <w:noProof/>
          <w:color w:val="212121"/>
          <w:sz w:val="22"/>
          <w:szCs w:val="22"/>
          <w:shd w:val="clear" w:color="auto" w:fill="FFFFFF"/>
        </w:rPr>
        <w:t>(68)</w:t>
      </w:r>
      <w:r w:rsidR="00BC3BBB">
        <w:rPr>
          <w:rFonts w:ascii="Arial" w:hAnsi="Arial" w:cs="Arial"/>
          <w:color w:val="212121"/>
          <w:sz w:val="22"/>
          <w:szCs w:val="22"/>
          <w:shd w:val="clear" w:color="auto" w:fill="FFFFFF"/>
        </w:rPr>
        <w:fldChar w:fldCharType="end"/>
      </w:r>
      <w:r w:rsidRPr="00682EF4">
        <w:rPr>
          <w:rFonts w:ascii="Arial" w:hAnsi="Arial" w:cs="Arial"/>
          <w:color w:val="212121"/>
          <w:sz w:val="22"/>
          <w:szCs w:val="22"/>
          <w:shd w:val="clear" w:color="auto" w:fill="FFFFFF"/>
        </w:rPr>
        <w:t xml:space="preserve">. İlk olarak, çok küçük çocuklarda güvenlik ve etkililikleri ile ilgili sorular devam </w:t>
      </w:r>
      <w:r w:rsidRPr="00682EF4">
        <w:rPr>
          <w:rFonts w:ascii="Arial" w:hAnsi="Arial" w:cs="Arial"/>
          <w:color w:val="212121"/>
          <w:sz w:val="22"/>
          <w:szCs w:val="22"/>
          <w:shd w:val="clear" w:color="auto" w:fill="FFFFFF"/>
        </w:rPr>
        <w:lastRenderedPageBreak/>
        <w:t xml:space="preserve">ederken, medikasyon mevcut durumda okul öncesi çocuklar için önerilmemektedir </w:t>
      </w:r>
      <w:r w:rsidR="00BC3BBB">
        <w:rPr>
          <w:rFonts w:ascii="Arial" w:hAnsi="Arial" w:cs="Arial"/>
          <w:color w:val="212121"/>
          <w:sz w:val="22"/>
          <w:szCs w:val="22"/>
          <w:shd w:val="clear" w:color="auto" w:fill="FFFFFF"/>
        </w:rPr>
        <w:fldChar w:fldCharType="begin" w:fldLock="1"/>
      </w:r>
      <w:r>
        <w:rPr>
          <w:rFonts w:ascii="Arial" w:hAnsi="Arial" w:cs="Arial"/>
          <w:color w:val="212121"/>
          <w:sz w:val="22"/>
          <w:szCs w:val="22"/>
          <w:shd w:val="clear" w:color="auto" w:fill="FFFFFF"/>
        </w:rPr>
        <w:instrText>ADDIN CSL_CITATION { "citationItems" : [ { "id" : "ITEM-1", "itemData" : { "DOI" : "10.1111/j.1365-2214.2009.00938.x", "ISBN" : "1365-2214", "PMID" : "19508319", "abstract" : "This paper outlines the presentation, aetiology and treatment of attention deficit hyperactivity disorder (ADHD) in pre-school children. A review of current parenting training interventions demonstrates that there is good evidence for their efficacy in reducing symptoms of ADHD in pre-school children, and three interventions are evaluated: The new forest parent training programme (NFPP); the triple P - positive parenting programme and the incredible years parent training programme (IY). The evaluation of the NFPP provides strong evidence demonstrating its effectiveness for pre-school children with ADHD, while the efficacy of the Triple - P and the IY programme have, to date, only been demonstrated on children with conduct problems and co-morbid ADHD. It is suggested that parent training should be the first choice treatment for pre-school children presenting signs of ADHD, and medication introduced only for those children where parent training is not effective. Few moderators of outcome have been identified for these interventions, with the exception of parental ADHD. Barriers to intervention and implementation fidelity will need to be addressed to achieve high levels of attendance, completion and efficacy. The IY programme is a good model for addressing fidelity issues and for overcoming barriers to intervention. The future directions for parent training are also discussed", "author" : [ { "dropping-particle" : "", "family" : "Daley", "given" : "D", "non-dropping-particle" : "", "parse-names" : false, "suffix" : "" }, { "dropping-particle" : "", "family" : "Jones", "given" : "K", "non-dropping-particle" : "", "parse-names" : false, "suffix" : "" }, { "dropping-particle" : "", "family" : "Hutchings", "given" : "J", "non-dropping-particle" : "", "parse-names" : false, "suffix" : "" }, { "dropping-particle" : "", "family" : "Thompson", "given" : "M", "non-dropping-particle" : "", "parse-names" : false, "suffix" : "" } ], "container-title" : "Child Care Health Dev", "id" : "ITEM-1", "issue" : "6", "issued" : { "date-parts" : [ [ "2009" ] ] }, "page" : "754-766", "title" : "Attention deficit hyperactivity disorder in pre-school children: current findings, recommended interventions and future directions.", "type" : "article-journal", "volume" : "35" }, "uris" : [ "http://www.mendeley.com/documents/?uuid=fefc6b58-d259-4abc-8941-a71538e9425b" ] } ], "mendeley" : { "formattedCitation" : "(148)", "plainTextFormattedCitation" : "(148)", "previouslyFormattedCitation" : "(148)" }, "properties" : { "noteIndex" : 16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Pr="00F74A96">
        <w:rPr>
          <w:rFonts w:ascii="Arial" w:hAnsi="Arial" w:cs="Arial"/>
          <w:noProof/>
          <w:color w:val="212121"/>
          <w:sz w:val="22"/>
          <w:szCs w:val="22"/>
          <w:shd w:val="clear" w:color="auto" w:fill="FFFFFF"/>
        </w:rPr>
        <w:t>(148)</w:t>
      </w:r>
      <w:r w:rsidR="00BC3BBB">
        <w:rPr>
          <w:rFonts w:ascii="Arial" w:hAnsi="Arial" w:cs="Arial"/>
          <w:color w:val="212121"/>
          <w:sz w:val="22"/>
          <w:szCs w:val="22"/>
          <w:shd w:val="clear" w:color="auto" w:fill="FFFFFF"/>
        </w:rPr>
        <w:fldChar w:fldCharType="end"/>
      </w:r>
      <w:r>
        <w:rPr>
          <w:rFonts w:ascii="Arial" w:hAnsi="Arial" w:cs="Arial"/>
          <w:color w:val="212121"/>
          <w:sz w:val="22"/>
          <w:szCs w:val="22"/>
          <w:shd w:val="clear" w:color="auto" w:fill="FFFFFF"/>
        </w:rPr>
        <w:t>.</w:t>
      </w:r>
      <w:r w:rsidRPr="00682EF4">
        <w:rPr>
          <w:rFonts w:ascii="Arial" w:hAnsi="Arial" w:cs="Arial"/>
          <w:color w:val="4F81BD" w:themeColor="accent1"/>
          <w:sz w:val="22"/>
          <w:szCs w:val="22"/>
          <w:shd w:val="clear" w:color="auto" w:fill="FFFFFF"/>
        </w:rPr>
        <w:t xml:space="preserve"> </w:t>
      </w:r>
      <w:r w:rsidRPr="00682EF4">
        <w:rPr>
          <w:rFonts w:ascii="Arial" w:hAnsi="Arial" w:cs="Arial"/>
          <w:color w:val="212121"/>
          <w:sz w:val="22"/>
          <w:szCs w:val="22"/>
          <w:shd w:val="clear" w:color="auto" w:fill="FFFFFF"/>
        </w:rPr>
        <w:t>Davranışsal ebeveyn müdahaleleri, sosyal beceri eğitimi ve bilişsel davranış terapisi İngiltere'de tedavi seçenekleri arasında olarak önerilmektedir</w:t>
      </w:r>
      <w:r>
        <w:rPr>
          <w:rFonts w:ascii="Arial" w:hAnsi="Arial" w:cs="Arial"/>
          <w:color w:val="212121"/>
          <w:sz w:val="22"/>
          <w:szCs w:val="22"/>
          <w:shd w:val="clear" w:color="auto" w:fill="FFFFFF"/>
        </w:rPr>
        <w:t xml:space="preserve"> </w:t>
      </w:r>
      <w:r w:rsidR="00BC3BBB">
        <w:rPr>
          <w:rFonts w:ascii="Arial" w:hAnsi="Arial" w:cs="Arial"/>
          <w:color w:val="212121"/>
          <w:sz w:val="22"/>
          <w:szCs w:val="22"/>
          <w:shd w:val="clear" w:color="auto" w:fill="FFFFFF"/>
        </w:rPr>
        <w:fldChar w:fldCharType="begin" w:fldLock="1"/>
      </w:r>
      <w:r>
        <w:rPr>
          <w:rFonts w:ascii="Arial" w:hAnsi="Arial" w:cs="Arial"/>
          <w:color w:val="212121"/>
          <w:sz w:val="22"/>
          <w:szCs w:val="22"/>
          <w:shd w:val="clear" w:color="auto" w:fill="FFFFFF"/>
        </w:rPr>
        <w:instrText>ADDIN CSL_CITATION { "citationItems" : [ { "id" : "ITEM-1", "itemData" : { "author" : [ { "dropping-particle" : "", "family" : "National Institute for Health and Clinical Excellence (NICE)", "given" : "", "non-dropping-particle" : "", "parse-names" : false, "suffix" : "" } ], "container-title" : "National Clinical Practice Guideline", "id" : "ITEM-1", "issue" : "April 2007", "issued" : { "date-parts" : [ [ "2008" ] ] }, "page" : "Available at: http://publications.nice.org.uk/atte", "title" : "Attention deficit hyperactivity disorder: Diagnosis and management of ADHD in children, young people and adults", "type" : "article-journal", "volume" : "72" }, "uris" : [ "http://www.mendeley.com/documents/?uuid=7aaa297c-bc76-4eda-a8a2-0e08df8848c7" ] } ], "mendeley" : { "formattedCitation" : "(1)", "plainTextFormattedCitation" : "(1)", "previouslyFormattedCitation" : "(1)" }, "properties" : { "noteIndex" : 16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Pr="00513AB0">
        <w:rPr>
          <w:rFonts w:ascii="Arial" w:hAnsi="Arial" w:cs="Arial"/>
          <w:noProof/>
          <w:color w:val="212121"/>
          <w:sz w:val="22"/>
          <w:szCs w:val="22"/>
          <w:shd w:val="clear" w:color="auto" w:fill="FFFFFF"/>
        </w:rPr>
        <w:t>(1)</w:t>
      </w:r>
      <w:r w:rsidR="00BC3BBB">
        <w:rPr>
          <w:rFonts w:ascii="Arial" w:hAnsi="Arial" w:cs="Arial"/>
          <w:color w:val="212121"/>
          <w:sz w:val="22"/>
          <w:szCs w:val="22"/>
          <w:shd w:val="clear" w:color="auto" w:fill="FFFFFF"/>
        </w:rPr>
        <w:fldChar w:fldCharType="end"/>
      </w:r>
      <w:r>
        <w:rPr>
          <w:rFonts w:ascii="Arial" w:hAnsi="Arial" w:cs="Arial"/>
          <w:color w:val="212121"/>
          <w:sz w:val="22"/>
          <w:szCs w:val="22"/>
          <w:shd w:val="clear" w:color="auto" w:fill="FFFFFF"/>
        </w:rPr>
        <w:t>.</w:t>
      </w:r>
    </w:p>
    <w:p w:rsidR="00C60153" w:rsidRPr="00ED266E" w:rsidRDefault="00C60153" w:rsidP="00B9574B">
      <w:pPr>
        <w:pStyle w:val="HTMLncedenBiimlendirilmi"/>
        <w:shd w:val="clear" w:color="auto" w:fill="FFFFFF"/>
        <w:spacing w:line="360" w:lineRule="auto"/>
        <w:jc w:val="both"/>
        <w:rPr>
          <w:rFonts w:ascii="Arial" w:hAnsi="Arial" w:cs="Arial"/>
          <w:b/>
          <w:i/>
          <w:color w:val="212121"/>
          <w:sz w:val="22"/>
          <w:szCs w:val="22"/>
          <w:shd w:val="clear" w:color="auto" w:fill="FFFFFF"/>
        </w:rPr>
      </w:pPr>
      <w:r w:rsidRPr="00E648BA">
        <w:rPr>
          <w:rFonts w:ascii="Arial" w:hAnsi="Arial" w:cs="Arial"/>
          <w:color w:val="212121"/>
          <w:sz w:val="22"/>
          <w:szCs w:val="22"/>
        </w:rPr>
        <w:tab/>
      </w:r>
      <w:r w:rsidRPr="00ED266E">
        <w:rPr>
          <w:rFonts w:ascii="Arial" w:hAnsi="Arial" w:cs="Arial"/>
          <w:b/>
          <w:i/>
          <w:color w:val="212121"/>
          <w:sz w:val="22"/>
          <w:szCs w:val="22"/>
          <w:shd w:val="clear" w:color="auto" w:fill="FFFFFF"/>
        </w:rPr>
        <w:t>Ebeveynlik Müdahaleleri</w:t>
      </w:r>
    </w:p>
    <w:p w:rsidR="00C60153" w:rsidRDefault="00C60153" w:rsidP="00B9574B">
      <w:pPr>
        <w:pStyle w:val="HTMLncedenBiimlendirilmi"/>
        <w:shd w:val="clear" w:color="auto" w:fill="FFFFFF"/>
        <w:spacing w:line="360" w:lineRule="auto"/>
        <w:jc w:val="both"/>
        <w:rPr>
          <w:rFonts w:ascii="Arial" w:hAnsi="Arial" w:cs="Arial"/>
          <w:color w:val="002060"/>
          <w:sz w:val="21"/>
          <w:szCs w:val="21"/>
          <w:shd w:val="clear" w:color="auto" w:fill="FFFFFF"/>
        </w:rPr>
      </w:pPr>
      <w:r w:rsidRPr="00E648BA">
        <w:rPr>
          <w:rFonts w:ascii="Arial" w:hAnsi="Arial" w:cs="Arial"/>
          <w:b/>
          <w:color w:val="212121"/>
          <w:sz w:val="22"/>
          <w:szCs w:val="22"/>
          <w:shd w:val="clear" w:color="auto" w:fill="FFFFFF"/>
        </w:rPr>
        <w:tab/>
      </w:r>
      <w:r w:rsidRPr="00E648BA">
        <w:rPr>
          <w:rFonts w:ascii="Arial" w:hAnsi="Arial" w:cs="Arial"/>
          <w:color w:val="212121"/>
          <w:sz w:val="22"/>
          <w:szCs w:val="22"/>
          <w:shd w:val="clear" w:color="auto" w:fill="FFFFFF"/>
        </w:rPr>
        <w:t>Davranışsal ebeveynlik müdahaleleri çocuklukta DEHB'nun tedavisinde birinci basamak tedavi seçenekleri olarak öneren klavuzlar bulunmaktadır</w:t>
      </w:r>
      <w:r>
        <w:rPr>
          <w:rFonts w:ascii="Arial" w:hAnsi="Arial" w:cs="Arial"/>
          <w:color w:val="212121"/>
          <w:sz w:val="22"/>
          <w:szCs w:val="22"/>
          <w:shd w:val="clear" w:color="auto" w:fill="FFFFFF"/>
        </w:rPr>
        <w:t xml:space="preserve"> </w:t>
      </w:r>
      <w:r w:rsidR="00BC3BBB">
        <w:rPr>
          <w:rFonts w:ascii="Arial" w:hAnsi="Arial" w:cs="Arial"/>
          <w:color w:val="212121"/>
          <w:sz w:val="22"/>
          <w:szCs w:val="22"/>
          <w:shd w:val="clear" w:color="auto" w:fill="FFFFFF"/>
        </w:rPr>
        <w:fldChar w:fldCharType="begin" w:fldLock="1"/>
      </w:r>
      <w:r>
        <w:rPr>
          <w:rFonts w:ascii="Arial" w:hAnsi="Arial" w:cs="Arial"/>
          <w:color w:val="212121"/>
          <w:sz w:val="22"/>
          <w:szCs w:val="22"/>
          <w:shd w:val="clear" w:color="auto" w:fill="FFFFFF"/>
        </w:rPr>
        <w:instrText>ADDIN CSL_CITATION { "citationItems" : [ { "id" : "ITEM-1", "itemData" : { "author" : [ { "dropping-particle" : "", "family" : "National Institute for Health and Clinical Excellence (NICE)", "given" : "", "non-dropping-particle" : "", "parse-names" : false, "suffix" : "" } ], "container-title" : "National Clinical Practice Guideline", "id" : "ITEM-1", "issue" : "April 2007", "issued" : { "date-parts" : [ [ "2008" ] ] }, "page" : "Available at: http://publications.nice.org.uk/atte", "title" : "Attention deficit hyperactivity disorder: Diagnosis and management of ADHD in children, young people and adults", "type" : "article-journal", "volume" : "72" }, "uris" : [ "http://www.mendeley.com/documents/?uuid=7aaa297c-bc76-4eda-a8a2-0e08df8848c7" ] } ], "mendeley" : { "formattedCitation" : "(1)", "plainTextFormattedCitation" : "(1)", "previouslyFormattedCitation" : "(1)" }, "properties" : { "noteIndex" : 16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Pr="006B0FD2">
        <w:rPr>
          <w:rFonts w:ascii="Arial" w:hAnsi="Arial" w:cs="Arial"/>
          <w:noProof/>
          <w:color w:val="212121"/>
          <w:sz w:val="22"/>
          <w:szCs w:val="22"/>
          <w:shd w:val="clear" w:color="auto" w:fill="FFFFFF"/>
        </w:rPr>
        <w:t>(1)</w:t>
      </w:r>
      <w:r w:rsidR="00BC3BBB">
        <w:rPr>
          <w:rFonts w:ascii="Arial" w:hAnsi="Arial" w:cs="Arial"/>
          <w:color w:val="212121"/>
          <w:sz w:val="22"/>
          <w:szCs w:val="22"/>
          <w:shd w:val="clear" w:color="auto" w:fill="FFFFFF"/>
        </w:rPr>
        <w:fldChar w:fldCharType="end"/>
      </w:r>
      <w:r w:rsidRPr="00E648BA">
        <w:rPr>
          <w:rFonts w:ascii="Arial" w:hAnsi="Arial" w:cs="Arial"/>
          <w:color w:val="212121"/>
          <w:sz w:val="22"/>
          <w:szCs w:val="22"/>
          <w:shd w:val="clear" w:color="auto" w:fill="FFFFFF"/>
        </w:rPr>
        <w:t>.</w:t>
      </w:r>
      <w:r w:rsidRPr="00E648BA">
        <w:rPr>
          <w:rFonts w:ascii="Arial" w:hAnsi="Arial" w:cs="Arial"/>
          <w:color w:val="4F81BD" w:themeColor="accent1"/>
          <w:sz w:val="22"/>
          <w:szCs w:val="22"/>
          <w:shd w:val="clear" w:color="auto" w:fill="FFFFFF"/>
        </w:rPr>
        <w:t xml:space="preserve"> </w:t>
      </w:r>
      <w:r w:rsidRPr="00E648BA">
        <w:rPr>
          <w:rFonts w:ascii="Arial" w:hAnsi="Arial" w:cs="Arial"/>
          <w:color w:val="212121"/>
          <w:sz w:val="22"/>
          <w:szCs w:val="22"/>
          <w:shd w:val="clear" w:color="auto" w:fill="FFFFFF"/>
        </w:rPr>
        <w:t xml:space="preserve">Önerilen müdahaleler sosyal öğrenme ilkelerine dayanır ve çocuğun uygun olmayan ve yıkıcı davranışlarının sıklığını azaltan, </w:t>
      </w:r>
      <w:r w:rsidRPr="00571B85">
        <w:rPr>
          <w:rFonts w:ascii="Arial" w:hAnsi="Arial" w:cs="Arial"/>
          <w:color w:val="212121"/>
          <w:sz w:val="22"/>
          <w:szCs w:val="22"/>
          <w:shd w:val="clear" w:color="auto" w:fill="FFFFFF"/>
        </w:rPr>
        <w:t>uyumsal davranışlarını destekleyen ebeveyn stratejilerini içerir. DEHB için tedavi etkinlikleri daha önceki meta-analizlerle de desteklenmiştir</w:t>
      </w:r>
      <w:r>
        <w:rPr>
          <w:rFonts w:ascii="Arial" w:hAnsi="Arial" w:cs="Arial"/>
          <w:color w:val="212121"/>
          <w:sz w:val="22"/>
          <w:szCs w:val="22"/>
          <w:shd w:val="clear" w:color="auto" w:fill="FFFFFF"/>
        </w:rPr>
        <w:t xml:space="preserve"> </w:t>
      </w:r>
      <w:r w:rsidR="00BC3BBB">
        <w:rPr>
          <w:rFonts w:ascii="Arial" w:hAnsi="Arial" w:cs="Arial"/>
          <w:color w:val="212121"/>
          <w:sz w:val="22"/>
          <w:szCs w:val="22"/>
          <w:shd w:val="clear" w:color="auto" w:fill="FFFFFF"/>
        </w:rPr>
        <w:fldChar w:fldCharType="begin" w:fldLock="1"/>
      </w:r>
      <w:r>
        <w:rPr>
          <w:rFonts w:ascii="Arial" w:hAnsi="Arial" w:cs="Arial"/>
          <w:color w:val="212121"/>
          <w:sz w:val="22"/>
          <w:szCs w:val="22"/>
          <w:shd w:val="clear" w:color="auto" w:fill="FFFFFF"/>
        </w:rPr>
        <w:instrText>ADDIN CSL_CITATION { "citationItems" : [ { "id" : "ITEM-1", "itemData" : { "DOI" : "10.1016/j.cpr.2008.11.001", "ISBN" : "0272-7358", "ISSN" : "02727358", "PMID" : "19131150", "abstract" : "There is currently controversy regarding the need for and the effectiveness of behavior modification for children with attention-deficit hyperactivity disorder (ADHD) despite years of study and multiple investigations reporting beneficial effects of the intervention. A meta-analysis was conducted by identifying relevant behavioral treatment studies in the literature. One-hundred seventy-four studies of behavioral treatment were identified from 114 individual papers that were appropriate for the meta-analysis. Effect sizes varied by study design but not generally by other study characteristics, such as the demographic variables of the participants in the studies. Overall unweighted effect sizes in between group studies (.83), pre-post studies (.70), within group studies (2.64), and single subject studies (3.78) indicated that behavioral treatments are highly effective. Based on these results, there is strong and consistent evidence that behavioral treatments are effective for treating ADHD. \u00a9 2008 Elsevier Ltd. All rights reserved.", "author" : [ { "dropping-particle" : "", "family" : "Fabiano", "given" : "Gregory A.", "non-dropping-particle" : "", "parse-names" : false, "suffix" : "" }, { "dropping-particle" : "", "family" : "Pelham", "given" : "William E.", "non-dropping-particle" : "", "parse-names" : false, "suffix" : "" }, { "dropping-particle" : "", "family" : "Coles", "given" : "Erika K.", "non-dropping-particle" : "", "parse-names" : false, "suffix" : "" }, { "dropping-particle" : "", "family" : "Gnagy", "given" : "Elizabeth M.", "non-dropping-particle" : "", "parse-names" : false, "suffix" : "" }, { "dropping-particle" : "", "family" : "Chronis-Tuscano", "given" : "Andrea", "non-dropping-particle" : "", "parse-names" : false, "suffix" : "" }, { "dropping-particle" : "", "family" : "O'Connor", "given" : "Briannon C.", "non-dropping-particle" : "", "parse-names" : false, "suffix" : "" } ], "container-title" : "Clinical Psychology Review", "id" : "ITEM-1", "issue" : "2", "issued" : { "date-parts" : [ [ "2009" ] ] }, "page" : "129-140", "title" : "A meta-analysis of behavioral treatments for attention-deficit/hyperactivity disorder", "type" : "article-journal", "volume" : "29" }, "uris" : [ "http://www.mendeley.com/documents/?uuid=4ccb338a-50b6-4a0a-adf3-8d4ec68dad9c" ] } ], "mendeley" : { "formattedCitation" : "(149)", "plainTextFormattedCitation" : "(149)", "previouslyFormattedCitation" : "(149)" }, "properties" : { "noteIndex" : 16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Pr="00F74A96">
        <w:rPr>
          <w:rFonts w:ascii="Arial" w:hAnsi="Arial" w:cs="Arial"/>
          <w:noProof/>
          <w:color w:val="212121"/>
          <w:sz w:val="22"/>
          <w:szCs w:val="22"/>
          <w:shd w:val="clear" w:color="auto" w:fill="FFFFFF"/>
        </w:rPr>
        <w:t>(149)</w:t>
      </w:r>
      <w:r w:rsidR="00BC3BBB">
        <w:rPr>
          <w:rFonts w:ascii="Arial" w:hAnsi="Arial" w:cs="Arial"/>
          <w:color w:val="212121"/>
          <w:sz w:val="22"/>
          <w:szCs w:val="22"/>
          <w:shd w:val="clear" w:color="auto" w:fill="FFFFFF"/>
        </w:rPr>
        <w:fldChar w:fldCharType="end"/>
      </w:r>
      <w:r w:rsidRPr="00571B85">
        <w:rPr>
          <w:rFonts w:ascii="Arial" w:hAnsi="Arial" w:cs="Arial"/>
          <w:color w:val="212121"/>
          <w:sz w:val="22"/>
          <w:szCs w:val="22"/>
          <w:shd w:val="clear" w:color="auto" w:fill="FFFFFF"/>
        </w:rPr>
        <w:t xml:space="preserve">. </w:t>
      </w:r>
    </w:p>
    <w:p w:rsidR="00C60153" w:rsidRPr="00ED266E" w:rsidRDefault="00C60153" w:rsidP="00B9574B">
      <w:pPr>
        <w:pStyle w:val="HTMLncedenBiimlendirilmi"/>
        <w:shd w:val="clear" w:color="auto" w:fill="FFFFFF"/>
        <w:spacing w:line="360" w:lineRule="auto"/>
        <w:ind w:left="708"/>
        <w:jc w:val="both"/>
        <w:rPr>
          <w:rFonts w:ascii="Arial" w:hAnsi="Arial" w:cs="Arial"/>
          <w:b/>
          <w:i/>
          <w:sz w:val="22"/>
          <w:szCs w:val="22"/>
          <w:shd w:val="clear" w:color="auto" w:fill="FFFFFF"/>
        </w:rPr>
      </w:pPr>
      <w:r>
        <w:rPr>
          <w:rFonts w:ascii="Arial" w:hAnsi="Arial" w:cs="Arial"/>
          <w:b/>
          <w:sz w:val="22"/>
          <w:szCs w:val="22"/>
          <w:shd w:val="clear" w:color="auto" w:fill="FFFFFF"/>
        </w:rPr>
        <w:tab/>
      </w:r>
      <w:r w:rsidRPr="00ED266E">
        <w:rPr>
          <w:rFonts w:ascii="Arial" w:hAnsi="Arial" w:cs="Arial"/>
          <w:b/>
          <w:i/>
          <w:sz w:val="22"/>
          <w:szCs w:val="22"/>
          <w:shd w:val="clear" w:color="auto" w:fill="FFFFFF"/>
        </w:rPr>
        <w:t>Sınıf Temelli Müdahaleler</w:t>
      </w:r>
    </w:p>
    <w:p w:rsidR="00C60153" w:rsidRDefault="00C60153" w:rsidP="00B9574B">
      <w:pPr>
        <w:pStyle w:val="HTMLncedenBiimlendirilmi"/>
        <w:shd w:val="clear" w:color="auto" w:fill="FFFFFF"/>
        <w:spacing w:line="360" w:lineRule="auto"/>
        <w:jc w:val="both"/>
        <w:rPr>
          <w:rFonts w:ascii="Arial" w:hAnsi="Arial" w:cs="Arial"/>
          <w:color w:val="E36C0A" w:themeColor="accent6" w:themeShade="BF"/>
          <w:sz w:val="22"/>
          <w:szCs w:val="22"/>
          <w:shd w:val="clear" w:color="auto" w:fill="FFFFFF"/>
        </w:rPr>
      </w:pPr>
      <w:r w:rsidRPr="00F0547E">
        <w:rPr>
          <w:rFonts w:ascii="Arial" w:hAnsi="Arial" w:cs="Arial"/>
          <w:b/>
          <w:sz w:val="22"/>
          <w:szCs w:val="22"/>
          <w:shd w:val="clear" w:color="auto" w:fill="FFFFFF"/>
        </w:rPr>
        <w:tab/>
      </w:r>
      <w:r w:rsidRPr="00F0547E">
        <w:rPr>
          <w:rFonts w:ascii="Arial" w:hAnsi="Arial" w:cs="Arial"/>
          <w:color w:val="212121"/>
          <w:sz w:val="22"/>
          <w:szCs w:val="22"/>
          <w:shd w:val="clear" w:color="auto" w:fill="FFFFFF"/>
        </w:rPr>
        <w:t>Problemli sınıf davranışını iyileştirmek için pekiştireç veya koşul temelli programların kullanımını teşvik eder. Sınıf temelli müdahaleler, çocuğun dikkat süresine göre görev süresinin ayarlanması gibi akademik başarıyı artırmayı amaçlayan bileşenleri de içermektedir</w:t>
      </w:r>
      <w:r>
        <w:rPr>
          <w:rFonts w:ascii="Arial" w:hAnsi="Arial" w:cs="Arial"/>
          <w:color w:val="212121"/>
          <w:sz w:val="22"/>
          <w:szCs w:val="22"/>
          <w:shd w:val="clear" w:color="auto" w:fill="FFFFFF"/>
        </w:rPr>
        <w:t xml:space="preserve"> </w:t>
      </w:r>
      <w:r w:rsidR="00BC3BBB">
        <w:rPr>
          <w:rFonts w:ascii="Arial" w:hAnsi="Arial" w:cs="Arial"/>
          <w:color w:val="212121"/>
          <w:sz w:val="22"/>
          <w:szCs w:val="22"/>
          <w:shd w:val="clear" w:color="auto" w:fill="FFFFFF"/>
        </w:rPr>
        <w:fldChar w:fldCharType="begin" w:fldLock="1"/>
      </w:r>
      <w:r>
        <w:rPr>
          <w:rFonts w:ascii="Arial" w:hAnsi="Arial" w:cs="Arial"/>
          <w:color w:val="212121"/>
          <w:sz w:val="22"/>
          <w:szCs w:val="22"/>
          <w:shd w:val="clear" w:color="auto" w:fill="FFFFFF"/>
        </w:rPr>
        <w:instrText>ADDIN CSL_CITATION { "citationItems" : [ { "id" : "ITEM-1", "itemData" : { "DOI" : "10.1080/00405841.2011.534935", "ISBN" : "0040-5841", "ISSN" : "0040-5841", "abstract" : "School-related difficulties are commonly associated with attention deficit hyperactivity disorder (ADHD). This article describes effective school- based intervention strategies including behavioral interventions, modifications to academic instruction, and home-school communication programs. One overlooked aspect of treatment of children with ADHD is the need to form partnerships among school professionals who can work collaboratively on interventions for children with ADHD. Approaches to developing effective collaboration between teachers and school psychologists are presented. Multiple treatment strategies implemented in a consistent fashion across school years can optimize the school success of students with ADHD.", "author" : [ { "dropping-particle" : "", "family" : "DuPaul", "given" : "George J.", "non-dropping-particle" : "", "parse-names" : false, "suffix" : "" }, { "dropping-particle" : "", "family" : "Weyandt", "given" : "Lisa L.", "non-dropping-particle" : "", "parse-names" : false, "suffix" : "" }, { "dropping-particle" : "", "family" : "Janusis", "given" : "Grace M.", "non-dropping-particle" : "", "parse-names" : false, "suffix" : "" } ], "container-title" : "Theory Into Practice", "id" : "ITEM-1", "issue" : "1", "issued" : { "date-parts" : [ [ "2011" ] ] }, "page" : "35-42", "title" : "ADHD in the Classroom: Effective Intervention Strategies", "type" : "article-journal", "volume" : "50" }, "uris" : [ "http://www.mendeley.com/documents/?uuid=ee8000bb-a265-49e7-bf04-4fbef825cf21" ] } ], "mendeley" : { "formattedCitation" : "(124)", "plainTextFormattedCitation" : "(124)", "previouslyFormattedCitation" : "(124)" }, "properties" : { "noteIndex" : 16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Pr="00F74A96">
        <w:rPr>
          <w:rFonts w:ascii="Arial" w:hAnsi="Arial" w:cs="Arial"/>
          <w:noProof/>
          <w:color w:val="212121"/>
          <w:sz w:val="22"/>
          <w:szCs w:val="22"/>
          <w:shd w:val="clear" w:color="auto" w:fill="FFFFFF"/>
        </w:rPr>
        <w:t>(124)</w:t>
      </w:r>
      <w:r w:rsidR="00BC3BBB">
        <w:rPr>
          <w:rFonts w:ascii="Arial" w:hAnsi="Arial" w:cs="Arial"/>
          <w:color w:val="212121"/>
          <w:sz w:val="22"/>
          <w:szCs w:val="22"/>
          <w:shd w:val="clear" w:color="auto" w:fill="FFFFFF"/>
        </w:rPr>
        <w:fldChar w:fldCharType="end"/>
      </w:r>
      <w:r w:rsidRPr="00F0547E">
        <w:rPr>
          <w:rFonts w:ascii="Arial" w:hAnsi="Arial" w:cs="Arial"/>
          <w:color w:val="212121"/>
          <w:sz w:val="22"/>
          <w:szCs w:val="22"/>
          <w:shd w:val="clear" w:color="auto" w:fill="FFFFFF"/>
        </w:rPr>
        <w:t>. Bir dizi randomize kontrollü çalışma sınıf temelli müdahalelerin çocuk davranışları üzerine faydalı etkilerini bildirmiştir</w:t>
      </w:r>
      <w:r>
        <w:rPr>
          <w:rFonts w:ascii="Arial" w:hAnsi="Arial" w:cs="Arial"/>
          <w:color w:val="212121"/>
          <w:sz w:val="22"/>
          <w:szCs w:val="22"/>
          <w:shd w:val="clear" w:color="auto" w:fill="FFFFFF"/>
        </w:rPr>
        <w:t xml:space="preserve"> </w:t>
      </w:r>
      <w:r w:rsidR="00BC3BBB">
        <w:rPr>
          <w:rFonts w:ascii="Arial" w:hAnsi="Arial" w:cs="Arial"/>
          <w:color w:val="212121"/>
          <w:sz w:val="22"/>
          <w:szCs w:val="22"/>
          <w:shd w:val="clear" w:color="auto" w:fill="FFFFFF"/>
        </w:rPr>
        <w:fldChar w:fldCharType="begin" w:fldLock="1"/>
      </w:r>
      <w:r>
        <w:rPr>
          <w:rFonts w:ascii="Arial" w:hAnsi="Arial" w:cs="Arial"/>
          <w:color w:val="212121"/>
          <w:sz w:val="22"/>
          <w:szCs w:val="22"/>
          <w:shd w:val="clear" w:color="auto" w:fill="FFFFFF"/>
        </w:rPr>
        <w:instrText>ADDIN CSL_CITATION { "citationItems" : [ { "id" : "ITEM-1", "itemData" : { "author" : [ { "dropping-particle" : "", "family" : "Chronis", "given" : "Andrea M.", "non-dropping-particle" : "", "parse-names" : false, "suffix" : "" }, { "dropping-particle" : "", "family" : "Jones", "given" : "Heather A.", "non-dropping-particle" : "", "parse-names" : false, "suffix" : "" }, { "dropping-particle" : "", "family" : "Raggi", "given" : "Veronica L.", "non-dropping-particle" : "", "parse-names" : false, "suffix" : "" } ], "container-title" : "Clinical Psychology Review", "id" : "ITEM-1", "issued" : { "date-parts" : [ [ "2006" ] ] }, "page" : "486-502", "title" : "Evidence-based psychosocial treatments for children and adolescents with attention-deficitlhyperactivity disorder", "type" : "article-journal", "volume" : "26" }, "uris" : [ "http://www.mendeley.com/documents/?uuid=fe8d3c96-622e-40fd-a0c9-2a1a23f86704" ] } ], "mendeley" : { "formattedCitation" : "(150)", "plainTextFormattedCitation" : "(150)", "previouslyFormattedCitation" : "(150)" }, "properties" : { "noteIndex" : 16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Pr="00F74A96">
        <w:rPr>
          <w:rFonts w:ascii="Arial" w:hAnsi="Arial" w:cs="Arial"/>
          <w:noProof/>
          <w:color w:val="212121"/>
          <w:sz w:val="22"/>
          <w:szCs w:val="22"/>
          <w:shd w:val="clear" w:color="auto" w:fill="FFFFFF"/>
        </w:rPr>
        <w:t>(150)</w:t>
      </w:r>
      <w:r w:rsidR="00BC3BBB">
        <w:rPr>
          <w:rFonts w:ascii="Arial" w:hAnsi="Arial" w:cs="Arial"/>
          <w:color w:val="212121"/>
          <w:sz w:val="22"/>
          <w:szCs w:val="22"/>
          <w:shd w:val="clear" w:color="auto" w:fill="FFFFFF"/>
        </w:rPr>
        <w:fldChar w:fldCharType="end"/>
      </w:r>
      <w:r>
        <w:rPr>
          <w:rFonts w:ascii="Arial" w:hAnsi="Arial" w:cs="Arial"/>
          <w:color w:val="212121"/>
          <w:sz w:val="22"/>
          <w:szCs w:val="22"/>
          <w:shd w:val="clear" w:color="auto" w:fill="FFFFFF"/>
        </w:rPr>
        <w:t>.</w:t>
      </w:r>
      <w:r w:rsidRPr="00F0547E">
        <w:rPr>
          <w:rFonts w:ascii="Arial" w:hAnsi="Arial" w:cs="Arial"/>
          <w:color w:val="212121"/>
          <w:sz w:val="22"/>
          <w:szCs w:val="22"/>
          <w:shd w:val="clear" w:color="auto" w:fill="FFFFFF"/>
        </w:rPr>
        <w:t xml:space="preserve"> Günlük rapor kartlarının</w:t>
      </w:r>
      <w:r>
        <w:rPr>
          <w:rFonts w:ascii="Arial" w:hAnsi="Arial" w:cs="Arial"/>
          <w:color w:val="212121"/>
          <w:sz w:val="22"/>
          <w:szCs w:val="22"/>
          <w:shd w:val="clear" w:color="auto" w:fill="FFFFFF"/>
        </w:rPr>
        <w:t xml:space="preserve"> kullanımı</w:t>
      </w:r>
      <w:r w:rsidRPr="00F0547E">
        <w:rPr>
          <w:rFonts w:ascii="Arial" w:hAnsi="Arial" w:cs="Arial"/>
          <w:color w:val="212121"/>
          <w:sz w:val="22"/>
          <w:szCs w:val="22"/>
          <w:shd w:val="clear" w:color="auto" w:fill="FFFFFF"/>
        </w:rPr>
        <w:t xml:space="preserve"> okulda gözlemlenen davranış</w:t>
      </w:r>
      <w:r>
        <w:rPr>
          <w:rFonts w:ascii="Arial" w:hAnsi="Arial" w:cs="Arial"/>
          <w:color w:val="212121"/>
          <w:sz w:val="22"/>
          <w:szCs w:val="22"/>
          <w:shd w:val="clear" w:color="auto" w:fill="FFFFFF"/>
        </w:rPr>
        <w:t>lar hakkında bilgi sağlamasının</w:t>
      </w:r>
      <w:r w:rsidRPr="00F0547E">
        <w:rPr>
          <w:rFonts w:ascii="Arial" w:hAnsi="Arial" w:cs="Arial"/>
          <w:color w:val="212121"/>
          <w:sz w:val="22"/>
          <w:szCs w:val="22"/>
          <w:shd w:val="clear" w:color="auto" w:fill="FFFFFF"/>
        </w:rPr>
        <w:t xml:space="preserve"> yanında, okuldaki müdahalelere ebeveyn desteğini artırarak, ev ile okul arasındaki iletişimi güçlendirebileceği ifade edilmiştir</w:t>
      </w:r>
      <w:r>
        <w:rPr>
          <w:rFonts w:ascii="Arial" w:hAnsi="Arial" w:cs="Arial"/>
          <w:color w:val="212121"/>
          <w:sz w:val="22"/>
          <w:szCs w:val="22"/>
          <w:shd w:val="clear" w:color="auto" w:fill="FFFFFF"/>
        </w:rPr>
        <w:t xml:space="preserve"> </w:t>
      </w:r>
      <w:r w:rsidR="00BC3BBB">
        <w:rPr>
          <w:rFonts w:ascii="Arial" w:hAnsi="Arial" w:cs="Arial"/>
          <w:color w:val="212121"/>
          <w:sz w:val="22"/>
          <w:szCs w:val="22"/>
          <w:shd w:val="clear" w:color="auto" w:fill="FFFFFF"/>
        </w:rPr>
        <w:fldChar w:fldCharType="begin" w:fldLock="1"/>
      </w:r>
      <w:r>
        <w:rPr>
          <w:rFonts w:ascii="Arial" w:hAnsi="Arial" w:cs="Arial"/>
          <w:color w:val="212121"/>
          <w:sz w:val="22"/>
          <w:szCs w:val="22"/>
          <w:shd w:val="clear" w:color="auto" w:fill="FFFFFF"/>
        </w:rPr>
        <w:instrText>ADDIN CSL_CITATION { "citationItems" : [ { "id" : "ITEM-1", "itemData" : { "DOI" : "10.1080/00405841.2011.534935", "ISBN" : "0040-5841", "ISSN" : "0040-5841", "abstract" : "School-related difficulties are commonly associated with attention deficit hyperactivity disorder (ADHD). This article describes effective school- based intervention strategies including behavioral interventions, modifications to academic instruction, and home-school communication programs. One overlooked aspect of treatment of children with ADHD is the need to form partnerships among school professionals who can work collaboratively on interventions for children with ADHD. Approaches to developing effective collaboration between teachers and school psychologists are presented. Multiple treatment strategies implemented in a consistent fashion across school years can optimize the school success of students with ADHD.", "author" : [ { "dropping-particle" : "", "family" : "DuPaul", "given" : "George J.", "non-dropping-particle" : "", "parse-names" : false, "suffix" : "" }, { "dropping-particle" : "", "family" : "Weyandt", "given" : "Lisa L.", "non-dropping-particle" : "", "parse-names" : false, "suffix" : "" }, { "dropping-particle" : "", "family" : "Janusis", "given" : "Grace M.", "non-dropping-particle" : "", "parse-names" : false, "suffix" : "" } ], "container-title" : "Theory Into Practice", "id" : "ITEM-1", "issue" : "1", "issued" : { "date-parts" : [ [ "2011" ] ] }, "page" : "35-42", "title" : "ADHD in the Classroom: Effective Intervention Strategies", "type" : "article-journal", "volume" : "50" }, "uris" : [ "http://www.mendeley.com/documents/?uuid=ee8000bb-a265-49e7-bf04-4fbef825cf21" ] } ], "mendeley" : { "formattedCitation" : "(124)", "plainTextFormattedCitation" : "(124)", "previouslyFormattedCitation" : "(124)" }, "properties" : { "noteIndex" : 16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Pr="00F74A96">
        <w:rPr>
          <w:rFonts w:ascii="Arial" w:hAnsi="Arial" w:cs="Arial"/>
          <w:noProof/>
          <w:color w:val="212121"/>
          <w:sz w:val="22"/>
          <w:szCs w:val="22"/>
          <w:shd w:val="clear" w:color="auto" w:fill="FFFFFF"/>
        </w:rPr>
        <w:t>(124)</w:t>
      </w:r>
      <w:r w:rsidR="00BC3BBB">
        <w:rPr>
          <w:rFonts w:ascii="Arial" w:hAnsi="Arial" w:cs="Arial"/>
          <w:color w:val="212121"/>
          <w:sz w:val="22"/>
          <w:szCs w:val="22"/>
          <w:shd w:val="clear" w:color="auto" w:fill="FFFFFF"/>
        </w:rPr>
        <w:fldChar w:fldCharType="end"/>
      </w:r>
      <w:r w:rsidRPr="00F0547E">
        <w:rPr>
          <w:rFonts w:ascii="Arial" w:hAnsi="Arial" w:cs="Arial"/>
          <w:color w:val="212121"/>
          <w:sz w:val="22"/>
          <w:szCs w:val="22"/>
          <w:shd w:val="clear" w:color="auto" w:fill="FFFFFF"/>
        </w:rPr>
        <w:t xml:space="preserve">. </w:t>
      </w:r>
    </w:p>
    <w:p w:rsidR="00C60153" w:rsidRPr="00B9574B" w:rsidRDefault="00C60153" w:rsidP="00B9574B">
      <w:pPr>
        <w:pStyle w:val="HTMLncedenBiimlendirilmi"/>
        <w:shd w:val="clear" w:color="auto" w:fill="FFFFFF"/>
        <w:spacing w:line="360" w:lineRule="auto"/>
        <w:jc w:val="both"/>
        <w:rPr>
          <w:rFonts w:ascii="Arial" w:hAnsi="Arial" w:cs="Arial"/>
          <w:b/>
          <w:i/>
          <w:sz w:val="22"/>
          <w:szCs w:val="22"/>
          <w:shd w:val="clear" w:color="auto" w:fill="FFFFFF"/>
        </w:rPr>
      </w:pPr>
      <w:r>
        <w:rPr>
          <w:rFonts w:ascii="Arial" w:hAnsi="Arial" w:cs="Arial"/>
          <w:color w:val="E36C0A" w:themeColor="accent6" w:themeShade="BF"/>
          <w:sz w:val="22"/>
          <w:szCs w:val="22"/>
          <w:shd w:val="clear" w:color="auto" w:fill="FFFFFF"/>
        </w:rPr>
        <w:tab/>
      </w:r>
      <w:r w:rsidRPr="00B9574B">
        <w:rPr>
          <w:rFonts w:ascii="Arial" w:hAnsi="Arial" w:cs="Arial"/>
          <w:b/>
          <w:i/>
          <w:sz w:val="22"/>
          <w:szCs w:val="22"/>
          <w:shd w:val="clear" w:color="auto" w:fill="FFFFFF"/>
        </w:rPr>
        <w:t>Çocuk Psikolojisi Terapisi</w:t>
      </w:r>
    </w:p>
    <w:p w:rsidR="00C60153" w:rsidRPr="00B9574B" w:rsidRDefault="00C60153" w:rsidP="00B9574B">
      <w:pPr>
        <w:pStyle w:val="HTMLncedenBiimlendirilmi"/>
        <w:shd w:val="clear" w:color="auto" w:fill="FFFFFF"/>
        <w:spacing w:line="360" w:lineRule="auto"/>
        <w:jc w:val="both"/>
        <w:rPr>
          <w:rFonts w:ascii="Arial" w:hAnsi="Arial" w:cs="Arial"/>
          <w:b/>
          <w:sz w:val="22"/>
          <w:szCs w:val="22"/>
          <w:shd w:val="clear" w:color="auto" w:fill="FFFFFF"/>
        </w:rPr>
      </w:pPr>
      <w:r w:rsidRPr="00B9574B">
        <w:rPr>
          <w:rFonts w:ascii="Arial" w:hAnsi="Arial" w:cs="Arial"/>
          <w:b/>
          <w:sz w:val="22"/>
          <w:szCs w:val="22"/>
          <w:shd w:val="clear" w:color="auto" w:fill="FFFFFF"/>
        </w:rPr>
        <w:tab/>
      </w:r>
      <w:r w:rsidRPr="00B9574B">
        <w:rPr>
          <w:rFonts w:ascii="Arial" w:hAnsi="Arial" w:cs="Arial"/>
          <w:sz w:val="22"/>
          <w:szCs w:val="22"/>
          <w:shd w:val="clear" w:color="auto" w:fill="FFFFFF"/>
        </w:rPr>
        <w:t xml:space="preserve">DEHB’li çocuklar için psikolojik terapi sosyal beceri eğitimini, öfke yönetimini ve problem çözmeyi içeren oturumlardan oluşmaktadır. </w:t>
      </w:r>
      <w:r w:rsidRPr="00B9574B">
        <w:rPr>
          <w:rFonts w:ascii="Arial" w:hAnsi="Arial" w:cs="Arial"/>
          <w:sz w:val="22"/>
          <w:szCs w:val="22"/>
        </w:rPr>
        <w:t>B</w:t>
      </w:r>
      <w:r w:rsidRPr="00B9574B">
        <w:rPr>
          <w:rFonts w:ascii="Arial" w:hAnsi="Arial" w:cs="Arial"/>
          <w:color w:val="212121"/>
          <w:sz w:val="22"/>
          <w:szCs w:val="22"/>
          <w:shd w:val="clear" w:color="auto" w:fill="FFFFFF"/>
        </w:rPr>
        <w:t xml:space="preserve">u tür yaklaşımların bazı DEHB’li çocuklar için önerilmesine rağmen </w:t>
      </w:r>
      <w:r w:rsidR="00BC3BBB" w:rsidRPr="00B9574B">
        <w:rPr>
          <w:rFonts w:ascii="Arial" w:hAnsi="Arial" w:cs="Arial"/>
          <w:color w:val="212121"/>
          <w:sz w:val="22"/>
          <w:szCs w:val="22"/>
          <w:shd w:val="clear" w:color="auto" w:fill="FFFFFF"/>
        </w:rPr>
        <w:fldChar w:fldCharType="begin" w:fldLock="1"/>
      </w:r>
      <w:r w:rsidRPr="00B9574B">
        <w:rPr>
          <w:rFonts w:ascii="Arial" w:hAnsi="Arial" w:cs="Arial"/>
          <w:color w:val="212121"/>
          <w:sz w:val="22"/>
          <w:szCs w:val="22"/>
          <w:shd w:val="clear" w:color="auto" w:fill="FFFFFF"/>
        </w:rPr>
        <w:instrText>ADDIN CSL_CITATION { "citationItems" : [ { "id" : "ITEM-1", "itemData" : { "author" : [ { "dropping-particle" : "", "family" : "National Institute for Health and Clinical Excellence (NICE)", "given" : "", "non-dropping-particle" : "", "parse-names" : false, "suffix" : "" } ], "container-title" : "National Clinical Practice Guideline", "id" : "ITEM-1", "issue" : "April 2007", "issued" : { "date-parts" : [ [ "2008" ] ] }, "page" : "Available at: http://publications.nice.org.uk/atte", "title" : "Attention deficit hyperactivity disorder: Diagnosis and management of ADHD in children, young people and adults", "type" : "article-journal", "volume" : "72" }, "uris" : [ "http://www.mendeley.com/documents/?uuid=7aaa297c-bc76-4eda-a8a2-0e08df8848c7" ] } ], "mendeley" : { "formattedCitation" : "(1)", "plainTextFormattedCitation" : "(1)", "previouslyFormattedCitation" : "(1)" }, "properties" : { "noteIndex" : 17 }, "schema" : "https://github.com/citation-style-language/schema/raw/master/csl-citation.json" }</w:instrText>
      </w:r>
      <w:r w:rsidR="00BC3BBB" w:rsidRPr="00B9574B">
        <w:rPr>
          <w:rFonts w:ascii="Arial" w:hAnsi="Arial" w:cs="Arial"/>
          <w:color w:val="212121"/>
          <w:sz w:val="22"/>
          <w:szCs w:val="22"/>
          <w:shd w:val="clear" w:color="auto" w:fill="FFFFFF"/>
        </w:rPr>
        <w:fldChar w:fldCharType="separate"/>
      </w:r>
      <w:r w:rsidRPr="00B9574B">
        <w:rPr>
          <w:rFonts w:ascii="Arial" w:hAnsi="Arial" w:cs="Arial"/>
          <w:noProof/>
          <w:color w:val="212121"/>
          <w:sz w:val="22"/>
          <w:szCs w:val="22"/>
          <w:shd w:val="clear" w:color="auto" w:fill="FFFFFF"/>
        </w:rPr>
        <w:t>(1)</w:t>
      </w:r>
      <w:r w:rsidR="00BC3BBB" w:rsidRPr="00B9574B">
        <w:rPr>
          <w:rFonts w:ascii="Arial" w:hAnsi="Arial" w:cs="Arial"/>
          <w:color w:val="212121"/>
          <w:sz w:val="22"/>
          <w:szCs w:val="22"/>
          <w:shd w:val="clear" w:color="auto" w:fill="FFFFFF"/>
        </w:rPr>
        <w:fldChar w:fldCharType="end"/>
      </w:r>
      <w:r w:rsidRPr="00B9574B">
        <w:rPr>
          <w:rFonts w:ascii="Arial" w:hAnsi="Arial" w:cs="Arial"/>
          <w:color w:val="212121"/>
          <w:sz w:val="22"/>
          <w:szCs w:val="22"/>
          <w:shd w:val="clear" w:color="auto" w:fill="FFFFFF"/>
        </w:rPr>
        <w:t xml:space="preserve">, etkinliklerini destekleyen kanıtlar bu aşamada sınırlı olarak saptanmıştır </w:t>
      </w:r>
      <w:r w:rsidR="00BC3BBB" w:rsidRPr="00B9574B">
        <w:rPr>
          <w:rFonts w:ascii="Arial" w:hAnsi="Arial" w:cs="Arial"/>
          <w:color w:val="212121"/>
          <w:sz w:val="22"/>
          <w:szCs w:val="22"/>
          <w:shd w:val="clear" w:color="auto" w:fill="FFFFFF"/>
        </w:rPr>
        <w:fldChar w:fldCharType="begin" w:fldLock="1"/>
      </w:r>
      <w:r w:rsidR="0037573A" w:rsidRPr="00B9574B">
        <w:rPr>
          <w:rFonts w:ascii="Arial" w:hAnsi="Arial" w:cs="Arial"/>
          <w:color w:val="212121"/>
          <w:sz w:val="22"/>
          <w:szCs w:val="22"/>
          <w:shd w:val="clear" w:color="auto" w:fill="FFFFFF"/>
        </w:rPr>
        <w:instrText>ADDIN CSL_CITATION { "citationItems" : [ { "id" : "ITEM-1", "itemData" : { "DOI" : "10.1016/j.cpr.2007.10.008", "ISBN" : "0272-7358", "ISSN" : "02727358", "PMID" : "18061324", "abstract" : "Primary evidence-based treatment approaches for ADHD involve pharmacological and behavioral treatments. However, there continue to be investigations of cognitive-behavioral, cognitive, and neural-based intervention approaches that are not considered evidence-based practice. These particular treatments are summarized, as they all involve training in cognitive skills or cognitive strategies. We identified 26 studies (six cognitive-behavioral, six cognitive, and 14 neural-based), and calculated effect sizes where appropriate. Overall, our analysis suggests that further research is needed to determine the efficacy of these approaches on both cognitive and behavioral outcome measures, but that some of these methods show promise for treating ADHD. We discuss some important conceptual and methodological issues that need to be taken into account for future research in order to evaluate the clinical efficacy of these approaches. \u00a9 2007 Elsevier Ltd. All rights reserved.", "author" : [ { "dropping-particle" : "", "family" : "Toplak", "given" : "Maggie E.", "non-dropping-particle" : "", "parse-names" : false, "suffix" : "" }, { "dropping-particle" : "", "family" : "Connors", "given" : "Laura", "non-dropping-particle" : "", "parse-names" : false, "suffix" : "" }, { "dropping-particle" : "", "family" : "Shuster", "given" : "Jill", "non-dropping-particle" : "", "parse-names" : false, "suffix" : "" }, { "dropping-particle" : "", "family" : "Knezevic", "given" : "Bojana", "non-dropping-particle" : "", "parse-names" : false, "suffix" : "" }, { "dropping-particle" : "", "family" : "Parks", "given" : "Sandy", "non-dropping-particle" : "", "parse-names" : false, "suffix" : "" } ], "container-title" : "Clinical Psychology Review", "id" : "ITEM-1", "issue" : "5", "issued" : { "date-parts" : [ [ "2008" ] ] }, "page" : "801-823", "title" : "Review of cognitive, cognitive-behavioral, and neural-based interventions for Attention-Deficit/Hyperactivity Disorder (ADHD)", "type" : "article-journal", "volume" : "28" }, "uris" : [ "http://www.mendeley.com/documents/?uuid=be96f973-3959-4f69-8b5e-d7a67aa3920d" ] }, { "id" : "ITEM-2", "itemData" : { "ISBN" : "1469-493X", "ISSN" : "1469-493X", "abstract" : "Background: Attention Deficit Hyperactivity Disorder (ADHD) in children is associated with hyperactivity and impulsitivity, attention problems, and difficulties with social interactions. Pharmacological treatment may alleviate symptoms of ADHD but seldom solves difficulties with social interactions. Social skills training may benefit ADHD children in their social interactions. We examined the effects of social skills training on children's social competences, general behaviour, ADHD symptoms, and performance in school. Objectives: To assess the effects of social skills training in children and adolescents with ADHD. Search methods: We searched the following electronic databases: CENTRAL (2011, Issue1), MEDLINE (1948 to March 2011), EMBASE (1980 to March 2011), ERIC (1966 to March 2011 ), AMED (1985 to June 2011), PsycINFO (1806 to March 2011), CINAHL (1980 to March 2011), and Sociological Abstracts (1952 to March 2011). We also searched the metaRegister of Controlled Trials on 15 October 2010. We did not apply any language or date restrictions to the searches. We searched online conference abstracts and contacted 176 experts in the field for possible information about unpublished or ongoing RCTs. Selection criteria: Randomised trials investigating social skills training for children with ADHD as a stand alone treatment or as an adjunct to pharmacological treatment. Data collection and analysis: We conducted the review according to the Cochrane Handbook for Systematic Reviews of Intervention. Two authors (OJS, MS) extracted data independently using an appropriate data collection form. We performed the analyses using Review Manager 5 software. Main results: We included 11 randomised trials described in 26 records (all full text articles) in the review. The trials included a total of 747 participants. All participants were between five and 12 years of age. No trials assessed adolescents. In 10 of the trials the participants suffered from different comorbidities. The duration of the interventions ranged from eight to 10 weeks (eight trials) up to two years. The types of social skills interventions were named social skills training, cognitive behavioural intervention, multimodal behavioural/psychosocial therapy, behavioural therapy/treatment, behavioural and social skills treatment, and psychosocial treatment. The content of the social skills interventionswere comparable and based on a cognitive behavioural model.Most of the trials compared child social skil\u2026", "author" : [ { "dropping-particle" : "", "family" : "Storeb\u00f8", "given" : "O J", "non-dropping-particle" : "", "parse-names" : false, "suffix" : "" }, { "dropping-particle" : "", "family" : "Skoog", "given" : "M", "non-dropping-particle" : "", "parse-names" : false, "suffix" : "" }, { "dropping-particle" : "", "family" : "Damm", "given" : "D", "non-dropping-particle" : "", "parse-names" : false, "suffix" : "" }, { "dropping-particle" : "", "family" : "Thomsen", "given" : "P H", "non-dropping-particle" : "", "parse-names" : false, "suffix" : "" }, { "dropping-particle" : "", "family" : "Simonsen", "given" : "E", "non-dropping-particle" : "", "parse-names" : false, "suffix" : "" }, { "dropping-particle" : "", "family" : "Gluud", "given" : "C", "non-dropping-particle" : "", "parse-names" : false, "suffix" : "" } ], "container-title" : "Cochrane Database of Systematic Reviews", "id" : "ITEM-2", "issued" : { "date-parts" : [ [ "2011" ] ] }, "title" : "Social skills training for Attention Deficit Hyperactivity Disorder (ADHD) in children aged 5 to 18 years", "type" : "article-journal" }, "uris" : [ "http://www.mendeley.com/documents/?uuid=7d930ca5-0a71-47d9-b2e2-561708489147" ] } ], "mendeley" : { "formattedCitation" : "(151, 152)", "plainTextFormattedCitation" : "(151, 152)", "previouslyFormattedCitation" : "(151, 152)" }, "properties" : { "noteIndex" : 17 }, "schema" : "https://github.com/citation-style-language/schema/raw/master/csl-citation.json" }</w:instrText>
      </w:r>
      <w:r w:rsidR="00BC3BBB" w:rsidRPr="00B9574B">
        <w:rPr>
          <w:rFonts w:ascii="Arial" w:hAnsi="Arial" w:cs="Arial"/>
          <w:color w:val="212121"/>
          <w:sz w:val="22"/>
          <w:szCs w:val="22"/>
          <w:shd w:val="clear" w:color="auto" w:fill="FFFFFF"/>
        </w:rPr>
        <w:fldChar w:fldCharType="separate"/>
      </w:r>
      <w:r w:rsidR="00BF1F00" w:rsidRPr="00B9574B">
        <w:rPr>
          <w:rFonts w:ascii="Arial" w:hAnsi="Arial" w:cs="Arial"/>
          <w:noProof/>
          <w:color w:val="212121"/>
          <w:sz w:val="22"/>
          <w:szCs w:val="22"/>
          <w:shd w:val="clear" w:color="auto" w:fill="FFFFFF"/>
        </w:rPr>
        <w:t>(151, 152)</w:t>
      </w:r>
      <w:r w:rsidR="00BC3BBB" w:rsidRPr="00B9574B">
        <w:rPr>
          <w:rFonts w:ascii="Arial" w:hAnsi="Arial" w:cs="Arial"/>
          <w:color w:val="212121"/>
          <w:sz w:val="22"/>
          <w:szCs w:val="22"/>
          <w:shd w:val="clear" w:color="auto" w:fill="FFFFFF"/>
        </w:rPr>
        <w:fldChar w:fldCharType="end"/>
      </w:r>
      <w:r w:rsidRPr="00B9574B">
        <w:rPr>
          <w:rFonts w:ascii="Arial" w:hAnsi="Arial" w:cs="Arial"/>
          <w:color w:val="212121"/>
          <w:sz w:val="22"/>
          <w:szCs w:val="22"/>
          <w:shd w:val="clear" w:color="auto" w:fill="FFFFFF"/>
        </w:rPr>
        <w:t xml:space="preserve">. </w:t>
      </w:r>
    </w:p>
    <w:p w:rsidR="00C60153" w:rsidRPr="00B9574B" w:rsidRDefault="00B9574B" w:rsidP="00B9574B">
      <w:pPr>
        <w:spacing w:line="360" w:lineRule="auto"/>
        <w:ind w:firstLine="708"/>
        <w:jc w:val="both"/>
        <w:rPr>
          <w:rFonts w:ascii="Arial" w:hAnsi="Arial" w:cs="Arial"/>
          <w:b/>
          <w:i/>
          <w:sz w:val="22"/>
          <w:szCs w:val="22"/>
        </w:rPr>
      </w:pPr>
      <w:r>
        <w:rPr>
          <w:rFonts w:ascii="Arial" w:hAnsi="Arial" w:cs="Arial"/>
          <w:b/>
          <w:i/>
          <w:sz w:val="22"/>
          <w:szCs w:val="22"/>
        </w:rPr>
        <w:t xml:space="preserve">   </w:t>
      </w:r>
      <w:r w:rsidR="00C60153" w:rsidRPr="00B9574B">
        <w:rPr>
          <w:rFonts w:ascii="Arial" w:hAnsi="Arial" w:cs="Arial"/>
          <w:b/>
          <w:i/>
          <w:sz w:val="22"/>
          <w:szCs w:val="22"/>
        </w:rPr>
        <w:t>Diyet</w:t>
      </w:r>
    </w:p>
    <w:p w:rsidR="00C60153" w:rsidRDefault="00B9574B" w:rsidP="00B9574B">
      <w:pPr>
        <w:spacing w:line="360" w:lineRule="auto"/>
        <w:ind w:firstLine="708"/>
        <w:jc w:val="both"/>
        <w:rPr>
          <w:rFonts w:ascii="Arial" w:hAnsi="Arial" w:cs="Arial"/>
          <w:sz w:val="22"/>
          <w:szCs w:val="22"/>
        </w:rPr>
      </w:pPr>
      <w:r>
        <w:rPr>
          <w:rFonts w:ascii="Arial" w:hAnsi="Arial" w:cs="Arial"/>
          <w:color w:val="212121"/>
          <w:sz w:val="22"/>
          <w:szCs w:val="22"/>
          <w:shd w:val="clear" w:color="auto" w:fill="FFFFFF"/>
        </w:rPr>
        <w:t xml:space="preserve">   </w:t>
      </w:r>
      <w:r w:rsidR="00C60153" w:rsidRPr="00B9574B">
        <w:rPr>
          <w:rFonts w:ascii="Arial" w:hAnsi="Arial" w:cs="Arial"/>
          <w:color w:val="212121"/>
          <w:sz w:val="22"/>
          <w:szCs w:val="22"/>
          <w:shd w:val="clear" w:color="auto" w:fill="FFFFFF"/>
        </w:rPr>
        <w:t xml:space="preserve">Sonuga-Barke ve ark. serbest yağ asidi takviyesi ve </w:t>
      </w:r>
      <w:r w:rsidR="00C60153" w:rsidRPr="00B9574B">
        <w:rPr>
          <w:rFonts w:ascii="Arial" w:hAnsi="Arial" w:cs="Arial"/>
          <w:color w:val="212121"/>
          <w:sz w:val="22"/>
          <w:szCs w:val="22"/>
        </w:rPr>
        <w:t>gıda boyası kısıtlama</w:t>
      </w:r>
      <w:r w:rsidR="00C60153" w:rsidRPr="00B9574B">
        <w:rPr>
          <w:rFonts w:ascii="Arial" w:hAnsi="Arial" w:cs="Arial"/>
          <w:color w:val="212121"/>
          <w:sz w:val="22"/>
          <w:szCs w:val="22"/>
          <w:shd w:val="clear" w:color="auto" w:fill="FFFFFF"/>
        </w:rPr>
        <w:t xml:space="preserve"> dışındaki diyet müdahalelerin etki boyutlarının anlamlı olmadığına belirtmişlerdir </w:t>
      </w:r>
      <w:r w:rsidR="00BC3BBB" w:rsidRPr="00B9574B">
        <w:rPr>
          <w:rFonts w:ascii="Arial" w:hAnsi="Arial" w:cs="Arial"/>
          <w:color w:val="212121"/>
          <w:sz w:val="22"/>
          <w:szCs w:val="22"/>
          <w:shd w:val="clear" w:color="auto" w:fill="FFFFFF"/>
        </w:rPr>
        <w:fldChar w:fldCharType="begin" w:fldLock="1"/>
      </w:r>
      <w:r w:rsidR="00C60153" w:rsidRPr="00B9574B">
        <w:rPr>
          <w:rFonts w:ascii="Arial" w:hAnsi="Arial" w:cs="Arial"/>
          <w:color w:val="212121"/>
          <w:sz w:val="22"/>
          <w:szCs w:val="22"/>
          <w:shd w:val="clear" w:color="auto" w:fill="FFFFFF"/>
        </w:rPr>
        <w:instrText>ADDIN CSL_CITATION { "citationItems" : [ { "id" : "ITEM-1", "itemData" : { "DOI" : "10.1176/appi.ajp.2012.12070991", "ISSN" : "0002-953X", "PMID" : "23360949", "abstract" : "OBJECTIVE Nonpharmacological treatments are available for attention deficit hyperactivity disorder (ADHD), although their efficacy remains uncertain. The authors undertook meta-analyses of the efficacy of dietary (restricted elimination diets, artificial food color exclusions, and free fatty acid supplementation) and psychological (cognitive training, neurofeedback, and behavioral interventions) ADHD treatments. METHOD Using a common systematic search and a rigorous coding and data extraction strategy across domains, the authors searched electronic databases to identify published randomized controlled trials that involved individuals who were diagnosed with ADHD (or who met a validated cutoff on a recognized rating scale) and that included an ADHD outcome. RESULTS Fifty-four of the 2,904 nonduplicate screened records were included in the analyses. Two different analyses were performed. When the outcome measure was based on ADHD assessments by raters closest to the therapeutic setting, all dietary (standardized mean differences=0.21-0.48) and psychological (standardized mean differences=0.40-0.64) treatments produced statistically significant effects. However, when the best probably blinded assessment was employed, effects remained significant for free fatty acid supplementation (standardized mean difference=0.16) and artificial food color exclusion (standardized mean difference=0.42) but were substantially attenuated to nonsignificant levels for other treatments. CONCLUSIONS Free fatty acid supplementation produced small but significant reductions in ADHD symptoms even with probably blinded assessments, although the clinical significance of these effects remains to be determined. Artificial food color exclusion produced larger effects but often in individuals selected for food sensitivities. Better evidence for efficacy from blinded assessments is required for behavioral interventions, neurofeedback, cognitive training, and restricted elimination diets before they can be supported as treatments for core ADHD symptoms.", "author" : [ { "dropping-particle" : "", "family" : "Sonuga-Barke", "given" : "Edmund J.S.", "non-dropping-particle" : "", "parse-names" : false, "suffix" : "" }, { "dropping-particle" : "", "family" : "Brandeis", "given" : "Daniel", "non-dropping-particle" : "", "parse-names" : false, "suffix" : "" }, { "dropping-particle" : "", "family" : "Cortese", "given" : "Samuele", "non-dropping-particle" : "", "parse-names" : false, "suffix" : "" }, { "dropping-particle" : "", "family" : "Daley", "given" : "David", "non-dropping-particle" : "", "parse-names" : false, "suffix" : "" }, { "dropping-particle" : "", "family" : "Ferrin", "given" : "Maite", "non-dropping-particle" : "", "parse-names" : false, "suffix" : "" }, { "dropping-particle" : "", "family" : "Holtmann", "given" : "Martin", "non-dropping-particle" : "", "parse-names" : false, "suffix" : "" }, { "dropping-particle" : "", "family" : "Stevenson", "given" : "Jim", "non-dropping-particle" : "", "parse-names" : false, "suffix" : "" }, { "dropping-particle" : "", "family" : "Danckaerts", "given" : "Marina", "non-dropping-particle" : "", "parse-names" : false, "suffix" : "" }, { "dropping-particle" : "", "family" : "Oord", "given" : "Saskia", "non-dropping-particle" : "van der", "parse-names" : false, "suffix" : "" }, { "dropping-particle" : "", "family" : "D\u00f6pfner", "given" : "Manfred", "non-dropping-particle" : "", "parse-names" : false, "suffix" : "" }, { "dropping-particle" : "", "family" : "Dittmann", "given" : "Ralf W.", "non-dropping-particle" : "", "parse-names" : false, "suffix" : "" }, { "dropping-particle" : "", "family" : "Simonoff", "given" : "Emily", "non-dropping-particle" : "", "parse-names" : false, "suffix" : "" }, { "dropping-particle" : "", "family" : "Zuddas", "given" : "Alessandro", "non-dropping-particle" : "", "parse-names" : false, "suffix" : "" }, { "dropping-particle" : "", "family" : "Banaschewski", "given" : "Tobias", "non-dropping-particle" : "", "parse-names" : false, "suffix" : "" }, { "dropping-particle" : "", "family" : "Buitelaar", "given" : "Jan", "non-dropping-particle" : "", "parse-names" : false, "suffix" : "" }, { "dropping-particle" : "", "family" : "Coghill", "given" : "David", "non-dropping-particle" : "", "parse-names" : false, "suffix" : "" }, { "dropping-particle" : "", "family" : "Hollis", "given" : "Chris", "non-dropping-particle" : "", "parse-names" : false, "suffix" : "" }, { "dropping-particle" : "", "family" : "Konofal", "given" : "Eric", "non-dropping-particle" : "", "parse-names" : false, "suffix" : "" }, { "dropping-particle" : "", "family" : "Lecendreux", "given" : "Michel", "non-dropping-particle" : "", "parse-names" : false, "suffix" : "" }, { "dropping-particle" : "", "family" : "Wong", "given" : "Ian C.K.", "non-dropping-particle" : "", "parse-names" : false, "suffix" : "" }, { "dropping-particle" : "", "family" : "Sergeant", "given" : "Joseph", "non-dropping-particle" : "", "parse-names" : false, "suffix" : "" }, { "dropping-particle" : "", "family" : "European ADHD Guidelines Group", "given" : "", "non-dropping-particle" : "", "parse-names" : false, "suffix" : "" } ], "container-title" : "American Journal of Psychiatry", "id" : "ITEM-1", "issue" : "3", "issued" : { "date-parts" : [ [ "2013", "3" ] ] }, "page" : "275-289", "title" : "Nonpharmacological Interventions for ADHD: Systematic Review and Meta-Analyses of Randomized Controlled Trials of Dietary and Psychological Treatments", "type" : "article-journal", "volume" : "170" }, "uris" : [ "http://www.mendeley.com/documents/?uuid=034654f2-d5cc-353b-8e8c-c38f1e711f66" ] } ], "mendeley" : { "formattedCitation" : "(88)", "plainTextFormattedCitation" : "(88)", "previouslyFormattedCitation" : "(88)" }, "properties" : { "noteIndex" : 17 }, "schema" : "https://github.com/citation-style-language/schema/raw/master/csl-citation.json" }</w:instrText>
      </w:r>
      <w:r w:rsidR="00BC3BBB" w:rsidRPr="00B9574B">
        <w:rPr>
          <w:rFonts w:ascii="Arial" w:hAnsi="Arial" w:cs="Arial"/>
          <w:color w:val="212121"/>
          <w:sz w:val="22"/>
          <w:szCs w:val="22"/>
          <w:shd w:val="clear" w:color="auto" w:fill="FFFFFF"/>
        </w:rPr>
        <w:fldChar w:fldCharType="separate"/>
      </w:r>
      <w:r w:rsidR="00C60153" w:rsidRPr="00B9574B">
        <w:rPr>
          <w:rFonts w:ascii="Arial" w:hAnsi="Arial" w:cs="Arial"/>
          <w:noProof/>
          <w:color w:val="212121"/>
          <w:sz w:val="22"/>
          <w:szCs w:val="22"/>
          <w:shd w:val="clear" w:color="auto" w:fill="FFFFFF"/>
        </w:rPr>
        <w:t>(88)</w:t>
      </w:r>
      <w:r w:rsidR="00BC3BBB" w:rsidRPr="00B9574B">
        <w:rPr>
          <w:rFonts w:ascii="Arial" w:hAnsi="Arial" w:cs="Arial"/>
          <w:color w:val="212121"/>
          <w:sz w:val="22"/>
          <w:szCs w:val="22"/>
          <w:shd w:val="clear" w:color="auto" w:fill="FFFFFF"/>
        </w:rPr>
        <w:fldChar w:fldCharType="end"/>
      </w:r>
      <w:r w:rsidR="00C60153" w:rsidRPr="00B9574B">
        <w:rPr>
          <w:rFonts w:ascii="Arial" w:hAnsi="Arial" w:cs="Arial"/>
          <w:color w:val="212121"/>
          <w:sz w:val="22"/>
          <w:szCs w:val="22"/>
          <w:shd w:val="clear" w:color="auto" w:fill="FFFFFF"/>
        </w:rPr>
        <w:t xml:space="preserve">. </w:t>
      </w:r>
      <w:r w:rsidR="00C60153" w:rsidRPr="00B9574B">
        <w:rPr>
          <w:rFonts w:ascii="Arial" w:hAnsi="Arial" w:cs="Arial"/>
          <w:color w:val="212121"/>
          <w:sz w:val="22"/>
          <w:szCs w:val="22"/>
        </w:rPr>
        <w:t>Meta analizler, bu diyet müdahalelerinin DEHB semptomlarını azaltmada etkili olduğunu, ancak etki boyutlarının küçük olduğunu ve ç</w:t>
      </w:r>
      <w:r w:rsidR="00C60153" w:rsidRPr="00B9574B">
        <w:rPr>
          <w:rFonts w:ascii="Arial" w:hAnsi="Arial" w:cs="Arial"/>
          <w:color w:val="212121"/>
          <w:sz w:val="22"/>
          <w:szCs w:val="22"/>
          <w:shd w:val="clear" w:color="auto" w:fill="FFFFFF"/>
        </w:rPr>
        <w:t xml:space="preserve">alışmaya dahil edilenlerin genellikle gıda ile çocuklarının davranışları arasında olumsuz bir bağlantı tarifleyen ailelerle sınırlı olduğu bildirilmiştir </w:t>
      </w:r>
      <w:r w:rsidR="00BC3BBB" w:rsidRPr="00B9574B">
        <w:rPr>
          <w:rFonts w:ascii="Arial" w:hAnsi="Arial" w:cs="Arial"/>
          <w:color w:val="212121"/>
          <w:sz w:val="22"/>
          <w:szCs w:val="22"/>
          <w:shd w:val="clear" w:color="auto" w:fill="FFFFFF"/>
        </w:rPr>
        <w:fldChar w:fldCharType="begin" w:fldLock="1"/>
      </w:r>
      <w:r w:rsidR="0037573A" w:rsidRPr="00B9574B">
        <w:rPr>
          <w:rFonts w:ascii="Arial" w:hAnsi="Arial" w:cs="Arial"/>
          <w:color w:val="212121"/>
          <w:sz w:val="22"/>
          <w:szCs w:val="22"/>
          <w:shd w:val="clear" w:color="auto" w:fill="FFFFFF"/>
        </w:rPr>
        <w:instrText>ADDIN CSL_CITATION { "citationItems" : [ { "id" : "ITEM-1", "itemData" : { "DOI" : "10.1016/j.jaac.2011.06.008", "ISSN" : "1527-5418", "PMID" : "21961774", "abstract" : "OBJECTIVE Several studies have demonstrated differences in omega-3 fatty acid composition in plasma and in erythrocyte membranes in patients with attention-deficit/hyperactivity disorder (ADHD) compared with unaffected controls. Omega-3 fatty acids have anti-inflammatory properties and can alter central nervous system cell membrane fluidity and phospholipid composition. Cell membrane fluidity can alter serotonin and dopamine neurotransmission. The goal of this meta-analysis was to examine the efficacy of omega-3 fatty acid supplementation in children with ADHD. METHOD PubMed was searched for randomized placebo-controlled trials examining omega-3 fatty acid supplementation in children with ADHD symptomatology. The primary outcome measurement was standardized mean difference in rating scales of ADHD severity. Secondary analyses were conducted to determine the effects of dosing of different omega-3 fatty acids in supplements. RESULTS Ten trials involving 699 children were included in this meta-analysis. Omega-3 fatty acid supplementation demonstrated a small but significant effect in improving ADHD symptoms. Eicosapentaenoic acid dose within supplements was significantly correlated with supplement efficacy. No evidence of publication bias or heterogeneity between trials was found. CONCLUSION Omega-3 fatty acid supplementation, particularly with higher doses of eicosapentaenoic acid, was modestly effective in the treatment of ADHD. The relative efficacy of omega-3 fatty acid supplementation was modest compared with currently available pharmacotherapies for ADHD such as psychostimulants, atomoxetine, or \u03b1(2) agonists. However, given its relatively benign side-effect profile and evidence of modest efficacy, it may be reasonable to use omega-3 fatty supplementation to augment traditional pharmacologic interventions or for families who decline other psychopharmacologic options.", "author" : [ { "dropping-particle" : "", "family" : "Bloch", "given" : "Michael H", "non-dropping-particle" : "", "parse-names" : false, "suffix" : "" }, { "dropping-particle" : "", "family" : "Qawasmi", "given" : "Ahmad", "non-dropping-particle" : "", "parse-names" : false, "suffix" : "" } ], "container-title" : "Journal of the American Academy of Child and Adolescent Psychiatry", "id" : "ITEM-1", "issue" : "10", "issued" : { "date-parts" : [ [ "2011", "10" ] ] }, "page" : "991-1000", "title" : "Omega-3 fatty acid supplementation for the treatment of children with attention-deficit/hyperactivity disorder symptomatology: systematic review and meta-analysis.", "type" : "article-journal", "volume" : "50" }, "uris" : [ "http://www.mendeley.com/documents/?uuid=195a0071-d17e-3113-a964-8042b589ce20" ] }, { "id" : "ITEM-2", "itemData" : { "DOI" : "10.1016/j.jaac.2011.10.015", "ISBN" : "2122633255", "ISSN" : "08908567", "PMID" : "1000000221", "abstract" : "The role of diet and of food colors in attention-deficit/hyperactivity disorder (ADHD) or its symptoms warrants updated quantitative meta-analysis, in light of recent divergent policy in Europe and the United States. Studies were identified through a literature search using the PubMed, Cochrane Library, and PsycNET databases through February 2011. Twenty-four publications met inclusion criteria for synthetic food colors; 10 additional studies informed analysis of dietary restriction. A random-effects meta-analytic model generated summary effect sizes. Restriction diets reduced ADHD symptoms at an effect of g = 0.29 (95% CI, 0.070.53). For food colors, parent reports yielded an effect size of g = 0.18 (95% CI, 0.080.24; p =.0007), which decreased to 0.12 (95% CI, 0.010.23; p &lt;.05) after adjustment for possible publication bias. The effect was reliable in studies restricted to food color additives (g = 0.21, 95% CI = 0.060.36) but did not survive correction for possible publication bias and was not reliable in studies confined to Food and Drug Administrationapproved food colors. Teacher/observer reports yielded a nonsignificant effect of 0.07 (95% CI = -0.03 to 0.18; p =.14). However, high-quality studies confined to color additives yielded a reliable effect (g = 0.22, 95% CI = 0.100.41, p =.030) that survived correction. In psychometric tests of attention, the summary effect size was 0.27 (95% CI = 0.070.47; p =.007) and survived correction. An estimated 8% of children with ADHD may have symptoms related to synthetic food colors. A restriction diet benefits some children with ADHD. Effects of food colors were notable were but susceptible to publication bias or were derived from small, nongeneralizable samples. Renewed investigation of diet and ADHD is warranted. ?? 2012 American Academy of Child and Adolescent Psychiatry.", "author" : [ { "dropping-particle" : "", "family" : "Nigg", "given" : "Joel T.", "non-dropping-particle" : "", "parse-names" : false, "suffix" : "" }, { "dropping-particle" : "", "family" : "Lewis", "given" : "Kara", "non-dropping-particle" : "", "parse-names" : false, "suffix" : "" }, { "dropping-particle" : "", "family" : "Edinger", "given" : "Tracy", "non-dropping-particle" : "", "parse-names" : false, "suffix" : "" }, { "dropping-particle" : "", "family" : "Falk", "given" : "Michael", "non-dropping-particle" : "", "parse-names" : false, "suffix" : "" } ], "container-title" : "Journal of the American Academy of Child and Adolescent Psychiatry", "id" : "ITEM-2", "issue" : "1", "issued" : { "date-parts" : [ [ "2012" ] ] }, "title" : "Meta-analysis of attention-deficit/hyperactivity disorder or attention-deficit/hyperactivity disorder symptoms, restriction diet, and synthetic food color additives", "type" : "article-journal", "volume" : "51" }, "uris" : [ "http://www.mendeley.com/documents/?uuid=0f000776-52b0-4698-9601-ab0da093bac3" ] } ], "mendeley" : { "formattedCitation" : "(153, 154)", "plainTextFormattedCitation" : "(153, 154)", "previouslyFormattedCitation" : "(153, 154)" }, "properties" : { "noteIndex" : 17 }, "schema" : "https://github.com/citation-style-language/schema/raw/master/csl-citation.json" }</w:instrText>
      </w:r>
      <w:r w:rsidR="00BC3BBB" w:rsidRPr="00B9574B">
        <w:rPr>
          <w:rFonts w:ascii="Arial" w:hAnsi="Arial" w:cs="Arial"/>
          <w:color w:val="212121"/>
          <w:sz w:val="22"/>
          <w:szCs w:val="22"/>
          <w:shd w:val="clear" w:color="auto" w:fill="FFFFFF"/>
        </w:rPr>
        <w:fldChar w:fldCharType="separate"/>
      </w:r>
      <w:r w:rsidR="00BF1F00" w:rsidRPr="00B9574B">
        <w:rPr>
          <w:rFonts w:ascii="Arial" w:hAnsi="Arial" w:cs="Arial"/>
          <w:noProof/>
          <w:color w:val="212121"/>
          <w:sz w:val="22"/>
          <w:szCs w:val="22"/>
          <w:shd w:val="clear" w:color="auto" w:fill="FFFFFF"/>
        </w:rPr>
        <w:t>(153, 154)</w:t>
      </w:r>
      <w:r w:rsidR="00BC3BBB" w:rsidRPr="00B9574B">
        <w:rPr>
          <w:rFonts w:ascii="Arial" w:hAnsi="Arial" w:cs="Arial"/>
          <w:color w:val="212121"/>
          <w:sz w:val="22"/>
          <w:szCs w:val="22"/>
          <w:shd w:val="clear" w:color="auto" w:fill="FFFFFF"/>
        </w:rPr>
        <w:fldChar w:fldCharType="end"/>
      </w:r>
      <w:r w:rsidR="00C60153" w:rsidRPr="00B9574B">
        <w:rPr>
          <w:rFonts w:ascii="Arial" w:hAnsi="Arial" w:cs="Arial"/>
          <w:color w:val="212121"/>
          <w:sz w:val="22"/>
          <w:szCs w:val="22"/>
          <w:shd w:val="clear" w:color="auto" w:fill="FFFFFF"/>
        </w:rPr>
        <w:t xml:space="preserve">. </w:t>
      </w:r>
      <w:r w:rsidR="00C60153" w:rsidRPr="00B9574B">
        <w:rPr>
          <w:rFonts w:ascii="Arial" w:hAnsi="Arial" w:cs="Arial"/>
          <w:sz w:val="22"/>
          <w:szCs w:val="22"/>
        </w:rPr>
        <w:t xml:space="preserve">Ebeveynlerin yiyecek içecek tüketimi ile çocuğun davranışları arasında bir bağ bildirdikleri durumlarda, klinisyen tarafından bir gıda günlüğü tutmaları konusunda teşvik edilmeleri ve diyetisyene yönlendirilmeleri önerilmiştir </w:t>
      </w:r>
      <w:r w:rsidR="00BC3BBB" w:rsidRPr="00B9574B">
        <w:rPr>
          <w:rFonts w:ascii="Arial" w:hAnsi="Arial" w:cs="Arial"/>
          <w:sz w:val="22"/>
          <w:szCs w:val="22"/>
        </w:rPr>
        <w:fldChar w:fldCharType="begin" w:fldLock="1"/>
      </w:r>
      <w:r w:rsidR="00C60153" w:rsidRPr="00B9574B">
        <w:rPr>
          <w:rFonts w:ascii="Arial" w:hAnsi="Arial" w:cs="Arial"/>
          <w:sz w:val="22"/>
          <w:szCs w:val="22"/>
        </w:rPr>
        <w:instrText>ADDIN CSL_CITATION { "citationItems" : [ { "id" : "ITEM-1", "itemData" : { "author" : [ { "dropping-particle" : "", "family" : "National Institute for Health and Clinical Excellence (NICE)", "given" : "", "non-dropping-particle" : "", "parse-names" : false, "suffix" : "" } ], "container-title" : "National Clinical Practice Guideline", "id" : "ITEM-1", "issue" : "April 2007", "issued" : { "date-parts" : [ [ "2008" ] ] }, "page" : "Available at: http://publications.nice.org.uk/atte", "title" : "Attention deficit hyperactivity disorder: Diagnosis and management of ADHD in children, young people and adults", "type" : "article-journal", "volume" : "72" }, "uris" : [ "http://www.mendeley.com/documents/?uuid=7aaa297c-bc76-4eda-a8a2-0e08df8848c7" ] } ], "mendeley" : { "formattedCitation" : "(1)", "plainTextFormattedCitation" : "(1)", "previouslyFormattedCitation" : "(1)" }, "properties" : { "noteIndex" : 17 }, "schema" : "https://github.com/citation-style-language/schema/raw/master/csl-citation.json" }</w:instrText>
      </w:r>
      <w:r w:rsidR="00BC3BBB" w:rsidRPr="00B9574B">
        <w:rPr>
          <w:rFonts w:ascii="Arial" w:hAnsi="Arial" w:cs="Arial"/>
          <w:sz w:val="22"/>
          <w:szCs w:val="22"/>
        </w:rPr>
        <w:fldChar w:fldCharType="separate"/>
      </w:r>
      <w:r w:rsidR="00C60153" w:rsidRPr="00B9574B">
        <w:rPr>
          <w:rFonts w:ascii="Arial" w:hAnsi="Arial" w:cs="Arial"/>
          <w:noProof/>
          <w:sz w:val="22"/>
          <w:szCs w:val="22"/>
        </w:rPr>
        <w:t>(1)</w:t>
      </w:r>
      <w:r w:rsidR="00BC3BBB" w:rsidRPr="00B9574B">
        <w:rPr>
          <w:rFonts w:ascii="Arial" w:hAnsi="Arial" w:cs="Arial"/>
          <w:sz w:val="22"/>
          <w:szCs w:val="22"/>
        </w:rPr>
        <w:fldChar w:fldCharType="end"/>
      </w:r>
      <w:r w:rsidR="00C60153" w:rsidRPr="00B9574B">
        <w:rPr>
          <w:rFonts w:ascii="Arial" w:hAnsi="Arial" w:cs="Arial"/>
          <w:sz w:val="22"/>
          <w:szCs w:val="22"/>
        </w:rPr>
        <w:t xml:space="preserve">. </w:t>
      </w:r>
    </w:p>
    <w:p w:rsidR="00B9574B" w:rsidRDefault="00B9574B" w:rsidP="00C60153">
      <w:pPr>
        <w:spacing w:line="360" w:lineRule="auto"/>
        <w:ind w:firstLine="708"/>
        <w:rPr>
          <w:rFonts w:ascii="Arial" w:hAnsi="Arial" w:cs="Arial"/>
          <w:sz w:val="22"/>
          <w:szCs w:val="22"/>
        </w:rPr>
      </w:pPr>
    </w:p>
    <w:p w:rsidR="00B9574B" w:rsidRPr="00B9574B" w:rsidRDefault="00B9574B" w:rsidP="00C60153">
      <w:pPr>
        <w:spacing w:line="360" w:lineRule="auto"/>
        <w:ind w:firstLine="708"/>
        <w:rPr>
          <w:rFonts w:ascii="Arial" w:hAnsi="Arial" w:cs="Arial"/>
          <w:color w:val="E36C0A" w:themeColor="accent6" w:themeShade="BF"/>
          <w:sz w:val="22"/>
          <w:szCs w:val="22"/>
          <w:shd w:val="clear" w:color="auto" w:fill="FFFFFF"/>
        </w:rPr>
      </w:pPr>
    </w:p>
    <w:p w:rsidR="00C60153" w:rsidRDefault="00C60153" w:rsidP="00C60153">
      <w:pPr>
        <w:spacing w:line="360" w:lineRule="auto"/>
        <w:jc w:val="center"/>
        <w:rPr>
          <w:rFonts w:ascii="Arial" w:hAnsi="Arial" w:cs="Arial"/>
          <w:b/>
        </w:rPr>
      </w:pPr>
      <w:r w:rsidRPr="009063FC">
        <w:rPr>
          <w:rFonts w:ascii="Arial" w:hAnsi="Arial" w:cs="Arial"/>
          <w:b/>
        </w:rPr>
        <w:t xml:space="preserve">DEHB’NİN MOLEKÜLER GENETİK ÇALIŞMALARI </w:t>
      </w:r>
    </w:p>
    <w:p w:rsidR="002B6AFD" w:rsidRDefault="002B6AFD" w:rsidP="00C60153">
      <w:pPr>
        <w:spacing w:line="360" w:lineRule="auto"/>
        <w:jc w:val="center"/>
        <w:rPr>
          <w:rFonts w:ascii="Arial" w:hAnsi="Arial" w:cs="Arial"/>
          <w:b/>
        </w:rPr>
      </w:pPr>
    </w:p>
    <w:p w:rsidR="00C60153" w:rsidRPr="002B6AFD" w:rsidRDefault="00C60153" w:rsidP="00DA176E">
      <w:pPr>
        <w:spacing w:line="360" w:lineRule="auto"/>
        <w:ind w:firstLine="708"/>
        <w:jc w:val="both"/>
        <w:rPr>
          <w:rFonts w:ascii="Arial" w:hAnsi="Arial" w:cs="Arial"/>
          <w:b/>
          <w:sz w:val="22"/>
          <w:szCs w:val="22"/>
          <w:shd w:val="clear" w:color="auto" w:fill="FFFFFF"/>
        </w:rPr>
      </w:pPr>
      <w:r w:rsidRPr="002B6AFD">
        <w:rPr>
          <w:rFonts w:ascii="Arial" w:hAnsi="Arial" w:cs="Arial"/>
          <w:b/>
          <w:sz w:val="22"/>
          <w:szCs w:val="22"/>
          <w:shd w:val="clear" w:color="auto" w:fill="FFFFFF"/>
        </w:rPr>
        <w:t xml:space="preserve">Genetik Bağlantı Çalışmaları </w:t>
      </w:r>
    </w:p>
    <w:p w:rsidR="00C60153" w:rsidRPr="003F1464" w:rsidRDefault="003F1464" w:rsidP="003F1464">
      <w:pPr>
        <w:pStyle w:val="AklamaMetni"/>
        <w:spacing w:line="360" w:lineRule="auto"/>
        <w:rPr>
          <w:rFonts w:ascii="Arial" w:hAnsi="Arial" w:cs="Arial"/>
          <w:sz w:val="22"/>
          <w:szCs w:val="22"/>
        </w:rPr>
      </w:pPr>
      <w:r w:rsidRPr="003F1464">
        <w:rPr>
          <w:rFonts w:ascii="Arial" w:hAnsi="Arial" w:cs="Arial"/>
          <w:sz w:val="22"/>
          <w:szCs w:val="22"/>
        </w:rPr>
        <w:t xml:space="preserve">Li ve ark 2014 tarihli gözden geçirme çalışmalarında, 2002 yılından 2014 e kadar yazında yayımlanmış olan 12 GWL ile çalışması ile birlikte toplam 16 bağlantı çalışmasını derlemişlerdir. </w:t>
      </w:r>
      <w:r w:rsidR="00C60153" w:rsidRPr="003F1464">
        <w:rPr>
          <w:rFonts w:ascii="Arial" w:hAnsi="Arial" w:cs="Arial"/>
          <w:sz w:val="22"/>
          <w:szCs w:val="22"/>
          <w:shd w:val="clear" w:color="auto" w:fill="FFFFFF"/>
        </w:rPr>
        <w:t xml:space="preserve">Bağlantı çalışmaları ile DEHB için 100'den fazla farklı bölge bildirilmiştir. GWL çalışmalarıyla 22 bölge istatistiksel olarak önemli sinyallere sahip bulunmuştur </w:t>
      </w:r>
      <w:r w:rsidR="00BC3BBB" w:rsidRPr="003F1464">
        <w:rPr>
          <w:rFonts w:ascii="Arial" w:hAnsi="Arial" w:cs="Arial"/>
          <w:sz w:val="22"/>
          <w:szCs w:val="22"/>
          <w:shd w:val="clear" w:color="auto" w:fill="FFFFFF"/>
        </w:rPr>
        <w:fldChar w:fldCharType="begin" w:fldLock="1"/>
      </w:r>
      <w:r w:rsidR="00C60153" w:rsidRPr="003F1464">
        <w:rPr>
          <w:rFonts w:ascii="Arial" w:hAnsi="Arial" w:cs="Arial"/>
          <w:sz w:val="22"/>
          <w:szCs w:val="22"/>
          <w:shd w:val="clear" w:color="auto" w:fill="FFFFFF"/>
        </w:rPr>
        <w:instrText>ADDIN CSL_CITATION { "citationItems" : [ { "id" : "ITEM-1", "itemData" : { "DOI" : "10.1016/j.psychres.2014.05.005", "ISBN" : "0165-1781", "ISSN" : "18727123", "PMID" : "24863865", "abstract" : "Attention-deficit/hyperactivity disorder (ADHD) is a common childhood-onset psychiatric disorder with high heritability. In recent years, numerous molecular genetic studies have been published to investigate susceptibility loci for ADHD. These results brought valuable candidates for further research, but they also presented great challenge for profound understanding of genetic data and general patterns of current molecular genetic studies of ADHD since they are scattered and heterogeneous. In this review, we presented a retrospective review of more than 300 molecular genetic studies for ADHD from two aspects: (1) the main achievements of various studies were summarized, including linkage studies, candidate-gene association studies, genome-wide association studies and genome-wide copy number variation studies, with a special focus on general patterns of study design and common sample features; (2) candidate genes for ADHD have been systematically evaluated in three ways for better utilization. The thorough summary of the achievements from various studies will provide an overview of the research status of molecular genetics studies for ADHD. Meanwhile, the analysis of general patterns and sample characteristics on the basis of these studies, as well as the integrative review of candidate ADHD genes, will propose new clues and directions for future experiment design. \u00a9 2014 Elsevier Ireland Ltd.", "author" : [ { "dropping-particle" : "", "family" : "Li", "given" : "Zhao", "non-dropping-particle" : "", "parse-names" : false, "suffix" : "" }, { "dropping-particle" : "", "family" : "Chang", "given" : "Su hua", "non-dropping-particle" : "", "parse-names" : false, "suffix" : "" }, { "dropping-particle" : "", "family" : "Zhang", "given" : "Liu yan", "non-dropping-particle" : "", "parse-names" : false, "suffix" : "" }, { "dropping-particle" : "", "family" : "Gao", "given" : "Lei", "non-dropping-particle" : "", "parse-names" : false, "suffix" : "" }, { "dropping-particle" : "", "family" : "Wang", "given" : "Jing", "non-dropping-particle" : "", "parse-names" : false, "suffix" : "" } ], "container-title" : "Psychiatry Research", "id" : "ITEM-1", "issue" : "1", "issued" : { "date-parts" : [ [ "2014" ] ] }, "page" : "10-24", "title" : "Molecular genetic studies of ADHD and its candidate genes: A review", "type" : "article-journal", "volume" : "219" }, "uris" : [ "http://www.mendeley.com/documents/?uuid=0d012db3-c8c8-4072-aea5-01771d5dd9b1" ] } ], "mendeley" : { "formattedCitation" : "(155)", "plainTextFormattedCitation" : "(155)", "previouslyFormattedCitation" : "(155)" }, "properties" : { "noteIndex" : 17 }, "schema" : "https://github.com/citation-style-language/schema/raw/master/csl-citation.json" }</w:instrText>
      </w:r>
      <w:r w:rsidR="00BC3BBB" w:rsidRPr="003F1464">
        <w:rPr>
          <w:rFonts w:ascii="Arial" w:hAnsi="Arial" w:cs="Arial"/>
          <w:sz w:val="22"/>
          <w:szCs w:val="22"/>
          <w:shd w:val="clear" w:color="auto" w:fill="FFFFFF"/>
        </w:rPr>
        <w:fldChar w:fldCharType="separate"/>
      </w:r>
      <w:r w:rsidR="00C60153" w:rsidRPr="003F1464">
        <w:rPr>
          <w:rFonts w:ascii="Arial" w:hAnsi="Arial" w:cs="Arial"/>
          <w:noProof/>
          <w:sz w:val="22"/>
          <w:szCs w:val="22"/>
          <w:shd w:val="clear" w:color="auto" w:fill="FFFFFF"/>
        </w:rPr>
        <w:t>(155)</w:t>
      </w:r>
      <w:r w:rsidR="00BC3BBB" w:rsidRPr="003F1464">
        <w:rPr>
          <w:rFonts w:ascii="Arial" w:hAnsi="Arial" w:cs="Arial"/>
          <w:sz w:val="22"/>
          <w:szCs w:val="22"/>
          <w:shd w:val="clear" w:color="auto" w:fill="FFFFFF"/>
        </w:rPr>
        <w:fldChar w:fldCharType="end"/>
      </w:r>
      <w:r w:rsidR="00C60153" w:rsidRPr="003F1464">
        <w:rPr>
          <w:rFonts w:ascii="Arial" w:hAnsi="Arial" w:cs="Arial"/>
          <w:sz w:val="22"/>
          <w:szCs w:val="22"/>
          <w:shd w:val="clear" w:color="auto" w:fill="FFFFFF"/>
        </w:rPr>
        <w:t xml:space="preserve"> 6q12 ve 4q13.1 </w:t>
      </w:r>
      <w:r w:rsidR="00BC3BBB" w:rsidRPr="003F1464">
        <w:rPr>
          <w:rFonts w:ascii="Arial" w:hAnsi="Arial" w:cs="Arial"/>
          <w:sz w:val="22"/>
          <w:szCs w:val="22"/>
          <w:shd w:val="clear" w:color="auto" w:fill="FFFFFF"/>
        </w:rPr>
        <w:fldChar w:fldCharType="begin" w:fldLock="1"/>
      </w:r>
      <w:r w:rsidR="00C60153" w:rsidRPr="003F1464">
        <w:rPr>
          <w:rFonts w:ascii="Arial" w:hAnsi="Arial" w:cs="Arial"/>
          <w:sz w:val="22"/>
          <w:szCs w:val="22"/>
          <w:shd w:val="clear" w:color="auto" w:fill="FFFFFF"/>
        </w:rPr>
        <w:instrText>ADDIN CSL_CITATION { "citationItems" : [ { "id" : "ITEM-1", "itemData" : { "DOI" : "10.1086/424387", "ISSN" : "0002-9297", "PMID" : "15297934", "abstract" : "We completed fine mapping of nine positional candidate regions for attention-deficit/hyperactivity disorder (ADHD) in an extended population sample of 308 affected sibling pairs (ASPs), constituting the largest linkage sample of families with ADHD published to date. The candidate chromosomal regions were selected from all three published genomewide scans for ADHD, and fine mapping was done to comprehensively validate these positional candidate regions in our sample. Multipoint maximum LOD score (MLS) analysis yielded significant evidence of linkage on 6q12 (MLS 3.30; empiric P=.024) and 17p11 (MLS 3.63; empiric P=.015), as well as suggestive evidence on 5p13 (MLS 2.55; empiric P=.091). In conjunction with the previously reported significant linkage on the basis of fine mapping 16p13 in the same sample as this report, the analyses presented here indicate that four chromosomal regions--5p13, 6q12, 16p13, and 17p11--are likely to harbor susceptibility genes for ADHD. The refinement of linkage within each of these regions lays the foundation for subsequent investigations using association methods to detect risk genes of moderate effect size.", "author" : [ { "dropping-particle" : "", "family" : "Ogdie", "given" : "Matthew N", "non-dropping-particle" : "", "parse-names" : false, "suffix" : "" }, { "dropping-particle" : "", "family" : "Fisher", "given" : "Simon E", "non-dropping-particle" : "", "parse-names" : false, "suffix" : "" }, { "dropping-particle" : "", "family" : "Yang", "given" : "May", "non-dropping-particle" : "", "parse-names" : false, "suffix" : "" }, { "dropping-particle" : "", "family" : "Ishii", "given" : "Janeen", "non-dropping-particle" : "", "parse-names" : false, "suffix" : "" }, { "dropping-particle" : "", "family" : "Francks", "given" : "Clyde", "non-dropping-particle" : "", "parse-names" : false, "suffix" : "" }, { "dropping-particle" : "", "family" : "Loo", "given" : "Sandra K", "non-dropping-particle" : "", "parse-names" : false, "suffix" : "" }, { "dropping-particle" : "", "family" : "Cantor", "given" : "Rita M", "non-dropping-particle" : "", "parse-names" : false, "suffix" : "" }, { "dropping-particle" : "", "family" : "McCracken", "given" : "James T", "non-dropping-particle" : "", "parse-names" : false, "suffix" : "" }, { "dropping-particle" : "", "family" : "McGough", "given" : "James J", "non-dropping-particle" : "", "parse-names" : false, "suffix" : "" }, { "dropping-particle" : "", "family" : "Smalley", "given" : "Susan L", "non-dropping-particle" : "", "parse-names" : false, "suffix" : "" }, { "dropping-particle" : "", "family" : "Nelson", "given" : "Stanley F", "non-dropping-particle" : "", "parse-names" : false, "suffix" : "" } ], "container-title" : "American journal of human genetics", "id" : "ITEM-1", "issue" : "4", "issued" : { "date-parts" : [ [ "2004", "10" ] ] }, "page" : "661-8", "title" : "Attention deficit hyperactivity disorder: fine mapping supports linkage to 5p13, 6q12, 16p13, and 17p11.", "type" : "article-journal", "volume" : "75" }, "uris" : [ "http://www.mendeley.com/documents/?uuid=2b3f2a6a-448f-3500-bb65-a951c8c14efd" ] } ], "mendeley" : { "formattedCitation" : "(156)", "plainTextFormattedCitation" : "(156)", "previouslyFormattedCitation" : "(156)" }, "properties" : { "noteIndex" : 17 }, "schema" : "https://github.com/citation-style-language/schema/raw/master/csl-citation.json" }</w:instrText>
      </w:r>
      <w:r w:rsidR="00BC3BBB" w:rsidRPr="003F1464">
        <w:rPr>
          <w:rFonts w:ascii="Arial" w:hAnsi="Arial" w:cs="Arial"/>
          <w:sz w:val="22"/>
          <w:szCs w:val="22"/>
          <w:shd w:val="clear" w:color="auto" w:fill="FFFFFF"/>
        </w:rPr>
        <w:fldChar w:fldCharType="separate"/>
      </w:r>
      <w:r w:rsidR="00C60153" w:rsidRPr="003F1464">
        <w:rPr>
          <w:rFonts w:ascii="Arial" w:hAnsi="Arial" w:cs="Arial"/>
          <w:noProof/>
          <w:sz w:val="22"/>
          <w:szCs w:val="22"/>
          <w:shd w:val="clear" w:color="auto" w:fill="FFFFFF"/>
        </w:rPr>
        <w:t>(156)</w:t>
      </w:r>
      <w:r w:rsidR="00BC3BBB" w:rsidRPr="003F1464">
        <w:rPr>
          <w:rFonts w:ascii="Arial" w:hAnsi="Arial" w:cs="Arial"/>
          <w:sz w:val="22"/>
          <w:szCs w:val="22"/>
          <w:shd w:val="clear" w:color="auto" w:fill="FFFFFF"/>
        </w:rPr>
        <w:fldChar w:fldCharType="end"/>
      </w:r>
      <w:r w:rsidR="00C60153" w:rsidRPr="003F1464">
        <w:rPr>
          <w:rFonts w:ascii="Arial" w:hAnsi="Arial" w:cs="Arial"/>
          <w:sz w:val="22"/>
          <w:szCs w:val="22"/>
          <w:shd w:val="clear" w:color="auto" w:fill="FFFFFF"/>
        </w:rPr>
        <w:t xml:space="preserve"> bölgelerinin aday bölge bağlantı çalışmaları ile anlamlı oldukları tespit edilmiştir. Bununla birlikte, genel anlamda az sayıda bölgeye ait bulgular tutarlı bir şekilde başka çalışmalarda tekrarlanabilmiştir </w:t>
      </w:r>
      <w:r w:rsidR="00BC3BBB" w:rsidRPr="003F1464">
        <w:rPr>
          <w:rFonts w:ascii="Arial" w:hAnsi="Arial" w:cs="Arial"/>
          <w:sz w:val="22"/>
          <w:szCs w:val="22"/>
          <w:shd w:val="clear" w:color="auto" w:fill="FFFFFF"/>
        </w:rPr>
        <w:fldChar w:fldCharType="begin" w:fldLock="1"/>
      </w:r>
      <w:r w:rsidR="00C60153" w:rsidRPr="003F1464">
        <w:rPr>
          <w:rFonts w:ascii="Arial" w:hAnsi="Arial" w:cs="Arial"/>
          <w:sz w:val="22"/>
          <w:szCs w:val="22"/>
          <w:shd w:val="clear" w:color="auto" w:fill="FFFFFF"/>
        </w:rPr>
        <w:instrText>ADDIN CSL_CITATION { "citationItems" : [ { "id" : "ITEM-1", "itemData" : { "DOI" : "10.1016/j.psychres.2014.05.005", "ISBN" : "0165-1781", "ISSN" : "18727123", "PMID" : "24863865", "abstract" : "Attention-deficit/hyperactivity disorder (ADHD) is a common childhood-onset psychiatric disorder with high heritability. In recent years, numerous molecular genetic studies have been published to investigate susceptibility loci for ADHD. These results brought valuable candidates for further research, but they also presented great challenge for profound understanding of genetic data and general patterns of current molecular genetic studies of ADHD since they are scattered and heterogeneous. In this review, we presented a retrospective review of more than 300 molecular genetic studies for ADHD from two aspects: (1) the main achievements of various studies were summarized, including linkage studies, candidate-gene association studies, genome-wide association studies and genome-wide copy number variation studies, with a special focus on general patterns of study design and common sample features; (2) candidate genes for ADHD have been systematically evaluated in three ways for better utilization. The thorough summary of the achievements from various studies will provide an overview of the research status of molecular genetics studies for ADHD. Meanwhile, the analysis of general patterns and sample characteristics on the basis of these studies, as well as the integrative review of candidate ADHD genes, will propose new clues and directions for future experiment design. \u00a9 2014 Elsevier Ireland Ltd.", "author" : [ { "dropping-particle" : "", "family" : "Li", "given" : "Zhao", "non-dropping-particle" : "", "parse-names" : false, "suffix" : "" }, { "dropping-particle" : "", "family" : "Chang", "given" : "Su hua", "non-dropping-particle" : "", "parse-names" : false, "suffix" : "" }, { "dropping-particle" : "", "family" : "Zhang", "given" : "Liu yan", "non-dropping-particle" : "", "parse-names" : false, "suffix" : "" }, { "dropping-particle" : "", "family" : "Gao", "given" : "Lei", "non-dropping-particle" : "", "parse-names" : false, "suffix" : "" }, { "dropping-particle" : "", "family" : "Wang", "given" : "Jing", "non-dropping-particle" : "", "parse-names" : false, "suffix" : "" } ], "container-title" : "Psychiatry Research", "id" : "ITEM-1", "issue" : "1", "issued" : { "date-parts" : [ [ "2014" ] ] }, "page" : "10-24", "title" : "Molecular genetic studies of ADHD and its candidate genes: A review", "type" : "article-journal", "volume" : "219" }, "uris" : [ "http://www.mendeley.com/documents/?uuid=0d012db3-c8c8-4072-aea5-01771d5dd9b1" ] } ], "mendeley" : { "formattedCitation" : "(155)", "plainTextFormattedCitation" : "(155)", "previouslyFormattedCitation" : "(155)" }, "properties" : { "noteIndex" : 17 }, "schema" : "https://github.com/citation-style-language/schema/raw/master/csl-citation.json" }</w:instrText>
      </w:r>
      <w:r w:rsidR="00BC3BBB" w:rsidRPr="003F1464">
        <w:rPr>
          <w:rFonts w:ascii="Arial" w:hAnsi="Arial" w:cs="Arial"/>
          <w:sz w:val="22"/>
          <w:szCs w:val="22"/>
          <w:shd w:val="clear" w:color="auto" w:fill="FFFFFF"/>
        </w:rPr>
        <w:fldChar w:fldCharType="separate"/>
      </w:r>
      <w:r w:rsidR="00C60153" w:rsidRPr="003F1464">
        <w:rPr>
          <w:rFonts w:ascii="Arial" w:hAnsi="Arial" w:cs="Arial"/>
          <w:noProof/>
          <w:sz w:val="22"/>
          <w:szCs w:val="22"/>
          <w:shd w:val="clear" w:color="auto" w:fill="FFFFFF"/>
        </w:rPr>
        <w:t>(155)</w:t>
      </w:r>
      <w:r w:rsidR="00BC3BBB" w:rsidRPr="003F1464">
        <w:rPr>
          <w:rFonts w:ascii="Arial" w:hAnsi="Arial" w:cs="Arial"/>
          <w:sz w:val="22"/>
          <w:szCs w:val="22"/>
          <w:shd w:val="clear" w:color="auto" w:fill="FFFFFF"/>
        </w:rPr>
        <w:fldChar w:fldCharType="end"/>
      </w:r>
      <w:r w:rsidR="00C60153" w:rsidRPr="003F1464">
        <w:rPr>
          <w:rFonts w:ascii="Arial" w:hAnsi="Arial" w:cs="Arial"/>
          <w:sz w:val="22"/>
          <w:szCs w:val="22"/>
          <w:shd w:val="clear" w:color="auto" w:fill="FFFFFF"/>
        </w:rPr>
        <w:t xml:space="preserve">. </w:t>
      </w:r>
      <w:r w:rsidR="00C60153" w:rsidRPr="003F1464">
        <w:rPr>
          <w:rFonts w:ascii="Arial" w:hAnsi="Arial" w:cs="Arial"/>
          <w:sz w:val="22"/>
          <w:szCs w:val="22"/>
        </w:rPr>
        <w:t xml:space="preserve">Zhou ve ark. tarafından yapılan meta-analizde, kromozom 16 üzerinde 64 MB ve 83 MB arasındaki bölge (16q22.1-24.1) için yapılan ilişki çalışmasında tüm genomda anlamlı ilişki bulunmuştur </w:t>
      </w:r>
      <w:r w:rsidR="00BC3BBB" w:rsidRPr="003F1464">
        <w:rPr>
          <w:rFonts w:ascii="Arial" w:hAnsi="Arial" w:cs="Arial"/>
          <w:sz w:val="22"/>
          <w:szCs w:val="22"/>
        </w:rPr>
        <w:fldChar w:fldCharType="begin" w:fldLock="1"/>
      </w:r>
      <w:r w:rsidR="00C60153" w:rsidRPr="003F1464">
        <w:rPr>
          <w:rFonts w:ascii="Arial" w:hAnsi="Arial" w:cs="Arial"/>
          <w:sz w:val="22"/>
          <w:szCs w:val="22"/>
        </w:rPr>
        <w:instrText>ADDIN CSL_CITATION { "citationItems" : [ { "id" : "ITEM-1", "itemData" : { "DOI" : "10.1002/ajmg.b.30878", "ISSN" : "15524841", "PMID" : "18988193", "abstract" : "Genetic contribution to the development of attention deficit hyperactivity disorder (ADHD) is well established. Seven independent genome-wide linkage scans have been performed to map loci that increase the risk for ADHD. Although significant linkage signals were identified in some of the studies, there has been limited replications between the various independent datasets. The current study gathered the results from all seven of the ADHD linkage scans and performed a Genome Scan Meta Analysis (GSMA) to identify the genomic region with most consistent linkage evidence across the studies. Genome-wide significant linkage (P(SR) = 0.00034, P(OR) = 0.04) was identified on chromosome 16 between 64 and 83 Mb. In addition there are nine other genomic regions from the GSMA showing nominal or suggestive evidence of linkage. All these linkage results may be informative and focus the search for novel ADHD susceptibility genes.", "author" : [ { "dropping-particle" : "", "family" : "Zhou", "given" : "Kaixin", "non-dropping-particle" : "", "parse-names" : false, "suffix" : "" }, { "dropping-particle" : "", "family" : "Dempfle", "given" : "Astrid", "non-dropping-particle" : "", "parse-names" : false, "suffix" : "" }, { "dropping-particle" : "", "family" : "Arcos-Burgos", "given" : "Mauricio", "non-dropping-particle" : "", "parse-names" : false, "suffix" : "" }, { "dropping-particle" : "", "family" : "Bakker", "given" : "Steven C.", "non-dropping-particle" : "", "parse-names" : false, "suffix" : "" }, { "dropping-particle" : "", "family" : "Banaschewski", "given" : "Tobias", "non-dropping-particle" : "", "parse-names" : false, "suffix" : "" }, { "dropping-particle" : "", "family" : "Biederman", "given" : "Joseph", "non-dropping-particle" : "", "parse-names" : false, "suffix" : "" }, { "dropping-particle" : "", "family" : "Buitelaar", "given" : "Jan", "non-dropping-particle" : "", "parse-names" : false, "suffix" : "" }, { "dropping-particle" : "", "family" : "Castellanos", "given" : "F. Xavier", "non-dropping-particle" : "", "parse-names" : false, "suffix" : "" }, { "dropping-particle" : "", "family" : "Doyle", "given" : "Alysa", "non-dropping-particle" : "", "parse-names" : false, "suffix" : "" }, { "dropping-particle" : "", "family" : "Ebstein", "given" : "Richard P.", "non-dropping-particle" : "", "parse-names" : false, "suffix" : "" }, { "dropping-particle" : "", "family" : "Ekholm", "given" : "Jenny", "non-dropping-particle" : "", "parse-names" : false, "suffix" : "" }, { "dropping-particle" : "", "family" : "Forabosco", "given" : "Paola", "non-dropping-particle" : "", "parse-names" : false, "suffix" : "" }, { "dropping-particle" : "", "family" : "Franke", "given" : "Barbara", "non-dropping-particle" : "", "parse-names" : false, "suffix" : "" }, { "dropping-particle" : "", "family" : "Freitag", "given" : "Christine", "non-dropping-particle" : "", "parse-names" : false, "suffix" : "" }, { "dropping-particle" : "", "family" : "Friedel", "given" : "Susann", "non-dropping-particle" : "", "parse-names" : false, "suffix" : "" }, { "dropping-particle" : "", "family" : "Gill", "given" : "Michael", "non-dropping-particle" : "", "parse-names" : false, "suffix" : "" }, { "dropping-particle" : "", "family" : "Hebebrand", "given" : "Johannes", "non-dropping-particle" : "", "parse-names" : false, "suffix" : "" }, { "dropping-particle" : "", "family" : "Hinney", "given" : "Anke", "non-dropping-particle" : "", "parse-names" : false, "suffix" : "" }, { "dropping-particle" : "", "family" : "Jacob", "given" : "Christian", "non-dropping-particle" : "", "parse-names" : false, "suffix" : "" }, { "dropping-particle" : "", "family" : "Lesch", "given" : "Klaus Peter", "non-dropping-particle" : "", "parse-names" : false, "suffix" : "" }, { "dropping-particle" : "", "family" : "Loo", "given" : "Sandra K.", "non-dropping-particle" : "", "parse-names" : false, "suffix" : "" }, { "dropping-particle" : "", "family" : "Lopera", "given" : "Francisco", "non-dropping-particle" : "", "parse-names" : false, "suffix" : "" }, { "dropping-particle" : "", "family" : "McCracken", "given" : "James T.", "non-dropping-particle" : "", "parse-names" : false, "suffix" : "" }, { "dropping-particle" : "", "family" : "McGough", "given" : "James J.", "non-dropping-particle" : "", "parse-names" : false, "suffix" : "" }, { "dropping-particle" : "", "family" : "Meyer", "given" : "Jobst", "non-dropping-particle" : "", "parse-names" : false, "suffix" : "" }, { "dropping-particle" : "", "family" : "Mick", "given" : "Eric", "non-dropping-particle" : "", "parse-names" : false, "suffix" : "" }, { "dropping-particle" : "", "family" : "Miranda", "given" : "Ana", "non-dropping-particle" : "", "parse-names" : false, "suffix" : "" }, { "dropping-particle" : "", "family" : "Muenke", "given" : "Maximilian", "non-dropping-particle" : "", "parse-names" : false, "suffix" : "" }, { "dropping-particle" : "", "family" : "Mulas", "given" : "Fernando", "non-dropping-particle" : "", "parse-names" : false, "suffix" : "" }, { "dropping-particle" : "", "family" : "Nelson", "given" : "Stanley F.", "non-dropping-particle" : "", "parse-names" : false, "suffix" : "" }, { "dropping-particle" : "", "family" : "Nguyen", "given" : "T.Trang", "non-dropping-particle" : "", "parse-names" : false, "suffix" : "" }, { "dropping-particle" : "", "family" : "Oades", "given" : "Robert D.", "non-dropping-particle" : "", "parse-names" : false, "suffix" : "" }, { "dropping-particle" : "", "family" : "Ogdie", "given" : "Matthew N.", "non-dropping-particle" : "", "parse-names" : false, "suffix" : "" }, { "dropping-particle" : "", "family" : "Palacio", "given" : "Juan David", "non-dropping-particle" : "", "parse-names" : false, "suffix" : "" }, { "dropping-particle" : "", "family" : "Pineda", "given" : "David", "non-dropping-particle" : "", "parse-names" : false, "suffix" : "" }, { "dropping-particle" : "", "family" : "Reif", "given" : "Andreas", "non-dropping-particle" : "", "parse-names" : false, "suffix" : "" }, { "dropping-particle" : "", "family" : "Renner", "given" : "Tobias J.", "non-dropping-particle" : "", "parse-names" : false, "suffix" : "" }, { "dropping-particle" : "", "family" : "Roeyers", "given" : "Herbert", "non-dropping-particle" : "", "parse-names" : false, "suffix" : "" }, { "dropping-particle" : "", "family" : "Romanos", "given" : "Marcel", "non-dropping-particle" : "", "parse-names" : false, "suffix" : "" }, { "dropping-particle" : "", "family" : "Rothenberger", "given" : "Aribert", "non-dropping-particle" : "", "parse-names" : false, "suffix" : "" }, { "dropping-particle" : "", "family" : "Sch\u00e4fer", "given" : "Helmut", "non-dropping-particle" : "", "parse-names" : false, "suffix" : "" }, { "dropping-particle" : "", "family" : "Sergeant", "given" : "Joseph", "non-dropping-particle" : "", "parse-names" : false, "suffix" : "" }, { "dropping-particle" : "", "family" : "Sinke", "given" : "Richard J.", "non-dropping-particle" : "", "parse-names" : false, "suffix" : "" }, { "dropping-particle" : "", "family" : "Smalley", "given" : "Susan L.", "non-dropping-particle" : "", "parse-names" : false, "suffix" : "" }, { "dropping-particle" : "", "family" : "Sonuga-Barke", "given" : "Edmund", "non-dropping-particle" : "", "parse-names" : false, "suffix" : "" }, { "dropping-particle" : "", "family" : "Steinhausen", "given" : "Hans-Christoph", "non-dropping-particle" : "", "parse-names" : false, "suffix" : "" }, { "dropping-particle" : "", "family" : "Meulen", "given" : "Emma", "non-dropping-particle" : "van der", "parse-names" : false, "suffix" : "" }, { "dropping-particle" : "", "family" : "Walitza", "given" : "Susanne", "non-dropping-particle" : "", "parse-names" : false, "suffix" : "" }, { "dropping-particle" : "", "family" : "Warnke", "given" : "Andreas", "non-dropping-particle" : "", "parse-names" : false, "suffix" : "" }, { "dropping-particle" : "", "family" : "Lewis", "given" : "Cathryn M", "non-dropping-particle" : "", "parse-names" : false, "suffix" : "" }, { "dropping-particle" : "V.", "family" : "Faraone", "given" : "Stephen", "non-dropping-particle" : "", "parse-names" : false, "suffix" : "" }, { "dropping-particle" : "", "family" : "Asherson", "given" : "Philip", "non-dropping-particle" : "", "parse-names" : false, "suffix" : "" } ], "container-title" : "American Journal of Medical Genetics Part B: Neuropsychiatric Genetics", "id" : "ITEM-1", "issue" : "8", "issued" : { "date-parts" : [ [ "2008", "12", "5" ] ] }, "page" : "1392-1398", "title" : "Meta-analysis of genome-wide linkage scans of attention deficit hyperactivity disorder", "type" : "article-journal", "volume" : "147B" }, "uris" : [ "http://www.mendeley.com/documents/?uuid=ce028ce2-7bbf-3da5-a088-0967f09c82dc" ] } ], "mendeley" : { "formattedCitation" : "(157)", "plainTextFormattedCitation" : "(157)", "previouslyFormattedCitation" : "(157)" }, "properties" : { "noteIndex" : 17 }, "schema" : "https://github.com/citation-style-language/schema/raw/master/csl-citation.json" }</w:instrText>
      </w:r>
      <w:r w:rsidR="00BC3BBB" w:rsidRPr="003F1464">
        <w:rPr>
          <w:rFonts w:ascii="Arial" w:hAnsi="Arial" w:cs="Arial"/>
          <w:sz w:val="22"/>
          <w:szCs w:val="22"/>
        </w:rPr>
        <w:fldChar w:fldCharType="separate"/>
      </w:r>
      <w:r w:rsidR="00C60153" w:rsidRPr="003F1464">
        <w:rPr>
          <w:rFonts w:ascii="Arial" w:hAnsi="Arial" w:cs="Arial"/>
          <w:noProof/>
          <w:sz w:val="22"/>
          <w:szCs w:val="22"/>
        </w:rPr>
        <w:t>(157)</w:t>
      </w:r>
      <w:r w:rsidR="00BC3BBB" w:rsidRPr="003F1464">
        <w:rPr>
          <w:rFonts w:ascii="Arial" w:hAnsi="Arial" w:cs="Arial"/>
          <w:sz w:val="22"/>
          <w:szCs w:val="22"/>
        </w:rPr>
        <w:fldChar w:fldCharType="end"/>
      </w:r>
      <w:r w:rsidR="00C60153" w:rsidRPr="003F1464">
        <w:rPr>
          <w:rFonts w:ascii="Arial" w:hAnsi="Arial" w:cs="Arial"/>
          <w:sz w:val="22"/>
          <w:szCs w:val="22"/>
        </w:rPr>
        <w:t xml:space="preserve"> </w:t>
      </w:r>
      <w:r w:rsidR="00C60153" w:rsidRPr="003F1464">
        <w:rPr>
          <w:rFonts w:ascii="Arial" w:hAnsi="Arial" w:cs="Arial"/>
          <w:sz w:val="22"/>
          <w:szCs w:val="22"/>
          <w:shd w:val="clear" w:color="auto" w:fill="FFFFFF"/>
        </w:rPr>
        <w:t xml:space="preserve">Bu bulgu ilginç ve takip etmeye değer olmasına rağmen, diğer lokuslar için önemli bulguların saptanamaması, pek çok genin orta büyüklükte katkısının olmadığına işaret etmektedir </w:t>
      </w:r>
      <w:r w:rsidR="00BC3BBB" w:rsidRPr="003F1464">
        <w:rPr>
          <w:rFonts w:ascii="Arial" w:hAnsi="Arial" w:cs="Arial"/>
          <w:sz w:val="22"/>
          <w:szCs w:val="22"/>
          <w:shd w:val="clear" w:color="auto" w:fill="FFFFFF"/>
        </w:rPr>
        <w:fldChar w:fldCharType="begin" w:fldLock="1"/>
      </w:r>
      <w:r w:rsidR="00C60153" w:rsidRPr="003F1464">
        <w:rPr>
          <w:rFonts w:ascii="Arial" w:hAnsi="Arial" w:cs="Arial"/>
          <w:sz w:val="22"/>
          <w:szCs w:val="22"/>
          <w:shd w:val="clear" w:color="auto" w:fill="FFFFFF"/>
        </w:rPr>
        <w:instrText>ADDIN CSL_CITATION { "citationItems" : [ { "id" : "ITEM-1", "itemData" : { "DOI" : "10.1016/j.psc.2009.12.004", "author" : [ { "dropping-particle" : "", "family" : "Faraone SV, Mick E", "given" : "", "non-dropping-particle" : "", "parse-names" : false, "suffix" : "" } ], "container-title" : "Psychiatric Clinics of North America", "id" : "ITEM-1", "issue" : "1", "issued" : { "date-parts" : [ [ "2010" ] ] }, "page" : "159-180", "title" : "Molecular Genetics of Attention Deficit Hyperactivity Disorder", "type" : "article-journal", "volume" : "33" }, "uris" : [ "http://www.mendeley.com/documents/?uuid=d8c87455-faf8-43c9-8bd0-a892098e97c8" ] } ], "mendeley" : { "formattedCitation" : "(158)", "plainTextFormattedCitation" : "(158)", "previouslyFormattedCitation" : "(158)" }, "properties" : { "noteIndex" : 17 }, "schema" : "https://github.com/citation-style-language/schema/raw/master/csl-citation.json" }</w:instrText>
      </w:r>
      <w:r w:rsidR="00BC3BBB" w:rsidRPr="003F1464">
        <w:rPr>
          <w:rFonts w:ascii="Arial" w:hAnsi="Arial" w:cs="Arial"/>
          <w:sz w:val="22"/>
          <w:szCs w:val="22"/>
          <w:shd w:val="clear" w:color="auto" w:fill="FFFFFF"/>
        </w:rPr>
        <w:fldChar w:fldCharType="separate"/>
      </w:r>
      <w:r w:rsidR="00C60153" w:rsidRPr="003F1464">
        <w:rPr>
          <w:rFonts w:ascii="Arial" w:hAnsi="Arial" w:cs="Arial"/>
          <w:noProof/>
          <w:sz w:val="22"/>
          <w:szCs w:val="22"/>
          <w:shd w:val="clear" w:color="auto" w:fill="FFFFFF"/>
        </w:rPr>
        <w:t>(158)</w:t>
      </w:r>
      <w:r w:rsidR="00BC3BBB" w:rsidRPr="003F1464">
        <w:rPr>
          <w:rFonts w:ascii="Arial" w:hAnsi="Arial" w:cs="Arial"/>
          <w:sz w:val="22"/>
          <w:szCs w:val="22"/>
          <w:shd w:val="clear" w:color="auto" w:fill="FFFFFF"/>
        </w:rPr>
        <w:fldChar w:fldCharType="end"/>
      </w:r>
      <w:r w:rsidR="00C60153" w:rsidRPr="003F1464">
        <w:rPr>
          <w:rFonts w:ascii="Arial" w:hAnsi="Arial" w:cs="Arial"/>
          <w:sz w:val="22"/>
          <w:szCs w:val="22"/>
          <w:shd w:val="clear" w:color="auto" w:fill="FFFFFF"/>
        </w:rPr>
        <w:t xml:space="preserve">. </w:t>
      </w:r>
      <w:r w:rsidR="00C60153" w:rsidRPr="003F1464">
        <w:rPr>
          <w:rFonts w:ascii="Arial" w:hAnsi="Arial" w:cs="Arial"/>
          <w:sz w:val="22"/>
          <w:szCs w:val="22"/>
        </w:rPr>
        <w:t xml:space="preserve">Bu yüzden araştırmacılar iki olasılık üzerinde durmaktadırlar: 1. DEHB yaygın birçok DNA varyantının kümülatif etkileri sonucunda oluşmaktadır ve 2.  çoğunda olmasa da ailelerin bazılarında nadir DNA varyantları sonucunda ortaya çıkmaktadır </w:t>
      </w:r>
      <w:r w:rsidR="00BC3BBB" w:rsidRPr="003F1464">
        <w:rPr>
          <w:rFonts w:ascii="Arial" w:hAnsi="Arial" w:cs="Arial"/>
          <w:sz w:val="22"/>
          <w:szCs w:val="22"/>
        </w:rPr>
        <w:fldChar w:fldCharType="begin" w:fldLock="1"/>
      </w:r>
      <w:r w:rsidR="00C60153" w:rsidRPr="003F1464">
        <w:rPr>
          <w:rFonts w:ascii="Arial" w:hAnsi="Arial" w:cs="Arial"/>
          <w:sz w:val="22"/>
          <w:szCs w:val="22"/>
        </w:rPr>
        <w:instrText>ADDIN CSL_CITATION { "citationItems" : [ { "id" : "ITEM-1", "itemData" : { "DOI" : "10.1017/CBO9781139035491.016", "author" : [ { "dropping-particle" : "", "family" : "Perry", "given" : "Guy M. L.", "non-dropping-particle" : "", "parse-names" : false, "suffix" : "" }, { "dropping-particle" : "V.", "family" : "Faraone", "given" : "Stephen", "non-dropping-particle" : "", "parse-names" : false, "suffix" : "" } ], "container-title" : "Attention-Deficit Hyperactivity Disorder in Adults and Children", "editor" : [ { "dropping-particle" : "", "family" : "Adler", "given" : "Lenard A.", "non-dropping-particle" : "", "parse-names" : false, "suffix" : "" }, { "dropping-particle" : "", "family" : "Spencer", "given" : "Thomas J.", "non-dropping-particle" : "", "parse-names" : false, "suffix" : "" }, { "dropping-particle" : "", "family" : "Wilens", "given" : "Timothy E.", "non-dropping-particle" : "", "parse-names" : false, "suffix" : "" } ], "id" : "ITEM-1", "issued" : { "date-parts" : [ [ "0" ] ] }, "page" : "174-197", "publisher" : "Cambridge University Press", "publisher-place" : "Cambridge", "title" : "Molecular genetics of ADHD", "type" : "chapter" }, "uris" : [ "http://www.mendeley.com/documents/?uuid=d268b142-d103-3e35-b49a-7196c111baad" ] } ], "mendeley" : { "formattedCitation" : "(159)", "plainTextFormattedCitation" : "(159)", "previouslyFormattedCitation" : "(159)" }, "properties" : { "noteIndex" : 17 }, "schema" : "https://github.com/citation-style-language/schema/raw/master/csl-citation.json" }</w:instrText>
      </w:r>
      <w:r w:rsidR="00BC3BBB" w:rsidRPr="003F1464">
        <w:rPr>
          <w:rFonts w:ascii="Arial" w:hAnsi="Arial" w:cs="Arial"/>
          <w:sz w:val="22"/>
          <w:szCs w:val="22"/>
        </w:rPr>
        <w:fldChar w:fldCharType="separate"/>
      </w:r>
      <w:r w:rsidR="00C60153" w:rsidRPr="003F1464">
        <w:rPr>
          <w:rFonts w:ascii="Arial" w:hAnsi="Arial" w:cs="Arial"/>
          <w:noProof/>
          <w:sz w:val="22"/>
          <w:szCs w:val="22"/>
        </w:rPr>
        <w:t>(159)</w:t>
      </w:r>
      <w:r w:rsidR="00BC3BBB" w:rsidRPr="003F1464">
        <w:rPr>
          <w:rFonts w:ascii="Arial" w:hAnsi="Arial" w:cs="Arial"/>
          <w:sz w:val="22"/>
          <w:szCs w:val="22"/>
        </w:rPr>
        <w:fldChar w:fldCharType="end"/>
      </w:r>
      <w:r w:rsidR="00C60153" w:rsidRPr="003F1464">
        <w:rPr>
          <w:rFonts w:ascii="Arial" w:hAnsi="Arial" w:cs="Arial"/>
          <w:sz w:val="22"/>
          <w:szCs w:val="22"/>
        </w:rPr>
        <w:t>.</w:t>
      </w:r>
      <w:r w:rsidR="00C60153" w:rsidRPr="003F1464">
        <w:rPr>
          <w:sz w:val="22"/>
          <w:szCs w:val="22"/>
          <w:shd w:val="clear" w:color="auto" w:fill="FFFFFF"/>
        </w:rPr>
        <w:t xml:space="preserve"> </w:t>
      </w:r>
    </w:p>
    <w:p w:rsidR="00C60153" w:rsidRPr="00C01671" w:rsidRDefault="00C60153" w:rsidP="00C60153">
      <w:pPr>
        <w:pStyle w:val="HTMLncedenBiimlendirilmi"/>
        <w:shd w:val="clear" w:color="auto" w:fill="FFFFFF"/>
        <w:spacing w:line="360" w:lineRule="auto"/>
        <w:ind w:left="708"/>
        <w:rPr>
          <w:rFonts w:ascii="Arial" w:hAnsi="Arial" w:cs="Arial"/>
          <w:b/>
          <w:color w:val="212121"/>
          <w:sz w:val="22"/>
          <w:szCs w:val="22"/>
          <w:shd w:val="clear" w:color="auto" w:fill="FFFFFF"/>
        </w:rPr>
      </w:pPr>
      <w:r>
        <w:tab/>
      </w:r>
      <w:r w:rsidRPr="00C01671">
        <w:rPr>
          <w:rFonts w:ascii="Arial" w:hAnsi="Arial" w:cs="Arial"/>
          <w:b/>
          <w:color w:val="212121"/>
          <w:sz w:val="22"/>
          <w:szCs w:val="22"/>
          <w:shd w:val="clear" w:color="auto" w:fill="FFFFFF"/>
        </w:rPr>
        <w:t>Aday-</w:t>
      </w:r>
      <w:r>
        <w:rPr>
          <w:rFonts w:ascii="Arial" w:hAnsi="Arial" w:cs="Arial"/>
          <w:b/>
          <w:color w:val="212121"/>
          <w:sz w:val="22"/>
          <w:szCs w:val="22"/>
          <w:shd w:val="clear" w:color="auto" w:fill="FFFFFF"/>
        </w:rPr>
        <w:t>G</w:t>
      </w:r>
      <w:r w:rsidRPr="00C01671">
        <w:rPr>
          <w:rFonts w:ascii="Arial" w:hAnsi="Arial" w:cs="Arial"/>
          <w:b/>
          <w:color w:val="212121"/>
          <w:sz w:val="22"/>
          <w:szCs w:val="22"/>
          <w:shd w:val="clear" w:color="auto" w:fill="FFFFFF"/>
        </w:rPr>
        <w:t xml:space="preserve">en </w:t>
      </w:r>
      <w:r>
        <w:rPr>
          <w:rFonts w:ascii="Arial" w:hAnsi="Arial" w:cs="Arial"/>
          <w:b/>
          <w:color w:val="212121"/>
          <w:sz w:val="22"/>
          <w:szCs w:val="22"/>
          <w:shd w:val="clear" w:color="auto" w:fill="FFFFFF"/>
        </w:rPr>
        <w:t>B</w:t>
      </w:r>
      <w:r w:rsidRPr="00C01671">
        <w:rPr>
          <w:rFonts w:ascii="Arial" w:hAnsi="Arial" w:cs="Arial"/>
          <w:b/>
          <w:color w:val="212121"/>
          <w:sz w:val="22"/>
          <w:szCs w:val="22"/>
          <w:shd w:val="clear" w:color="auto" w:fill="FFFFFF"/>
        </w:rPr>
        <w:t xml:space="preserve">ağlantı </w:t>
      </w:r>
      <w:r>
        <w:rPr>
          <w:rFonts w:ascii="Arial" w:hAnsi="Arial" w:cs="Arial"/>
          <w:b/>
          <w:color w:val="212121"/>
          <w:sz w:val="22"/>
          <w:szCs w:val="22"/>
          <w:shd w:val="clear" w:color="auto" w:fill="FFFFFF"/>
        </w:rPr>
        <w:t>Ç</w:t>
      </w:r>
      <w:r w:rsidRPr="00C01671">
        <w:rPr>
          <w:rFonts w:ascii="Arial" w:hAnsi="Arial" w:cs="Arial"/>
          <w:b/>
          <w:color w:val="212121"/>
          <w:sz w:val="22"/>
          <w:szCs w:val="22"/>
          <w:shd w:val="clear" w:color="auto" w:fill="FFFFFF"/>
        </w:rPr>
        <w:t>alışmaları</w:t>
      </w:r>
    </w:p>
    <w:p w:rsidR="00C60153" w:rsidRDefault="00C60153" w:rsidP="00C60153">
      <w:pPr>
        <w:pStyle w:val="HTMLncedenBiimlendirilmi"/>
        <w:shd w:val="clear" w:color="auto" w:fill="FFFFFF"/>
        <w:spacing w:line="360" w:lineRule="auto"/>
        <w:jc w:val="both"/>
        <w:rPr>
          <w:rFonts w:ascii="Arial" w:hAnsi="Arial" w:cs="Arial"/>
          <w:color w:val="212121"/>
          <w:sz w:val="22"/>
          <w:szCs w:val="22"/>
          <w:shd w:val="clear" w:color="auto" w:fill="FFFFFF"/>
        </w:rPr>
      </w:pPr>
      <w:r w:rsidRPr="00371819">
        <w:rPr>
          <w:rFonts w:ascii="Arial" w:hAnsi="Arial" w:cs="Arial"/>
          <w:color w:val="212121"/>
          <w:sz w:val="22"/>
          <w:szCs w:val="22"/>
          <w:shd w:val="clear" w:color="auto" w:fill="FFFFFF"/>
        </w:rPr>
        <w:tab/>
      </w:r>
      <w:r>
        <w:rPr>
          <w:rFonts w:ascii="Arial" w:hAnsi="Arial" w:cs="Arial"/>
          <w:color w:val="212121"/>
          <w:sz w:val="22"/>
          <w:szCs w:val="22"/>
        </w:rPr>
        <w:t>GWL çalışmalarının azlığına karşın</w:t>
      </w:r>
      <w:r w:rsidRPr="00371819">
        <w:rPr>
          <w:rFonts w:ascii="Arial" w:hAnsi="Arial" w:cs="Arial"/>
          <w:color w:val="212121"/>
          <w:sz w:val="22"/>
          <w:szCs w:val="22"/>
        </w:rPr>
        <w:t>, pek çok aday gen ilişkilendirme çalışması yapılmıştır</w:t>
      </w:r>
      <w:r>
        <w:rPr>
          <w:rFonts w:ascii="Arial" w:hAnsi="Arial" w:cs="Arial"/>
          <w:color w:val="212121"/>
          <w:sz w:val="22"/>
          <w:szCs w:val="22"/>
        </w:rPr>
        <w:t xml:space="preserve"> </w:t>
      </w:r>
      <w:r w:rsidR="00BC3BBB">
        <w:rPr>
          <w:rFonts w:ascii="Arial" w:hAnsi="Arial" w:cs="Arial"/>
          <w:color w:val="212121"/>
          <w:sz w:val="22"/>
          <w:szCs w:val="22"/>
        </w:rPr>
        <w:fldChar w:fldCharType="begin" w:fldLock="1"/>
      </w:r>
      <w:r>
        <w:rPr>
          <w:rFonts w:ascii="Arial" w:hAnsi="Arial" w:cs="Arial"/>
          <w:color w:val="212121"/>
          <w:sz w:val="22"/>
          <w:szCs w:val="22"/>
        </w:rPr>
        <w:instrText>ADDIN CSL_CITATION { "citationItems" : [ { "id" : "ITEM-1", "itemData" : { "DOI" : "10.1016/j.psc.2009.12.004", "author" : [ { "dropping-particle" : "", "family" : "Faraone SV, Mick E", "given" : "", "non-dropping-particle" : "", "parse-names" : false, "suffix" : "" } ], "container-title" : "Psychiatric Clinics of North America", "id" : "ITEM-1", "issue" : "1", "issued" : { "date-parts" : [ [ "2010" ] ] }, "page" : "159-180", "title" : "Molecular Genetics of Attention Deficit Hyperactivity Disorder", "type" : "article-journal", "volume" : "33" }, "uris" : [ "http://www.mendeley.com/documents/?uuid=d8c87455-faf8-43c9-8bd0-a892098e97c8" ] } ], "mendeley" : { "formattedCitation" : "(158)", "plainTextFormattedCitation" : "(158)", "previouslyFormattedCitation" : "(158)" }, "properties" : { "noteIndex" : 17 }, "schema" : "https://github.com/citation-style-language/schema/raw/master/csl-citation.json" }</w:instrText>
      </w:r>
      <w:r w:rsidR="00BC3BBB">
        <w:rPr>
          <w:rFonts w:ascii="Arial" w:hAnsi="Arial" w:cs="Arial"/>
          <w:color w:val="212121"/>
          <w:sz w:val="22"/>
          <w:szCs w:val="22"/>
        </w:rPr>
        <w:fldChar w:fldCharType="separate"/>
      </w:r>
      <w:r w:rsidRPr="00F74A96">
        <w:rPr>
          <w:rFonts w:ascii="Arial" w:hAnsi="Arial" w:cs="Arial"/>
          <w:noProof/>
          <w:color w:val="212121"/>
          <w:sz w:val="22"/>
          <w:szCs w:val="22"/>
        </w:rPr>
        <w:t>(158)</w:t>
      </w:r>
      <w:r w:rsidR="00BC3BBB">
        <w:rPr>
          <w:rFonts w:ascii="Arial" w:hAnsi="Arial" w:cs="Arial"/>
          <w:color w:val="212121"/>
          <w:sz w:val="22"/>
          <w:szCs w:val="22"/>
        </w:rPr>
        <w:fldChar w:fldCharType="end"/>
      </w:r>
      <w:r w:rsidRPr="00371819">
        <w:rPr>
          <w:rFonts w:ascii="Arial" w:hAnsi="Arial" w:cs="Arial"/>
          <w:color w:val="212121"/>
          <w:sz w:val="22"/>
          <w:szCs w:val="22"/>
        </w:rPr>
        <w:t xml:space="preserve">. </w:t>
      </w:r>
      <w:r w:rsidRPr="00371819">
        <w:rPr>
          <w:rFonts w:ascii="Arial" w:hAnsi="Arial" w:cs="Arial"/>
          <w:color w:val="212121"/>
          <w:sz w:val="22"/>
          <w:szCs w:val="22"/>
          <w:shd w:val="clear" w:color="auto" w:fill="FFFFFF"/>
        </w:rPr>
        <w:t>Çeşitli meta-analizlerde dopamin D4 reseptör geni (</w:t>
      </w:r>
      <w:r w:rsidRPr="009D30FD">
        <w:rPr>
          <w:rFonts w:ascii="Arial" w:hAnsi="Arial" w:cs="Arial"/>
          <w:sz w:val="22"/>
          <w:szCs w:val="22"/>
          <w:shd w:val="clear" w:color="auto" w:fill="FFFFFF"/>
        </w:rPr>
        <w:t>DRD4</w:t>
      </w:r>
      <w:r w:rsidRPr="00371819">
        <w:rPr>
          <w:rFonts w:ascii="Arial" w:hAnsi="Arial" w:cs="Arial"/>
          <w:color w:val="212121"/>
          <w:sz w:val="22"/>
          <w:szCs w:val="22"/>
          <w:shd w:val="clear" w:color="auto" w:fill="FFFFFF"/>
        </w:rPr>
        <w:t>)</w:t>
      </w:r>
      <w:r>
        <w:rPr>
          <w:rFonts w:ascii="Arial" w:hAnsi="Arial" w:cs="Arial"/>
          <w:color w:val="212121"/>
          <w:sz w:val="22"/>
          <w:szCs w:val="22"/>
          <w:shd w:val="clear" w:color="auto" w:fill="FFFFFF"/>
        </w:rPr>
        <w:t xml:space="preserve"> </w:t>
      </w:r>
      <w:r w:rsidRPr="00371819">
        <w:rPr>
          <w:rFonts w:ascii="Arial" w:hAnsi="Arial" w:cs="Arial"/>
          <w:color w:val="212121"/>
          <w:sz w:val="22"/>
          <w:szCs w:val="22"/>
          <w:shd w:val="clear" w:color="auto" w:fill="FFFFFF"/>
        </w:rPr>
        <w:t xml:space="preserve"> </w:t>
      </w:r>
      <w:r w:rsidR="00BC3BBB">
        <w:rPr>
          <w:rFonts w:ascii="Arial" w:hAnsi="Arial" w:cs="Arial"/>
          <w:color w:val="212121"/>
          <w:sz w:val="22"/>
          <w:szCs w:val="22"/>
          <w:shd w:val="clear" w:color="auto" w:fill="FFFFFF"/>
        </w:rPr>
        <w:fldChar w:fldCharType="begin" w:fldLock="1"/>
      </w:r>
      <w:r w:rsidR="0037573A">
        <w:rPr>
          <w:rFonts w:ascii="Arial" w:hAnsi="Arial" w:cs="Arial"/>
          <w:color w:val="212121"/>
          <w:sz w:val="22"/>
          <w:szCs w:val="22"/>
          <w:shd w:val="clear" w:color="auto" w:fill="FFFFFF"/>
        </w:rPr>
        <w:instrText>ADDIN CSL_CITATION { "citationItems" : [ { "id" : "ITEM-1", "itemData" : { "DOI" : "10.1093/hmg/ddl152", "ISSN" : "0964-6906", "PMID" : "16774975", "abstract" : "Molecular genetic investigations of attention deficit hyperactivity disorder (ADHD) have found associations with a variable number of tandem repeat (VNTR) situated in the 3'-untranslated region of dopamine transporter gene (DAT1), a VNTR in exon 3 of dopamine receptor 4 gene (DRD4) and a microsatellite polymorphism located at 18.5 kb from the 5' end of dopamine receptor 5 gene (DRD5). A number of independent studies have attempted to replicate these findings but the results have been mixed, possibly reflecting inadequate statistical power and the use of different populations and methodologies. In an attempt to clarify this inconsistency, we have combined all the published studies of European and Asian populations up to October 2005 in a meta-analysis to give a comprehensive picture of the role of the three dopamine-related genes using multiple research methods and models. The DRD4 7-repeat (OR=1.34, 95% CI 1.23-1.45, P= 2 x 10(-12)) and 5-repeat (OR=1.68, 95% CI 1.17-2.41, P=0.005) alleles as well as the DRD5 148-bp allele (OR=1.34, 95% CI 1.21-1.49, P= 8 x 10(-8)) confer increased risk of ADHD, whereas the DRD4 4-repeat (OR=0.90, 95% CI 0.84-0.97, P=0.004) and DRD5 136-bp (OR=0.57, 95% CI 0.34-0.96, P=0.022) alleles have protective effects. In contrast, we found no compelling evidence for association with the 480-bp allele of DAT (OR=1.04, 95% CI 0.98-1.11, P=0.20). No significant publication bias was detected in current studies. In conclusion, there is a statistically significant association between ADHD and dopamine system genes, especially DRD4 and DRD5. These findings strongly implicate the involvement of brain dopamine systems in the pathogenesis of ADHD.", "author" : [ { "dropping-particle" : "", "family" : "Li", "given" : "D.", "non-dropping-particle" : "", "parse-names" : false, "suffix" : "" }, { "dropping-particle" : "", "family" : "Sham", "given" : "Pak C", "non-dropping-particle" : "", "parse-names" : false, "suffix" : "" }, { "dropping-particle" : "", "family" : "Owen", "given" : "Michael J", "non-dropping-particle" : "", "parse-names" : false, "suffix" : "" }, { "dropping-particle" : "", "family" : "He", "given" : "Lin", "non-dropping-particle" : "", "parse-names" : false, "suffix" : "" } ], "container-title" : "Human Molecular Genetics", "id" : "ITEM-1", "issue" : "14", "issued" : { "date-parts" : [ [ "2006", "6", "13" ] ] }, "page" : "2276-2284", "title" : "Meta-analysis shows significant association between dopamine system genes and attention deficit hyperactivity disorder (ADHD)", "type" : "article-journal", "volume" : "15" }, "uris" : [ "http://www.mendeley.com/documents/?uuid=f6cdc6b4-8302-3309-90e5-fa626af7a2fa" ] }, { "id" : "ITEM-2", "itemData" : { "ISSN" : "0002-953X", "PMID" : "11431226", "abstract" : "Family, twin, and adoption studies show attention deficit hyperactivity disorder (ADHD) to have a substantial genetic component. Although several studies have shown an association between ADHD and the 7-repeat allele of the dopamine D(4) receptor gene (DRD4), several studies have not. Thus, the status of the ADHD-DRD4 association is uncertain.", "author" : [ { "dropping-particle" : "V", "family" : "Faraone", "given" : "Stephen", "non-dropping-particle" : "", "parse-names" : false, "suffix" : "" }, { "dropping-particle" : "", "family" : "Doyle", "given" : "Alysa E", "non-dropping-particle" : "", "parse-names" : false, "suffix" : "" }, { "dropping-particle" : "", "family" : "Mick", "given" : "Eric", "non-dropping-particle" : "", "parse-names" : false, "suffix" : "" }, { "dropping-particle" : "", "family" : "Biederman", "given" : "Joseph", "non-dropping-particle" : "", "parse-names" : false, "suffix" : "" } ], "container-title" : "The American journal of psychiatry", "id" : "ITEM-2", "issue" : "7", "issued" : { "date-parts" : [ [ "2001" ] ] }, "page" : "1052-7", "title" : "Meta-analysis of the association between the 7-repeat allele of the dopamine D(4) receptor gene and attention deficit hyperactivity disorder.", "type" : "article-journal", "volume" : "158" }, "uris" : [ "http://www.mendeley.com/documents/?uuid=12ae8fea-ac23-4b8a-b279-12e4adc4abd6" ] } ], "mendeley" : { "formattedCitation" : "(160, 161)", "plainTextFormattedCitation" : "(160, 161)", "previouslyFormattedCitation" : "(160, 161)" }, "properties" : { "noteIndex" : 17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00BF1F00" w:rsidRPr="00BF1F00">
        <w:rPr>
          <w:rFonts w:ascii="Arial" w:hAnsi="Arial" w:cs="Arial"/>
          <w:noProof/>
          <w:color w:val="212121"/>
          <w:sz w:val="22"/>
          <w:szCs w:val="22"/>
          <w:shd w:val="clear" w:color="auto" w:fill="FFFFFF"/>
        </w:rPr>
        <w:t>(160, 161)</w:t>
      </w:r>
      <w:r w:rsidR="00BC3BBB">
        <w:rPr>
          <w:rFonts w:ascii="Arial" w:hAnsi="Arial" w:cs="Arial"/>
          <w:color w:val="212121"/>
          <w:sz w:val="22"/>
          <w:szCs w:val="22"/>
          <w:shd w:val="clear" w:color="auto" w:fill="FFFFFF"/>
        </w:rPr>
        <w:fldChar w:fldCharType="end"/>
      </w:r>
      <w:r>
        <w:rPr>
          <w:rFonts w:ascii="Arial" w:hAnsi="Arial" w:cs="Arial"/>
          <w:color w:val="212121"/>
          <w:sz w:val="22"/>
          <w:szCs w:val="22"/>
          <w:shd w:val="clear" w:color="auto" w:fill="FFFFFF"/>
        </w:rPr>
        <w:t xml:space="preserve">, </w:t>
      </w:r>
      <w:r w:rsidRPr="00371819">
        <w:rPr>
          <w:rFonts w:ascii="Arial" w:hAnsi="Arial" w:cs="Arial"/>
          <w:color w:val="212121"/>
          <w:sz w:val="22"/>
          <w:szCs w:val="22"/>
        </w:rPr>
        <w:t>Dopamin D5 reseptör geni (</w:t>
      </w:r>
      <w:r w:rsidRPr="009D30FD">
        <w:rPr>
          <w:rStyle w:val="Vurgu"/>
          <w:rFonts w:ascii="Arial" w:hAnsi="Arial" w:cs="Arial"/>
          <w:sz w:val="22"/>
          <w:szCs w:val="22"/>
          <w:shd w:val="clear" w:color="auto" w:fill="FFFFFF"/>
        </w:rPr>
        <w:t>DRD5</w:t>
      </w:r>
      <w:r>
        <w:rPr>
          <w:rFonts w:ascii="Arial" w:hAnsi="Arial" w:cs="Arial"/>
          <w:color w:val="000000"/>
          <w:sz w:val="22"/>
          <w:szCs w:val="22"/>
          <w:shd w:val="clear" w:color="auto" w:fill="FFFFFF"/>
        </w:rPr>
        <w:t xml:space="preserve">) </w:t>
      </w:r>
      <w:r w:rsidR="00BC3BBB">
        <w:rPr>
          <w:rFonts w:ascii="Arial" w:hAnsi="Arial" w:cs="Arial"/>
          <w:color w:val="000000"/>
          <w:sz w:val="22"/>
          <w:szCs w:val="22"/>
          <w:shd w:val="clear" w:color="auto" w:fill="FFFFFF"/>
        </w:rPr>
        <w:fldChar w:fldCharType="begin" w:fldLock="1"/>
      </w:r>
      <w:r w:rsidR="0037573A">
        <w:rPr>
          <w:rFonts w:ascii="Arial" w:hAnsi="Arial" w:cs="Arial"/>
          <w:color w:val="000000"/>
          <w:sz w:val="22"/>
          <w:szCs w:val="22"/>
          <w:shd w:val="clear" w:color="auto" w:fill="FFFFFF"/>
        </w:rPr>
        <w:instrText>ADDIN CSL_CITATION { "citationItems" : [ { "id" : "ITEM-1", "itemData" : { "DOI" : "10.1093/hmg/ddl152", "ISSN" : "0964-6906", "PMID" : "16774975", "abstract" : "Molecular genetic investigations of attention deficit hyperactivity disorder (ADHD) have found associations with a variable number of tandem repeat (VNTR) situated in the 3'-untranslated region of dopamine transporter gene (DAT1), a VNTR in exon 3 of dopamine receptor 4 gene (DRD4) and a microsatellite polymorphism located at 18.5 kb from the 5' end of dopamine receptor 5 gene (DRD5). A number of independent studies have attempted to replicate these findings but the results have been mixed, possibly reflecting inadequate statistical power and the use of different populations and methodologies. In an attempt to clarify this inconsistency, we have combined all the published studies of European and Asian populations up to October 2005 in a meta-analysis to give a comprehensive picture of the role of the three dopamine-related genes using multiple research methods and models. The DRD4 7-repeat (OR=1.34, 95% CI 1.23-1.45, P= 2 x 10(-12)) and 5-repeat (OR=1.68, 95% CI 1.17-2.41, P=0.005) alleles as well as the DRD5 148-bp allele (OR=1.34, 95% CI 1.21-1.49, P= 8 x 10(-8)) confer increased risk of ADHD, whereas the DRD4 4-repeat (OR=0.90, 95% CI 0.84-0.97, P=0.004) and DRD5 136-bp (OR=0.57, 95% CI 0.34-0.96, P=0.022) alleles have protective effects. In contrast, we found no compelling evidence for association with the 480-bp allele of DAT (OR=1.04, 95% CI 0.98-1.11, P=0.20). No significant publication bias was detected in current studies. In conclusion, there is a statistically significant association between ADHD and dopamine system genes, especially DRD4 and DRD5. These findings strongly implicate the involvement of brain dopamine systems in the pathogenesis of ADHD.", "author" : [ { "dropping-particle" : "", "family" : "Li", "given" : "D.", "non-dropping-particle" : "", "parse-names" : false, "suffix" : "" }, { "dropping-particle" : "", "family" : "Sham", "given" : "Pak C", "non-dropping-particle" : "", "parse-names" : false, "suffix" : "" }, { "dropping-particle" : "", "family" : "Owen", "given" : "Michael J", "non-dropping-particle" : "", "parse-names" : false, "suffix" : "" }, { "dropping-particle" : "", "family" : "He", "given" : "Lin", "non-dropping-particle" : "", "parse-names" : false, "suffix" : "" } ], "container-title" : "Human Molecular Genetics", "id" : "ITEM-1", "issue" : "14", "issued" : { "date-parts" : [ [ "2006", "6", "13" ] ] }, "page" : "2276-2284", "title" : "Meta-analysis shows significant association between dopamine system genes and attention deficit hyperactivity disorder (ADHD)", "type" : "article-journal", "volume" : "15" }, "uris" : [ "http://www.mendeley.com/documents/?uuid=f6cdc6b4-8302-3309-90e5-fa626af7a2fa" ] }, { "id" : "ITEM-2", "itemData" : { "DOI" : "10.1086/381561", "ISBN" : "0002-9297 (Print)", "ISSN" : "0002-9297", "PMID" : "14732906", "abstract" : "Attention-deficit/hyperactivity disorder (ADHD) is a highly heritable, heterogeneous disorder of early onset, consisting of a triad of symptoms: inattention, hyperactivity, and impulsivity. The disorder has a significant genetic component, and theories of etiology include abnormalities in the dopaminergic system, with DRD4, DAT1, SNAP25, and DRD5 being implicated as major susceptibility genes. An initial report of association between ADHD and the common 148-bp allele of a microsatellite marker located 18.5 kb from the DRD5 gene has been followed by several studies showing nonsignificant trends toward association with the same allele. To establish the postulated association of the (CA)(n) repeat with ADHD, we collected genotypic information from 14 independent samples of probands and their parents, analyzed them individually and, in the absence of heterogeneity, analyzed them as a joint sample. The joint analysis showed association with the DRD5 locus (P=.00005; odds ratio 1.24; 95% confidence interval 1.12-1.38). This association appears to be confined to the predominantly inattentive and combined clinical subtypes.", "author" : [ { "dropping-particle" : "", "family" : "Lowe", "given" : "Naomi", "non-dropping-particle" : "", "parse-names" : false, "suffix" : "" }, { "dropping-particle" : "", "family" : "Kirley", "given" : "Aiveen", "non-dropping-particle" : "", "parse-names" : false, "suffix" : "" }, { "dropping-particle" : "", "family" : "Hawi", "given" : "Ziarih", "non-dropping-particle" : "", "parse-names" : false, "suffix" : "" }, { "dropping-particle" : "", "family" : "Sham", "given" : "Pak", "non-dropping-particle" : "", "parse-names" : false, "suffix" : "" }, { "dropping-particle" : "", "family" : "Wickham", "given" : "Harvey", "non-dropping-particle" : "", "parse-names" : false, "suffix" : "" }, { "dropping-particle" : "", "family" : "Kratochvil", "given" : "Christopher J", "non-dropping-particle" : "", "parse-names" : false, "suffix" : "" }, { "dropping-particle" : "", "family" : "Smith", "given" : "Shelley D", "non-dropping-particle" : "", "parse-names" : false, "suffix" : "" }, { "dropping-particle" : "", "family" : "Lee", "given" : "Saretta Y", "non-dropping-particle" : "", "parse-names" : false, "suffix" : "" }, { "dropping-particle" : "", "family" : "Levy", "given" : "Florence", "non-dropping-particle" : "", "parse-names" : false, "suffix" : "" }, { "dropping-particle" : "", "family" : "Kent", "given" : "Lindsey", "non-dropping-particle" : "", "parse-names" : false, "suffix" : "" }, { "dropping-particle" : "", "family" : "Middle", "given" : "Fiona", "non-dropping-particle" : "", "parse-names" : false, "suffix" : "" }, { "dropping-particle" : "", "family" : "Rohde", "given" : "Luis A", "non-dropping-particle" : "", "parse-names" : false, "suffix" : "" }, { "dropping-particle" : "", "family" : "Roman", "given" : "Tatiana", "non-dropping-particle" : "", "parse-names" : false, "suffix" : "" }, { "dropping-particle" : "", "family" : "Tahir", "given" : "Eda", "non-dropping-particle" : "", "parse-names" : false, "suffix" : "" }, { "dropping-particle" : "", "family" : "Yazgan", "given" : "Yanke", "non-dropping-particle" : "", "parse-names" : false, "suffix" : "" }, { "dropping-particle" : "", "family" : "Asherson", "given" : "Philip", "non-dropping-particle" : "", "parse-names" : false, "suffix" : "" }, { "dropping-particle" : "", "family" : "Mill", "given" : "Jonathan", "non-dropping-particle" : "", "parse-names" : false, "suffix" : "" }, { "dropping-particle" : "", "family" : "Thapar", "given" : "Anita", "non-dropping-particle" : "", "parse-names" : false, "suffix" : "" }, { "dropping-particle" : "", "family" : "Payton", "given" : "Antony", "non-dropping-particle" : "", "parse-names" : false, "suffix" : "" }, { "dropping-particle" : "", "family" : "Todd", "given" : "Richard D", "non-dropping-particle" : "", "parse-names" : false, "suffix" : "" }, { "dropping-particle" : "", "family" : "Stephens", "given" : "Timothy", "non-dropping-particle" : "", "parse-names" : false, "suffix" : "" }, { "dropping-particle" : "", "family" : "Ebstein", "given" : "Richard P", "non-dropping-particle" : "", "parse-names" : false, "suffix" : "" }, { "dropping-particle" : "", "family" : "Manor", "given" : "Iris", "non-dropping-particle" : "", "parse-names" : false, "suffix" : "" }, { "dropping-particle" : "", "family" : "Barr", "given" : "Cathy L", "non-dropping-particle" : "", "parse-names" : false, "suffix" : "" }, { "dropping-particle" : "", "family" : "Wigg", "given" : "Karen G", "non-dropping-particle" : "", "parse-names" : false, "suffix" : "" }, { "dropping-particle" : "", "family" : "Sinke", "given" : "Richard J", "non-dropping-particle" : "", "parse-names" : false, "suffix" : "" }, { "dropping-particle" : "", "family" : "Buitelaar", "given" : "Jan K", "non-dropping-particle" : "", "parse-names" : false, "suffix" : "" }, { "dropping-particle" : "", "family" : "Smalley", "given" : "Susan L", "non-dropping-particle" : "", "parse-names" : false, "suffix" : "" }, { "dropping-particle" : "", "family" : "Nelson", "given" : "Stan F", "non-dropping-particle" : "", "parse-names" : false, "suffix" : "" }, { "dropping-particle" : "", "family" : "Biederman", "given" : "Joseph", "non-dropping-particle" : "", "parse-names" : false, "suffix" : "" }, { "dropping-particle" : "V", "family" : "Faraone", "given" : "Stephen", "non-dropping-particle" : "", "parse-names" : false, "suffix" : "" }, { "dropping-particle" : "", "family" : "Gill", "given" : "Michael", "non-dropping-particle" : "", "parse-names" : false, "suffix" : "" } ], "container-title" : "American journal of human genetics", "id" : "ITEM-2", "issue" : "2", "issued" : { "date-parts" : [ [ "2004" ] ] }, "page" : "348-56", "title" : "Joint analysis of the DRD5 marker concludes association with attention-deficit/hyperactivity disorder confined to the predominantly inattentive and combined subtypes.", "type" : "article-journal", "volume" : "74" }, "uris" : [ "http://www.mendeley.com/documents/?uuid=ad77cb65-7ed9-4992-9199-c782405e3ce0" ] } ], "mendeley" : { "formattedCitation" : "(160, 162)", "plainTextFormattedCitation" : "(160, 162)", "previouslyFormattedCitation" : "(160, 162)" }, "properties" : { "noteIndex" : 18 }, "schema" : "https://github.com/citation-style-language/schema/raw/master/csl-citation.json" }</w:instrText>
      </w:r>
      <w:r w:rsidR="00BC3BBB">
        <w:rPr>
          <w:rFonts w:ascii="Arial" w:hAnsi="Arial" w:cs="Arial"/>
          <w:color w:val="000000"/>
          <w:sz w:val="22"/>
          <w:szCs w:val="22"/>
          <w:shd w:val="clear" w:color="auto" w:fill="FFFFFF"/>
        </w:rPr>
        <w:fldChar w:fldCharType="separate"/>
      </w:r>
      <w:r w:rsidR="00BF1F00" w:rsidRPr="00BF1F00">
        <w:rPr>
          <w:rFonts w:ascii="Arial" w:hAnsi="Arial" w:cs="Arial"/>
          <w:noProof/>
          <w:color w:val="000000"/>
          <w:sz w:val="22"/>
          <w:szCs w:val="22"/>
          <w:shd w:val="clear" w:color="auto" w:fill="FFFFFF"/>
        </w:rPr>
        <w:t>(160, 162)</w:t>
      </w:r>
      <w:r w:rsidR="00BC3BBB">
        <w:rPr>
          <w:rFonts w:ascii="Arial" w:hAnsi="Arial" w:cs="Arial"/>
          <w:color w:val="000000"/>
          <w:sz w:val="22"/>
          <w:szCs w:val="22"/>
          <w:shd w:val="clear" w:color="auto" w:fill="FFFFFF"/>
        </w:rPr>
        <w:fldChar w:fldCharType="end"/>
      </w:r>
      <w:r>
        <w:rPr>
          <w:rFonts w:ascii="Arial" w:hAnsi="Arial" w:cs="Arial"/>
          <w:color w:val="000000"/>
          <w:sz w:val="22"/>
          <w:szCs w:val="22"/>
          <w:shd w:val="clear" w:color="auto" w:fill="FFFFFF"/>
        </w:rPr>
        <w:t xml:space="preserve"> </w:t>
      </w:r>
      <w:r w:rsidRPr="00371819">
        <w:rPr>
          <w:rFonts w:ascii="Arial" w:hAnsi="Arial" w:cs="Arial"/>
          <w:color w:val="212121"/>
          <w:sz w:val="22"/>
          <w:szCs w:val="22"/>
        </w:rPr>
        <w:t xml:space="preserve">Dopamin Beta-Hidroksilaz geni </w:t>
      </w:r>
      <w:r w:rsidRPr="00371819">
        <w:rPr>
          <w:rFonts w:ascii="Arial" w:hAnsi="Arial" w:cs="Arial"/>
          <w:color w:val="000000"/>
          <w:sz w:val="22"/>
          <w:szCs w:val="22"/>
          <w:shd w:val="clear" w:color="auto" w:fill="FFFFFF"/>
        </w:rPr>
        <w:t>(</w:t>
      </w:r>
      <w:r w:rsidRPr="009D30FD">
        <w:rPr>
          <w:rStyle w:val="Vurgu"/>
          <w:rFonts w:ascii="Arial" w:hAnsi="Arial" w:cs="Arial"/>
          <w:sz w:val="22"/>
          <w:szCs w:val="22"/>
          <w:shd w:val="clear" w:color="auto" w:fill="FFFFFF"/>
        </w:rPr>
        <w:t>DBH</w:t>
      </w:r>
      <w:r w:rsidRPr="00371819">
        <w:rPr>
          <w:rFonts w:ascii="Arial" w:hAnsi="Arial" w:cs="Arial"/>
          <w:color w:val="000000"/>
          <w:sz w:val="22"/>
          <w:szCs w:val="22"/>
          <w:shd w:val="clear" w:color="auto" w:fill="FFFFFF"/>
        </w:rPr>
        <w:t xml:space="preserve">) </w:t>
      </w:r>
      <w:r w:rsidRPr="00371819">
        <w:rPr>
          <w:rStyle w:val="Vurgu"/>
          <w:rFonts w:ascii="Arial" w:hAnsi="Arial" w:cs="Arial"/>
          <w:color w:val="000000"/>
          <w:sz w:val="22"/>
          <w:szCs w:val="22"/>
          <w:shd w:val="clear" w:color="auto" w:fill="FFFFFF"/>
        </w:rPr>
        <w:t xml:space="preserve">protein 25 </w:t>
      </w:r>
      <w:r w:rsidRPr="00371819">
        <w:rPr>
          <w:rFonts w:ascii="Arial" w:hAnsi="Arial" w:cs="Arial"/>
          <w:color w:val="000000"/>
          <w:sz w:val="22"/>
          <w:szCs w:val="22"/>
          <w:shd w:val="clear" w:color="auto" w:fill="FFFFFF"/>
        </w:rPr>
        <w:t>geni (</w:t>
      </w:r>
      <w:r w:rsidRPr="009D30FD">
        <w:rPr>
          <w:rStyle w:val="Vurgu"/>
          <w:rFonts w:ascii="Arial" w:hAnsi="Arial" w:cs="Arial"/>
          <w:sz w:val="22"/>
          <w:szCs w:val="22"/>
          <w:shd w:val="clear" w:color="auto" w:fill="FFFFFF"/>
        </w:rPr>
        <w:t>SNAP-25</w:t>
      </w:r>
      <w:r w:rsidRPr="00371819">
        <w:rPr>
          <w:rFonts w:ascii="Arial" w:hAnsi="Arial" w:cs="Arial"/>
          <w:color w:val="000000"/>
          <w:sz w:val="22"/>
          <w:szCs w:val="22"/>
          <w:shd w:val="clear" w:color="auto" w:fill="FFFFFF"/>
        </w:rPr>
        <w:t>) serotonin taşıyıcı geni (</w:t>
      </w:r>
      <w:r w:rsidRPr="009D30FD">
        <w:rPr>
          <w:rStyle w:val="Vurgu"/>
          <w:rFonts w:ascii="Arial" w:hAnsi="Arial" w:cs="Arial"/>
          <w:sz w:val="22"/>
          <w:szCs w:val="22"/>
          <w:shd w:val="clear" w:color="auto" w:fill="FFFFFF"/>
        </w:rPr>
        <w:t>SLC6A4</w:t>
      </w:r>
      <w:r w:rsidRPr="009D30FD">
        <w:rPr>
          <w:rFonts w:ascii="Arial" w:hAnsi="Arial" w:cs="Arial"/>
          <w:sz w:val="22"/>
          <w:szCs w:val="22"/>
          <w:shd w:val="clear" w:color="auto" w:fill="FFFFFF"/>
        </w:rPr>
        <w:t>, 5HTTT</w:t>
      </w:r>
      <w:r w:rsidRPr="00371819">
        <w:rPr>
          <w:rFonts w:ascii="Arial" w:hAnsi="Arial" w:cs="Arial"/>
          <w:color w:val="000000"/>
          <w:sz w:val="22"/>
          <w:szCs w:val="22"/>
          <w:shd w:val="clear" w:color="auto" w:fill="FFFFFF"/>
        </w:rPr>
        <w:t xml:space="preserve">) ve Serotonin 1B reseptör geni </w:t>
      </w:r>
      <w:r w:rsidRPr="00371819">
        <w:rPr>
          <w:rStyle w:val="Vurgu"/>
          <w:rFonts w:ascii="Arial" w:hAnsi="Arial" w:cs="Arial"/>
          <w:color w:val="000000"/>
          <w:sz w:val="22"/>
          <w:szCs w:val="22"/>
          <w:shd w:val="clear" w:color="auto" w:fill="FFFFFF"/>
        </w:rPr>
        <w:t>(</w:t>
      </w:r>
      <w:r w:rsidRPr="009D30FD">
        <w:rPr>
          <w:rStyle w:val="Vurgu"/>
          <w:rFonts w:ascii="Arial" w:hAnsi="Arial" w:cs="Arial"/>
          <w:sz w:val="22"/>
          <w:szCs w:val="22"/>
          <w:shd w:val="clear" w:color="auto" w:fill="FFFFFF"/>
        </w:rPr>
        <w:t>HTR1B</w:t>
      </w:r>
      <w:r w:rsidRPr="00371819">
        <w:rPr>
          <w:rFonts w:ascii="Arial" w:hAnsi="Arial" w:cs="Arial"/>
          <w:color w:val="000000"/>
          <w:sz w:val="22"/>
          <w:szCs w:val="22"/>
          <w:shd w:val="clear" w:color="auto" w:fill="FFFFFF"/>
        </w:rPr>
        <w:t xml:space="preserve">) ile </w:t>
      </w:r>
      <w:r w:rsidRPr="00371819">
        <w:rPr>
          <w:rFonts w:ascii="Arial" w:hAnsi="Arial" w:cs="Arial"/>
          <w:sz w:val="22"/>
          <w:szCs w:val="22"/>
          <w:shd w:val="clear" w:color="auto" w:fill="FFFFFF"/>
        </w:rPr>
        <w:t>DEHB</w:t>
      </w:r>
      <w:r w:rsidRPr="00371819">
        <w:rPr>
          <w:rFonts w:ascii="Arial" w:hAnsi="Arial" w:cs="Arial"/>
          <w:sz w:val="22"/>
          <w:szCs w:val="22"/>
        </w:rPr>
        <w:t xml:space="preserve"> </w:t>
      </w:r>
      <w:r w:rsidRPr="00371819">
        <w:rPr>
          <w:rFonts w:ascii="Arial" w:hAnsi="Arial" w:cs="Arial"/>
          <w:sz w:val="22"/>
          <w:szCs w:val="22"/>
          <w:shd w:val="clear" w:color="auto" w:fill="FFFFFF"/>
        </w:rPr>
        <w:t>arasındaki ilişkiye işaret edilmiştir</w:t>
      </w:r>
      <w:r>
        <w:rPr>
          <w:rFonts w:ascii="Arial" w:hAnsi="Arial" w:cs="Arial"/>
          <w:sz w:val="22"/>
          <w:szCs w:val="22"/>
          <w:shd w:val="clear" w:color="auto" w:fill="FFFFFF"/>
        </w:rPr>
        <w:t xml:space="preserve">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"DOI" : "10.1016/j.biopsych.2004.11.024", "ISSN" : "00063223", "PMID" : "15950004", "abstract" : "Results of behavioral genetic and molecular genetic studies have converged to suggest that both genetic and nongenetic factors contribute to the development of attention-deficit/hyperactivity disorder (ADHD). We review this literature, with a particular emphasis on molecular genetic studies. Family, twin, and adoption studies provide compelling evidence that genes play a strong role in mediating susceptibility to ADHD. This fact is most clearly seen in the 20 extant twin studies, which estimate the heritability of ADHD to be .76. Molecular genetic studies suggest that the genetic architecture of ADHD is complex. The few genome-wide scans conducted thus far are not conclusive. In contrast, the many candidate gene studies of ADHD have produced substantial evidence implicating several genes in the etiology of the disorder. For the eight genes for which the same variant has been studied in three or more case-control or family-based studies, seven show statistically significant evidence of association with ADHD on the basis of the pooled odds ratio across studies: DRD4, DRD5, DAT, DBH, 5-HTT, HTR1B, and SNAP-25.", "author" : [ { "dropping-particle" : "V.", "family" : "Faraone", "given" : "Stephen", "non-dropping-particle" : "", "parse-names" : false, "suffix" : "" }, { "dropping-particle" : "", "family" : "Perlis", "given" : "Roy H.", "non-dropping-particle" : "", "parse-names" : false, "suffix" : "" }, { "dropping-particle" : "", "family" : "Doyle", "given" : "Alysa E.", "non-dropping-particle" : "", "parse-names" : false, "suffix" : "" }, { "dropping-particle" : "", "family" : "Smoller", "given" : "Jordan W.", "non-dropping-particle" : "", "parse-names" : false, "suffix" : "" }, { "dropping-particle" : "", "family" : "Goralnick", "given" : "Jennifer J.", "non-dropping-particle" : "", "parse-names" : false, "suffix" : "" }, { "dropping-particle" : "", "family" : "Holmgren", "given" : "Meredith A.", "non-dropping-particle" : "", "parse-names" : false, "suffix" : "" }, { "dropping-particle" : "", "family" : "Sklar", "given" : "Pamela", "non-dropping-particle" : "", "parse-names" : false, "suffix" : "" } ], "container-title" : "Biological Psychiatry", "id" : "ITEM-1", "issue" : "11", "issued" : { "date-parts" : [ [ "2005", "6", "1" ] ] }, "page" : "1313-1323", "title" : "Molecular Genetics of Attention-Deficit/Hyperactivity Disorder", "type" : "article-journal", "volume" : "57" }, "uris" : [ "http://www.mendeley.com/documents/?uuid=d5d6a7b0-e245-374e-8099-a239f6852667" ] } ], "mendeley" : { "formattedCitation" : "(5)", "plainTextFormattedCitation" : "(5)", "previouslyFormattedCitation" : "(5)" }, "properties" : { "noteIndex" : 18 }, "schema" : "https://github.com/citation-style-language/schema/raw/master/csl-citation.json" }</w:instrText>
      </w:r>
      <w:r w:rsidR="00BC3BBB">
        <w:rPr>
          <w:rFonts w:ascii="Arial" w:hAnsi="Arial" w:cs="Arial"/>
          <w:sz w:val="22"/>
          <w:szCs w:val="22"/>
          <w:shd w:val="clear" w:color="auto" w:fill="FFFFFF"/>
        </w:rPr>
        <w:fldChar w:fldCharType="separate"/>
      </w:r>
      <w:r w:rsidRPr="0080454A">
        <w:rPr>
          <w:rFonts w:ascii="Arial" w:hAnsi="Arial" w:cs="Arial"/>
          <w:noProof/>
          <w:sz w:val="22"/>
          <w:szCs w:val="22"/>
          <w:shd w:val="clear" w:color="auto" w:fill="FFFFFF"/>
        </w:rPr>
        <w:t>(5)</w:t>
      </w:r>
      <w:r w:rsidR="00BC3BBB">
        <w:rPr>
          <w:rFonts w:ascii="Arial" w:hAnsi="Arial" w:cs="Arial"/>
          <w:sz w:val="22"/>
          <w:szCs w:val="22"/>
          <w:shd w:val="clear" w:color="auto" w:fill="FFFFFF"/>
        </w:rPr>
        <w:fldChar w:fldCharType="end"/>
      </w:r>
      <w:r w:rsidRPr="00371819">
        <w:rPr>
          <w:rFonts w:ascii="Arial" w:hAnsi="Arial" w:cs="Arial"/>
          <w:sz w:val="22"/>
          <w:szCs w:val="22"/>
          <w:shd w:val="clear" w:color="auto" w:fill="FFFFFF"/>
        </w:rPr>
        <w:t>.</w:t>
      </w:r>
      <w:r w:rsidRPr="00371819">
        <w:rPr>
          <w:rFonts w:ascii="Arial" w:hAnsi="Arial" w:cs="Arial"/>
        </w:rPr>
        <w:t xml:space="preserve"> </w:t>
      </w:r>
      <w:r w:rsidRPr="00371819">
        <w:rPr>
          <w:rFonts w:ascii="Arial" w:hAnsi="Arial" w:cs="Arial"/>
          <w:color w:val="212121"/>
          <w:sz w:val="22"/>
          <w:szCs w:val="22"/>
          <w:shd w:val="clear" w:color="auto" w:fill="FFFFFF"/>
        </w:rPr>
        <w:t>Meta-analizler</w:t>
      </w:r>
      <w:r>
        <w:rPr>
          <w:rFonts w:ascii="Arial" w:hAnsi="Arial" w:cs="Arial"/>
          <w:color w:val="212121"/>
          <w:sz w:val="22"/>
          <w:szCs w:val="22"/>
          <w:shd w:val="clear" w:color="auto" w:fill="FFFFFF"/>
        </w:rPr>
        <w:t>de</w:t>
      </w:r>
      <w:r w:rsidRPr="00371819">
        <w:rPr>
          <w:rFonts w:ascii="Arial" w:hAnsi="Arial" w:cs="Arial"/>
          <w:color w:val="212121"/>
          <w:sz w:val="22"/>
          <w:szCs w:val="22"/>
          <w:shd w:val="clear" w:color="auto" w:fill="FFFFFF"/>
        </w:rPr>
        <w:t xml:space="preserve"> ayrıca DEHB ile Dopamin taşıyıcı geni (</w:t>
      </w:r>
      <w:r w:rsidRPr="009D30FD">
        <w:rPr>
          <w:rStyle w:val="Vurgu"/>
          <w:rFonts w:ascii="Arial" w:hAnsi="Arial" w:cs="Arial"/>
          <w:sz w:val="22"/>
          <w:szCs w:val="22"/>
          <w:shd w:val="clear" w:color="auto" w:fill="FFFFFF"/>
        </w:rPr>
        <w:t>SLC6A3, DAT</w:t>
      </w:r>
      <w:r w:rsidRPr="00371819">
        <w:rPr>
          <w:rFonts w:ascii="Arial" w:hAnsi="Arial" w:cs="Arial"/>
          <w:color w:val="000000"/>
          <w:sz w:val="22"/>
          <w:szCs w:val="22"/>
          <w:shd w:val="clear" w:color="auto" w:fill="FFFFFF"/>
        </w:rPr>
        <w:t xml:space="preserve">) </w:t>
      </w:r>
      <w:r w:rsidR="00BC3BBB">
        <w:rPr>
          <w:rFonts w:ascii="Arial" w:hAnsi="Arial" w:cs="Arial"/>
          <w:color w:val="000000"/>
          <w:sz w:val="22"/>
          <w:szCs w:val="22"/>
          <w:shd w:val="clear" w:color="auto" w:fill="FFFFFF"/>
        </w:rPr>
        <w:fldChar w:fldCharType="begin" w:fldLock="1"/>
      </w:r>
      <w:r w:rsidR="0037573A">
        <w:rPr>
          <w:rFonts w:ascii="Arial" w:hAnsi="Arial" w:cs="Arial"/>
          <w:color w:val="000000"/>
          <w:sz w:val="22"/>
          <w:szCs w:val="22"/>
          <w:shd w:val="clear" w:color="auto" w:fill="FFFFFF"/>
        </w:rPr>
        <w:instrText>ADDIN CSL_CITATION { "citationItems" : [ { "id" : "ITEM-1", "itemData" : { "DOI" : "10.1093/hmg/ddl152", "ISSN" : "0964-6906", "PMID" : "16774975", "abstract" : "Molecular genetic investigations of attention deficit hyperactivity disorder (ADHD) have found associations with a variable number of tandem repeat (VNTR) situated in the 3'-untranslated region of dopamine transporter gene (DAT1), a VNTR in exon 3 of dopamine receptor 4 gene (DRD4) and a microsatellite polymorphism located at 18.5 kb from the 5' end of dopamine receptor 5 gene (DRD5). A number of independent studies have attempted to replicate these findings but the results have been mixed, possibly reflecting inadequate statistical power and the use of different populations and methodologies. In an attempt to clarify this inconsistency, we have combined all the published studies of European and Asian populations up to October 2005 in a meta-analysis to give a comprehensive picture of the role of the three dopamine-related genes using multiple research methods and models. The DRD4 7-repeat (OR=1.34, 95% CI 1.23-1.45, P= 2 x 10(-12)) and 5-repeat (OR=1.68, 95% CI 1.17-2.41, P=0.005) alleles as well as the DRD5 148-bp allele (OR=1.34, 95% CI 1.21-1.49, P= 8 x 10(-8)) confer increased risk of ADHD, whereas the DRD4 4-repeat (OR=0.90, 95% CI 0.84-0.97, P=0.004) and DRD5 136-bp (OR=0.57, 95% CI 0.34-0.96, P=0.022) alleles have protective effects. In contrast, we found no compelling evidence for association with the 480-bp allele of DAT (OR=1.04, 95% CI 0.98-1.11, P=0.20). No significant publication bias was detected in current studies. In conclusion, there is a statistically significant association between ADHD and dopamine system genes, especially DRD4 and DRD5. These findings strongly implicate the involvement of brain dopamine systems in the pathogenesis of ADHD.", "author" : [ { "dropping-particle" : "", "family" : "Li", "given" : "D.", "non-dropping-particle" : "", "parse-names" : false, "suffix" : "" }, { "dropping-particle" : "", "family" : "Sham", "given" : "Pak C", "non-dropping-particle" : "", "parse-names" : false, "suffix" : "" }, { "dropping-particle" : "", "family" : "Owen", "given" : "Michael J", "non-dropping-particle" : "", "parse-names" : false, "suffix" : "" }, { "dropping-particle" : "", "family" : "He", "given" : "Lin", "non-dropping-particle" : "", "parse-names" : false, "suffix" : "" } ], "container-title" : "Human Molecular Genetics", "id" : "ITEM-1", "issue" : "14", "issued" : { "date-parts" : [ [ "2006", "6", "13" ] ] }, "page" : "2276-2284", "title" : "Meta-analysis shows significant association between dopamine system genes and attention deficit hyperactivity disorder (ADHD)", "type" : "article-journal", "volume" : "15" }, "uris" : [ "http://www.mendeley.com/documents/?uuid=f6cdc6b4-8302-3309-90e5-fa626af7a2fa" ] }, { "id" : "ITEM-2", "itemData" : { "DOI" : "10.1002/ajmg.b.30453", "ISBN" : "1552-4841 (Print)\\r1552-4841 (Linking)", "ISSN" : "15524841", "PMID" : "17440978", "abstract" : "The association between the 10-repeat allele of the dopamine transporter gene (DAT) and attention deficit hyperactivity disorder (ADHD) is uncertain. This study aimed to conduct a meta-analysis of the association between the 10-repeat allele of a variable number tandem repeat (VNTR) polymorphism in the 3'-untranslated region (UTR) of the DAT1 gene and ADHD. We pooled up 18 published transmission disequilibrium test (TDT) studies between the 40-base pair VNTR polymorphism in the3'-UTR of the DAT1 gene and ADHD. It included a total of 1,373 informative meioses, 7 haplotype-based haplotype relative risk (HHRR) studies, and 6 case-control-based association studies. There were statistically significant evidences for heterogeneity of the odds ratio in TDT and HHRR studies (P &lt; 0.10), but not in case-control studies. The results of random effects model showed small but significant association between ADHD and the DAT1 gene in TDT studies (OR = 1.17, 95% CI = 1.05-1.30, chi-square = 8.11, df = 1, P = 0.004), but not in HHRR and case-control studies. The 10-repeat allele of a VNTR polymorphism in the 3'-UTR the DAT1 gene has a small but significant role in the genetic susceptibility of ADHD. These meta-analysis findings support the involvement of the dopamine system genes in ADHD liability variation. However, more work is required to further identify the functional allelic variants/mutations that are responsible for this association.", "author" : [ { "dropping-particle" : "", "family" : "Yang", "given" : "Binrang", "non-dropping-particle" : "", "parse-names" : false, "suffix" : "" }, { "dropping-particle" : "", "family" : "Chan", "given" : "Raymond C K", "non-dropping-particle" : "", "parse-names" : false, "suffix" : "" }, { "dropping-particle" : "", "family" : "Jing", "given" : "Jin", "non-dropping-particle" : "", "parse-names" : false, "suffix" : "" }, { "dropping-particle" : "", "family" : "Li", "given" : "Tao", "non-dropping-particle" : "", "parse-names" : false, "suffix" : "" }, { "dropping-particle" : "", "family" : "Sham", "given" : "Pak", "non-dropping-particle" : "", "parse-names" : false, "suffix" : "" }, { "dropping-particle" : "", "family" : "Chen", "given" : "Ronald Y L", "non-dropping-particle" : "", "parse-names" : false, "suffix" : "" } ], "container-title" : "American Journal of Medical Genetics, Part B: Neuropsychiatric Genetics", "id" : "ITEM-2", "issue" : "4", "issued" : { "date-parts" : [ [ "2007" ] ] }, "page" : "541-550", "title" : "A meta-analysis of association studies between the 10-repeat allele of a VNTR polymorphism in the 3\u2032-UTR of dopamine transporter gene and attention deficit hyperactivity disorder", "type" : "article-journal", "volume" : "144" }, "uris" : [ "http://www.mendeley.com/documents/?uuid=9bd838da-15fc-4b5d-829a-cd4364d7c658" ] }, { "id" : "ITEM-3", "itemData" : { "ISSN" : "0955-8829", "PMID" : "15722958", "abstract" : "INTRODUCTION Molecular genetic research has mainly focused on the D4 dopamine receptor (DRD4) and the dopamine transporter (DAT) genes in attention-deficit hyperactivity disorder (ADHD). A recent meta-analysis showed that the DRD4 gene has a significant role in the vulnerability to ADHD. OBJECTIVES With an equal number of positive and negative association studies between the 10-repeat of the DAT gene and ADHD, a meta-analysis is required for this other candidate gene. METHODS We re-analysed the 13 published family-based association studies between ADHD and the DAT gene. Following recent recommendations, different biases were specifically assessed, such as the sample-size effect and the time effect. RESULTS The meta-analysis showed no significant association between ADHD and the DAT gene (P = 0.21), but an important between-samples heterogeneity (P = 0.0009). Odds ratios above 1 are mostly observed in studies with a small number of informative transmissions, and decrease with larger sample size. CONCLUSIONS Contrary to what was found for the DRD4 gene, the 10-repeat allele of the DAT gene has at most a minor role in the genetic susceptibility of ADHD. The different biases detected herein probably explain the initial impression of a significant impact of the DAT gene on hyperactivity.", "author" : [ { "dropping-particle" : "", "family" : "Purper-Ouakil", "given" : "D", "non-dropping-particle" : "", "parse-names" : false, "suffix" : "" }, { "dropping-particle" : "", "family" : "Wohl", "given" : "M", "non-dropping-particle" : "", "parse-names" : false, "suffix" : "" }, { "dropping-particle" : "", "family" : "Mouren", "given" : "M C", "non-dropping-particle" : "", "parse-names" : false, "suffix" : "" }, { "dropping-particle" : "", "family" : "Verpillat", "given" : "P", "non-dropping-particle" : "", "parse-names" : false, "suffix" : "" }, { "dropping-particle" : "", "family" : "Ad\u00e8s", "given" : "J", "non-dropping-particle" : "", "parse-names" : false, "suffix" : "" }, { "dropping-particle" : "", "family" : "Gorwood", "given" : "P", "non-dropping-particle" : "", "parse-names" : false, "suffix" : "" } ], "container-title" : "Psychiatric genetics", "id" : "ITEM-3", "issue" : "1", "issued" : { "date-parts" : [ [ "2005", "3" ] ] }, "page" : "53-9", "title" : "Meta-analysis of family-based association studies between the dopamine transporter gene and attention deficit hyperactivity disorder.", "type" : "article-journal", "volume" : "15" }, "uris" : [ "http://www.mendeley.com/documents/?uuid=445a46cf-89dc-3ecd-b7b3-dc4e10a47006" ] } ], "mendeley" : { "formattedCitation" : "(160, 163, 164)", "plainTextFormattedCitation" : "(160, 163, 164)", "previouslyFormattedCitation" : "(160, 163, 164)" }, "properties" : { "noteIndex" : 18 }, "schema" : "https://github.com/citation-style-language/schema/raw/master/csl-citation.json" }</w:instrText>
      </w:r>
      <w:r w:rsidR="00BC3BBB">
        <w:rPr>
          <w:rFonts w:ascii="Arial" w:hAnsi="Arial" w:cs="Arial"/>
          <w:color w:val="000000"/>
          <w:sz w:val="22"/>
          <w:szCs w:val="22"/>
          <w:shd w:val="clear" w:color="auto" w:fill="FFFFFF"/>
        </w:rPr>
        <w:fldChar w:fldCharType="separate"/>
      </w:r>
      <w:r w:rsidR="00BF1F00" w:rsidRPr="00BF1F00">
        <w:rPr>
          <w:rFonts w:ascii="Arial" w:hAnsi="Arial" w:cs="Arial"/>
          <w:noProof/>
          <w:color w:val="000000"/>
          <w:sz w:val="22"/>
          <w:szCs w:val="22"/>
          <w:shd w:val="clear" w:color="auto" w:fill="FFFFFF"/>
        </w:rPr>
        <w:t>(160, 163, 164)</w:t>
      </w:r>
      <w:r w:rsidR="00BC3BBB">
        <w:rPr>
          <w:rFonts w:ascii="Arial" w:hAnsi="Arial" w:cs="Arial"/>
          <w:color w:val="000000"/>
          <w:sz w:val="22"/>
          <w:szCs w:val="22"/>
          <w:shd w:val="clear" w:color="auto" w:fill="FFFFFF"/>
        </w:rPr>
        <w:fldChar w:fldCharType="end"/>
      </w:r>
      <w:r w:rsidRPr="00371819">
        <w:rPr>
          <w:rFonts w:ascii="Arial" w:hAnsi="Arial" w:cs="Arial"/>
          <w:color w:val="212121"/>
          <w:sz w:val="22"/>
          <w:szCs w:val="22"/>
          <w:shd w:val="clear" w:color="auto" w:fill="FFFFFF"/>
        </w:rPr>
        <w:t xml:space="preserve">arasında </w:t>
      </w:r>
      <w:r>
        <w:rPr>
          <w:rFonts w:ascii="Arial" w:hAnsi="Arial" w:cs="Arial"/>
          <w:color w:val="212121"/>
          <w:sz w:val="22"/>
          <w:szCs w:val="22"/>
          <w:shd w:val="clear" w:color="auto" w:fill="FFFFFF"/>
        </w:rPr>
        <w:t>da bir</w:t>
      </w:r>
      <w:r w:rsidRPr="00371819">
        <w:rPr>
          <w:rFonts w:ascii="Arial" w:hAnsi="Arial" w:cs="Arial"/>
          <w:color w:val="212121"/>
          <w:sz w:val="22"/>
          <w:szCs w:val="22"/>
          <w:shd w:val="clear" w:color="auto" w:fill="FFFFFF"/>
        </w:rPr>
        <w:t xml:space="preserve"> ilişki olduğu fakat Katekol-O-metiltransferaz (</w:t>
      </w:r>
      <w:r w:rsidRPr="009D30FD">
        <w:rPr>
          <w:rStyle w:val="Vurgu"/>
          <w:rFonts w:ascii="Arial" w:hAnsi="Arial" w:cs="Arial"/>
          <w:sz w:val="22"/>
          <w:szCs w:val="22"/>
          <w:shd w:val="clear" w:color="auto" w:fill="FFFFFF"/>
        </w:rPr>
        <w:t>COMT</w:t>
      </w:r>
      <w:r w:rsidRPr="00371819">
        <w:rPr>
          <w:rFonts w:ascii="Arial" w:hAnsi="Arial" w:cs="Arial"/>
          <w:color w:val="000000"/>
          <w:sz w:val="22"/>
          <w:szCs w:val="22"/>
          <w:shd w:val="clear" w:color="auto" w:fill="FFFFFF"/>
        </w:rPr>
        <w:t xml:space="preserve">) ile ilişki olmadığı </w:t>
      </w:r>
      <w:r w:rsidR="00BC3BBB">
        <w:rPr>
          <w:rFonts w:ascii="Arial" w:hAnsi="Arial" w:cs="Arial"/>
          <w:color w:val="000000"/>
          <w:sz w:val="22"/>
          <w:szCs w:val="22"/>
          <w:shd w:val="clear" w:color="auto" w:fill="FFFFFF"/>
        </w:rPr>
        <w:fldChar w:fldCharType="begin" w:fldLock="1"/>
      </w:r>
      <w:r>
        <w:rPr>
          <w:rFonts w:ascii="Arial" w:hAnsi="Arial" w:cs="Arial"/>
          <w:color w:val="000000"/>
          <w:sz w:val="22"/>
          <w:szCs w:val="22"/>
          <w:shd w:val="clear" w:color="auto" w:fill="FFFFFF"/>
        </w:rPr>
        <w:instrText>ADDIN CSL_CITATION { "citationItems" : [ { "id" : "ITEM-1", "itemData" : { "PMID" : "16676224", "abstract" : "There have been conflicting reports on the association between the Val158/108Met polymorphism of the catechol-O-methyltransferase (COMT) gene and attention deficit hyperactivity disorder (ADHD). Therefore we would like to perform a meta-analysis of previous studies to assess the overall magnitude and significance of the association. Family-based and case-control studies of the association between the COMT gene polymorphism and ADHD were searched systematically and comprehensively. Odds ratios (OR) of association were pooled by the fixed effects model if no significant heterogeneity was present among different studies. Subgroup analysis by gender and ADHD subtypes were also performed. Eleven family-based and two case-control studies were identified. After pooling the results, no significant association between the COMT Vall58/108Met polymorphism and ADHD was found (OR 0.99 (95% CI: 0.88-1.12), P = 0.87). There was also no significant association when the results were stratified by gender or ADHD subtype. There was no significant statistical heterogeneity (chi2 = 12.27, P = 0.2) although clinical heterogeneity was present in the studies, especially the ethnicity of subjects. Sensitivity analysis demonstrated absence of undue influence of any single study. Standard regression analysis showed no significant publication bias. We concluded that no significant association was present between the most common COMT gene polymorphism and ADHD. Further studies should employ larger sample size in more homogeneous subjects. Further investigations in moderator variables and gene-gene and gene-environment interactions are also warranted", "author" : [ { "dropping-particle" : "", "family" : "Cheuk", "given" : "D K", "non-dropping-particle" : "", "parse-names" : false, "suffix" : "" }, { "dropping-particle" : "", "family" : "Wong", "given" : "V", "non-dropping-particle" : "", "parse-names" : false, "suffix" : "" } ], "container-title" : "Behav.Genet.", "id" : "ITEM-1", "issue" : "5", "issued" : { "date-parts" : [ [ "2006" ] ] }, "page" : "651-659", "title" : "Meta-analysis of association between a catechol-O-methyltransferase gene polymorphism and attention deficit hyperactivity disorder", "type" : "article-journal", "volume" : "36" }, "uris" : [ "http://www.mendeley.com/documents/?uuid=3735a622-60f7-446b-8b3b-be6d3087c86a" ] } ], "mendeley" : { "formattedCitation" : "(165)", "plainTextFormattedCitation" : "(165)", "previouslyFormattedCitation" : "(165)" }, "properties" : { "noteIndex" : 18 }, "schema" : "https://github.com/citation-style-language/schema/raw/master/csl-citation.json" }</w:instrText>
      </w:r>
      <w:r w:rsidR="00BC3BBB">
        <w:rPr>
          <w:rFonts w:ascii="Arial" w:hAnsi="Arial" w:cs="Arial"/>
          <w:color w:val="000000"/>
          <w:sz w:val="22"/>
          <w:szCs w:val="22"/>
          <w:shd w:val="clear" w:color="auto" w:fill="FFFFFF"/>
        </w:rPr>
        <w:fldChar w:fldCharType="separate"/>
      </w:r>
      <w:r w:rsidRPr="00F74A96">
        <w:rPr>
          <w:rFonts w:ascii="Arial" w:hAnsi="Arial" w:cs="Arial"/>
          <w:noProof/>
          <w:color w:val="000000"/>
          <w:sz w:val="22"/>
          <w:szCs w:val="22"/>
          <w:shd w:val="clear" w:color="auto" w:fill="FFFFFF"/>
        </w:rPr>
        <w:t>(165)</w:t>
      </w:r>
      <w:r w:rsidR="00BC3BBB">
        <w:rPr>
          <w:rFonts w:ascii="Arial" w:hAnsi="Arial" w:cs="Arial"/>
          <w:color w:val="000000"/>
          <w:sz w:val="22"/>
          <w:szCs w:val="22"/>
          <w:shd w:val="clear" w:color="auto" w:fill="FFFFFF"/>
        </w:rPr>
        <w:fldChar w:fldCharType="end"/>
      </w:r>
      <w:r w:rsidRPr="00AE31A8">
        <w:rPr>
          <w:rFonts w:ascii="Arial" w:hAnsi="Arial" w:cs="Arial"/>
          <w:color w:val="000000"/>
          <w:sz w:val="22"/>
          <w:szCs w:val="22"/>
          <w:shd w:val="clear" w:color="auto" w:fill="FFFFFF"/>
        </w:rPr>
        <w:t xml:space="preserve"> </w:t>
      </w:r>
      <w:r w:rsidR="003F1464">
        <w:rPr>
          <w:rFonts w:ascii="Arial" w:hAnsi="Arial" w:cs="Arial"/>
          <w:color w:val="000000"/>
          <w:sz w:val="22"/>
          <w:szCs w:val="22"/>
          <w:shd w:val="clear" w:color="auto" w:fill="FFFFFF"/>
        </w:rPr>
        <w:t>belirtilmiştir</w:t>
      </w:r>
      <w:r w:rsidRPr="001F545F">
        <w:rPr>
          <w:rFonts w:ascii="Arial" w:hAnsi="Arial" w:cs="Arial"/>
          <w:color w:val="000000"/>
          <w:sz w:val="22"/>
          <w:szCs w:val="22"/>
          <w:shd w:val="clear" w:color="auto" w:fill="FFFFFF"/>
        </w:rPr>
        <w:t xml:space="preserve">. </w:t>
      </w:r>
      <w:r w:rsidRPr="001F545F">
        <w:rPr>
          <w:rFonts w:ascii="Arial" w:hAnsi="Arial" w:cs="Arial"/>
          <w:color w:val="212121"/>
          <w:sz w:val="22"/>
          <w:szCs w:val="22"/>
          <w:shd w:val="clear" w:color="auto" w:fill="FFFFFF"/>
        </w:rPr>
        <w:t>ADHD'nin moleküler genetiğindeki önemli bir gelişme, 51 genin ADHD ile ilişkisi için analiz edildiği “</w:t>
      </w:r>
      <w:r w:rsidRPr="001F545F">
        <w:rPr>
          <w:rFonts w:ascii="Arial" w:hAnsi="Arial" w:cs="Arial"/>
          <w:color w:val="000000"/>
          <w:sz w:val="22"/>
          <w:szCs w:val="22"/>
          <w:shd w:val="clear" w:color="auto" w:fill="FFFFFF"/>
        </w:rPr>
        <w:t>International Multisite ADHD Gene</w:t>
      </w:r>
      <w:r w:rsidRPr="001F545F">
        <w:rPr>
          <w:rFonts w:ascii="Arial" w:hAnsi="Arial" w:cs="Arial"/>
          <w:color w:val="212121"/>
          <w:sz w:val="22"/>
          <w:szCs w:val="22"/>
          <w:shd w:val="clear" w:color="auto" w:fill="FFFFFF"/>
        </w:rPr>
        <w:t xml:space="preserve"> (IMAGE)” projesinin yayınlanmasıyla elde edilmiştir. Bilinen fonksiyonel bölgelerdeki SNP’lere ve SNP etiketlemeye dayanarak DEHB ile ilişkili nörotransmitter yolaklarının düzenlenmesinde rol alan genler için yüksek yoğunluklu bir SNP haritası oluşturuldu. Bu çalışma bugüne kadar en geniş DEHB hasta setinde yapılan en de</w:t>
      </w:r>
      <w:r w:rsidR="00CA69E1">
        <w:rPr>
          <w:rFonts w:ascii="Arial" w:hAnsi="Arial" w:cs="Arial"/>
          <w:color w:val="212121"/>
          <w:sz w:val="22"/>
          <w:szCs w:val="22"/>
          <w:shd w:val="clear" w:color="auto" w:fill="FFFFFF"/>
        </w:rPr>
        <w:t>rin genetik bağlantı araştırmalarından biri olup</w:t>
      </w:r>
      <w:r w:rsidRPr="001F545F">
        <w:rPr>
          <w:rFonts w:ascii="Arial" w:hAnsi="Arial" w:cs="Arial"/>
          <w:color w:val="212121"/>
          <w:sz w:val="22"/>
          <w:szCs w:val="22"/>
          <w:shd w:val="clear" w:color="auto" w:fill="FFFFFF"/>
        </w:rPr>
        <w:t>, DEHB ve 18 gen arasında ilişki olduğuna dair kanıtlar sunmuştur</w:t>
      </w:r>
      <w:r>
        <w:rPr>
          <w:rFonts w:ascii="Arial" w:hAnsi="Arial" w:cs="Arial"/>
          <w:color w:val="212121"/>
          <w:sz w:val="22"/>
          <w:szCs w:val="22"/>
          <w:shd w:val="clear" w:color="auto" w:fill="FFFFFF"/>
        </w:rPr>
        <w:t xml:space="preserve"> </w:t>
      </w:r>
      <w:r w:rsidR="00BC3BBB">
        <w:rPr>
          <w:rFonts w:ascii="Arial" w:hAnsi="Arial" w:cs="Arial"/>
          <w:color w:val="212121"/>
          <w:sz w:val="22"/>
          <w:szCs w:val="22"/>
          <w:shd w:val="clear" w:color="auto" w:fill="FFFFFF"/>
        </w:rPr>
        <w:fldChar w:fldCharType="begin" w:fldLock="1"/>
      </w:r>
      <w:r>
        <w:rPr>
          <w:rFonts w:ascii="Arial" w:hAnsi="Arial" w:cs="Arial"/>
          <w:color w:val="212121"/>
          <w:sz w:val="22"/>
          <w:szCs w:val="22"/>
          <w:shd w:val="clear" w:color="auto" w:fill="FFFFFF"/>
        </w:rPr>
        <w:instrText>ADDIN CSL_CITATION { "citationItems" : [ { "id" : "ITEM-1", "itemData" : { "DOI" : "10.1016/j.psc.2009.12.004", "author" : [ { "dropping-particle" : "", "family" : "Faraone SV, Mick E", "given" : "", "non-dropping-particle" : "", "parse-names" : false, "suffix" : "" } ], "container-title" : "Psychiatric Clinics of North America", "id" : "ITEM-1", "issue" : "1", "issued" : { "date-parts" : [ [ "2010" ] ] }, "page" : "159-180", "title" : "Molecular Genetics of Attention Deficit Hyperactivity Disorder", "type" : "article-journal", "volume" : "33" }, "uris" : [ "http://www.mendeley.com/documents/?uuid=d8c87455-faf8-43c9-8bd0-a892098e97c8" ] } ], "mendeley" : { "formattedCitation" : "(158)", "plainTextFormattedCitation" : "(158)", "previouslyFormattedCitation" : "(158)" }, "properties" : { "noteIndex" : 18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Pr="00F74A96">
        <w:rPr>
          <w:rFonts w:ascii="Arial" w:hAnsi="Arial" w:cs="Arial"/>
          <w:noProof/>
          <w:color w:val="212121"/>
          <w:sz w:val="22"/>
          <w:szCs w:val="22"/>
          <w:shd w:val="clear" w:color="auto" w:fill="FFFFFF"/>
        </w:rPr>
        <w:t>(158)</w:t>
      </w:r>
      <w:r w:rsidR="00BC3BBB">
        <w:rPr>
          <w:rFonts w:ascii="Arial" w:hAnsi="Arial" w:cs="Arial"/>
          <w:color w:val="212121"/>
          <w:sz w:val="22"/>
          <w:szCs w:val="22"/>
          <w:shd w:val="clear" w:color="auto" w:fill="FFFFFF"/>
        </w:rPr>
        <w:fldChar w:fldCharType="end"/>
      </w:r>
      <w:r w:rsidRPr="001F545F">
        <w:rPr>
          <w:rFonts w:ascii="Arial" w:hAnsi="Arial" w:cs="Arial"/>
          <w:color w:val="212121"/>
          <w:sz w:val="22"/>
          <w:szCs w:val="22"/>
          <w:shd w:val="clear" w:color="auto" w:fill="FFFFFF"/>
        </w:rPr>
        <w:t>.</w:t>
      </w:r>
      <w:r>
        <w:rPr>
          <w:rFonts w:ascii="Arial" w:hAnsi="Arial" w:cs="Arial"/>
          <w:color w:val="212121"/>
          <w:sz w:val="22"/>
          <w:szCs w:val="22"/>
          <w:shd w:val="clear" w:color="auto" w:fill="FFFFFF"/>
        </w:rPr>
        <w:t xml:space="preserve"> </w:t>
      </w:r>
    </w:p>
    <w:p w:rsidR="002B6AFD" w:rsidRDefault="00C60153" w:rsidP="00C60153">
      <w:pPr>
        <w:pStyle w:val="HTMLncedenBiimlendirilmi"/>
        <w:shd w:val="clear" w:color="auto" w:fill="FFFFFF"/>
        <w:spacing w:line="360" w:lineRule="auto"/>
        <w:rPr>
          <w:rFonts w:ascii="Arial" w:hAnsi="Arial" w:cs="Arial"/>
          <w:b/>
          <w:sz w:val="22"/>
          <w:szCs w:val="22"/>
        </w:rPr>
      </w:pPr>
      <w:r>
        <w:rPr>
          <w:rFonts w:ascii="Arial" w:hAnsi="Arial" w:cs="Arial"/>
          <w:b/>
          <w:sz w:val="22"/>
          <w:szCs w:val="22"/>
        </w:rPr>
        <w:lastRenderedPageBreak/>
        <w:tab/>
      </w:r>
    </w:p>
    <w:p w:rsidR="00C60153" w:rsidRPr="00790521" w:rsidRDefault="002B6AFD" w:rsidP="00C60153">
      <w:pPr>
        <w:pStyle w:val="HTMLncedenBiimlendirilmi"/>
        <w:shd w:val="clear" w:color="auto" w:fill="FFFFFF"/>
        <w:spacing w:line="360" w:lineRule="auto"/>
        <w:rPr>
          <w:rFonts w:ascii="Arial" w:hAnsi="Arial" w:cs="Arial"/>
          <w:b/>
          <w:i/>
          <w:sz w:val="22"/>
          <w:szCs w:val="22"/>
        </w:rPr>
      </w:pPr>
      <w:r>
        <w:rPr>
          <w:rFonts w:ascii="Arial" w:hAnsi="Arial" w:cs="Arial"/>
          <w:b/>
          <w:sz w:val="22"/>
          <w:szCs w:val="22"/>
        </w:rPr>
        <w:tab/>
      </w:r>
      <w:r w:rsidR="00C60153" w:rsidRPr="00790521">
        <w:rPr>
          <w:rFonts w:ascii="Arial" w:hAnsi="Arial" w:cs="Arial"/>
          <w:b/>
          <w:i/>
          <w:sz w:val="22"/>
          <w:szCs w:val="22"/>
        </w:rPr>
        <w:t>Dopamin D4 Reseptör</w:t>
      </w:r>
      <w:r w:rsidR="00C60153">
        <w:rPr>
          <w:rFonts w:ascii="Arial" w:hAnsi="Arial" w:cs="Arial"/>
          <w:b/>
          <w:i/>
          <w:sz w:val="22"/>
          <w:szCs w:val="22"/>
        </w:rPr>
        <w:t>ü</w:t>
      </w:r>
      <w:r w:rsidR="00C60153" w:rsidRPr="00790521">
        <w:rPr>
          <w:rFonts w:ascii="Arial" w:hAnsi="Arial" w:cs="Arial"/>
          <w:b/>
          <w:i/>
          <w:sz w:val="22"/>
          <w:szCs w:val="22"/>
        </w:rPr>
        <w:t xml:space="preserve"> (DRD4)</w:t>
      </w:r>
    </w:p>
    <w:p w:rsidR="00C60153" w:rsidRDefault="00C60153" w:rsidP="00C60153">
      <w:pPr>
        <w:pStyle w:val="HTMLncedenBiimlendirilmi"/>
        <w:shd w:val="clear" w:color="auto" w:fill="FFFFFF"/>
        <w:spacing w:line="360" w:lineRule="auto"/>
        <w:jc w:val="both"/>
        <w:rPr>
          <w:rFonts w:ascii="Arial" w:hAnsi="Arial" w:cs="Arial"/>
          <w:color w:val="212121"/>
          <w:sz w:val="22"/>
          <w:szCs w:val="22"/>
        </w:rPr>
      </w:pPr>
      <w:r>
        <w:rPr>
          <w:rFonts w:ascii="Arial" w:hAnsi="Arial" w:cs="Arial"/>
          <w:color w:val="212121"/>
          <w:sz w:val="22"/>
          <w:szCs w:val="22"/>
          <w:shd w:val="clear" w:color="auto" w:fill="FFFFFF"/>
        </w:rPr>
        <w:tab/>
      </w:r>
      <w:r w:rsidRPr="00934C69">
        <w:rPr>
          <w:rFonts w:ascii="Arial" w:hAnsi="Arial" w:cs="Arial"/>
          <w:color w:val="212121"/>
          <w:sz w:val="22"/>
          <w:szCs w:val="22"/>
          <w:shd w:val="clear" w:color="auto" w:fill="FFFFFF"/>
        </w:rPr>
        <w:t xml:space="preserve">Hem noradrenalin hem dopamin, DRD4'ün güçlü agonistleridir </w:t>
      </w:r>
      <w:r w:rsidR="00BC3BBB">
        <w:rPr>
          <w:rFonts w:ascii="Arial" w:hAnsi="Arial" w:cs="Arial"/>
          <w:color w:val="212121"/>
          <w:sz w:val="22"/>
          <w:szCs w:val="22"/>
          <w:shd w:val="clear" w:color="auto" w:fill="FFFFFF"/>
        </w:rPr>
        <w:fldChar w:fldCharType="begin" w:fldLock="1"/>
      </w:r>
      <w:r>
        <w:rPr>
          <w:rFonts w:ascii="Arial" w:hAnsi="Arial" w:cs="Arial"/>
          <w:color w:val="212121"/>
          <w:sz w:val="22"/>
          <w:szCs w:val="22"/>
          <w:shd w:val="clear" w:color="auto" w:fill="FFFFFF"/>
        </w:rPr>
        <w:instrText>ADDIN CSL_CITATION { "citationItems" : [ { "id" : "ITEM-1", "itemData" : { "ISBN" : "0022-3042 (Print)\\r0022-3042 (Linking)", "PMID" : "9003072", "abstract" : "The catecholamines dopamine (DA), epinephrine (EP), and norepinephrine (NE) play important roles in learning and memory, emotional states, and control of voluntary movement, as well as cardiovascular and kidney function. They activate distinct but overlapping neuronal pathways through five distinct DA receptors (D1R-D5R) and at least 10 different adrenergic receptors (alpha 1a/b/c, alpha 2a/b/c-1/c-2, and beta 1/beta 2/beta 3). The D4R, which is localized to mesolimbic areas of the brain implicated in affective and emotional behavior, has a deduced amino acid sequence with homology to both adrenergic and dopaminergic receptor subtypes. We report here that DA, EP, and NE all show binding in the nanomolar range to three isoforms of the recombinant human D4R (hD4R): D4.2, D4.4, and D4.7. Submicromolar concentrations of DA, EP, and NE were sufficient to activate hD4R isoforms in two different functional assays: agonist-induced guanosine 5'-O-(3-[35S]thiotriphosphate) binding and modulation of adenylyl cyclase activity. DA was approximately fivefold more potent than EP and NE at the D4R, whereas activation of the human D2R required at least 100-fold higher catecholamine concentrations. Functional activation of the D4R by multiple neurotransmitters may provide a novel mechanism for integration of catecholamine signaling in the brain and periphery.", "author" : [ { "dropping-particle" : "", "family" : "Lanau", "given" : "F", "non-dropping-particle" : "", "parse-names" : false, "suffix" : "" }, { "dropping-particle" : "", "family" : "Zenner", "given" : "M T", "non-dropping-particle" : "", "parse-names" : false, "suffix" : "" }, { "dropping-particle" : "", "family" : "Civelli", "given" : "O", "non-dropping-particle" : "", "parse-names" : false, "suffix" : "" }, { "dropping-particle" : "", "family" : "Hartman", "given" : "D S", "non-dropping-particle" : "", "parse-names" : false, "suffix" : "" } ], "container-title" : "J Neurochem", "id" : "ITEM-1", "issue" : "2", "issued" : { "date-parts" : [ [ "1997" ] ] }, "page" : "804-812", "title" : "Epinephrine and norepinephrine act as potent agonists at the recombinant human dopamine D4 receptor", "type" : "article-journal", "volume" : "68" }, "uris" : [ "http://www.mendeley.com/documents/?uuid=9ae17170-f175-4667-bc91-250c6fdb11ed" ] } ], "mendeley" : { "formattedCitation" : "(166)", "plainTextFormattedCitation" : "(166)", "previouslyFormattedCitation" : "(166)" }, "properties" : { "noteIndex" : 18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Pr="00F74A96">
        <w:rPr>
          <w:rFonts w:ascii="Arial" w:hAnsi="Arial" w:cs="Arial"/>
          <w:noProof/>
          <w:color w:val="212121"/>
          <w:sz w:val="22"/>
          <w:szCs w:val="22"/>
          <w:shd w:val="clear" w:color="auto" w:fill="FFFFFF"/>
        </w:rPr>
        <w:t>(166)</w:t>
      </w:r>
      <w:r w:rsidR="00BC3BBB">
        <w:rPr>
          <w:rFonts w:ascii="Arial" w:hAnsi="Arial" w:cs="Arial"/>
          <w:color w:val="212121"/>
          <w:sz w:val="22"/>
          <w:szCs w:val="22"/>
          <w:shd w:val="clear" w:color="auto" w:fill="FFFFFF"/>
        </w:rPr>
        <w:fldChar w:fldCharType="end"/>
      </w:r>
      <w:r w:rsidRPr="00934C69">
        <w:rPr>
          <w:rFonts w:ascii="Arial" w:hAnsi="Arial" w:cs="Arial"/>
          <w:color w:val="4F81BD" w:themeColor="accent1"/>
          <w:sz w:val="22"/>
          <w:szCs w:val="22"/>
          <w:shd w:val="clear" w:color="auto" w:fill="FFFFFF"/>
        </w:rPr>
        <w:t xml:space="preserve"> </w:t>
      </w:r>
      <w:r w:rsidRPr="00934C69">
        <w:rPr>
          <w:rFonts w:ascii="Arial" w:hAnsi="Arial" w:cs="Arial"/>
          <w:color w:val="212121"/>
          <w:sz w:val="22"/>
          <w:szCs w:val="22"/>
          <w:shd w:val="clear" w:color="auto" w:fill="FFFFFF"/>
        </w:rPr>
        <w:t>ve D4 reseptörünün, beyin görüntüleme ve nöropsikolojik çalışmalar ile DEHB patofizyolojisinde rol oynayan frontal-subkortikal ağlarda yaygın olarak görüldüğü saptanmıştır</w:t>
      </w:r>
      <w:r>
        <w:rPr>
          <w:rFonts w:ascii="Arial" w:hAnsi="Arial" w:cs="Arial"/>
          <w:color w:val="212121"/>
          <w:sz w:val="22"/>
          <w:szCs w:val="22"/>
          <w:shd w:val="clear" w:color="auto" w:fill="FFFFFF"/>
        </w:rPr>
        <w:t xml:space="preserve"> </w:t>
      </w:r>
      <w:r w:rsidR="00BC3BBB" w:rsidRPr="008F1F7C">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"ISSN" : "0006-3223", "PMID" : "9821559", "abstract" : "Attention-deficit hyperactivity disorder (ADHD) is an early-onset, clinically heterogeneous disorder of inattention, hyperactivity, and impulsivity. Family, twin, adoption, segregation analysis, and molecular genetic studies show that is has a substantial genetic component. Although their results are still tentative, molecular genetic studies suggest that three genes may increase the susceptibility to ADHD: the D4 dopamine receptor gene, the dopamine transporter gene, and the D2 dopamine receptor gene. Studies of environmental adversity have implicated pregnancy and delivery complications, marital distress, family dysfunction, and low social class. The pattern of neuropsychological deficits found in ADHD children implicate executive functions and working memory; this pattern is similar to what has been found among adults with frontal lobe damage, which suggests that the frontal cortex or regions projecting to the frontal cortex are dysfunctional in at least some ADHD children. Moreover, neuroimaging studies implicate frontosubcortical pathways in ADHD. Notably, these pathways are rich in catecholamines, which have been implicated in ADHD by the mechanism of action of stimulants--the class of drugs that effectively treats many ADHD children. Yet human studies of the catecholamine hypothesis of ADHD have produced conflicting results, perhaps due to the insensitivity of peripheral measures.", "author" : [ { "dropping-particle" : "V", "family" : "Faraone", "given" : "S", "non-dropping-particle" : "", "parse-names" : false, "suffix" : "" }, { "dropping-particle" : "", "family" : "Biederman", "given" : "J", "non-dropping-particle" : "", "parse-names" : false, "suffix" : "" } ], "container-title" : "Biological psychiatry", "id" : "ITEM-1", "issue" : "10", "issued" : { "date-parts" : [ [ "1998", "11", "15" ] ] }, "page" : "951-8", "title" : "Neurobiology of attention-deficit hyperactivity disorder.", "type" : "article-journal", "volume" : "44" }, "uris" : [ "http://www.mendeley.com/documents/?uuid=29700f7c-3b15-3759-a402-2556878cabcf" ] } ], "mendeley" : { "formattedCitation" : "(167)", "plainTextFormattedCitation" : "(167)", "previouslyFormattedCitation" : "(167)" }, "properties" : { "noteIndex" : 18 }, "schema" : "https://github.com/citation-style-language/schema/raw/master/csl-citation.json" }</w:instrText>
      </w:r>
      <w:r w:rsidR="00BC3BBB" w:rsidRPr="008F1F7C">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(167)</w:t>
      </w:r>
      <w:r w:rsidR="00BC3BBB" w:rsidRPr="008F1F7C">
        <w:rPr>
          <w:rFonts w:ascii="Arial" w:hAnsi="Arial" w:cs="Arial"/>
          <w:sz w:val="22"/>
          <w:szCs w:val="22"/>
          <w:shd w:val="clear" w:color="auto" w:fill="FFFFFF"/>
        </w:rPr>
        <w:fldChar w:fldCharType="end"/>
      </w:r>
      <w:r>
        <w:rPr>
          <w:rFonts w:ascii="Arial" w:hAnsi="Arial" w:cs="Arial"/>
          <w:sz w:val="22"/>
          <w:szCs w:val="22"/>
          <w:shd w:val="clear" w:color="auto" w:fill="FFFFFF"/>
        </w:rPr>
        <w:t xml:space="preserve">. </w:t>
      </w:r>
      <w:r w:rsidRPr="00DE79D6">
        <w:rPr>
          <w:rFonts w:ascii="Arial" w:hAnsi="Arial" w:cs="Arial"/>
          <w:sz w:val="22"/>
          <w:szCs w:val="22"/>
          <w:shd w:val="clear" w:color="auto" w:fill="FFFFFF"/>
        </w:rPr>
        <w:t>Ekson III DRD4</w:t>
      </w:r>
      <w:r>
        <w:rPr>
          <w:rFonts w:ascii="Arial" w:hAnsi="Arial" w:cs="Arial"/>
          <w:sz w:val="22"/>
          <w:szCs w:val="22"/>
          <w:shd w:val="clear" w:color="auto" w:fill="FFFFFF"/>
        </w:rPr>
        <w:t xml:space="preserve"> </w:t>
      </w:r>
      <w:r w:rsidRPr="00DE79D6">
        <w:rPr>
          <w:rFonts w:ascii="Arial" w:hAnsi="Arial" w:cs="Arial"/>
          <w:sz w:val="22"/>
          <w:szCs w:val="22"/>
          <w:shd w:val="clear" w:color="auto" w:fill="FFFFFF"/>
        </w:rPr>
        <w:t>VNTR</w:t>
      </w:r>
      <w:r w:rsidR="00777C01">
        <w:rPr>
          <w:rFonts w:ascii="Arial" w:hAnsi="Arial" w:cs="Arial"/>
          <w:sz w:val="22"/>
          <w:szCs w:val="22"/>
          <w:shd w:val="clear" w:color="auto" w:fill="FFFFFF"/>
        </w:rPr>
        <w:t xml:space="preserve"> (variable number tandem repeat)</w:t>
      </w:r>
      <w:r w:rsidRPr="00DE79D6">
        <w:rPr>
          <w:rFonts w:ascii="Arial" w:hAnsi="Arial" w:cs="Arial"/>
          <w:sz w:val="22"/>
          <w:szCs w:val="22"/>
          <w:shd w:val="clear" w:color="auto" w:fill="FFFFFF"/>
        </w:rPr>
        <w:t xml:space="preserve">’nin 7 tekrar </w:t>
      </w:r>
      <w:r>
        <w:rPr>
          <w:rFonts w:ascii="Arial" w:hAnsi="Arial" w:cs="Arial"/>
          <w:sz w:val="22"/>
          <w:szCs w:val="22"/>
          <w:shd w:val="clear" w:color="auto" w:fill="FFFFFF"/>
        </w:rPr>
        <w:t>allelinin azalmış dopa</w:t>
      </w:r>
      <w:r w:rsidRPr="00DE79D6">
        <w:rPr>
          <w:rFonts w:ascii="Arial" w:hAnsi="Arial" w:cs="Arial"/>
          <w:sz w:val="22"/>
          <w:szCs w:val="22"/>
          <w:shd w:val="clear" w:color="auto" w:fill="FFFFFF"/>
        </w:rPr>
        <w:t>m</w:t>
      </w:r>
      <w:r>
        <w:rPr>
          <w:rFonts w:ascii="Arial" w:hAnsi="Arial" w:cs="Arial"/>
          <w:sz w:val="22"/>
          <w:szCs w:val="22"/>
          <w:shd w:val="clear" w:color="auto" w:fill="FFFFFF"/>
        </w:rPr>
        <w:t>i</w:t>
      </w:r>
      <w:r w:rsidRPr="00DE79D6">
        <w:rPr>
          <w:rFonts w:ascii="Arial" w:hAnsi="Arial" w:cs="Arial"/>
          <w:sz w:val="22"/>
          <w:szCs w:val="22"/>
          <w:shd w:val="clear" w:color="auto" w:fill="FFFFFF"/>
        </w:rPr>
        <w:t xml:space="preserve">n cevabına neden </w:t>
      </w:r>
      <w:r>
        <w:rPr>
          <w:rFonts w:ascii="Arial" w:hAnsi="Arial" w:cs="Arial"/>
          <w:sz w:val="22"/>
          <w:szCs w:val="22"/>
          <w:shd w:val="clear" w:color="auto" w:fill="FFFFFF"/>
        </w:rPr>
        <w:t xml:space="preserve">olduğunun saptandığı çalışmaları </w:t>
      </w:r>
      <w:r w:rsidR="00BC3BBB">
        <w:rPr>
          <w:rFonts w:ascii="Arial" w:hAnsi="Arial" w:cs="Arial"/>
          <w:sz w:val="22"/>
          <w:szCs w:val="22"/>
          <w:shd w:val="clear" w:color="auto" w:fill="FFFFFF"/>
        </w:rPr>
        <w:fldChar w:fldCharType="begin" w:fldLock="1"/>
      </w:r>
      <w:r w:rsidR="0037573A">
        <w:rPr>
          <w:rFonts w:ascii="Arial" w:hAnsi="Arial" w:cs="Arial"/>
          <w:sz w:val="22"/>
          <w:szCs w:val="22"/>
          <w:shd w:val="clear" w:color="auto" w:fill="FFFFFF"/>
        </w:rPr>
        <w:instrText>ADDIN CSL_CITATION { "citationItems" : [ { "id" : "ITEM-1", "itemData" : { "ISSN" : "00280836", "abstract" : "The dopamine D4 receptor structurally and pharmacologically resembles the dopamine D2 and D3 receptors Clozapine, an atypical antipsychotic that is relatively free of the adverse effects of drug-induced parkinsonism and tardive dyskinesia binds to the D4 receptor with an affinity 10 times higher than to the D2 and D3 receptors This may explain clozapine's atypical properties. Here we report the existence of at least three polymorphic variations in the coding sequence of the human D4 receptor. A 48-base-pair sequence in the putative third cytoplasmic loop of this receptor exists either as a direct-repeat sequence (D4.2), as a fourfold repeat (D4.4) or as a sevenfold repeat (D4.7). Two more variant alleles were detected in humans. Expression of the complementary DNA for the three cloned receptor variants showed different properties for the long form (D4.7) and the shorter forms (D4.2, D4.4) with respect to clozapine and spiperone binding. To our knowledge, this is the first report of a receptor in the catecholamine receptor family that displays polymorphic variation in the human population. Such variation among humans may underlie individual differences in susceptibility to neuropsychiatric disease and in responsiveness to antipsychotic medication. \u00a9 1992 Nature Publishing Group.", "author" : [ { "dropping-particle" : "", "family" : "Tol", "given" : "H.H.M.", "non-dropping-particle" : "Van", "parse-names" : false, "suffix" : "" }, { "dropping-particle" : "", "family" : "Wu", "given" : "C.M.", "non-dropping-particle" : "", "parse-names" : false, "suffix" : "" }, { "dropping-particle" : "", "family" : "Guan", "given" : "H.-C.", "non-dropping-particle" : "", "parse-names" : false, "suffix" : "" }, { "dropping-particle" : "", "family" : "Ohara", "given" : "K.", "non-dropping-particle" : "", "parse-names" : false, "suffix" : "" }, { "dropping-particle" : "", "family" : "Bunzow", "given" : "J.R.", "non-dropping-particle" : "", "parse-names" : false, "suffix" : "" }, { "dropping-particle" : "", "family" : "Civelli", "given" : "O.", "non-dropping-particle" : "", "parse-names" : false, "suffix" : "" }, { "dropping-particle" : "", "family" : "Kennedy", "given" : "J.", "non-dropping-particle" : "", "parse-names" : false, "suffix" : "" }, { "dropping-particle" : "", "family" : "Seeman", "given" : "P.", "non-dropping-particle" : "", "parse-names" : false, "suffix" : "" }, { "dropping-particle" : "", "family" : "Niznik", "given" : "H.B.", "non-dropping-particle" : "", "parse-names" : false, "suffix" : "" }, { "dropping-particle" : "", "family" : "Jovanovic", "given" : "V.", "non-dropping-particle" : "", "parse-names" : false, "suffix" : "" } ], "container-title" : "Nature", "id" : "ITEM-1", "issue" : "6382", "issued" : { "date-parts" : [ [ "1992" ] ] }, "title" : "Multiple dopamine D4 receptor variants in the human population", "type" : "article-journal", "volume" : "358" }, "uris" : [ "http://www.mendeley.com/documents/?uuid=527b24c0-c89f-43dd-9bac-967212e82308" ] }, { "id" : "ITEM-2", "itemData" : { "author" : [ { "dropping-particle" : "", "family" : "Asghari", "given" : "V", "non-dropping-particle" : "", "parse-names" : false, "suffix" : "" }, { "dropping-particle" : "", "family" : "Sanyal", "given" : "S", "non-dropping-particle" : "", "parse-names" : false, "suffix" : "" }, { "dropping-particle" : "", "family" : "Buchwaldt", "given" : "S", "non-dropping-particle" : "", "parse-names" : false, "suffix" : "" }, { "dropping-particle" : "", "family" : "Paterson", "given" : "A", "non-dropping-particle" : "", "parse-names" : false, "suffix" : "" }, { "dropping-particle" : "", "family" : "Jovanovic", "given" : "V", "non-dropping-particle" : "", "parse-names" : false, "suffix" : "" }, { "dropping-particle" : "", "family" : "Tol", "given" : "H H", "non-dropping-particle" : "Van", "parse-names" : false, "suffix" : "" } ], "container-title" : "Journal of Neurochemistryy", "id" : "ITEM-2", "issue" : "3", "issued" : { "date-parts" : [ [ "1995" ] ] }, "page" : "1157-1165", "title" : "Modulation of Intracellular cyclic AMP levels by different human dopamine D4 receptor variants.", "type" : "article-journal", "volume" : "65" }, "uris" : [ "http://www.mendeley.com/documents/?uuid=d00b9873-1caa-4e36-a7eb-6ce1705a8ba9" ] } ], "mendeley" : { "formattedCitation" : "(168, 169)", "plainTextFormattedCitation" : "(168, 169)", "previouslyFormattedCitation" : "(168, 169)" }, "properties" : { "noteIndex" : 18 }, "schema" : "https://github.com/citation-style-language/schema/raw/master/csl-citation.json" }</w:instrText>
      </w:r>
      <w:r w:rsidR="00BC3BBB">
        <w:rPr>
          <w:rFonts w:ascii="Arial" w:hAnsi="Arial" w:cs="Arial"/>
          <w:sz w:val="22"/>
          <w:szCs w:val="22"/>
          <w:shd w:val="clear" w:color="auto" w:fill="FFFFFF"/>
        </w:rPr>
        <w:fldChar w:fldCharType="separate"/>
      </w:r>
      <w:r w:rsidR="00BF1F00" w:rsidRPr="00BF1F00">
        <w:rPr>
          <w:rFonts w:ascii="Arial" w:hAnsi="Arial" w:cs="Arial"/>
          <w:noProof/>
          <w:sz w:val="22"/>
          <w:szCs w:val="22"/>
          <w:shd w:val="clear" w:color="auto" w:fill="FFFFFF"/>
        </w:rPr>
        <w:t>(168, 169)</w:t>
      </w:r>
      <w:r w:rsidR="00BC3BBB">
        <w:rPr>
          <w:rFonts w:ascii="Arial" w:hAnsi="Arial" w:cs="Arial"/>
          <w:sz w:val="22"/>
          <w:szCs w:val="22"/>
          <w:shd w:val="clear" w:color="auto" w:fill="FFFFFF"/>
        </w:rPr>
        <w:fldChar w:fldCharType="end"/>
      </w:r>
      <w:r>
        <w:rPr>
          <w:rFonts w:ascii="Arial" w:hAnsi="Arial" w:cs="Arial"/>
          <w:sz w:val="22"/>
          <w:szCs w:val="22"/>
          <w:shd w:val="clear" w:color="auto" w:fill="FFFFFF"/>
        </w:rPr>
        <w:t xml:space="preserve"> </w:t>
      </w:r>
      <w:r w:rsidRPr="002012DD">
        <w:rPr>
          <w:rFonts w:ascii="Arial" w:hAnsi="Arial" w:cs="Arial"/>
          <w:sz w:val="22"/>
          <w:szCs w:val="22"/>
          <w:shd w:val="clear" w:color="auto" w:fill="FFFFFF"/>
        </w:rPr>
        <w:t>takiben</w:t>
      </w:r>
      <w:r>
        <w:rPr>
          <w:rFonts w:ascii="Arial" w:hAnsi="Arial" w:cs="Arial"/>
          <w:sz w:val="22"/>
          <w:szCs w:val="22"/>
          <w:shd w:val="clear" w:color="auto" w:fill="FFFFFF"/>
        </w:rPr>
        <w:t xml:space="preserve"> yapılan çalışmaları içeren</w:t>
      </w:r>
      <w:r w:rsidRPr="002012DD">
        <w:rPr>
          <w:rFonts w:ascii="Arial" w:hAnsi="Arial" w:cs="Arial"/>
          <w:sz w:val="22"/>
          <w:szCs w:val="22"/>
          <w:shd w:val="clear" w:color="auto" w:fill="FFFFFF"/>
        </w:rPr>
        <w:t xml:space="preserve"> bir meta analizde hem olgu-kontrol hem de aile temelli çalışmalarda 7 tekrar allelinin DEHB ile istatistiksel olarak anlamlı ilişkili bulmuşlardır</w:t>
      </w:r>
      <w:r>
        <w:rPr>
          <w:rFonts w:ascii="Arial" w:hAnsi="Arial" w:cs="Arial"/>
          <w:sz w:val="22"/>
          <w:szCs w:val="22"/>
          <w:shd w:val="clear" w:color="auto" w:fill="FFFFFF"/>
        </w:rPr>
        <w:t xml:space="preserve">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"DOI" : "10.1016/j.biopsych.2004.11.024", "ISSN" : "00063223", "PMID" : "15950004", "abstract" : "Results of behavioral genetic and molecular genetic studies have converged to suggest that both genetic and nongenetic factors contribute to the development of attention-deficit/hyperactivity disorder (ADHD). We review this literature, with a particular emphasis on molecular genetic studies. Family, twin, and adoption studies provide compelling evidence that genes play a strong role in mediating susceptibility to ADHD. This fact is most clearly seen in the 20 extant twin studies, which estimate the heritability of ADHD to be .76. Molecular genetic studies suggest that the genetic architecture of ADHD is complex. The few genome-wide scans conducted thus far are not conclusive. In contrast, the many candidate gene studies of ADHD have produced substantial evidence implicating several genes in the etiology of the disorder. For the eight genes for which the same variant has been studied in three or more case-control or family-based studies, seven show statistically significant evidence of association with ADHD on the basis of the pooled odds ratio across studies: DRD4, DRD5, DAT, DBH, 5-HTT, HTR1B, and SNAP-25.", "author" : [ { "dropping-particle" : "V.", "family" : "Faraone", "given" : "Stephen", "non-dropping-particle" : "", "parse-names" : false, "suffix" : "" }, { "dropping-particle" : "", "family" : "Perlis", "given" : "Roy H.", "non-dropping-particle" : "", "parse-names" : false, "suffix" : "" }, { "dropping-particle" : "", "family" : "Doyle", "given" : "Alysa E.", "non-dropping-particle" : "", "parse-names" : false, "suffix" : "" }, { "dropping-particle" : "", "family" : "Smoller", "given" : "Jordan W.", "non-dropping-particle" : "", "parse-names" : false, "suffix" : "" }, { "dropping-particle" : "", "family" : "Goralnick", "given" : "Jennifer J.", "non-dropping-particle" : "", "parse-names" : false, "suffix" : "" }, { "dropping-particle" : "", "family" : "Holmgren", "given" : "Meredith A.", "non-dropping-particle" : "", "parse-names" : false, "suffix" : "" }, { "dropping-particle" : "", "family" : "Sklar", "given" : "Pamela", "non-dropping-particle" : "", "parse-names" : false, "suffix" : "" } ], "container-title" : "Biological Psychiatry", "id" : "ITEM-1", "issue" : "11", "issued" : { "date-parts" : [ [ "2005", "6", "1" ] ] }, "page" : "1313-1323", "title" : "Molecular Genetics of Attention-Deficit/Hyperactivity Disorder", "type" : "article-journal", "volume" : "57" }, "uris" : [ "http://www.mendeley.com/documents/?uuid=d5d6a7b0-e245-374e-8099-a239f6852667" ] } ], "mendeley" : { "formattedCitation" : "(5)", "plainTextFormattedCitation" : "(5)", "previouslyFormattedCitation" : "(5)" }, "properties" : { "noteIndex" : 18 }, "schema" : "https://github.com/citation-style-language/schema/raw/master/csl-citation.json" }</w:instrText>
      </w:r>
      <w:r w:rsidR="00BC3BBB">
        <w:rPr>
          <w:rFonts w:ascii="Arial" w:hAnsi="Arial" w:cs="Arial"/>
          <w:sz w:val="22"/>
          <w:szCs w:val="22"/>
          <w:shd w:val="clear" w:color="auto" w:fill="FFFFFF"/>
        </w:rPr>
        <w:fldChar w:fldCharType="separate"/>
      </w:r>
      <w:r w:rsidRPr="0080454A">
        <w:rPr>
          <w:rFonts w:ascii="Arial" w:hAnsi="Arial" w:cs="Arial"/>
          <w:noProof/>
          <w:sz w:val="22"/>
          <w:szCs w:val="22"/>
          <w:shd w:val="clear" w:color="auto" w:fill="FFFFFF"/>
        </w:rPr>
        <w:t>(5)</w:t>
      </w:r>
      <w:r w:rsidR="00BC3BBB">
        <w:rPr>
          <w:rFonts w:ascii="Arial" w:hAnsi="Arial" w:cs="Arial"/>
          <w:sz w:val="22"/>
          <w:szCs w:val="22"/>
          <w:shd w:val="clear" w:color="auto" w:fill="FFFFFF"/>
        </w:rPr>
        <w:fldChar w:fldCharType="end"/>
      </w:r>
      <w:r w:rsidRPr="002012DD">
        <w:rPr>
          <w:rFonts w:ascii="Arial" w:hAnsi="Arial" w:cs="Arial"/>
          <w:sz w:val="22"/>
          <w:szCs w:val="22"/>
          <w:shd w:val="clear" w:color="auto" w:fill="FFFFFF"/>
        </w:rPr>
        <w:t>.</w:t>
      </w:r>
      <w:r>
        <w:rPr>
          <w:rFonts w:ascii="Arial" w:hAnsi="Arial" w:cs="Arial"/>
          <w:color w:val="212121"/>
          <w:sz w:val="22"/>
          <w:szCs w:val="22"/>
          <w:shd w:val="clear" w:color="auto" w:fill="FFFFFF"/>
        </w:rPr>
        <w:t xml:space="preserve"> </w:t>
      </w:r>
      <w:r w:rsidRPr="00895902">
        <w:rPr>
          <w:rFonts w:ascii="Arial" w:hAnsi="Arial" w:cs="Arial"/>
          <w:sz w:val="22"/>
          <w:szCs w:val="22"/>
          <w:shd w:val="clear" w:color="auto" w:fill="FFFFFF"/>
        </w:rPr>
        <w:t>Geniş ve kapsamlı IMAGE projesinde</w:t>
      </w:r>
      <w:r>
        <w:rPr>
          <w:rFonts w:ascii="Arial" w:hAnsi="Arial" w:cs="Arial"/>
          <w:sz w:val="22"/>
          <w:szCs w:val="22"/>
          <w:shd w:val="clear" w:color="auto" w:fill="FFFFFF"/>
        </w:rPr>
        <w:t xml:space="preserve"> ise</w:t>
      </w:r>
      <w:r w:rsidRPr="00895902">
        <w:rPr>
          <w:rFonts w:ascii="Arial" w:hAnsi="Arial" w:cs="Arial"/>
          <w:sz w:val="22"/>
          <w:szCs w:val="22"/>
          <w:shd w:val="clear" w:color="auto" w:fill="FFFFFF"/>
        </w:rPr>
        <w:t xml:space="preserve"> VNTR ve DEHB ilişkisi istatistiksel olarak anlamlı saptanmamış (p &lt;0.09), ancak odds oranı (1.18) meta-analizlerde gözlemlenene çok yakın olarak belirtilmiştir</w:t>
      </w:r>
      <w:r>
        <w:rPr>
          <w:rFonts w:ascii="Arial" w:hAnsi="Arial" w:cs="Arial"/>
          <w:sz w:val="22"/>
          <w:szCs w:val="22"/>
          <w:shd w:val="clear" w:color="auto" w:fill="FFFFFF"/>
        </w:rPr>
        <w:t xml:space="preserve">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"DOI" : "10.1016/j.psc.2009.12.004", "author" : [ { "dropping-particle" : "", "family" : "Faraone SV, Mick E", "given" : "", "non-dropping-particle" : "", "parse-names" : false, "suffix" : "" } ], "container-title" : "Psychiatric Clinics of North America", "id" : "ITEM-1", "issue" : "1", "issued" : { "date-parts" : [ [ "2010" ] ] }, "page" : "159-180", "title" : "Molecular Genetics of Attention Deficit Hyperactivity Disorder", "type" : "article-journal", "volume" : "33" }, "uris" : [ "http://www.mendeley.com/documents/?uuid=d8c87455-faf8-43c9-8bd0-a892098e97c8" ] } ], "mendeley" : { "formattedCitation" : "(158)", "plainTextFormattedCitation" : "(158)", "previouslyFormattedCitation" : "(158)" }, "properties" : { "noteIndex" : 18 }, "schema" : "https://github.com/citation-style-language/schema/raw/master/csl-citation.json" }</w:instrText>
      </w:r>
      <w:r w:rsidR="00BC3BBB">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(158)</w:t>
      </w:r>
      <w:r w:rsidR="00BC3BBB">
        <w:rPr>
          <w:rFonts w:ascii="Arial" w:hAnsi="Arial" w:cs="Arial"/>
          <w:sz w:val="22"/>
          <w:szCs w:val="22"/>
          <w:shd w:val="clear" w:color="auto" w:fill="FFFFFF"/>
        </w:rPr>
        <w:fldChar w:fldCharType="end"/>
      </w:r>
      <w:r w:rsidRPr="00895902">
        <w:rPr>
          <w:rFonts w:ascii="Arial" w:hAnsi="Arial" w:cs="Arial"/>
          <w:sz w:val="22"/>
          <w:szCs w:val="22"/>
          <w:shd w:val="clear" w:color="auto" w:fill="FFFFFF"/>
        </w:rPr>
        <w:t>.</w:t>
      </w:r>
      <w:r w:rsidRPr="00895902">
        <w:rPr>
          <w:rFonts w:ascii="Arial" w:hAnsi="Arial" w:cs="Arial"/>
          <w:color w:val="212121"/>
          <w:sz w:val="22"/>
          <w:shd w:val="clear" w:color="auto" w:fill="FFFFFF"/>
        </w:rPr>
        <w:t xml:space="preserve"> </w:t>
      </w:r>
      <w:r w:rsidRPr="00CB5BA1">
        <w:rPr>
          <w:rFonts w:ascii="Arial" w:hAnsi="Arial" w:cs="Arial"/>
          <w:color w:val="212121"/>
          <w:sz w:val="22"/>
          <w:szCs w:val="22"/>
        </w:rPr>
        <w:t>2,090 çocuğun toplanmış analizinde ekson III 48-bp VNTR ile DEHB belirti profilleri veya alt tipleri ile ilişki bulunmamıştır</w:t>
      </w:r>
      <w:r>
        <w:rPr>
          <w:rFonts w:ascii="Arial" w:hAnsi="Arial" w:cs="Arial"/>
          <w:color w:val="212121"/>
          <w:sz w:val="22"/>
          <w:szCs w:val="22"/>
        </w:rPr>
        <w:t xml:space="preserve"> </w:t>
      </w:r>
      <w:r w:rsidR="00BC3BBB">
        <w:rPr>
          <w:rFonts w:ascii="Arial" w:hAnsi="Arial" w:cs="Arial"/>
          <w:color w:val="212121"/>
          <w:sz w:val="22"/>
          <w:szCs w:val="22"/>
        </w:rPr>
        <w:fldChar w:fldCharType="begin" w:fldLock="1"/>
      </w:r>
      <w:r>
        <w:rPr>
          <w:rFonts w:ascii="Arial" w:hAnsi="Arial" w:cs="Arial"/>
          <w:color w:val="212121"/>
          <w:sz w:val="22"/>
          <w:szCs w:val="22"/>
        </w:rPr>
        <w:instrText>ADDIN CSL_CITATION { "citationItems" : [ { "id" : "ITEM-1", "itemData" : { "DOI" : "10.1111/j.1469-7610.2005.01517.x", "ISBN" : "0021-9630 (Print)", "ISSN" : "00219630", "PMID" : "16178930", "abstract" : "BACKGROUND: It has been proposed that some of the variability in reporting of associations between attention deficit hyperactivity disorder (ADHD) and candidate genes may result from mixing of genetically heterogeneous forms of ADHD using DSM-IV criteria. The goal of the current study is to test whether population-based ADHD subtypes defined by latent class analysis help resolve issues of variable findings across individual gene association studies.\\n\\nMETHODS: Three studies which had previously reported no associations between polymorphisms of the DRD4 and DAT genes and DSM-IV defined ADHD were reanalyzed using population-based and DSM-IV defined ADHD subtypes.\\n\\nRESULTS: Across studies no significant associations were found for either DRD4 or DAT polymorphisms using DSM-IV ADHD subtypes. In contrast, a significant association was found between the combined data set for the 440 base pair 3' DAT VNTR polymorphism and population-defined severe combined ADHD (OR=1.25, p=.01). A marginally significant association was also found between the 7 repeat DRD4 allele and population-defined severe combined ADHD.\\n\\nCONCLUSION: Use of alternative population-based defined ADHD subtypes may help resolve some of the variable results presented for candidate gene association studies in ADHD.", "author" : [ { "dropping-particle" : "", "family" : "Todd", "given" : "Richard D.", "non-dropping-particle" : "", "parse-names" : false, "suffix" : "" }, { "dropping-particle" : "", "family" : "Huang", "given" : "Hongyan", "non-dropping-particle" : "", "parse-names" : false, "suffix" : "" }, { "dropping-particle" : "", "family" : "Smalley", "given" : "Susan L.", "non-dropping-particle" : "", "parse-names" : false, "suffix" : "" }, { "dropping-particle" : "", "family" : "Nelson", "given" : "Stanley F.", "non-dropping-particle" : "", "parse-names" : false, "suffix" : "" }, { "dropping-particle" : "", "family" : "Willcutt", "given" : "Erik G.", "non-dropping-particle" : "", "parse-names" : false, "suffix" : "" }, { "dropping-particle" : "", "family" : "Pennington", "given" : "Bruce F.", "non-dropping-particle" : "", "parse-names" : false, "suffix" : "" }, { "dropping-particle" : "", "family" : "Smith", "given" : "Shelley D.", "non-dropping-particle" : "", "parse-names" : false, "suffix" : "" }, { "dropping-particle" : "V.", "family" : "Faraone", "given" : "Stephen", "non-dropping-particle" : "", "parse-names" : false, "suffix" : "" }, { "dropping-particle" : "", "family" : "Neuman", "given" : "Rosalind J.", "non-dropping-particle" : "", "parse-names" : false, "suffix" : "" } ], "container-title" : "Journal of Child Psychology and Psychiatry and Allied Disciplines", "id" : "ITEM-1", "issue" : "10", "issued" : { "date-parts" : [ [ "2005" ] ] }, "page" : "1067-1073", "title" : "Collaborative analysis of DRD4 and DAT genotypes in population-defined ADHD subtypes", "type" : "article-journal", "volume" : "46" }, "uris" : [ "http://www.mendeley.com/documents/?uuid=9f2e7f84-6b8b-4e60-9085-0a9d34271c18" ] } ], "mendeley" : { "formattedCitation" : "(170)", "plainTextFormattedCitation" : "(170)", "previouslyFormattedCitation" : "(170)" }, "properties" : { "noteIndex" : 18 }, "schema" : "https://github.com/citation-style-language/schema/raw/master/csl-citation.json" }</w:instrText>
      </w:r>
      <w:r w:rsidR="00BC3BBB">
        <w:rPr>
          <w:rFonts w:ascii="Arial" w:hAnsi="Arial" w:cs="Arial"/>
          <w:color w:val="212121"/>
          <w:sz w:val="22"/>
          <w:szCs w:val="22"/>
        </w:rPr>
        <w:fldChar w:fldCharType="separate"/>
      </w:r>
      <w:r w:rsidRPr="00F74A96">
        <w:rPr>
          <w:rFonts w:ascii="Arial" w:hAnsi="Arial" w:cs="Arial"/>
          <w:noProof/>
          <w:color w:val="212121"/>
          <w:sz w:val="22"/>
          <w:szCs w:val="22"/>
        </w:rPr>
        <w:t>(170)</w:t>
      </w:r>
      <w:r w:rsidR="00BC3BBB">
        <w:rPr>
          <w:rFonts w:ascii="Arial" w:hAnsi="Arial" w:cs="Arial"/>
          <w:color w:val="212121"/>
          <w:sz w:val="22"/>
          <w:szCs w:val="22"/>
        </w:rPr>
        <w:fldChar w:fldCharType="end"/>
      </w:r>
      <w:r w:rsidRPr="00CB5BA1">
        <w:rPr>
          <w:rFonts w:ascii="Arial" w:hAnsi="Arial" w:cs="Arial"/>
          <w:color w:val="212121"/>
          <w:sz w:val="22"/>
          <w:szCs w:val="22"/>
        </w:rPr>
        <w:t xml:space="preserve">. </w:t>
      </w:r>
    </w:p>
    <w:p w:rsidR="00C60153" w:rsidRDefault="00C60153" w:rsidP="00C60153">
      <w:pPr>
        <w:pStyle w:val="HTMLncedenBiimlendirilmi"/>
        <w:shd w:val="clear" w:color="auto" w:fill="FFFFFF"/>
        <w:spacing w:line="360" w:lineRule="auto"/>
        <w:rPr>
          <w:rFonts w:ascii="inherit" w:hAnsi="inherit"/>
          <w:color w:val="212121"/>
        </w:rPr>
      </w:pPr>
      <w:r>
        <w:rPr>
          <w:rFonts w:ascii="Arial" w:hAnsi="Arial" w:cs="Arial"/>
          <w:b/>
          <w:i/>
          <w:sz w:val="22"/>
          <w:szCs w:val="22"/>
        </w:rPr>
        <w:tab/>
      </w:r>
      <w:r w:rsidRPr="00790521">
        <w:rPr>
          <w:rFonts w:ascii="Arial" w:hAnsi="Arial" w:cs="Arial"/>
          <w:b/>
          <w:i/>
          <w:sz w:val="22"/>
          <w:szCs w:val="22"/>
        </w:rPr>
        <w:t>Dopamin D</w:t>
      </w:r>
      <w:r>
        <w:rPr>
          <w:rFonts w:ascii="Arial" w:hAnsi="Arial" w:cs="Arial"/>
          <w:b/>
          <w:i/>
          <w:sz w:val="22"/>
          <w:szCs w:val="22"/>
        </w:rPr>
        <w:t>5</w:t>
      </w:r>
      <w:r w:rsidRPr="00790521">
        <w:rPr>
          <w:rFonts w:ascii="Arial" w:hAnsi="Arial" w:cs="Arial"/>
          <w:b/>
          <w:i/>
          <w:sz w:val="22"/>
          <w:szCs w:val="22"/>
        </w:rPr>
        <w:t xml:space="preserve"> Reseptö</w:t>
      </w:r>
      <w:r>
        <w:rPr>
          <w:rFonts w:ascii="Arial" w:hAnsi="Arial" w:cs="Arial"/>
          <w:b/>
          <w:i/>
          <w:sz w:val="22"/>
          <w:szCs w:val="22"/>
        </w:rPr>
        <w:t>rü (DRD5</w:t>
      </w:r>
      <w:r w:rsidRPr="00790521">
        <w:rPr>
          <w:rFonts w:ascii="Arial" w:hAnsi="Arial" w:cs="Arial"/>
          <w:b/>
          <w:i/>
          <w:sz w:val="22"/>
          <w:szCs w:val="22"/>
        </w:rPr>
        <w:t>)</w:t>
      </w:r>
    </w:p>
    <w:p w:rsidR="00C60153" w:rsidRDefault="00C60153" w:rsidP="00C60153">
      <w:pPr>
        <w:pStyle w:val="HTMLncedenBiimlendirilmi"/>
        <w:shd w:val="clear" w:color="auto" w:fill="FFFFFF"/>
        <w:spacing w:line="360" w:lineRule="auto"/>
        <w:jc w:val="both"/>
        <w:rPr>
          <w:rFonts w:ascii="Arial" w:hAnsi="Arial" w:cs="Arial"/>
          <w:sz w:val="22"/>
          <w:szCs w:val="22"/>
        </w:rPr>
      </w:pPr>
      <w:r>
        <w:rPr>
          <w:rFonts w:ascii="inherit" w:hAnsi="inherit"/>
          <w:color w:val="212121"/>
        </w:rPr>
        <w:tab/>
      </w:r>
      <w:r w:rsidRPr="00905D36">
        <w:rPr>
          <w:rFonts w:ascii="Arial" w:hAnsi="Arial" w:cs="Arial"/>
          <w:color w:val="212121"/>
          <w:sz w:val="22"/>
          <w:szCs w:val="22"/>
        </w:rPr>
        <w:t xml:space="preserve">Birbirinden bağımsız </w:t>
      </w:r>
      <w:r w:rsidRPr="00905D36">
        <w:rPr>
          <w:rFonts w:ascii="Arial" w:hAnsi="Arial" w:cs="Arial"/>
          <w:color w:val="212121"/>
          <w:sz w:val="22"/>
          <w:szCs w:val="22"/>
          <w:shd w:val="clear" w:color="auto" w:fill="FFFFFF"/>
        </w:rPr>
        <w:t>14 aile temelli çalışmanın meta-analizi, 148 bp allelinin DEHB ile anlamlı bir ilişkisi olduğunu ortaya koymuştur (</w:t>
      </w:r>
      <w:r w:rsidR="00777C01">
        <w:rPr>
          <w:rFonts w:ascii="Arial" w:hAnsi="Arial" w:cs="Arial"/>
          <w:color w:val="212121"/>
          <w:sz w:val="22"/>
          <w:szCs w:val="22"/>
          <w:shd w:val="clear" w:color="auto" w:fill="FFFFFF"/>
        </w:rPr>
        <w:t>odds oranı</w:t>
      </w:r>
      <w:r w:rsidRPr="00905D36">
        <w:rPr>
          <w:rFonts w:ascii="Arial" w:hAnsi="Arial" w:cs="Arial"/>
          <w:color w:val="212121"/>
          <w:sz w:val="22"/>
          <w:szCs w:val="22"/>
          <w:shd w:val="clear" w:color="auto" w:fill="FFFFFF"/>
        </w:rPr>
        <w:t xml:space="preserve"> = 1.2;% 95 CI 1.1-1.4) </w:t>
      </w:r>
      <w:r w:rsidR="00BC3BBB">
        <w:rPr>
          <w:rFonts w:ascii="Arial" w:hAnsi="Arial" w:cs="Arial"/>
          <w:color w:val="212121"/>
          <w:sz w:val="22"/>
          <w:szCs w:val="22"/>
          <w:shd w:val="clear" w:color="auto" w:fill="FFFFFF"/>
        </w:rPr>
        <w:fldChar w:fldCharType="begin" w:fldLock="1"/>
      </w:r>
      <w:r>
        <w:rPr>
          <w:rFonts w:ascii="Arial" w:hAnsi="Arial" w:cs="Arial"/>
          <w:color w:val="212121"/>
          <w:sz w:val="22"/>
          <w:szCs w:val="22"/>
          <w:shd w:val="clear" w:color="auto" w:fill="FFFFFF"/>
        </w:rPr>
        <w:instrText>ADDIN CSL_CITATION { "citationItems" : [ { "id" : "ITEM-1", "itemData" : { "DOI" : "10.1086/381561", "ISBN" : "0002-9297 (Print)", "ISSN" : "0002-9297", "PMID" : "14732906", "abstract" : "Attention-deficit/hyperactivity disorder (ADHD) is a highly heritable, heterogeneous disorder of early onset, consisting of a triad of symptoms: inattention, hyperactivity, and impulsivity. The disorder has a significant genetic component, and theories of etiology include abnormalities in the dopaminergic system, with DRD4, DAT1, SNAP25, and DRD5 being implicated as major susceptibility genes. An initial report of association between ADHD and the common 148-bp allele of a microsatellite marker located 18.5 kb from the DRD5 gene has been followed by several studies showing nonsignificant trends toward association with the same allele. To establish the postulated association of the (CA)(n) repeat with ADHD, we collected genotypic information from 14 independent samples of probands and their parents, analyzed them individually and, in the absence of heterogeneity, analyzed them as a joint sample. The joint analysis showed association with the DRD5 locus (P=.00005; odds ratio 1.24; 95% confidence interval 1.12-1.38). This association appears to be confined to the predominantly inattentive and combined clinical subtypes.", "author" : [ { "dropping-particle" : "", "family" : "Lowe", "given" : "Naomi", "non-dropping-particle" : "", "parse-names" : false, "suffix" : "" }, { "dropping-particle" : "", "family" : "Kirley", "given" : "Aiveen", "non-dropping-particle" : "", "parse-names" : false, "suffix" : "" }, { "dropping-particle" : "", "family" : "Hawi", "given" : "Ziarih", "non-dropping-particle" : "", "parse-names" : false, "suffix" : "" }, { "dropping-particle" : "", "family" : "Sham", "given" : "Pak", "non-dropping-particle" : "", "parse-names" : false, "suffix" : "" }, { "dropping-particle" : "", "family" : "Wickham", "given" : "Harvey", "non-dropping-particle" : "", "parse-names" : false, "suffix" : "" }, { "dropping-particle" : "", "family" : "Kratochvil", "given" : "Christopher J", "non-dropping-particle" : "", "parse-names" : false, "suffix" : "" }, { "dropping-particle" : "", "family" : "Smith", "given" : "Shelley D", "non-dropping-particle" : "", "parse-names" : false, "suffix" : "" }, { "dropping-particle" : "", "family" : "Lee", "given" : "Saretta Y", "non-dropping-particle" : "", "parse-names" : false, "suffix" : "" }, { "dropping-particle" : "", "family" : "Levy", "given" : "Florence", "non-dropping-particle" : "", "parse-names" : false, "suffix" : "" }, { "dropping-particle" : "", "family" : "Kent", "given" : "Lindsey", "non-dropping-particle" : "", "parse-names" : false, "suffix" : "" }, { "dropping-particle" : "", "family" : "Middle", "given" : "Fiona", "non-dropping-particle" : "", "parse-names" : false, "suffix" : "" }, { "dropping-particle" : "", "family" : "Rohde", "given" : "Luis A", "non-dropping-particle" : "", "parse-names" : false, "suffix" : "" }, { "dropping-particle" : "", "family" : "Roman", "given" : "Tatiana", "non-dropping-particle" : "", "parse-names" : false, "suffix" : "" }, { "dropping-particle" : "", "family" : "Tahir", "given" : "Eda", "non-dropping-particle" : "", "parse-names" : false, "suffix" : "" }, { "dropping-particle" : "", "family" : "Yazgan", "given" : "Yanke", "non-dropping-particle" : "", "parse-names" : false, "suffix" : "" }, { "dropping-particle" : "", "family" : "Asherson", "given" : "Philip", "non-dropping-particle" : "", "parse-names" : false, "suffix" : "" }, { "dropping-particle" : "", "family" : "Mill", "given" : "Jonathan", "non-dropping-particle" : "", "parse-names" : false, "suffix" : "" }, { "dropping-particle" : "", "family" : "Thapar", "given" : "Anita", "non-dropping-particle" : "", "parse-names" : false, "suffix" : "" }, { "dropping-particle" : "", "family" : "Payton", "given" : "Antony", "non-dropping-particle" : "", "parse-names" : false, "suffix" : "" }, { "dropping-particle" : "", "family" : "Todd", "given" : "Richard D", "non-dropping-particle" : "", "parse-names" : false, "suffix" : "" }, { "dropping-particle" : "", "family" : "Stephens", "given" : "Timothy", "non-dropping-particle" : "", "parse-names" : false, "suffix" : "" }, { "dropping-particle" : "", "family" : "Ebstein", "given" : "Richard P", "non-dropping-particle" : "", "parse-names" : false, "suffix" : "" }, { "dropping-particle" : "", "family" : "Manor", "given" : "Iris", "non-dropping-particle" : "", "parse-names" : false, "suffix" : "" }, { "dropping-particle" : "", "family" : "Barr", "given" : "Cathy L", "non-dropping-particle" : "", "parse-names" : false, "suffix" : "" }, { "dropping-particle" : "", "family" : "Wigg", "given" : "Karen G", "non-dropping-particle" : "", "parse-names" : false, "suffix" : "" }, { "dropping-particle" : "", "family" : "Sinke", "given" : "Richard J", "non-dropping-particle" : "", "parse-names" : false, "suffix" : "" }, { "dropping-particle" : "", "family" : "Buitelaar", "given" : "Jan K", "non-dropping-particle" : "", "parse-names" : false, "suffix" : "" }, { "dropping-particle" : "", "family" : "Smalley", "given" : "Susan L", "non-dropping-particle" : "", "parse-names" : false, "suffix" : "" }, { "dropping-particle" : "", "family" : "Nelson", "given" : "Stan F", "non-dropping-particle" : "", "parse-names" : false, "suffix" : "" }, { "dropping-particle" : "", "family" : "Biederman", "given" : "Joseph", "non-dropping-particle" : "", "parse-names" : false, "suffix" : "" }, { "dropping-particle" : "V", "family" : "Faraone", "given" : "Stephen", "non-dropping-particle" : "", "parse-names" : false, "suffix" : "" }, { "dropping-particle" : "", "family" : "Gill", "given" : "Michael", "non-dropping-particle" : "", "parse-names" : false, "suffix" : "" } ], "container-title" : "American journal of human genetics", "id" : "ITEM-1", "issue" : "2", "issued" : { "date-parts" : [ [ "2004" ] ] }, "page" : "348-56", "title" : "Joint analysis of the DRD5 marker concludes association with attention-deficit/hyperactivity disorder confined to the predominantly inattentive and combined subtypes.", "type" : "article-journal", "volume" : "74" }, "uris" : [ "http://www.mendeley.com/documents/?uuid=ad77cb65-7ed9-4992-9199-c782405e3ce0" ] } ], "mendeley" : { "formattedCitation" : "(162)", "plainTextFormattedCitation" : "(162)", "previouslyFormattedCitation" : "(162)" }, "properties" : { "noteIndex" : 18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Pr="00F74A96">
        <w:rPr>
          <w:rFonts w:ascii="Arial" w:hAnsi="Arial" w:cs="Arial"/>
          <w:noProof/>
          <w:color w:val="212121"/>
          <w:sz w:val="22"/>
          <w:szCs w:val="22"/>
          <w:shd w:val="clear" w:color="auto" w:fill="FFFFFF"/>
        </w:rPr>
        <w:t>(162)</w:t>
      </w:r>
      <w:r w:rsidR="00BC3BBB">
        <w:rPr>
          <w:rFonts w:ascii="Arial" w:hAnsi="Arial" w:cs="Arial"/>
          <w:color w:val="212121"/>
          <w:sz w:val="22"/>
          <w:szCs w:val="22"/>
          <w:shd w:val="clear" w:color="auto" w:fill="FFFFFF"/>
        </w:rPr>
        <w:fldChar w:fldCharType="end"/>
      </w:r>
      <w:r>
        <w:rPr>
          <w:rFonts w:ascii="Arial" w:hAnsi="Arial" w:cs="Arial"/>
          <w:color w:val="212121"/>
          <w:sz w:val="22"/>
          <w:szCs w:val="22"/>
          <w:shd w:val="clear" w:color="auto" w:fill="FFFFFF"/>
        </w:rPr>
        <w:t xml:space="preserve">. </w:t>
      </w:r>
      <w:r w:rsidRPr="002012DD">
        <w:rPr>
          <w:rFonts w:ascii="Arial" w:hAnsi="Arial" w:cs="Arial"/>
          <w:sz w:val="22"/>
          <w:szCs w:val="22"/>
        </w:rPr>
        <w:t xml:space="preserve">Ayrıca </w:t>
      </w:r>
      <w:r w:rsidR="00777C01">
        <w:rPr>
          <w:rFonts w:ascii="Arial" w:hAnsi="Arial" w:cs="Arial"/>
          <w:color w:val="212121"/>
          <w:sz w:val="22"/>
          <w:szCs w:val="22"/>
          <w:shd w:val="clear" w:color="auto" w:fill="FFFFFF"/>
        </w:rPr>
        <w:t xml:space="preserve">diğer </w:t>
      </w:r>
      <w:r w:rsidR="00777C01" w:rsidRPr="002012DD">
        <w:rPr>
          <w:rFonts w:ascii="Arial" w:hAnsi="Arial" w:cs="Arial"/>
          <w:color w:val="212121"/>
          <w:sz w:val="22"/>
          <w:szCs w:val="22"/>
          <w:shd w:val="clear" w:color="auto" w:fill="FFFFFF"/>
        </w:rPr>
        <w:t>DRD5 belirteçlerin</w:t>
      </w:r>
      <w:r w:rsidR="00777C01">
        <w:rPr>
          <w:rFonts w:ascii="Arial" w:hAnsi="Arial" w:cs="Arial"/>
          <w:color w:val="212121"/>
          <w:sz w:val="22"/>
          <w:szCs w:val="22"/>
          <w:shd w:val="clear" w:color="auto" w:fill="FFFFFF"/>
        </w:rPr>
        <w:t>in</w:t>
      </w:r>
      <w:r w:rsidR="00777C01" w:rsidRPr="002012DD">
        <w:rPr>
          <w:rFonts w:ascii="Arial" w:hAnsi="Arial" w:cs="Arial"/>
          <w:color w:val="212121"/>
          <w:sz w:val="22"/>
          <w:szCs w:val="22"/>
          <w:shd w:val="clear" w:color="auto" w:fill="FFFFFF"/>
        </w:rPr>
        <w:t xml:space="preserve"> </w:t>
      </w:r>
      <w:r w:rsidRPr="002012DD">
        <w:rPr>
          <w:rFonts w:ascii="Arial" w:hAnsi="Arial" w:cs="Arial"/>
          <w:color w:val="212121"/>
          <w:sz w:val="22"/>
          <w:szCs w:val="22"/>
          <w:shd w:val="clear" w:color="auto" w:fill="FFFFFF"/>
        </w:rPr>
        <w:t>de DEHB ile ilişkili olduğu bulunmuştur (</w:t>
      </w:r>
      <w:r w:rsidRPr="002012DD">
        <w:rPr>
          <w:rFonts w:ascii="Arial" w:hAnsi="Arial" w:cs="Arial"/>
          <w:color w:val="000000"/>
          <w:sz w:val="22"/>
          <w:szCs w:val="22"/>
          <w:shd w:val="clear" w:color="auto" w:fill="FFFFFF"/>
        </w:rPr>
        <w:t xml:space="preserve">3′ SNP, D4S158 ve </w:t>
      </w:r>
      <w:r w:rsidRPr="002012DD">
        <w:rPr>
          <w:rStyle w:val="Vurgu"/>
          <w:rFonts w:ascii="Arial" w:hAnsi="Arial" w:cs="Arial"/>
          <w:color w:val="000000"/>
          <w:sz w:val="22"/>
          <w:szCs w:val="22"/>
          <w:shd w:val="clear" w:color="auto" w:fill="FFFFFF"/>
        </w:rPr>
        <w:t>DRD5-PCR1)</w:t>
      </w:r>
      <w:r w:rsidRPr="002012DD">
        <w:rPr>
          <w:rFonts w:ascii="Arial" w:hAnsi="Arial" w:cs="Arial"/>
          <w:sz w:val="22"/>
          <w:szCs w:val="22"/>
        </w:rPr>
        <w:t xml:space="preserve"> </w:t>
      </w:r>
      <w:r w:rsidR="00BC3BBB">
        <w:rPr>
          <w:rFonts w:ascii="Arial" w:hAnsi="Arial" w:cs="Arial"/>
          <w:sz w:val="22"/>
          <w:szCs w:val="22"/>
        </w:rPr>
        <w:fldChar w:fldCharType="begin" w:fldLock="1"/>
      </w:r>
      <w:r>
        <w:rPr>
          <w:rFonts w:ascii="Arial" w:hAnsi="Arial" w:cs="Arial"/>
          <w:sz w:val="22"/>
          <w:szCs w:val="22"/>
        </w:rPr>
        <w:instrText>ADDIN CSL_CITATION { "citationItems" : [ { "id" : "ITEM-1", "itemData" : { "DOI" : "10.1038/sj.mp.4001290", "ISBN" : "1359-4184 (Print)\\r1359-4184 (Linking)", "ISSN" : "1359-4184", "PMID" : "12660802", "abstract" : "Abnormalities in dopaminergic neurotransmission are now accepted as factors in predisposing to ADHD. Evidence of associations between dopamine transporter gene polymorphism and ADHD was first reported by Cook et al. We confirmed the DAT1 association and also identified two additional susceptibility loci at the DRD5 and DBH. Notably, none of the associated variants at these three genes are known to be expressed. Other variants within or closely mapped to the associated alleles are likely to be relevant. In this investigation, we analyse additional markers creating a high-density map across and flanking these genes, and measure intermarker linkage disequilibrium (LD). None of the newly examined markers were more strongly associated with ADHD. At DAT1, the pattern of intermarker LD and haplotype association with the phenotype between exon 9 and the 3' of the gene suggests that the functional variant at DAT1 may be located to this region. For DRD5, three markers, covering a region of approximately 68 kb including the single DRD5 exon are all associated with disease, and thus do not provide localizing information. However, the data for DBH point to a region close to the centre of the gene. Correlation between D' and physical distance was observed between markers at DAT1 and DRD5 for distances less than 50 kb. This was not the case for DBH, where LD breakdown was observed between the intron 5 and intron 9 polymorphisms although they are only 9 kb apart. Further genetic analysis is unlikely to refine the location of susceptibility variants and functional assessment of variants within associated regions is required.", "author" : [ { "dropping-particle" : "", "family" : "Hawi", "given" : "Z", "non-dropping-particle" : "", "parse-names" : false, "suffix" : "" }, { "dropping-particle" : "", "family" : "Lowe", "given" : "N", "non-dropping-particle" : "", "parse-names" : false, "suffix" : "" }, { "dropping-particle" : "", "family" : "Kirley", "given" : "a", "non-dropping-particle" : "", "parse-names" : false, "suffix" : "" }, { "dropping-particle" : "", "family" : "Gruenhage", "given" : "F", "non-dropping-particle" : "", "parse-names" : false, "suffix" : "" }, { "dropping-particle" : "", "family" : "N\u00f6then", "given" : "M", "non-dropping-particle" : "", "parse-names" : false, "suffix" : "" }, { "dropping-particle" : "", "family" : "Greenwood", "given" : "T", "non-dropping-particle" : "", "parse-names" : false, "suffix" : "" }, { "dropping-particle" : "", "family" : "Kelsoe", "given" : "J", "non-dropping-particle" : "", "parse-names" : false, "suffix" : "" }, { "dropping-particle" : "", "family" : "Fitzgerald", "given" : "M", "non-dropping-particle" : "", "parse-names" : false, "suffix" : "" }, { "dropping-particle" : "", "family" : "Gill", "given" : "M", "non-dropping-particle" : "", "parse-names" : false, "suffix" : "" } ], "container-title" : "Molecular psychiatry", "id" : "ITEM-1", "issue" : "3", "issued" : { "date-parts" : [ [ "2003" ] ] }, "page" : "299-308", "title" : "Linkage disequilibrium mapping at DAT1, DRD5 and DBH narrows the search for ADHD susceptibility alleles at these loci.", "type" : "article-journal", "volume" : "8" }, "uris" : [ "http://www.mendeley.com/documents/?uuid=4c1d8478-1f72-4d50-b4c7-d765284b0dbc" ] } ], "mendeley" : { "formattedCitation" : "(171)", "plainTextFormattedCitation" : "(171)", "previouslyFormattedCitation" : "(171)" }, "properties" : { "noteIndex" : 18 }, "schema" : "https://github.com/citation-style-language/schema/raw/master/csl-citation.json" }</w:instrText>
      </w:r>
      <w:r w:rsidR="00BC3BBB">
        <w:rPr>
          <w:rFonts w:ascii="Arial" w:hAnsi="Arial" w:cs="Arial"/>
          <w:sz w:val="22"/>
          <w:szCs w:val="22"/>
        </w:rPr>
        <w:fldChar w:fldCharType="separate"/>
      </w:r>
      <w:r w:rsidRPr="00F74A96">
        <w:rPr>
          <w:rFonts w:ascii="Arial" w:hAnsi="Arial" w:cs="Arial"/>
          <w:noProof/>
          <w:sz w:val="22"/>
          <w:szCs w:val="22"/>
        </w:rPr>
        <w:t>(171)</w:t>
      </w:r>
      <w:r w:rsidR="00BC3BBB">
        <w:rPr>
          <w:rFonts w:ascii="Arial" w:hAnsi="Arial" w:cs="Arial"/>
          <w:sz w:val="22"/>
          <w:szCs w:val="22"/>
        </w:rPr>
        <w:fldChar w:fldCharType="end"/>
      </w:r>
    </w:p>
    <w:p w:rsidR="00C60153" w:rsidRPr="00F33601" w:rsidRDefault="00C60153" w:rsidP="00C60153">
      <w:pPr>
        <w:pStyle w:val="HTMLncedenBiimlendirilmi"/>
        <w:shd w:val="clear" w:color="auto" w:fill="FFFFFF"/>
        <w:spacing w:line="360" w:lineRule="auto"/>
        <w:rPr>
          <w:rStyle w:val="Vurgu"/>
          <w:rFonts w:ascii="Arial" w:hAnsi="Arial" w:cs="Arial"/>
          <w:b/>
          <w:sz w:val="22"/>
          <w:szCs w:val="22"/>
          <w:shd w:val="clear" w:color="auto" w:fill="FFFFFF"/>
        </w:rPr>
      </w:pPr>
      <w:r>
        <w:rPr>
          <w:rStyle w:val="Vurgu"/>
          <w:rFonts w:ascii="Arial" w:hAnsi="Arial" w:cs="Arial"/>
          <w:color w:val="4F81BD" w:themeColor="accent1"/>
          <w:sz w:val="22"/>
          <w:szCs w:val="22"/>
          <w:shd w:val="clear" w:color="auto" w:fill="FFFFFF"/>
        </w:rPr>
        <w:tab/>
      </w:r>
      <w:r w:rsidRPr="00F33601">
        <w:rPr>
          <w:rStyle w:val="Vurgu"/>
          <w:rFonts w:ascii="Arial" w:hAnsi="Arial" w:cs="Arial"/>
          <w:b/>
          <w:sz w:val="22"/>
          <w:szCs w:val="22"/>
          <w:shd w:val="clear" w:color="auto" w:fill="FFFFFF"/>
        </w:rPr>
        <w:t>Dopamin Taşıyıcı Geni (DAT</w:t>
      </w:r>
      <w:r>
        <w:rPr>
          <w:rStyle w:val="Vurgu"/>
          <w:rFonts w:ascii="Arial" w:hAnsi="Arial" w:cs="Arial"/>
          <w:b/>
          <w:sz w:val="22"/>
          <w:szCs w:val="22"/>
          <w:shd w:val="clear" w:color="auto" w:fill="FFFFFF"/>
        </w:rPr>
        <w:t>1</w:t>
      </w:r>
      <w:r w:rsidRPr="00F33601">
        <w:rPr>
          <w:rStyle w:val="Vurgu"/>
          <w:rFonts w:ascii="Arial" w:hAnsi="Arial" w:cs="Arial"/>
          <w:b/>
          <w:sz w:val="22"/>
          <w:szCs w:val="22"/>
          <w:shd w:val="clear" w:color="auto" w:fill="FFFFFF"/>
        </w:rPr>
        <w:t>, SLC6A3)</w:t>
      </w:r>
    </w:p>
    <w:p w:rsidR="00C60153" w:rsidRDefault="00C60153" w:rsidP="00C60153">
      <w:pPr>
        <w:pStyle w:val="HTMLncedenBiimlendirilmi"/>
        <w:shd w:val="clear" w:color="auto" w:fill="FFFFFF"/>
        <w:spacing w:line="360" w:lineRule="auto"/>
        <w:jc w:val="both"/>
        <w:rPr>
          <w:rFonts w:ascii="Arial" w:hAnsi="Arial" w:cs="Arial"/>
          <w:color w:val="1F497D" w:themeColor="text2"/>
          <w:sz w:val="22"/>
          <w:szCs w:val="22"/>
          <w:shd w:val="clear" w:color="auto" w:fill="FFFFFF"/>
        </w:rPr>
      </w:pPr>
      <w:r w:rsidRPr="00E046C9">
        <w:rPr>
          <w:rStyle w:val="Vurgu"/>
          <w:rFonts w:ascii="Arial" w:hAnsi="Arial" w:cs="Arial"/>
          <w:color w:val="4F81BD" w:themeColor="accent1"/>
          <w:sz w:val="22"/>
          <w:szCs w:val="22"/>
          <w:shd w:val="clear" w:color="auto" w:fill="FFFFFF"/>
        </w:rPr>
        <w:tab/>
      </w:r>
      <w:r w:rsidR="00777C01" w:rsidRPr="00955D5D">
        <w:rPr>
          <w:rFonts w:ascii="Arial" w:hAnsi="Arial" w:cs="Arial"/>
          <w:sz w:val="22"/>
          <w:szCs w:val="22"/>
        </w:rPr>
        <w:t>SLC6A3'ün DEHB için uygun bir aday olduğu</w:t>
      </w:r>
      <w:r w:rsidR="00777C01">
        <w:rPr>
          <w:rFonts w:ascii="Arial" w:hAnsi="Arial" w:cs="Arial"/>
          <w:sz w:val="22"/>
          <w:szCs w:val="22"/>
        </w:rPr>
        <w:t>nu</w:t>
      </w:r>
      <w:r w:rsidR="00777C01" w:rsidRPr="00955D5D">
        <w:rPr>
          <w:rFonts w:ascii="Arial" w:hAnsi="Arial" w:cs="Arial"/>
          <w:sz w:val="22"/>
          <w:szCs w:val="22"/>
        </w:rPr>
        <w:t xml:space="preserve"> düşündüren birkaç neden bulunmaktadır.</w:t>
      </w:r>
      <w:r w:rsidR="00777C01" w:rsidRPr="00955D5D">
        <w:rPr>
          <w:sz w:val="22"/>
          <w:szCs w:val="22"/>
        </w:rPr>
        <w:t xml:space="preserve"> </w:t>
      </w:r>
      <w:r w:rsidR="00777C01" w:rsidRPr="00955D5D">
        <w:rPr>
          <w:rFonts w:ascii="Arial" w:hAnsi="Arial" w:cs="Arial"/>
          <w:sz w:val="22"/>
          <w:szCs w:val="22"/>
          <w:shd w:val="clear" w:color="auto" w:fill="FFFFFF"/>
        </w:rPr>
        <w:t xml:space="preserve">DEHB tedavisinde etkili stimulan ilaçlar etkisini dopamin taşıyıcıyı bloke </w:t>
      </w:r>
      <w:r w:rsidR="00777C01">
        <w:rPr>
          <w:rFonts w:ascii="Arial" w:hAnsi="Arial" w:cs="Arial"/>
          <w:sz w:val="22"/>
          <w:szCs w:val="22"/>
          <w:shd w:val="clear" w:color="auto" w:fill="FFFFFF"/>
        </w:rPr>
        <w:t>ederek</w:t>
      </w:r>
      <w:r w:rsidR="00777C01" w:rsidRPr="00955D5D">
        <w:rPr>
          <w:rFonts w:ascii="Arial" w:hAnsi="Arial" w:cs="Arial"/>
          <w:sz w:val="22"/>
          <w:szCs w:val="22"/>
          <w:shd w:val="clear" w:color="auto" w:fill="FFFFFF"/>
        </w:rPr>
        <w:t xml:space="preserve"> göstermektedir</w:t>
      </w:r>
      <w:r>
        <w:rPr>
          <w:rFonts w:ascii="Arial" w:hAnsi="Arial" w:cs="Arial"/>
          <w:sz w:val="22"/>
          <w:szCs w:val="22"/>
          <w:shd w:val="clear" w:color="auto" w:fill="FFFFFF"/>
        </w:rPr>
        <w:t xml:space="preserve">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"ISBN" : "1056-4993 (Print)\\r1056-4993 (Linking)", "PMID" : "10674191", "abstract" : "Despite a large body of literature documenting the effectiveness of medication in the treatment of ADHD, there has been public and professional concern regarding the possible inappropriate diagnosis and prescription of ADHD medications. Recently the Council of Scientific Affairs of the American Medical Association addressed these concerns in a scholarly review. Several factors were identified that contributed to existing controversies: (1) Like most psychiatric disorders, diagnostic criteria for ADHD are based on history and behavioral assessment. There are no pathognomonic laboratory or radiologic tests to confirm the diagnosis. (2) Attention deficit hyperactivity disorder is a chronic disorder and requires extended treatment. (3) Treatment includes potentially abusable medications. After a review of the voluminous literature, this distinguished panel concluded that ADHD is one of the best researched disorders in medicine; in fact, the overall data on its validity are far more compelling than for many other medical conditions. They also concluded that there was little evidence of widespread overdiagnosis or misdiagnosis of ADHD or of widespread overprescription of stimulants by physicians. Consistent with the current emphasis on cognitive dysregulation in ADHD, treatment concerns have expanded from a primarily behavioral focus to include enhancement of executive functions in scholastic as well as other settings. Although stimulants have been the most studied compounds, there is a considerable body of literature indicating an important role for other psychopharmacologic agents. Noradrenergic and dopaminergic modulation appears to be necessary for effective anti-ADHD treatment. In addition, promising evidence of newer cholinergic agents may provide other useful alternatives. As with all psychiatric disorders, comorbid conditions are prominent and may lead to high morbidity and disability if not addressed. As with other areas of medicine, it is sometimes necessary to use multiple agents to treat comorbidity or to achieve an effective response.", "author" : [ { "dropping-particle" : "", "family" : "Spencer", "given" : "T", "non-dropping-particle" : "", "parse-names" : false, "suffix" : "" }, { "dropping-particle" : "", "family" : "Biederman", "given" : "J", "non-dropping-particle" : "", "parse-names" : false, "suffix" : "" }, { "dropping-particle" : "", "family" : "Wilens", "given" : "T", "non-dropping-particle" : "", "parse-names" : false, "suffix" : "" } ], "container-title" : "Child Adolesc Psychiatr Clin N Am", "id" : "ITEM-1", "issue" : "1", "issued" : { "date-parts" : [ [ "2000" ] ] }, "page" : "77-97", "title" : "Pharmacotherapy of attention deficit hyperactivity disorder", "type" : "article-journal", "volume" : "9" }, "uris" : [ "http://www.mendeley.com/documents/?uuid=28b2bc73-dc52-4ae6-8ab5-2cd54c8a32b8" ] } ], "mendeley" : { "formattedCitation" : "(172)", "plainTextFormattedCitation" : "(172)", "previouslyFormattedCitation" : "(172)" }, "properties" : { "noteIndex" : 19 }, "schema" : "https://github.com/citation-style-language/schema/raw/master/csl-citation.json" }</w:instrText>
      </w:r>
      <w:r w:rsidR="00BC3BBB">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(172)</w:t>
      </w:r>
      <w:r w:rsidR="00BC3BBB">
        <w:rPr>
          <w:rFonts w:ascii="Arial" w:hAnsi="Arial" w:cs="Arial"/>
          <w:sz w:val="22"/>
          <w:szCs w:val="22"/>
          <w:shd w:val="clear" w:color="auto" w:fill="FFFFFF"/>
        </w:rPr>
        <w:fldChar w:fldCharType="end"/>
      </w:r>
      <w:r w:rsidRPr="00E046C9">
        <w:rPr>
          <w:rFonts w:ascii="Arial" w:hAnsi="Arial" w:cs="Arial"/>
          <w:color w:val="212121"/>
          <w:sz w:val="22"/>
          <w:szCs w:val="22"/>
          <w:shd w:val="clear" w:color="auto" w:fill="FFFFFF"/>
        </w:rPr>
        <w:t>.</w:t>
      </w:r>
      <w:r w:rsidRPr="00E046C9">
        <w:rPr>
          <w:sz w:val="22"/>
          <w:szCs w:val="22"/>
        </w:rPr>
        <w:t xml:space="preserve"> </w:t>
      </w:r>
      <w:r w:rsidRPr="00955D5D">
        <w:rPr>
          <w:rFonts w:ascii="Arial" w:hAnsi="Arial" w:cs="Arial"/>
          <w:sz w:val="22"/>
          <w:szCs w:val="22"/>
        </w:rPr>
        <w:t>SLC6A3 geni “knockout” farelerde DEHB'yi düşündüren hiperaktivite ve davranış inhibisyonunda yetersizlik gözlenmiştir. Ayrıca bu fareler</w:t>
      </w:r>
      <w:r>
        <w:rPr>
          <w:rFonts w:ascii="Arial" w:hAnsi="Arial" w:cs="Arial"/>
          <w:sz w:val="22"/>
          <w:szCs w:val="22"/>
        </w:rPr>
        <w:t>e</w:t>
      </w:r>
      <w:r w:rsidRPr="00955D5D">
        <w:rPr>
          <w:rFonts w:ascii="Arial" w:hAnsi="Arial" w:cs="Arial"/>
          <w:sz w:val="22"/>
          <w:szCs w:val="22"/>
        </w:rPr>
        <w:t xml:space="preserve"> stimulan </w:t>
      </w:r>
      <w:r>
        <w:rPr>
          <w:rFonts w:ascii="Arial" w:hAnsi="Arial" w:cs="Arial"/>
          <w:sz w:val="22"/>
          <w:szCs w:val="22"/>
        </w:rPr>
        <w:t>verildiğinde</w:t>
      </w:r>
      <w:r w:rsidRPr="00955D5D">
        <w:rPr>
          <w:rFonts w:ascii="Arial" w:hAnsi="Arial" w:cs="Arial"/>
          <w:sz w:val="22"/>
          <w:szCs w:val="22"/>
        </w:rPr>
        <w:t xml:space="preserve"> hiperaktivitelerinin azaldığı belirtilmiştir</w:t>
      </w:r>
      <w:r>
        <w:rPr>
          <w:rFonts w:ascii="Arial" w:hAnsi="Arial" w:cs="Arial"/>
          <w:sz w:val="22"/>
          <w:szCs w:val="22"/>
        </w:rPr>
        <w:t xml:space="preserve"> </w:t>
      </w:r>
      <w:r w:rsidR="00BC3BBB">
        <w:rPr>
          <w:rFonts w:ascii="Arial" w:hAnsi="Arial" w:cs="Arial"/>
          <w:sz w:val="22"/>
          <w:szCs w:val="22"/>
        </w:rPr>
        <w:fldChar w:fldCharType="begin" w:fldLock="1"/>
      </w:r>
      <w:r w:rsidR="0037573A">
        <w:rPr>
          <w:rFonts w:ascii="Arial" w:hAnsi="Arial" w:cs="Arial"/>
          <w:sz w:val="22"/>
          <w:szCs w:val="22"/>
        </w:rPr>
        <w:instrText>ADDIN CSL_CITATION { "citationItems" : [ { "id" : "ITEM-1", "itemData" : { "DOI" : "10.1038/379606a0", "ISBN" : "0028-0836 (Print)\\r0028-0836 (Linking)", "ISSN" : "0028-0836", "PMID" : "8628395", "abstract" : "Disruption of the mouse dopamine transporter gene results in spontaneous hyperlocomotion despite major adaptive changes, such as decreases in neurotransmitter and receptor levels. In homozygote mice, dopamine persists at least 100 times longer in the extracellular space, explaining the biochemical basis of the hyperdopaminergic phenotype and demonstrating the critical role of the transporter in regulating neurotransmission. The dopamine transporter is an obligatory target of cocaine and amphetamine, as these psychostimulants have no effect on locomotor activity or dopamine release and uptake in mice lacking the transporter.", "author" : [ { "dropping-particle" : "", "family" : "Giros", "given" : "Bruno", "non-dropping-particle" : "", "parse-names" : false, "suffix" : "" }, { "dropping-particle" : "", "family" : "Jaber", "given" : "Mohamed", "non-dropping-particle" : "", "parse-names" : false, "suffix" : "" }, { "dropping-particle" : "", "family" : "Jones", "given" : "Sara R.", "non-dropping-particle" : "", "parse-names" : false, "suffix" : "" }, { "dropping-particle" : "", "family" : "Wightman", "given" : "R. Mark", "non-dropping-particle" : "", "parse-names" : false, "suffix" : "" }, { "dropping-particle" : "", "family" : "Caron", "given" : "Marc G.", "non-dropping-particle" : "", "parse-names" : false, "suffix" : "" } ], "container-title" : "Nature", "id" : "ITEM-1", "issue" : "6566", "issued" : { "date-parts" : [ [ "1996" ] ] }, "page" : "606-612", "title" : "Hyperlocomotion and indifference to cocaine and amphetamine in mice lacking the dopamine transporter", "type" : "article-journal", "volume" : "379" }, "uris" : [ "http://www.mendeley.com/documents/?uuid=01096fd2-9431-4479-bd4c-ad0b09f29073" ] }, { "id" : "ITEM-2", "itemData" : { "ISSN" : "0036-8075", "PMID" : "9888856", "abstract" : "The mechanism by which psychostimulants act as calming agents in humans with attention-deficit hyperactivity disorder (ADHD) or hyperkinetic disorder is currently unknown. Mice lacking the gene encoding the plasma membrane dopamine transporter (DAT) have elevated dopaminergic tone and are hyperactive. This activity was exacerbated by exposure to a novel environment. Additionally, these mice were impaired in spatial cognitive function, and they showed a decrease in locomotion in response to psychostimulants. This paradoxical calming effect of psychostimulants depended on serotonergic neurotransmission. The parallels between the DAT knockout mice and individuals with ADHD suggest that common mechanisms may underlie some of their behaviors and responses to psychostimulants.", "author" : [ { "dropping-particle" : "", "family" : "Gainetdinov", "given" : "R R", "non-dropping-particle" : "", "parse-names" : false, "suffix" : "" }, { "dropping-particle" : "", "family" : "Wetsel", "given" : "W C", "non-dropping-particle" : "", "parse-names" : false, "suffix" : "" }, { "dropping-particle" : "", "family" : "Jones", "given" : "S R", "non-dropping-particle" : "", "parse-names" : false, "suffix" : "" }, { "dropping-particle" : "", "family" : "Levin", "given" : "E D", "non-dropping-particle" : "", "parse-names" : false, "suffix" : "" }, { "dropping-particle" : "", "family" : "Jaber", "given" : "M", "non-dropping-particle" : "", "parse-names" : false, "suffix" : "" }, { "dropping-particle" : "", "family" : "Caron", "given" : "M G", "non-dropping-particle" : "", "parse-names" : false, "suffix" : "" } ], "container-title" : "Science (New York, N.Y.)", "id" : "ITEM-2", "issue" : "5400", "issued" : { "date-parts" : [ [ "1999", "1", "15" ] ] }, "page" : "397-401", "title" : "Role of serotonin in the paradoxical calming effect of psychostimulants on hyperactivity.", "type" : "article-journal", "volume" : "283" }, "uris" : [ "http://www.mendeley.com/documents/?uuid=d79061ec-9d1a-3b3f-b3e9-f1d14ab02c56" ] } ], "mendeley" : { "formattedCitation" : "(173, 174)", "plainTextFormattedCitation" : "(173, 174)", "previouslyFormattedCitation" : "(173, 174)" }, "properties" : { "noteIndex" : 19 }, "schema" : "https://github.com/citation-style-language/schema/raw/master/csl-citation.json" }</w:instrText>
      </w:r>
      <w:r w:rsidR="00BC3BBB">
        <w:rPr>
          <w:rFonts w:ascii="Arial" w:hAnsi="Arial" w:cs="Arial"/>
          <w:sz w:val="22"/>
          <w:szCs w:val="22"/>
        </w:rPr>
        <w:fldChar w:fldCharType="separate"/>
      </w:r>
      <w:r w:rsidR="00BF1F00" w:rsidRPr="00BF1F00">
        <w:rPr>
          <w:rFonts w:ascii="Arial" w:hAnsi="Arial" w:cs="Arial"/>
          <w:noProof/>
          <w:sz w:val="22"/>
          <w:szCs w:val="22"/>
        </w:rPr>
        <w:t>(173, 174)</w:t>
      </w:r>
      <w:r w:rsidR="00BC3BBB">
        <w:rPr>
          <w:rFonts w:ascii="Arial" w:hAnsi="Arial" w:cs="Arial"/>
          <w:sz w:val="22"/>
          <w:szCs w:val="22"/>
        </w:rPr>
        <w:fldChar w:fldCharType="end"/>
      </w:r>
      <w:r w:rsidRPr="00955D5D">
        <w:rPr>
          <w:rFonts w:ascii="Arial" w:hAnsi="Arial" w:cs="Arial"/>
          <w:sz w:val="22"/>
          <w:szCs w:val="22"/>
        </w:rPr>
        <w:t>.</w:t>
      </w:r>
      <w:r>
        <w:rPr>
          <w:rFonts w:ascii="Arial" w:hAnsi="Arial" w:cs="Arial"/>
          <w:sz w:val="22"/>
          <w:szCs w:val="22"/>
        </w:rPr>
        <w:t xml:space="preserve"> İlk olarak aile temelli bir </w:t>
      </w:r>
      <w:r w:rsidRPr="005762C4">
        <w:rPr>
          <w:rFonts w:ascii="Arial" w:hAnsi="Arial" w:cs="Arial"/>
          <w:sz w:val="22"/>
          <w:szCs w:val="22"/>
        </w:rPr>
        <w:t>çalışmada</w:t>
      </w:r>
      <w:r>
        <w:rPr>
          <w:rFonts w:ascii="Arial" w:hAnsi="Arial" w:cs="Arial"/>
          <w:sz w:val="22"/>
          <w:szCs w:val="22"/>
        </w:rPr>
        <w:t xml:space="preserve"> </w:t>
      </w:r>
      <w:r w:rsidR="00BC3BBB">
        <w:rPr>
          <w:rFonts w:ascii="Arial" w:hAnsi="Arial" w:cs="Arial"/>
          <w:sz w:val="22"/>
          <w:szCs w:val="22"/>
        </w:rPr>
        <w:fldChar w:fldCharType="begin" w:fldLock="1"/>
      </w:r>
      <w:r>
        <w:rPr>
          <w:rFonts w:ascii="Arial" w:hAnsi="Arial" w:cs="Arial"/>
          <w:sz w:val="22"/>
          <w:szCs w:val="22"/>
        </w:rPr>
        <w:instrText>ADDIN CSL_CITATION { "citationItems" : [ { "id" : "ITEM-1", "itemData" : { "DOI" : "Cited By (since 1996) 632\\nExport Date 22 July 2011", "ISBN" : "0002-9297 (Print)\\r0002-9297 (Linking)", "ISSN" : "0002-9297", "PMID" : "7717410", "abstract" : "Attention-deficit hyperactivity disorder (ADHD) has been shown to be familial and heritable, in previous studies. As with most psychiatric disorders, examination of pedigrees has not revealed a consistent Mendelian mode of transmission. The response of ADHD patients to medications that inhibit the dopamine transporter, including methylphenidate, amphetamine, pemoline, and bupropion, led us to consider the dopamine transporter as a primary candidate gene for ADHD. To avoid effects of population stratification and to avoid the problem of classification of relatives with other psychiatric disorders as affected or unaffected, we used the haplotype-based haplotype relative risk (HHRR) method to test for association between a VNTR polymorphism at the dopamine transporter locus (DAT1) and DSM-III-R-diagnosed ADHD (N = 49) and undifferentiated attention-deficit disorder (UADD) (N = 8) in trios composed of father, mother, and affected offspring. HHRR analysis revealed significant association between ADHD/UADD and the 480-bp DAT1 allele (chi 2 7.51, 1 df, P = .006). When cases of UADD were dropped from the analysis, similar results were found (Chi 2 7.29, 1 df, P = .007). If these findings are replicated, molecular analysis of the dopamine transporter gene may identify mutations that increase susceptibility to ADHD/UADD. Biochemical analysis of such mutations may lead to development of more effective therapeutic interventions.", "author" : [ { "dropping-particle" : "", "family" : "Cook", "given" : "E H", "non-dropping-particle" : "", "parse-names" : false, "suffix" : "" }, { "dropping-particle" : "", "family" : "Stein", "given" : "M A", "non-dropping-particle" : "", "parse-names" : false, "suffix" : "" }, { "dropping-particle" : "", "family" : "Krasowski", "given" : "M D", "non-dropping-particle" : "", "parse-names" : false, "suffix" : "" }, { "dropping-particle" : "", "family" : "Cox", "given" : "N J", "non-dropping-particle" : "", "parse-names" : false, "suffix" : "" }, { "dropping-particle" : "", "family" : "Olkon", "given" : "D M", "non-dropping-particle" : "", "parse-names" : false, "suffix" : "" }, { "dropping-particle" : "", "family" : "Kieffer", "given" : "J E", "non-dropping-particle" : "", "parse-names" : false, "suffix" : "" }, { "dropping-particle" : "", "family" : "Leventhal", "given" : "B L", "non-dropping-particle" : "", "parse-names" : false, "suffix" : "" } ], "container-title" : "American journal of human genetics", "id" : "ITEM-1", "issue" : "4", "issued" : { "date-parts" : [ [ "1995" ] ] }, "page" : "993-8", "title" : "Association of attention-deficit disorder and the dopamine transporter gene.", "type" : "article-journal", "volume" : "56" }, "uris" : [ "http://www.mendeley.com/documents/?uuid=1bdf8dd0-9361-41ff-8f7f-eeaee732edff" ] } ], "mendeley" : { "formattedCitation" : "(175)", "plainTextFormattedCitation" : "(175)", "previouslyFormattedCitation" : "(175)" }, "properties" : { "noteIndex" : 19 }, "schema" : "https://github.com/citation-style-language/schema/raw/master/csl-citation.json" }</w:instrText>
      </w:r>
      <w:r w:rsidR="00BC3BBB">
        <w:rPr>
          <w:rFonts w:ascii="Arial" w:hAnsi="Arial" w:cs="Arial"/>
          <w:sz w:val="22"/>
          <w:szCs w:val="22"/>
        </w:rPr>
        <w:fldChar w:fldCharType="separate"/>
      </w:r>
      <w:r w:rsidRPr="00F74A96">
        <w:rPr>
          <w:rFonts w:ascii="Arial" w:hAnsi="Arial" w:cs="Arial"/>
          <w:noProof/>
          <w:sz w:val="22"/>
          <w:szCs w:val="22"/>
        </w:rPr>
        <w:t>(175)</w:t>
      </w:r>
      <w:r w:rsidR="00BC3BBB">
        <w:rPr>
          <w:rFonts w:ascii="Arial" w:hAnsi="Arial" w:cs="Arial"/>
          <w:sz w:val="22"/>
          <w:szCs w:val="22"/>
        </w:rPr>
        <w:fldChar w:fldCharType="end"/>
      </w:r>
      <w:r>
        <w:rPr>
          <w:rFonts w:ascii="Arial" w:hAnsi="Arial" w:cs="Arial"/>
          <w:sz w:val="22"/>
          <w:szCs w:val="22"/>
        </w:rPr>
        <w:t xml:space="preserve"> </w:t>
      </w:r>
      <w:r w:rsidRPr="005762C4">
        <w:rPr>
          <w:rFonts w:ascii="Arial" w:hAnsi="Arial" w:cs="Arial"/>
          <w:sz w:val="22"/>
          <w:szCs w:val="22"/>
        </w:rPr>
        <w:t>ve bir meta-analizde</w:t>
      </w:r>
      <w:r>
        <w:rPr>
          <w:rFonts w:ascii="Arial" w:hAnsi="Arial" w:cs="Arial"/>
          <w:sz w:val="22"/>
          <w:szCs w:val="22"/>
        </w:rPr>
        <w:t xml:space="preserve"> </w:t>
      </w:r>
      <w:r w:rsidR="00BC3BBB">
        <w:rPr>
          <w:rFonts w:ascii="Arial" w:hAnsi="Arial" w:cs="Arial"/>
          <w:sz w:val="22"/>
          <w:szCs w:val="22"/>
        </w:rPr>
        <w:fldChar w:fldCharType="begin" w:fldLock="1"/>
      </w:r>
      <w:r>
        <w:rPr>
          <w:rFonts w:ascii="Arial" w:hAnsi="Arial" w:cs="Arial"/>
          <w:sz w:val="22"/>
          <w:szCs w:val="22"/>
        </w:rPr>
        <w:instrText>ADDIN CSL_CITATION { "citationItems" : [ { "id" : "ITEM-1", "itemData" : { "DOI" : "10.1016/j.biopsych.2004.11.024", "ISSN" : "00063223", "PMID" : "15950004", "abstract" : "Results of behavioral genetic and molecular genetic studies have converged to suggest that both genetic and nongenetic factors contribute to the development of attention-deficit/hyperactivity disorder (ADHD). We review this literature, with a particular emphasis on molecular genetic studies. Family, twin, and adoption studies provide compelling evidence that genes play a strong role in mediating susceptibility to ADHD. This fact is most clearly seen in the 20 extant twin studies, which estimate the heritability of ADHD to be .76. Molecular genetic studies suggest that the genetic architecture of ADHD is complex. The few genome-wide scans conducted thus far are not conclusive. In contrast, the many candidate gene studies of ADHD have produced substantial evidence implicating several genes in the etiology of the disorder. For the eight genes for which the same variant has been studied in three or more case-control or family-based studies, seven show statistically significant evidence of association with ADHD on the basis of the pooled odds ratio across studies: DRD4, DRD5, DAT, DBH, 5-HTT, HTR1B, and SNAP-25.", "author" : [ { "dropping-particle" : "V.", "family" : "Faraone", "given" : "Stephen", "non-dropping-particle" : "", "parse-names" : false, "suffix" : "" }, { "dropping-particle" : "", "family" : "Perlis", "given" : "Roy H.", "non-dropping-particle" : "", "parse-names" : false, "suffix" : "" }, { "dropping-particle" : "", "family" : "Doyle", "given" : "Alysa E.", "non-dropping-particle" : "", "parse-names" : false, "suffix" : "" }, { "dropping-particle" : "", "family" : "Smoller", "given" : "Jordan W.", "non-dropping-particle" : "", "parse-names" : false, "suffix" : "" }, { "dropping-particle" : "", "family" : "Goralnick", "given" : "Jennifer J.", "non-dropping-particle" : "", "parse-names" : false, "suffix" : "" }, { "dropping-particle" : "", "family" : "Holmgren", "given" : "Meredith A.", "non-dropping-particle" : "", "parse-names" : false, "suffix" : "" }, { "dropping-particle" : "", "family" : "Sklar", "given" : "Pamela", "non-dropping-particle" : "", "parse-names" : false, "suffix" : "" } ], "container-title" : "Biological Psychiatry", "id" : "ITEM-1", "issue" : "11", "issued" : { "date-parts" : [ [ "2005", "6", "1" ] ] }, "page" : "1313-1323", "title" : "Molecular Genetics of Attention-Deficit/Hyperactivity Disorder", "type" : "article-journal", "volume" : "57" }, "uris" : [ "http://www.mendeley.com/documents/?uuid=d5d6a7b0-e245-374e-8099-a239f6852667" ] } ], "mendeley" : { "formattedCitation" : "(5)", "plainTextFormattedCitation" : "(5)", "previouslyFormattedCitation" : "(5)" }, "properties" : { "noteIndex" : 19 }, "schema" : "https://github.com/citation-style-language/schema/raw/master/csl-citation.json" }</w:instrText>
      </w:r>
      <w:r w:rsidR="00BC3BBB">
        <w:rPr>
          <w:rFonts w:ascii="Arial" w:hAnsi="Arial" w:cs="Arial"/>
          <w:sz w:val="22"/>
          <w:szCs w:val="22"/>
        </w:rPr>
        <w:fldChar w:fldCharType="separate"/>
      </w:r>
      <w:r w:rsidRPr="0080454A">
        <w:rPr>
          <w:rFonts w:ascii="Arial" w:hAnsi="Arial" w:cs="Arial"/>
          <w:noProof/>
          <w:sz w:val="22"/>
          <w:szCs w:val="22"/>
        </w:rPr>
        <w:t>(5)</w:t>
      </w:r>
      <w:r w:rsidR="00BC3BBB">
        <w:rPr>
          <w:rFonts w:ascii="Arial" w:hAnsi="Arial" w:cs="Arial"/>
          <w:sz w:val="22"/>
          <w:szCs w:val="22"/>
        </w:rPr>
        <w:fldChar w:fldCharType="end"/>
      </w:r>
      <w:r>
        <w:rPr>
          <w:rFonts w:ascii="Arial" w:hAnsi="Arial" w:cs="Arial"/>
          <w:sz w:val="22"/>
          <w:szCs w:val="22"/>
        </w:rPr>
        <w:t xml:space="preserve"> </w:t>
      </w:r>
      <w:r w:rsidRPr="005762C4">
        <w:rPr>
          <w:rFonts w:ascii="Arial" w:hAnsi="Arial" w:cs="Arial"/>
          <w:color w:val="000000"/>
          <w:sz w:val="22"/>
          <w:szCs w:val="22"/>
          <w:shd w:val="clear" w:color="auto" w:fill="FFFFFF"/>
        </w:rPr>
        <w:t>3′UTR VNTR</w:t>
      </w:r>
      <w:r>
        <w:rPr>
          <w:rFonts w:ascii="Arial" w:hAnsi="Arial" w:cs="Arial"/>
          <w:color w:val="000000"/>
          <w:sz w:val="22"/>
          <w:szCs w:val="22"/>
          <w:shd w:val="clear" w:color="auto" w:fill="FFFFFF"/>
        </w:rPr>
        <w:t xml:space="preserve"> (variable number tandem repeat)</w:t>
      </w:r>
      <w:r w:rsidRPr="005762C4">
        <w:rPr>
          <w:rFonts w:ascii="Arial" w:hAnsi="Arial" w:cs="Arial"/>
          <w:color w:val="000000"/>
          <w:sz w:val="22"/>
          <w:szCs w:val="22"/>
          <w:shd w:val="clear" w:color="auto" w:fill="FFFFFF"/>
        </w:rPr>
        <w:t>’nin 10-tekrarlı alleli</w:t>
      </w:r>
      <w:r>
        <w:rPr>
          <w:rFonts w:ascii="Arial" w:hAnsi="Arial" w:cs="Arial"/>
          <w:color w:val="000000"/>
          <w:sz w:val="22"/>
          <w:szCs w:val="22"/>
          <w:shd w:val="clear" w:color="auto" w:fill="FFFFFF"/>
        </w:rPr>
        <w:t xml:space="preserve"> ile</w:t>
      </w:r>
      <w:r w:rsidRPr="005762C4">
        <w:rPr>
          <w:rFonts w:ascii="Arial" w:hAnsi="Arial" w:cs="Arial"/>
          <w:color w:val="000000"/>
          <w:sz w:val="22"/>
          <w:szCs w:val="22"/>
          <w:shd w:val="clear" w:color="auto" w:fill="FFFFFF"/>
        </w:rPr>
        <w:t xml:space="preserve"> D</w:t>
      </w:r>
      <w:r>
        <w:rPr>
          <w:rFonts w:ascii="Arial" w:hAnsi="Arial" w:cs="Arial"/>
          <w:color w:val="000000"/>
          <w:sz w:val="22"/>
          <w:szCs w:val="22"/>
          <w:shd w:val="clear" w:color="auto" w:fill="FFFFFF"/>
        </w:rPr>
        <w:t>EHB ilişkili olarak saptansa da, biri meta-analiz olmak üzere başka iki çalışmada bu ilişki gösteril</w:t>
      </w:r>
      <w:r w:rsidR="00777C01">
        <w:rPr>
          <w:rFonts w:ascii="Arial" w:hAnsi="Arial" w:cs="Arial"/>
          <w:color w:val="000000"/>
          <w:sz w:val="22"/>
          <w:szCs w:val="22"/>
          <w:shd w:val="clear" w:color="auto" w:fill="FFFFFF"/>
        </w:rPr>
        <w:t>e</w:t>
      </w:r>
      <w:r>
        <w:rPr>
          <w:rFonts w:ascii="Arial" w:hAnsi="Arial" w:cs="Arial"/>
          <w:color w:val="000000"/>
          <w:sz w:val="22"/>
          <w:szCs w:val="22"/>
          <w:shd w:val="clear" w:color="auto" w:fill="FFFFFF"/>
        </w:rPr>
        <w:t xml:space="preserve">memiştir </w:t>
      </w:r>
      <w:r w:rsidR="00BC3BBB">
        <w:rPr>
          <w:rFonts w:ascii="Arial" w:hAnsi="Arial" w:cs="Arial"/>
          <w:color w:val="000000"/>
          <w:sz w:val="22"/>
          <w:szCs w:val="22"/>
          <w:shd w:val="clear" w:color="auto" w:fill="FFFFFF"/>
        </w:rPr>
        <w:fldChar w:fldCharType="begin" w:fldLock="1"/>
      </w:r>
      <w:r w:rsidR="0037573A">
        <w:rPr>
          <w:rFonts w:ascii="Arial" w:hAnsi="Arial" w:cs="Arial"/>
          <w:color w:val="000000"/>
          <w:sz w:val="22"/>
          <w:szCs w:val="22"/>
          <w:shd w:val="clear" w:color="auto" w:fill="FFFFFF"/>
        </w:rPr>
        <w:instrText>ADDIN CSL_CITATION { "citationItems" : [ { "id" : "ITEM-1", "itemData" : { "DOI" : "10.1093/hmg/ddl152", "ISSN" : "0964-6906", "PMID" : "16774975", "abstract" : "Molecular genetic investigations of attention deficit hyperactivity disorder (ADHD) have found associations with a variable number of tandem repeat (VNTR) situated in the 3'-untranslated region of dopamine transporter gene (DAT1), a VNTR in exon 3 of dopamine receptor 4 gene (DRD4) and a microsatellite polymorphism located at 18.5 kb from the 5' end of dopamine receptor 5 gene (DRD5). A number of independent studies have attempted to replicate these findings but the results have been mixed, possibly reflecting inadequate statistical power and the use of different populations and methodologies. In an attempt to clarify this inconsistency, we have combined all the published studies of European and Asian populations up to October 2005 in a meta-analysis to give a comprehensive picture of the role of the three dopamine-related genes using multiple research methods and models. The DRD4 7-repeat (OR=1.34, 95% CI 1.23-1.45, P= 2 x 10(-12)) and 5-repeat (OR=1.68, 95% CI 1.17-2.41, P=0.005) alleles as well as the DRD5 148-bp allele (OR=1.34, 95% CI 1.21-1.49, P= 8 x 10(-8)) confer increased risk of ADHD, whereas the DRD4 4-repeat (OR=0.90, 95% CI 0.84-0.97, P=0.004) and DRD5 136-bp (OR=0.57, 95% CI 0.34-0.96, P=0.022) alleles have protective effects. In contrast, we found no compelling evidence for association with the 480-bp allele of DAT (OR=1.04, 95% CI 0.98-1.11, P=0.20). No significant publication bias was detected in current studies. In conclusion, there is a statistically significant association between ADHD and dopamine system genes, especially DRD4 and DRD5. These findings strongly implicate the involvement of brain dopamine systems in the pathogenesis of ADHD.", "author" : [ { "dropping-particle" : "", "family" : "Li", "given" : "D.", "non-dropping-particle" : "", "parse-names" : false, "suffix" : "" }, { "dropping-particle" : "", "family" : "Sham", "given" : "Pak C", "non-dropping-particle" : "", "parse-names" : false, "suffix" : "" }, { "dropping-particle" : "", "family" : "Owen", "given" : "Michael J", "non-dropping-particle" : "", "parse-names" : false, "suffix" : "" }, { "dropping-particle" : "", "family" : "He", "given" : "Lin", "non-dropping-particle" : "", "parse-names" : false, "suffix" : "" } ], "container-title" : "Human Molecular Genetics", "id" : "ITEM-1", "issue" : "14", "issued" : { "date-parts" : [ [ "2006", "6", "13" ] ] }, "page" : "2276-2284", "title" : "Meta-analysis shows significant association between dopamine system genes and attention deficit hyperactivity disorder (ADHD)", "type" : "article-journal", "volume" : "15" }, "uris" : [ "http://www.mendeley.com/documents/?uuid=f6cdc6b4-8302-3309-90e5-fa626af7a2fa" ] }, { "id" : "ITEM-2", "itemData" : { "DOI" : "10.1002/ajmg.b.30453", "ISBN" : "1552-4841 (Print)\\r1552-4841 (Linking)", "ISSN" : "15524841", "PMID" : "17440978", "abstract" : "The association between the 10-repeat allele of the dopamine transporter gene (DAT) and attention deficit hyperactivity disorder (ADHD) is uncertain. This study aimed to conduct a meta-analysis of the association between the 10-repeat allele of a variable number tandem repeat (VNTR) polymorphism in the 3'-untranslated region (UTR) of the DAT1 gene and ADHD. We pooled up 18 published transmission disequilibrium test (TDT) studies between the 40-base pair VNTR polymorphism in the3'-UTR of the DAT1 gene and ADHD. It included a total of 1,373 informative meioses, 7 haplotype-based haplotype relative risk (HHRR) studies, and 6 case-control-based association studies. There were statistically significant evidences for heterogeneity of the odds ratio in TDT and HHRR studies (P &lt; 0.10), but not in case-control studies. The results of random effects model showed small but significant association between ADHD and the DAT1 gene in TDT studies (OR = 1.17, 95% CI = 1.05-1.30, chi-square = 8.11, df = 1, P = 0.004), but not in HHRR and case-control studies. The 10-repeat allele of a VNTR polymorphism in the 3'-UTR the DAT1 gene has a small but significant role in the genetic susceptibility of ADHD. These meta-analysis findings support the involvement of the dopamine system genes in ADHD liability variation. However, more work is required to further identify the functional allelic variants/mutations that are responsible for this association.", "author" : [ { "dropping-particle" : "", "family" : "Yang", "given" : "Binrang", "non-dropping-particle" : "", "parse-names" : false, "suffix" : "" }, { "dropping-particle" : "", "family" : "Chan", "given" : "Raymond C K", "non-dropping-particle" : "", "parse-names" : false, "suffix" : "" }, { "dropping-particle" : "", "family" : "Jing", "given" : "Jin", "non-dropping-particle" : "", "parse-names" : false, "suffix" : "" }, { "dropping-particle" : "", "family" : "Li", "given" : "Tao", "non-dropping-particle" : "", "parse-names" : false, "suffix" : "" }, { "dropping-particle" : "", "family" : "Sham", "given" : "Pak", "non-dropping-particle" : "", "parse-names" : false, "suffix" : "" }, { "dropping-particle" : "", "family" : "Chen", "given" : "Ronald Y L", "non-dropping-particle" : "", "parse-names" : false, "suffix" : "" } ], "container-title" : "American Journal of Medical Genetics, Part B: Neuropsychiatric Genetics", "id" : "ITEM-2", "issue" : "4", "issued" : { "date-parts" : [ [ "2007" ] ] }, "page" : "541-550", "title" : "A meta-analysis of association studies between the 10-repeat allele of a VNTR polymorphism in the 3\u2032-UTR of dopamine transporter gene and attention deficit hyperactivity disorder", "type" : "article-journal", "volume" : "144" }, "uris" : [ "http://www.mendeley.com/documents/?uuid=9bd838da-15fc-4b5d-829a-cd4364d7c658" ] } ], "mendeley" : { "formattedCitation" : "(160, 163)", "plainTextFormattedCitation" : "(160, 163)", "previouslyFormattedCitation" : "(160, 163)" }, "properties" : { "noteIndex" : 19 }, "schema" : "https://github.com/citation-style-language/schema/raw/master/csl-citation.json" }</w:instrText>
      </w:r>
      <w:r w:rsidR="00BC3BBB">
        <w:rPr>
          <w:rFonts w:ascii="Arial" w:hAnsi="Arial" w:cs="Arial"/>
          <w:color w:val="000000"/>
          <w:sz w:val="22"/>
          <w:szCs w:val="22"/>
          <w:shd w:val="clear" w:color="auto" w:fill="FFFFFF"/>
        </w:rPr>
        <w:fldChar w:fldCharType="separate"/>
      </w:r>
      <w:r w:rsidR="00BF1F00" w:rsidRPr="00BF1F00">
        <w:rPr>
          <w:rFonts w:ascii="Arial" w:hAnsi="Arial" w:cs="Arial"/>
          <w:noProof/>
          <w:color w:val="000000"/>
          <w:sz w:val="22"/>
          <w:szCs w:val="22"/>
          <w:shd w:val="clear" w:color="auto" w:fill="FFFFFF"/>
        </w:rPr>
        <w:t>(160, 163)</w:t>
      </w:r>
      <w:r w:rsidR="00BC3BBB">
        <w:rPr>
          <w:rFonts w:ascii="Arial" w:hAnsi="Arial" w:cs="Arial"/>
          <w:color w:val="000000"/>
          <w:sz w:val="22"/>
          <w:szCs w:val="22"/>
          <w:shd w:val="clear" w:color="auto" w:fill="FFFFFF"/>
        </w:rPr>
        <w:fldChar w:fldCharType="end"/>
      </w:r>
      <w:r>
        <w:rPr>
          <w:rFonts w:ascii="Arial" w:hAnsi="Arial" w:cs="Arial"/>
          <w:color w:val="000000"/>
          <w:sz w:val="22"/>
          <w:szCs w:val="22"/>
          <w:shd w:val="clear" w:color="auto" w:fill="FFFFFF"/>
        </w:rPr>
        <w:t>.</w:t>
      </w:r>
      <w:r w:rsidRPr="00C173F9">
        <w:t xml:space="preserve"> </w:t>
      </w:r>
      <w:r w:rsidRPr="00FD0A46">
        <w:rPr>
          <w:rFonts w:ascii="Arial" w:hAnsi="Arial" w:cs="Arial"/>
          <w:sz w:val="22"/>
          <w:szCs w:val="22"/>
          <w:shd w:val="clear" w:color="auto" w:fill="FFFFFF"/>
        </w:rPr>
        <w:t>Bununla birlikte</w:t>
      </w:r>
      <w:r>
        <w:rPr>
          <w:rFonts w:ascii="Arial" w:hAnsi="Arial" w:cs="Arial"/>
          <w:sz w:val="22"/>
          <w:szCs w:val="22"/>
          <w:shd w:val="clear" w:color="auto" w:fill="FFFFFF"/>
        </w:rPr>
        <w:t xml:space="preserve"> </w:t>
      </w:r>
      <w:r w:rsidRPr="00FD0A46">
        <w:rPr>
          <w:rFonts w:ascii="Arial" w:hAnsi="Arial" w:cs="Arial"/>
          <w:sz w:val="22"/>
          <w:szCs w:val="22"/>
          <w:shd w:val="clear" w:color="auto" w:fill="FFFFFF"/>
        </w:rPr>
        <w:t>çevresel risk faktörlerinin SLC6A3 ile ilişkili DEHB açısından</w:t>
      </w:r>
      <w:r>
        <w:rPr>
          <w:rFonts w:ascii="Arial" w:hAnsi="Arial" w:cs="Arial"/>
          <w:sz w:val="22"/>
          <w:szCs w:val="22"/>
          <w:shd w:val="clear" w:color="auto" w:fill="FFFFFF"/>
        </w:rPr>
        <w:t xml:space="preserve"> </w:t>
      </w:r>
      <w:r w:rsidRPr="00FD0A46">
        <w:rPr>
          <w:rFonts w:ascii="Arial" w:hAnsi="Arial" w:cs="Arial"/>
          <w:sz w:val="22"/>
          <w:szCs w:val="22"/>
          <w:shd w:val="clear" w:color="auto" w:fill="FFFFFF"/>
        </w:rPr>
        <w:t>önemli düzenleyiciler olduğuna ilişkin</w:t>
      </w:r>
      <w:r>
        <w:rPr>
          <w:rFonts w:ascii="Arial" w:hAnsi="Arial" w:cs="Arial"/>
          <w:sz w:val="22"/>
          <w:szCs w:val="22"/>
          <w:shd w:val="clear" w:color="auto" w:fill="FFFFFF"/>
        </w:rPr>
        <w:t xml:space="preserve"> kanıtlar </w:t>
      </w:r>
      <w:r w:rsidR="00777C01">
        <w:rPr>
          <w:rFonts w:ascii="Arial" w:hAnsi="Arial" w:cs="Arial"/>
          <w:sz w:val="22"/>
          <w:szCs w:val="22"/>
          <w:shd w:val="clear" w:color="auto" w:fill="FFFFFF"/>
        </w:rPr>
        <w:t>bulunmuştur</w:t>
      </w:r>
      <w:r w:rsidR="00777C01" w:rsidRPr="00FD0A46">
        <w:rPr>
          <w:rFonts w:ascii="Arial" w:hAnsi="Arial" w:cs="Arial"/>
          <w:sz w:val="22"/>
          <w:szCs w:val="22"/>
          <w:shd w:val="clear" w:color="auto" w:fill="FFFFFF"/>
        </w:rPr>
        <w:t>.</w:t>
      </w:r>
      <w:r w:rsidR="00777C01">
        <w:rPr>
          <w:rFonts w:ascii="Arial" w:hAnsi="Arial" w:cs="Arial"/>
          <w:sz w:val="22"/>
          <w:szCs w:val="22"/>
          <w:shd w:val="clear" w:color="auto" w:fill="FFFFFF"/>
        </w:rPr>
        <w:t xml:space="preserve"> </w:t>
      </w:r>
      <w:r w:rsidR="00BC3BBB">
        <w:rPr>
          <w:rFonts w:ascii="Arial" w:hAnsi="Arial" w:cs="Arial"/>
          <w:sz w:val="22"/>
          <w:szCs w:val="22"/>
          <w:shd w:val="clear" w:color="auto" w:fill="FFFFFF"/>
        </w:rPr>
        <w:fldChar w:fldCharType="begin" w:fldLock="1"/>
      </w:r>
      <w:r>
        <w:rPr>
          <w:rFonts w:ascii="Arial" w:hAnsi="Arial" w:cs="Arial"/>
          <w:sz w:val="22"/>
          <w:szCs w:val="22"/>
          <w:shd w:val="clear" w:color="auto" w:fill="FFFFFF"/>
        </w:rPr>
        <w:instrText>ADDIN CSL_CITATION { "citationItems" : [ { "id" : "ITEM-1", "itemData" : { "DOI" : "10.1001/archpsyc.63.1.74", "ISBN" : "0003-990X", "ISSN" : "0003-990X", "PMID" : "16389200", "abstract" : "CONTEXT Attention-deficit/hyperactivity disorder (ADHD) is a common heritable childhood behavioral disorder. Identifying risk factors for ADHD may lead to improved intervention and prevention. The dopamine transporter gene (DAT1) is associated with ADHD in several studies, with an average 1.2 odds ratio and evidence of heterogeneity across data sets. OBJECTIVE To investigate sources of heterogeneity by refining the DAT1 association using additional markers and investigating gene-environment interaction between DAT1 and maternal use of alcohol and tobacco during pregnancy. DESIGN Prospective study. SETTING AND PATIENTS Children with ADHD from child behavior clinics in the southeast of England and in the Taipei area of Taiwan. INTERVENTIONS Within-family tests of association using 2 repeat polymorphisms in the 3' untranslated region and intron 8 plus additional markers in the English sample. MAIN OUTCOME MEASURES Transmission ratios of risk alleles from heterozygote parents to affected offspring and comparison of the transmission ratios in high- and low-exposure groups for the environmental variables. RESULTS A novel association was identified between ADHD, the intron 8 polymorphism, and a specific risk haplotype in both English and Taiwanese samples. The risk haplotype showed significant interactions with maternal use of alcohol during pregnancy. CONCLUSIONS The identification of a common haplotype in 2 independent populations is an important step toward identifying functionally significant regions of DAT1. Interaction between DAT1 genotypes and maternal use of alcohol during pregnancy suggests that DAT1 moderates the environmental risk and has implications for the prevention of ADHD. Further studies are required to delineate the precise causal risk factor involved in this interaction.", "author" : [ { "dropping-particle" : "", "family" : "Brookes", "given" : "Keeley-Joanne", "non-dropping-particle" : "", "parse-names" : false, "suffix" : "" }, { "dropping-particle" : "", "family" : "Mill", "given" : "Jon", "non-dropping-particle" : "", "parse-names" : false, "suffix" : "" }, { "dropping-particle" : "", "family" : "Guindalini", "given" : "Camilla", "non-dropping-particle" : "", "parse-names" : false, "suffix" : "" }, { "dropping-particle" : "", "family" : "Curran", "given" : "Sarah", "non-dropping-particle" : "", "parse-names" : false, "suffix" : "" }, { "dropping-particle" : "", "family" : "Xu", "given" : "Xiaohui", "non-dropping-particle" : "", "parse-names" : false, "suffix" : "" }, { "dropping-particle" : "", "family" : "Knight", "given" : "Jo", "non-dropping-particle" : "", "parse-names" : false, "suffix" : "" }, { "dropping-particle" : "", "family" : "Chen", "given" : "Chih-Ken", "non-dropping-particle" : "", "parse-names" : false, "suffix" : "" }, { "dropping-particle" : "", "family" : "Huang", "given" : "Yu-Shu", "non-dropping-particle" : "", "parse-names" : false, "suffix" : "" }, { "dropping-particle" : "", "family" : "Sethna", "given" : "Vaheshta", "non-dropping-particle" : "", "parse-names" : false, "suffix" : "" }, { "dropping-particle" : "", "family" : "Taylor", "given" : "Eric", "non-dropping-particle" : "", "parse-names" : false, "suffix" : "" }, { "dropping-particle" : "", "family" : "Chen", "given" : "Wai", "non-dropping-particle" : "", "parse-names" : false, "suffix" : "" }, { "dropping-particle" : "", "family" : "Breen", "given" : "Gerome", "non-dropping-particle" : "", "parse-names" : false, "suffix" : "" }, { "dropping-particle" : "", "family" : "Asherson", "given" : "Philip", "non-dropping-particle" : "", "parse-names" : false, "suffix" : "" } ], "container-title" : "Archives of general psychiatry", "id" : "ITEM-1", "issue" : "1", "issued" : { "date-parts" : [ [ "2006" ] ] }, "page" : "74-81", "title" : "A common haplotype of the dopamine transporter gene associated with attention-deficit/hyperactivity disorder and interacting with maternal use of alcohol during pregnancy.", "type" : "article-journal", "volume" : "63" }, "uris" : [ "http://www.mendeley.com/documents/?uuid=1cb7507b-994b-41f0-b07e-686a217504fe" ] }, { "id" : "ITEM-2", "itemData" : { "ISBN" : "0006-3223 (Print)\\r0006-3223 (Linking)", "PMID" : "1643194", "abstract" : "The classical neurotransmitters serotonin and dopamine are thought to be involved in the etiology or treatment of a variety of psychiatric disorders. Recent studies suggest that these neurotransmitters may also have roles as neural morphogens during brain development. Previously, we have demonstrated that stimulation of serotonin 5-HT1A receptors selectively inhibited neurite branching in an in vitro system (Sikich et al 1990). In the present study, the developmental role of dopamine D2 receptors in the control of neurite outgrowth has been investigated by quantitating the morphological response of cortical neurons to agonist stimulation in vitro. Cultures of fetal rat frontal, cortical neurons were shown to express both alternatively spliced forms of D2 receptor messenger RNA (mRNA). The larger mRNA form predominated (D2A444:D2A415 ratio of about 6:1). In a small but significant percentage of these neurons, culture in the presence of the D2 receptor selective agonist, quinpirole, resulted in a three-to ten-fold increase in the length of neurites and in the number of branch points per neurite. These effects were blocked by the D2 receptor antagonists eticlopride and spiperone. Early abnormalities in the stimulation of dopamine or serotonin receptor subtypes could lead to the types of neuroanatomical changes observed in studies of schizophrenia, bipolar affective disorder, and autism. These morphogenic effects of classical transmitters could unite neurodevelopmental and neurotransmitter theories of the etiology of severe psychiatric disorders.", "author" : [ { "dropping-particle" : "", "family" : "Todd", "given" : "R D", "non-dropping-particle" : "", "parse-names" : false, "suffix" : "" } ], "container-title" : "Biol Psychiatry", "id" : "ITEM-2", "issue" : "8", "issued" : { "date-parts" : [ [ "1992" ] ] }, "page" : "794-807", "title" : "Neural development is regulated by classical neurotransmitters: dopamine D2 receptor stimulation enhances neurite outgrowth", "type" : "article-journal", "volume" : "31" }, "uris" : [ "http://www.mendeley.com/documents/?uuid=802d9111-3f17-45bc-b75b-5d29c0e836f0" ] }, { "id" : "ITEM-3", "itemData" : { "DOI" : "10.1016/j.biopsych.2006.08.049", "ISBN" : "0006-3223 (Print)\\r0006-3223 (Linking)", "ISSN" : "00063223", "PMID" : "17157268", "abstract" : "Background: In utero exposure to smoking and alcohol are common risk factors that have been associated with attention-deficit/hyperactivity disorder (ADHD) in human beings and animal models. Furthermore, molecular studies have focused on the association between ADHD and DNA polymorphisms in dopamine pathway-related genes. We examined the joint effects of genetic and prenatal substance exposures on DSM-IV and population-defined subtypes of ADHD. Methods: Logistic regression was used to assess the relationship between ADHD subtypes, DAT1 and DRD4 polymorphisms, and prenatal substance exposures in a birth-record sample of male and female twin pairs, aged 7-19 years. Results: Interactions between prenatal exposure to smoking and variations in the DAT1 and DRD4 loci were observed in children with either the DSM-IV or population-defined ADHD combined subtypes. The odds of a diagnosis of DSM-IV combined subtype was 2.9 times greater in twins who had inherited the DAT1 440 allele and who were exposed, than in unexposed twins without the risk allele. The OR was 2.6 in the population-defined subtype. Odds ratios for the DRD4 seven-repeat allele were 3.0 (2.8) in the population-defined (DSM-IV) combined ADHD subtypes. The OR for exposed children with both alleles was 9.0 (95% confidence interval = 2.0-41.5) for the population-defined combined subtypes. Conclusions: Results indicate that smoking during pregnancy is associated with specific subtypes of ADHD in genetically susceptible children. \u00a9 2007 Society of Biological Psychiatry.", "author" : [ { "dropping-particle" : "", "family" : "Neuman", "given" : "Rosalind J.", "non-dropping-particle" : "", "parse-names" : false, "suffix" : "" }, { "dropping-particle" : "", "family" : "Lobos", "given" : "Elizabeth", "non-dropping-particle" : "", "parse-names" : false, "suffix" : "" }, { "dropping-particle" : "", "family" : "Reich", "given" : "Wendy", "non-dropping-particle" : "", "parse-names" : false, "suffix" : "" }, { "dropping-particle" : "", "family" : "Henderson", "given" : "Cynthia A.", "non-dropping-particle" : "", "parse-names" : false, "suffix" : "" }, { "dropping-particle" : "", "family" : "Sun", "given" : "Ling Wei", "non-dropping-particle" : "", "parse-names" : false, "suffix" : "" }, { "dropping-particle" : "", "family" : "Todd", "given" : "Richard D.", "non-dropping-particle" : "", "parse-names" : false, "suffix" : "" } ], "container-title" : "Biological Psychiatry", "id" : "ITEM-3", "issue" : "12", "issued" : { "date-parts" : [ [ "2007" ] ] }, "page" : "1320-1328", "title" : "Prenatal Smoking Exposure and Dopaminergic Genotypes Interact to Cause a Severe ADHD Subtype", "type" : "article-journal", "volume" : "61" }, "uris" : [ "http://www.mendeley.com/documents/?uuid=84da3f4d-7481-49bb-a822-c6184a9cbf74" ] }, { "id" : "ITEM-4", "itemData" : { "DOI" : "10.1016/S0084-3970(08)79273-9", "ISBN" : "0003-990X (Print)\\n0003-990X (Linking)", "ISSN" : "00843970", "PMID" : "17485610", "abstract" : "CONTEXT: Recent evidence suggests that gene x environment interactions could explain the inconsistent findings of association studies relating the dopamine transporter (DAT1) gene with attention-deficit/hyperactivity disorder (ADHD). OBJECTIVE: To examine whether psychosocial adversity moderated the effect of genetic variation in DAT1 on ADHD symptoms in adolescents from a high-risk community sample. DESIGN: Prospective cohort study. SETTING: Data were taken from the Mannheim Study of Children at Risk, an ongoing longitudinal study of the long-term outcomes of early risk factors followed up from birth on. PARTICIPANTS: Three hundred five adolescents (146 boys, 159 girls) participated in a follow-up assessment at age 15 years. MAIN OUTCOME MEASURES: Measures of ADHD symptoms according to DSM-IV were obtained using standardized structural interviews with adolescents and their parents. Psychosocial adversity was determined according to an \"enriched\" family adversity index as proposed by Rutter and Quinton. DNA was genotyped for the common DAT1 40-base pair (bp) variable number of tandem repeats (VNTR) polymorphism in the 3' untranslated region; 3 previously described single nucleotide polymorphisms in exon 15, intron 9, and exon 9; and a novel 30-bp VNTR polymorphism in intron 8. RESULTS: Adolescents homozygous for the 10-repeat allele of the 40-bp VNTR polymorphism who grew up in greater psychosocial adversity exhibited significantly more inattention and hyperactivity-impulsivity than adolescents with other genotypes or who lived in less adverse family conditions (significant interaction, P = .013-.017). This gene x environment interaction was also observed in individuals homozygous for the 6-repeat allele of the 30-bp VNTR polymorphism and the haplotype comprising both markers. CONCLUSIONS: These findings provide initial evidence that environmental risks as described by the Rutter Family Adversity Index moderate the impact of the DAT1 gene on ADHD symptoms, suggesting a DAT1 effect only in those individuals exposed to psychosocial adversity.", "author" : [ { "dropping-particle" : "", "family" : "Laucht", "given" : "Manfred", "non-dropping-particle" : "", "parse-names" : false, "suffix" : "" }, { "dropping-particle" : "", "family" : "Skowronek", "given" : "Markus H", "non-dropping-particle" : "", "parse-names" : false, "suffix" : "" }, { "dropping-particle" : "", "family" : "Becker", "given" : "Katja", "non-dropping-particle" : "", "parse-names" : false, "suffix" : "" }, { "dropping-particle" : "", "family" : "Schmidt", "given" : "Martin H", "non-dropping-particle" : "", "parse-names" : false, "suffix" : "" }, { "dropping-particle" : "", "family" : "Esser", "given" : "G\u00fcnter", "non-dropping-particle" : "", "parse-names" : false, "suffix" : "" }, { "dropping-particle" : "", "family" : "Schulze", "given" : "Thomas G", "non-dropping-particle" : "", "parse-names" : false, "suffix" : "" }, { "dropping-particle" : "", "family" : "Rietschel", "given" : "Marcella", "non-dropping-particle" : "", "parse-names" : false, "suffix" : "" } ], "container-title" : "Archives of general psychiatry", "id" : "ITEM-4", "issue" : "5", "issued" : { "date-parts" : [ [ "2007" ] ] }, "page" : "585-590", "title" : "Interacting effects of the dopamine transporter gene and psychosocial adversity on attention-deficit/hyperactivity disorder symptoms among 15-year-olds from a high-risk community sample.", "type" : "article-journal", "volume" : "64" }, "uris" : [ "http://www.mendeley.com/documents/?uuid=3fb6611a-b586-4f1c-8a45-130494061dfd" ] } ], "mendeley" : { "formattedCitation" : "(176\u2013179)", "plainTextFormattedCitation" : "(176\u2013179)", "previouslyFormattedCitation" : "(176\u2013179)" }, "properties" : { "noteIndex" : 19 }, "schema" : "https://github.com/citation-style-language/schema/raw/master/csl-citation.json" }</w:instrText>
      </w:r>
      <w:r w:rsidR="00BC3BBB">
        <w:rPr>
          <w:rFonts w:ascii="Arial" w:hAnsi="Arial" w:cs="Arial"/>
          <w:sz w:val="22"/>
          <w:szCs w:val="22"/>
          <w:shd w:val="clear" w:color="auto" w:fill="FFFFFF"/>
        </w:rPr>
        <w:fldChar w:fldCharType="separate"/>
      </w:r>
      <w:r w:rsidRPr="00F74A96">
        <w:rPr>
          <w:rFonts w:ascii="Arial" w:hAnsi="Arial" w:cs="Arial"/>
          <w:noProof/>
          <w:sz w:val="22"/>
          <w:szCs w:val="22"/>
          <w:shd w:val="clear" w:color="auto" w:fill="FFFFFF"/>
        </w:rPr>
        <w:t>(176–179)</w:t>
      </w:r>
      <w:r w:rsidR="00BC3BBB">
        <w:rPr>
          <w:rFonts w:ascii="Arial" w:hAnsi="Arial" w:cs="Arial"/>
          <w:sz w:val="22"/>
          <w:szCs w:val="22"/>
          <w:shd w:val="clear" w:color="auto" w:fill="FFFFFF"/>
        </w:rPr>
        <w:fldChar w:fldCharType="end"/>
      </w:r>
      <w:r w:rsidRPr="00FD0A46">
        <w:rPr>
          <w:rFonts w:ascii="Arial" w:hAnsi="Arial" w:cs="Arial"/>
          <w:sz w:val="22"/>
          <w:szCs w:val="22"/>
          <w:shd w:val="clear" w:color="auto" w:fill="FFFFFF"/>
        </w:rPr>
        <w:t>.</w:t>
      </w:r>
      <w:r>
        <w:rPr>
          <w:rFonts w:ascii="Arial" w:hAnsi="Arial" w:cs="Arial"/>
          <w:sz w:val="22"/>
          <w:szCs w:val="22"/>
          <w:shd w:val="clear" w:color="auto" w:fill="FFFFFF"/>
        </w:rPr>
        <w:t xml:space="preserve"> </w:t>
      </w:r>
    </w:p>
    <w:p w:rsidR="00C60153" w:rsidRDefault="00C60153" w:rsidP="00C60153">
      <w:pPr>
        <w:pStyle w:val="HTMLncedenBiimlendirilmi"/>
        <w:shd w:val="clear" w:color="auto" w:fill="FFFFFF"/>
        <w:spacing w:line="360" w:lineRule="auto"/>
        <w:rPr>
          <w:rFonts w:ascii="Arial" w:hAnsi="Arial" w:cs="Arial"/>
          <w:b/>
          <w:i/>
          <w:sz w:val="22"/>
          <w:szCs w:val="22"/>
          <w:shd w:val="clear" w:color="auto" w:fill="FFFFFF"/>
        </w:rPr>
      </w:pPr>
      <w:r>
        <w:rPr>
          <w:rFonts w:ascii="Arial" w:hAnsi="Arial" w:cs="Arial"/>
          <w:b/>
          <w:sz w:val="22"/>
          <w:szCs w:val="22"/>
          <w:shd w:val="clear" w:color="auto" w:fill="FFFFFF"/>
        </w:rPr>
        <w:tab/>
      </w:r>
      <w:r w:rsidRPr="00F33601">
        <w:rPr>
          <w:rFonts w:ascii="Arial" w:hAnsi="Arial" w:cs="Arial"/>
          <w:b/>
          <w:i/>
          <w:sz w:val="22"/>
          <w:szCs w:val="22"/>
          <w:shd w:val="clear" w:color="auto" w:fill="FFFFFF"/>
        </w:rPr>
        <w:t>Dopamin Beta-</w:t>
      </w:r>
      <w:r w:rsidR="00E828D6">
        <w:rPr>
          <w:rFonts w:ascii="Arial" w:hAnsi="Arial" w:cs="Arial"/>
          <w:b/>
          <w:i/>
          <w:sz w:val="22"/>
          <w:szCs w:val="22"/>
          <w:shd w:val="clear" w:color="auto" w:fill="FFFFFF"/>
        </w:rPr>
        <w:t>Hidroksilaz</w:t>
      </w:r>
      <w:r w:rsidRPr="00F33601">
        <w:rPr>
          <w:rFonts w:ascii="Arial" w:hAnsi="Arial" w:cs="Arial"/>
          <w:b/>
          <w:i/>
          <w:sz w:val="22"/>
          <w:szCs w:val="22"/>
          <w:shd w:val="clear" w:color="auto" w:fill="FFFFFF"/>
        </w:rPr>
        <w:t xml:space="preserve"> (DBH)</w:t>
      </w:r>
    </w:p>
    <w:p w:rsidR="00C60153" w:rsidRPr="00EC4DCF" w:rsidRDefault="00C60153" w:rsidP="00EC4DCF">
      <w:pPr>
        <w:pStyle w:val="HTMLncedenBiimlendirilmi"/>
        <w:shd w:val="clear" w:color="auto" w:fill="FFFFFF"/>
        <w:spacing w:line="360" w:lineRule="auto"/>
        <w:jc w:val="both"/>
        <w:rPr>
          <w:rFonts w:ascii="Arial" w:hAnsi="Arial" w:cs="Arial"/>
          <w:b/>
          <w:i/>
          <w:sz w:val="22"/>
          <w:szCs w:val="22"/>
          <w:shd w:val="clear" w:color="auto" w:fill="FFFFFF"/>
        </w:rPr>
      </w:pPr>
      <w:r>
        <w:rPr>
          <w:rFonts w:ascii="Arial" w:hAnsi="Arial" w:cs="Arial"/>
          <w:b/>
          <w:i/>
          <w:sz w:val="22"/>
          <w:szCs w:val="22"/>
          <w:shd w:val="clear" w:color="auto" w:fill="FFFFFF"/>
        </w:rPr>
        <w:tab/>
      </w:r>
      <w:r w:rsidRPr="00210E4C">
        <w:rPr>
          <w:rFonts w:ascii="Arial" w:hAnsi="Arial" w:cs="Arial"/>
          <w:color w:val="212121"/>
          <w:sz w:val="22"/>
          <w:szCs w:val="22"/>
          <w:shd w:val="clear" w:color="auto" w:fill="FFFFFF"/>
        </w:rPr>
        <w:t xml:space="preserve">DBH, dopaminin norepinefrine dönüştürülmesinden sorumlu </w:t>
      </w:r>
      <w:r w:rsidR="00CA69E1">
        <w:rPr>
          <w:rFonts w:ascii="Arial" w:hAnsi="Arial" w:cs="Arial"/>
          <w:color w:val="212121"/>
          <w:sz w:val="22"/>
          <w:szCs w:val="22"/>
          <w:shd w:val="clear" w:color="auto" w:fill="FFFFFF"/>
        </w:rPr>
        <w:t>ilk basamak</w:t>
      </w:r>
      <w:r w:rsidR="00CA69E1" w:rsidRPr="00210E4C">
        <w:rPr>
          <w:rFonts w:ascii="Arial" w:hAnsi="Arial" w:cs="Arial"/>
          <w:color w:val="212121"/>
          <w:sz w:val="22"/>
          <w:szCs w:val="22"/>
          <w:shd w:val="clear" w:color="auto" w:fill="FFFFFF"/>
        </w:rPr>
        <w:t xml:space="preserve"> enzimdir</w:t>
      </w:r>
      <w:r>
        <w:rPr>
          <w:rFonts w:ascii="Arial" w:hAnsi="Arial" w:cs="Arial"/>
          <w:color w:val="212121"/>
          <w:sz w:val="22"/>
          <w:szCs w:val="22"/>
          <w:shd w:val="clear" w:color="auto" w:fill="FFFFFF"/>
        </w:rPr>
        <w:t xml:space="preserve"> </w:t>
      </w:r>
      <w:r w:rsidR="00BC3BBB">
        <w:rPr>
          <w:rFonts w:ascii="Arial" w:hAnsi="Arial" w:cs="Arial"/>
          <w:color w:val="212121"/>
          <w:sz w:val="22"/>
          <w:szCs w:val="22"/>
          <w:shd w:val="clear" w:color="auto" w:fill="FFFFFF"/>
        </w:rPr>
        <w:fldChar w:fldCharType="begin" w:fldLock="1"/>
      </w:r>
      <w:r>
        <w:rPr>
          <w:rFonts w:ascii="Arial" w:hAnsi="Arial" w:cs="Arial"/>
          <w:color w:val="212121"/>
          <w:sz w:val="22"/>
          <w:szCs w:val="22"/>
          <w:shd w:val="clear" w:color="auto" w:fill="FFFFFF"/>
        </w:rPr>
        <w:instrText>ADDIN CSL_CITATION { "citationItems" : [ { "id" : "ITEM-1", "itemData" : { "DOI" : "10.1016/j.psc.2009.12.004", "author" : [ { "dropping-particle" : "", "family" : "Faraone SV, Mick E", "given" : "", "non-dropping-particle" : "", "parse-names" : false, "suffix" : "" } ], "container-title" : "Psychiatric Clinics of North America", "id" : "ITEM-1", "issue" : "1", "issued" : { "date-parts" : [ [ "2010" ] ] }, "page" : "159-180", "title" : "Molecular Genetics of Attention Deficit Hyperactivity Disorder", "type" : "article-journal", "volume" : "33" }, "uris" : [ "http://www.mendeley.com/documents/?uuid=d8c87455-faf8-43c9-8bd0-a892098e97c8" ] } ], "mendeley" : { "formattedCitation" : "(158)", "plainTextFormattedCitation" : "(158)", "previouslyFormattedCitation" : "(158)" }, "properties" : { "noteIndex" : 19 }, "schema" : "https://github.com/citation-style-language/schema/raw/master/csl-citation.json" }</w:instrText>
      </w:r>
      <w:r w:rsidR="00BC3BBB">
        <w:rPr>
          <w:rFonts w:ascii="Arial" w:hAnsi="Arial" w:cs="Arial"/>
          <w:color w:val="212121"/>
          <w:sz w:val="22"/>
          <w:szCs w:val="22"/>
          <w:shd w:val="clear" w:color="auto" w:fill="FFFFFF"/>
        </w:rPr>
        <w:fldChar w:fldCharType="separate"/>
      </w:r>
      <w:r w:rsidRPr="00F74A96">
        <w:rPr>
          <w:rFonts w:ascii="Arial" w:hAnsi="Arial" w:cs="Arial"/>
          <w:noProof/>
          <w:color w:val="212121"/>
          <w:sz w:val="22"/>
          <w:szCs w:val="22"/>
          <w:shd w:val="clear" w:color="auto" w:fill="FFFFFF"/>
        </w:rPr>
        <w:t>(158)</w:t>
      </w:r>
      <w:r w:rsidR="00BC3BBB">
        <w:rPr>
          <w:rFonts w:ascii="Arial" w:hAnsi="Arial" w:cs="Arial"/>
          <w:color w:val="212121"/>
          <w:sz w:val="22"/>
          <w:szCs w:val="22"/>
          <w:shd w:val="clear" w:color="auto" w:fill="FFFFFF"/>
        </w:rPr>
        <w:fldChar w:fldCharType="end"/>
      </w:r>
      <w:r w:rsidRPr="00210E4C">
        <w:rPr>
          <w:rFonts w:ascii="Arial" w:hAnsi="Arial" w:cs="Arial"/>
          <w:color w:val="212121"/>
          <w:sz w:val="22"/>
          <w:szCs w:val="22"/>
          <w:shd w:val="clear" w:color="auto" w:fill="FFFFFF"/>
        </w:rPr>
        <w:t xml:space="preserve">. </w:t>
      </w:r>
      <w:r w:rsidRPr="00210E4C">
        <w:rPr>
          <w:rFonts w:ascii="Arial" w:hAnsi="Arial" w:cs="Arial"/>
          <w:sz w:val="22"/>
          <w:szCs w:val="22"/>
          <w:shd w:val="clear" w:color="auto" w:fill="FFFFFF"/>
        </w:rPr>
        <w:t xml:space="preserve">A1 alleli ile DEHB belirtileri arasındaki ilişki DEHB’li çocuklarla </w:t>
      </w:r>
      <w:r w:rsidRPr="00EC4DCF">
        <w:rPr>
          <w:rFonts w:ascii="Arial" w:hAnsi="Arial" w:cs="Arial"/>
          <w:sz w:val="22"/>
          <w:szCs w:val="22"/>
          <w:shd w:val="clear" w:color="auto" w:fill="FFFFFF"/>
        </w:rPr>
        <w:t xml:space="preserve">yapılan bir çalışmada tanımlanmıştır </w:t>
      </w:r>
      <w:r w:rsidR="00BC3BBB" w:rsidRPr="00EC4DCF">
        <w:rPr>
          <w:rFonts w:ascii="Arial" w:hAnsi="Arial" w:cs="Arial"/>
          <w:sz w:val="22"/>
          <w:szCs w:val="22"/>
          <w:shd w:val="clear" w:color="auto" w:fill="FFFFFF"/>
        </w:rPr>
        <w:fldChar w:fldCharType="begin" w:fldLock="1"/>
      </w:r>
      <w:r w:rsidRPr="00EC4DCF">
        <w:rPr>
          <w:rFonts w:ascii="Arial" w:hAnsi="Arial" w:cs="Arial"/>
          <w:sz w:val="22"/>
          <w:szCs w:val="22"/>
          <w:shd w:val="clear" w:color="auto" w:fill="FFFFFF"/>
        </w:rPr>
        <w:instrText>ADDIN CSL_CITATION { "citationItems" : [ { "id" : "ITEM-1", "itemData" : { "DOI" : "10.1002/ajmg.b.20005", "ISBN" : "1552-4841 (Print)", "ISSN" : "1552-4841", "PMID" : "12707943", "abstract" : "Attention deficit hyperactivity disorder (ADHD) is a highly heritable and common disorder that partly reflects disturbed dopaminergic function in the brain. Recent genetic studies have shown that candidate genes involved in dopamine signaling and metabolism contribute to ADHD susceptibility. We have initiated genetic studies in a unique cohort of 158 ADHD and 81 control adult subjects who have been followed longitudinally since childhood in the Milwaukee study of ADHD. From this cohort, genetic analysis was performed in 105 Caucasian subjects with ADHD and 68 age and ethnicity-matched controls for the DRD4 exon 3 VNTR, the SLC6A3 (DAT1) 3' UTR VNTR, dopamine beta hydroxylase (DBH) TaqI A polymorphism, and the DBH GT microsatellite repeat polymorphism that has been quantitatively associated with serum levels of DBH activity, but not previously studied in ADHD. Results indicate a significant association between the DBH TaqI A1 allele and ADHD (P = 0.018) with a relative risk of 1.33. The DBH GT repeat 4 allele, which is associated with high serum levels of DBH, occurred more frequently in the ADHD group than controls, but the difference did not reach statistical significance. Associations were not found with the SLC6A3 10 repeat or DRD4 7 repeat alleles. These results indicate that the DBH TaqI A allele, or another polymorphism in linkage disequilibrium with this allele, may confer increased susceptibility towards ADHD.", "author" : [ { "dropping-particle" : "", "family" : "Smith", "given" : "Karen M\u00fcller", "non-dropping-particle" : "", "parse-names" : false, "suffix" : "" }, { "dropping-particle" : "", "family" : "Daly", "given" : "Mark", "non-dropping-particle" : "", "parse-names" : false, "suffix" : "" }, { "dropping-particle" : "", "family" : "Fischer", "given" : "Mariellen", "non-dropping-particle" : "", "parse-names" : false, "suffix" : "" }, { "dropping-particle" : "", "family" : "Yiannoutsos", "given" : "Constantin T", "non-dropping-particle" : "", "parse-names" : false, "suffix" : "" }, { "dropping-particle" : "", "family" : "Bauer", "given" : "Lorri", "non-dropping-particle" : "", "parse-names" : false, "suffix" : "" }, { "dropping-particle" : "", "family" : "Barkley", "given" : "Russell", "non-dropping-particle" : "", "parse-names" : false, "suffix" : "" }, { "dropping-particle" : "", "family" : "Navia", "given" : "Bradford a", "non-dropping-particle" : "", "parse-names" : false, "suffix" : "" } ], "container-title" : "American journal of medical genetics. Part B, Neuropsychiatric genetics : the official publication of the International Society of Psychiatric Genetics", "id" : "ITEM-1", "issue" : "1", "issued" : { "date-parts" : [ [ "2003" ] ] }, "page" : "77-85", "title" : "Association of the dopamine beta hydroxylase gene with attention deficit hyperactivity disorder: genetic analysis of the Milwaukee longitudinal study.", "type" : "article-journal", "volume" : "119B" }, "uris" : [ "http://www.mendeley.com/documents/?uuid=4fa82d71-93e2-4e2a-91a9-adf4e515b148" ] } ], "mendeley" : { "formattedCitation" : "(180)", "plainTextFormattedCitation" : "(180)", "previouslyFormattedCitation" : "(180)" }, "properties" : { "noteIndex" : 19 }, "schema" : "https://github.com/citation-style-language/schema/raw/master/csl-citation.json" }</w:instrText>
      </w:r>
      <w:r w:rsidR="00BC3BBB" w:rsidRPr="00EC4DCF">
        <w:rPr>
          <w:rFonts w:ascii="Arial" w:hAnsi="Arial" w:cs="Arial"/>
          <w:sz w:val="22"/>
          <w:szCs w:val="22"/>
          <w:shd w:val="clear" w:color="auto" w:fill="FFFFFF"/>
        </w:rPr>
        <w:fldChar w:fldCharType="separate"/>
      </w:r>
      <w:r w:rsidRPr="00EC4DCF">
        <w:rPr>
          <w:rFonts w:ascii="Arial" w:hAnsi="Arial" w:cs="Arial"/>
          <w:noProof/>
          <w:sz w:val="22"/>
          <w:szCs w:val="22"/>
          <w:shd w:val="clear" w:color="auto" w:fill="FFFFFF"/>
        </w:rPr>
        <w:t>(180)</w:t>
      </w:r>
      <w:r w:rsidR="00BC3BBB" w:rsidRPr="00EC4DCF">
        <w:rPr>
          <w:rFonts w:ascii="Arial" w:hAnsi="Arial" w:cs="Arial"/>
          <w:sz w:val="22"/>
          <w:szCs w:val="22"/>
          <w:shd w:val="clear" w:color="auto" w:fill="FFFFFF"/>
        </w:rPr>
        <w:fldChar w:fldCharType="end"/>
      </w:r>
      <w:r w:rsidRPr="00EC4DCF">
        <w:rPr>
          <w:rFonts w:ascii="Arial" w:hAnsi="Arial" w:cs="Arial"/>
          <w:sz w:val="22"/>
          <w:szCs w:val="22"/>
          <w:shd w:val="clear" w:color="auto" w:fill="FFFFFF"/>
        </w:rPr>
        <w:t>.</w:t>
      </w:r>
      <w:r w:rsidRPr="00EC4DCF">
        <w:rPr>
          <w:rFonts w:ascii="Arial" w:hAnsi="Arial" w:cs="Arial"/>
          <w:color w:val="4F81BD" w:themeColor="accent1"/>
          <w:sz w:val="22"/>
          <w:szCs w:val="22"/>
        </w:rPr>
        <w:t xml:space="preserve"> </w:t>
      </w:r>
      <w:r w:rsidRPr="00EC4DCF">
        <w:rPr>
          <w:rFonts w:ascii="Arial" w:hAnsi="Arial" w:cs="Arial"/>
          <w:sz w:val="22"/>
          <w:szCs w:val="22"/>
        </w:rPr>
        <w:t xml:space="preserve">Farklı iki çalışmada ise A2 allelinde </w:t>
      </w:r>
      <w:r w:rsidRPr="00EC4DCF">
        <w:rPr>
          <w:rFonts w:ascii="Arial" w:hAnsi="Arial" w:cs="Arial"/>
          <w:sz w:val="22"/>
          <w:szCs w:val="22"/>
        </w:rPr>
        <w:lastRenderedPageBreak/>
        <w:t xml:space="preserve">artmış ekspresyonu gözlenmiştir </w:t>
      </w:r>
      <w:r w:rsidR="00BC3BBB" w:rsidRPr="00EC4DCF">
        <w:rPr>
          <w:rFonts w:ascii="Arial" w:hAnsi="Arial" w:cs="Arial"/>
          <w:sz w:val="22"/>
          <w:szCs w:val="22"/>
        </w:rPr>
        <w:fldChar w:fldCharType="begin" w:fldLock="1"/>
      </w:r>
      <w:r w:rsidR="0037573A">
        <w:rPr>
          <w:rFonts w:ascii="Arial" w:hAnsi="Arial" w:cs="Arial"/>
          <w:sz w:val="22"/>
          <w:szCs w:val="22"/>
        </w:rPr>
        <w:instrText>ADDIN CSL_CITATION { "citationItems" : [ { "id" : "ITEM-1", "itemData" : { "DOI" : "10.1038/sj.mp.4000510", "ISBN" : "1359-4184 (Print)\\r1359-4184 (Linking)", "ISSN" : "1359-4184", "PMID" : "10208453", "abstract" : "Attention deficit hyperactivity disorder (ADHD) is a common disorder of childhood characterized by inattention, excessive motor activity, impulsivity, and distractibility. It is associated with serious disability in children, adolescents and adults. The etiology of the disorder is unknown, but it has a strong genetic component. Pharmacological and biochemical studies have suggested that dopaminergic and noradrenergic systems are involved. Using a sample of affected children and their parents we have found preferential transmission of alleles at polymorphisms at the dopamine transporter (DAT1), RR=1.2 (1.05-1.37), P=0.006, re-confirming and extending our previous findings for DAT1 (new sample one-tailed P=0.039); dopamine-beta-hydroxylase (DBH), RR=1.31 (1.09-1.56), P=0.0027; and the dopamine D5 receptor (DRD5), RR=1.67 (1.29-2.15), P=0.00005. Transmission of the 'associated' alleles at DAT1 and DBH is stronger in familial cases, RR(DAT1)=1.29 (1.04-1.59), RR(DBH)=1.49 (1.10-2.00), but for DRD5, transmission is stronger in non-familial cases, RR=1.59 (1.05-2.42). TDT analysis of complete trios supports the HHRR analysis, with P&lt;0.05, for DAT1 P&lt;0.005 and DBH and P&lt;0.01 for DRD5. Attributable fractions for DAT1, DBH and DRD5 are calculated at 0.08, 0.12 and 0.20 respectively.", "author" : [ { "dropping-particle" : "", "family" : "Daly", "given" : "G", "non-dropping-particle" : "", "parse-names" : false, "suffix" : "" }, { "dropping-particle" : "", "family" : "Hawi", "given" : "Z", "non-dropping-particle" : "", "parse-names" : false, "suffix" : "" }, { "dropping-particle" : "", "family" : "Fitzgerald", "given" : "M", "non-dropping-particle" : "", "parse-names" : false, "suffix" : "" }, { "dropping-particle" : "", "family" : "Gill", "given" : "M", "non-dropping-particle" : "", "parse-names" : false, "suffix" : "" } ], "container-title" : "Molecular Psychiatry", "id" : "ITEM-1", "issue" : "2", "issued" : { "date-parts" : [ [ "1999" ] ] }, "page" : "192-196", "title" : "Mapping susceptibility loci in attention deficit hyperactivity disorder: preferential transmission of parental alleles at DAT1, DBH and DRD5 to affected children", "type" : "article-journal", "volume" : "4" }, "uris" : [ "http://www.mendeley.com/documents/?uuid=19ec1084-8d8e-4289-aa30-886833e636af" ] }, { "id" : "ITEM-2", "itemData" : { "DOI" : "10.1002/ajmg.10194 [pii]", "ISBN" : "0148-7299 (Print)\\r0148-7299 (Linking)", "ISSN" : "0148-7299", "PMID" : "11857576", "abstract" : "Attention-deficit/hyperactivity disorder (ADHD) is a very common and heterogeneous psychiatric disorder of childhood with marked inattentive, hyperactive, and impulsive symptoms. The DBH gene, the locus that encodes the enzyme dopamine-beta-hydroxylase (DbetaH), seems to be an important candidate gene for association studies, since DbetaH catalyzes the conversion of dopamine to norepinephrine. The aim of this study was to test for association between the DBH gene and ADHD in a sample of 88 Brazilian nuclear families. Haplotype relative risk (HRR) analysis of the DBH TaqI restriction site polymorphism showed a preferential transmission of the TaqI A2 allele in our whole ADHD sample (chi(2)=3.61, one-tailed P=0.03). The significant effect of the A2 allele was stronger when only families with no ADHD parental diagnosis were considered (chi(2)=5.42, one-tailed P=0.01). Our results suggest a contribution of this gene to ADHD susceptibility, partially replicating previous findings that have demonstrated an association between the DBH TaqI A2 allele and ADHD.", "author" : [ { "dropping-particle" : "", "family" : "Roman", "given" : "T", "non-dropping-particle" : "", "parse-names" : false, "suffix" : "" }, { "dropping-particle" : "", "family" : "Schmitz", "given" : "M", "non-dropping-particle" : "", "parse-names" : false, "suffix" : "" }, { "dropping-particle" : "V", "family" : "Polanczyk", "given" : "G", "non-dropping-particle" : "", "parse-names" : false, "suffix" : "" }, { "dropping-particle" : "", "family" : "Eizirik", "given" : "M", "non-dropping-particle" : "", "parse-names" : false, "suffix" : "" }, { "dropping-particle" : "", "family" : "Rohde", "given" : "L A", "non-dropping-particle" : "", "parse-names" : false, "suffix" : "" }, { "dropping-particle" : "", "family" : "Hutz", "given" : "M H", "non-dropping-particle" : "", "parse-names" : false, "suffix" : "" } ], "container-title" : "Am J Med Genet", "id" : "ITEM-2", "issue" : "2", "issued" : { "date-parts" : [ [ "2002" ] ] }, "page" : "154-158", "title" : "Further evidence for the association between attention-deficit/hyperactivity disorder and the dopamine-beta-hydroxylase gene", "type" : "article-journal", "volume" : "114" }, "uris" : [ "http://www.mendeley.com/documents/?uuid=ac7b11af-748e-40a4-a7ae-f1d69a9054ef" ] } ], "mendeley" : { "formattedCitation" : "(181, 182)", "plainTextFormattedCitation" : "(181, 182)", "previouslyFormattedCitation" : "(181, 182)" }, "properties" : { "noteIndex" : 19 }, "schema" : "https://github.com/citation-style-language/schema/raw/master/csl-citation.json" }</w:instrText>
      </w:r>
      <w:r w:rsidR="00BC3BBB" w:rsidRPr="00EC4DCF">
        <w:rPr>
          <w:rFonts w:ascii="Arial" w:hAnsi="Arial" w:cs="Arial"/>
          <w:sz w:val="22"/>
          <w:szCs w:val="22"/>
        </w:rPr>
        <w:fldChar w:fldCharType="separate"/>
      </w:r>
      <w:r w:rsidR="00BF1F00" w:rsidRPr="00BF1F00">
        <w:rPr>
          <w:rFonts w:ascii="Arial" w:hAnsi="Arial" w:cs="Arial"/>
          <w:noProof/>
          <w:sz w:val="22"/>
          <w:szCs w:val="22"/>
        </w:rPr>
        <w:t>(181, 182)</w:t>
      </w:r>
      <w:r w:rsidR="00BC3BBB" w:rsidRPr="00EC4DCF">
        <w:rPr>
          <w:rFonts w:ascii="Arial" w:hAnsi="Arial" w:cs="Arial"/>
          <w:sz w:val="22"/>
          <w:szCs w:val="22"/>
        </w:rPr>
        <w:fldChar w:fldCharType="end"/>
      </w:r>
      <w:r w:rsidRPr="00EC4DCF">
        <w:rPr>
          <w:rFonts w:ascii="Arial" w:hAnsi="Arial" w:cs="Arial"/>
          <w:sz w:val="22"/>
          <w:szCs w:val="22"/>
        </w:rPr>
        <w:t xml:space="preserve">. </w:t>
      </w:r>
      <w:r w:rsidRPr="00EC4DCF">
        <w:rPr>
          <w:rFonts w:ascii="Arial" w:hAnsi="Arial" w:cs="Arial"/>
          <w:sz w:val="22"/>
          <w:szCs w:val="22"/>
          <w:lang w:val="en-US"/>
        </w:rPr>
        <w:t xml:space="preserve">Fakat diğer çalışmalar </w:t>
      </w:r>
      <w:r w:rsidRPr="00EC4DCF">
        <w:rPr>
          <w:rFonts w:ascii="Arial" w:hAnsi="Arial" w:cs="Arial"/>
          <w:color w:val="000000"/>
          <w:sz w:val="22"/>
          <w:szCs w:val="22"/>
          <w:shd w:val="clear" w:color="auto" w:fill="FFFFFF"/>
        </w:rPr>
        <w:t xml:space="preserve">A2 alleli ile DEHB arasında ilişki saptamamışlardır </w:t>
      </w:r>
      <w:r w:rsidR="00BC3BBB" w:rsidRPr="00EC4DCF">
        <w:rPr>
          <w:rFonts w:ascii="Arial" w:hAnsi="Arial" w:cs="Arial"/>
          <w:color w:val="000000"/>
          <w:sz w:val="22"/>
          <w:szCs w:val="22"/>
          <w:shd w:val="clear" w:color="auto" w:fill="FFFFFF"/>
        </w:rPr>
        <w:fldChar w:fldCharType="begin" w:fldLock="1"/>
      </w:r>
      <w:r w:rsidRPr="00EC4DCF">
        <w:rPr>
          <w:rFonts w:ascii="Arial" w:hAnsi="Arial" w:cs="Arial"/>
          <w:color w:val="000000"/>
          <w:sz w:val="22"/>
          <w:szCs w:val="22"/>
          <w:shd w:val="clear" w:color="auto" w:fill="FFFFFF"/>
        </w:rPr>
        <w:instrText>ADDIN CSL_CITATION { "citationItems" : [ { "id" : "ITEM-1", "itemData" : { "ISBN" : "0002-953X (Print)\\r0002-953X (Linking)", "PMID" : "12042196", "abstract" : "OBJECTIVE: Attention deficit hyperactivity disorder (ADHD) has been shown to be highly heritable, and recent molecular genetics studies have focused on candidate genes in the dopaminergic and noradrenergic systems. One recent study reported an association of an allele of the TaqI polymorphism located in the fifth intron of the gene for dopamine beta-hydroxylase (DBH). The authors' goal was to replicate this finding. METHOD: The authors investigated the linkage of the alleles and haplotypes of three polymorphisms at the DBH locus in 117 nuclear families with ADHD. RESULTS: No significant evidence was found for linkage of the TaqI alleles or haplotypes in the 117 families. However, the authors observed some evidence for biased transmission of the same allele of the TaqI polymorphism, as previously reported. CONCLUSIONS: These findings suggest that the gene for DBH should be investigated further.", "author" : [ { "dropping-particle" : "", "family" : "Wigg", "given" : "K", "non-dropping-particle" : "", "parse-names" : false, "suffix" : "" }, { "dropping-particle" : "", "family" : "Zai", "given" : "G", "non-dropping-particle" : "", "parse-names" : false, "suffix" : "" }, { "dropping-particle" : "", "family" : "Schachar", "given" : "R", "non-dropping-particle" : "", "parse-names" : false, "suffix" : "" }, { "dropping-particle" : "", "family" : "Tannock", "given" : "R", "non-dropping-particle" : "", "parse-names" : false, "suffix" : "" }, { "dropping-particle" : "", "family" : "Roberts", "given" : "W", "non-dropping-particle" : "", "parse-names" : false, "suffix" : "" }, { "dropping-particle" : "", "family" : "Malone", "given" : "M", "non-dropping-particle" : "", "parse-names" : false, "suffix" : "" }, { "dropping-particle" : "", "family" : "Kennedy", "given" : "J L", "non-dropping-particle" : "", "parse-names" : false, "suffix" : "" }, { "dropping-particle" : "", "family" : "Barr", "given" : "C L", "non-dropping-particle" : "", "parse-names" : false, "suffix" : "" } ], "container-title" : "Am J Psychiatry", "id" : "ITEM-1", "issue" : "6", "issued" : { "date-parts" : [ [ "2002" ] ] }, "page" : "1046-1048", "title" : "Attention deficit hyperactivity disorder and the gene for dopamine Beta-hydroxylase", "type" : "article-journal", "volume" : "159" }, "uris" : [ "http://www.mendeley.com/documents/?uuid=8fe04bfd-552d-4d55-be0a-b72939b69fe8" ] }, { "id" : "ITEM-2", "itemData" : { "DOI" : "10.1016/j.neulet.2006.03.036", "author" : [ { "dropping-particle" : "", "family" : "Bhaduri", "given" : "Nipa", "non-dropping-particle" : "", "parse-names" : false, "suffix" : "" }, { "dropping-particle" : "", "family" : "Mukhopadhyay", "given" : "Kanchan", "non-dropping-particle" : "", "parse-names" : false, "suffix" : "" } ], "container-title" : "Neuroscience Letters", "id" : "ITEM-2", "issued" : { "date-parts" : [ [ "2006" ] ] }, "page" : "10-14", "title" : "Lack of significant association between \u2212 1021C \u2192 T polymorphism in the dopamine beta hydroxylase gene and attention deficit hyperactivity disorder", "type" : "article-journal" }, "uris" : [ "http://www.mendeley.com/documents/?uuid=8e744e41-281f-4cee-a9c5-c8c0b86658e6" ] }, { "id" : "ITEM-3", "itemData" : { "DOI" : "10.1097/01.ypg.0000107932.32051.1c", "ISBN" : "0955-8829 (Print)\\r0955-8829 (Linking)", "ISSN" : "0955-8829", "PMID" : "15167700", "abstract" : "Numerous family, twin and adoption studies have reported a strong genetic component for attention deficit hyperactivity disorder (ADHD). In addition, an extensive amount of literature has implicated abnormalities of the dopaminergic system. In view of this evidence, genes that influence dopaminergic transmission have become prime candidates for molecular genetic investigations of ADHD. There are currently three studies (Daly et al., 1999; Roman et al., 2002; Wigg et al., 2002) that have found an association between the dopamine beta-hydroxylase gene (DBH) TaqI 2 allele and childhood ADHD. As such, we tested for association of the DBH TaqI 2 allele in two independent samples of patients with the persistent variant of ADHD. These consisted of 97 nuclear families, and 112 adult cases with controls carefully matched according to gender, age and ethnicity. Transmission Disequilibrium Test analysis revealed weak over-transmission of the 2 allele (35 transmissions versus 27 non-transmissions; v2 = 1.03, 1 degree of freedom, P =0.31). The case\u2013control sample did not support previous findings since the 2 allele was more frequent in our control sample (137 versus 116; v2 = 3.63, 1 degree of freedom, P = 0.057). Taken together, these results do not provide support for a role of the DBH TaqI marker in our persistent ADHD samples.", "author" : [ { "dropping-particle" : "", "family" : "Inkster", "given" : "Becky", "non-dropping-particle" : "", "parse-names" : false, "suffix" : "" }, { "dropping-particle" : "", "family" : "Muglia", "given" : "Pierandrea", "non-dropping-particle" : "", "parse-names" : false, "suffix" : "" }, { "dropping-particle" : "", "family" : "Jain", "given" : "Umesh", "non-dropping-particle" : "", "parse-names" : false, "suffix" : "" }, { "dropping-particle" : "", "family" : "Kennedy", "given" : "James L.", "non-dropping-particle" : "", "parse-names" : false, "suffix" : "" } ], "container-title" : "Psychiatric Genetics", "id" : "ITEM-3", "issue" : "2", "issued" : { "date-parts" : [ [ "2004" ] ] }, "page" : "117-120", "title" : "Linkage disequilibrium analysis of the dopamine beta-hydroxylase gene in persistent attention deficit hyperactivity disorder", "type" : "article-journal", "volume" : "14" }, "uris" : [ "http://www.mendeley.com/documents/?uuid=510110d9-8305-4952-bb96-c85a095c20b2" ] } ], "mendeley" : { "formattedCitation" : "(183\u2013185)", "plainTextFormattedCitation" : "(183\u2013185)", "previouslyFormattedCitation" : "(183\u2013185)" }, "properties" : { "noteIndex" : 19 }, "schema" : "https://github.com/citation-style-language/schema/raw/master/csl-citation.json" }</w:instrText>
      </w:r>
      <w:r w:rsidR="00BC3BBB" w:rsidRPr="00EC4DCF">
        <w:rPr>
          <w:rFonts w:ascii="Arial" w:hAnsi="Arial" w:cs="Arial"/>
          <w:color w:val="000000"/>
          <w:sz w:val="22"/>
          <w:szCs w:val="22"/>
          <w:shd w:val="clear" w:color="auto" w:fill="FFFFFF"/>
        </w:rPr>
        <w:fldChar w:fldCharType="separate"/>
      </w:r>
      <w:r w:rsidRPr="00EC4DCF">
        <w:rPr>
          <w:rFonts w:ascii="Arial" w:hAnsi="Arial" w:cs="Arial"/>
          <w:noProof/>
          <w:color w:val="000000"/>
          <w:sz w:val="22"/>
          <w:szCs w:val="22"/>
          <w:shd w:val="clear" w:color="auto" w:fill="FFFFFF"/>
        </w:rPr>
        <w:t>(183–185)</w:t>
      </w:r>
      <w:r w:rsidR="00BC3BBB" w:rsidRPr="00EC4DCF">
        <w:rPr>
          <w:rFonts w:ascii="Arial" w:hAnsi="Arial" w:cs="Arial"/>
          <w:color w:val="000000"/>
          <w:sz w:val="22"/>
          <w:szCs w:val="22"/>
          <w:shd w:val="clear" w:color="auto" w:fill="FFFFFF"/>
        </w:rPr>
        <w:fldChar w:fldCharType="end"/>
      </w:r>
      <w:r w:rsidRPr="00EC4DCF">
        <w:rPr>
          <w:rFonts w:ascii="Arial" w:hAnsi="Arial" w:cs="Arial"/>
          <w:color w:val="000000"/>
          <w:sz w:val="22"/>
          <w:szCs w:val="22"/>
          <w:shd w:val="clear" w:color="auto" w:fill="FFFFFF"/>
        </w:rPr>
        <w:t xml:space="preserve">. </w:t>
      </w:r>
    </w:p>
    <w:p w:rsidR="00C60153" w:rsidRPr="00EC4DCF" w:rsidRDefault="006A7F4A" w:rsidP="00EC4DCF">
      <w:pPr>
        <w:spacing w:line="360" w:lineRule="auto"/>
        <w:ind w:firstLine="708"/>
        <w:rPr>
          <w:rFonts w:ascii="Arial" w:hAnsi="Arial" w:cs="Arial"/>
          <w:b/>
          <w:i/>
          <w:sz w:val="22"/>
          <w:szCs w:val="22"/>
          <w:shd w:val="clear" w:color="auto" w:fill="FFFFFF"/>
        </w:rPr>
      </w:pPr>
      <w:r>
        <w:rPr>
          <w:rFonts w:ascii="Arial" w:hAnsi="Arial" w:cs="Arial"/>
          <w:b/>
          <w:i/>
          <w:sz w:val="22"/>
          <w:szCs w:val="22"/>
          <w:shd w:val="clear" w:color="auto" w:fill="FFFFFF"/>
        </w:rPr>
        <w:t>Monoamin</w:t>
      </w:r>
      <w:r w:rsidR="00C60153" w:rsidRPr="00EC4DCF">
        <w:rPr>
          <w:rFonts w:ascii="Arial" w:hAnsi="Arial" w:cs="Arial"/>
          <w:b/>
          <w:i/>
          <w:sz w:val="22"/>
          <w:szCs w:val="22"/>
          <w:shd w:val="clear" w:color="auto" w:fill="FFFFFF"/>
        </w:rPr>
        <w:t xml:space="preserve"> </w:t>
      </w:r>
      <w:r w:rsidR="00E828D6">
        <w:rPr>
          <w:rFonts w:ascii="Arial" w:hAnsi="Arial" w:cs="Arial"/>
          <w:b/>
          <w:i/>
          <w:sz w:val="22"/>
          <w:szCs w:val="22"/>
          <w:shd w:val="clear" w:color="auto" w:fill="FFFFFF"/>
        </w:rPr>
        <w:t xml:space="preserve">Oksidaz </w:t>
      </w:r>
      <w:r w:rsidR="00C60153" w:rsidRPr="00EC4DCF">
        <w:rPr>
          <w:rFonts w:ascii="Arial" w:hAnsi="Arial" w:cs="Arial"/>
          <w:b/>
          <w:i/>
          <w:sz w:val="22"/>
          <w:szCs w:val="22"/>
          <w:shd w:val="clear" w:color="auto" w:fill="FFFFFF"/>
        </w:rPr>
        <w:t>A (MAO-A)</w:t>
      </w:r>
    </w:p>
    <w:p w:rsidR="00C60153" w:rsidRPr="00EC4DCF" w:rsidRDefault="00C60153" w:rsidP="00EC4DCF">
      <w:pPr>
        <w:spacing w:line="360" w:lineRule="auto"/>
        <w:ind w:firstLine="708"/>
        <w:jc w:val="both"/>
        <w:rPr>
          <w:rFonts w:ascii="Arial" w:hAnsi="Arial" w:cs="Arial"/>
          <w:sz w:val="22"/>
          <w:szCs w:val="22"/>
        </w:rPr>
      </w:pPr>
      <w:r w:rsidRPr="00CA69E1">
        <w:rPr>
          <w:rFonts w:ascii="Arial" w:hAnsi="Arial" w:cs="Arial"/>
          <w:color w:val="212121"/>
          <w:sz w:val="22"/>
          <w:szCs w:val="22"/>
          <w:shd w:val="clear" w:color="auto" w:fill="FFFFFF"/>
        </w:rPr>
        <w:t xml:space="preserve">MAO-A enzimi norepinefrin, dopamin ve serotonin seviyelerini düzenler ve MAO-A “knockout” fareler bu nörotransmitter sistemlerinde çeşitli anormallik gösterir </w:t>
      </w:r>
      <w:r w:rsidR="00BC3BBB" w:rsidRPr="00CA69E1">
        <w:rPr>
          <w:rFonts w:ascii="Arial" w:hAnsi="Arial" w:cs="Arial"/>
          <w:color w:val="212121"/>
          <w:sz w:val="22"/>
          <w:szCs w:val="22"/>
          <w:shd w:val="clear" w:color="auto" w:fill="FFFFFF"/>
        </w:rPr>
        <w:fldChar w:fldCharType="begin" w:fldLock="1"/>
      </w:r>
      <w:r w:rsidRPr="00CA69E1">
        <w:rPr>
          <w:rFonts w:ascii="Arial" w:hAnsi="Arial" w:cs="Arial"/>
          <w:color w:val="212121"/>
          <w:sz w:val="22"/>
          <w:szCs w:val="22"/>
          <w:shd w:val="clear" w:color="auto" w:fill="FFFFFF"/>
        </w:rPr>
        <w:instrText>ADDIN CSL_CITATION { "citationItems" : [ { "id" : "ITEM-1", "itemData" : { "ISBN" : "0270-6474 (Print)\\r0270-6474 (Linking)", "ISSN" : "0270-6474", "PMID" : "9712661", "abstract" : "Genetic loss or pharmacological inhibition of monoamine oxidase A (MAOA) in mice leads to a large increase in whole-brain levels of serotonin (5-HT). Excess 5-HT in mouse neonates prevents the normal barrel-like clustering of thalamic axons in the somatosensory cortex. Projection fields of other neuron populations may develop abnormally. In the present study, we have analyzed the localization of 5-HT immunolabeling in the developing brain of MAOA knock-out mice. We show numerous atypical locations of 5-HT during embryonic and postnatal development. Catecholaminergic cells of the substantia nigra, ventral tegmental area, hypothalamus, and locus ceruleus display transient 5-HT immunoreactivity. Pharmacological treatments inhibiting specific monoamine plasma membrane transporters and genetic crosses with mice lacking the dopamine plasma membrane transporter show that the accumulation of 5-HT in these catecholaminergic cells is attributable to 5-HT uptake via the dopamine or the norepinephrine plasma membrane transporter. In the telencephalon, transient 5-HT immunolabeling is observed in neurons in the CA1 and CA3 fields of the hippocampus, the central amygdala, the indusium griseum, and the deep layers of the anterior cingulate and retrosplenial cortices. In the diencephalon, primary sensory nuclei, as well as the mediodorsal, centrolateral, oval paracentral, submedial, posterior, and lateral posterior thalamic nuclei, are transiently 5-HT immunolabeled. The cortical projections of these thalamic nuclei are also labeled. In the brainstem, neurons in the lateral superior olivary nucleus and the anteroventral cochlear nucleus are transiently 5-HT immunolabeled. None of these structures appear to express the monoamine biosynthetic enzyme L-aromatic amino acid decarboxylase. The administration of monoamine plasma membrane transporter inhibitors indicates that the 5-HT immunolabeling in these structures is attributable to an uptake of 5-HT by the 5-HT plasma membrane transporter. This points to neuron populations that form highly precise projection maps that could be affected by 5-HT during specific developmental stages.", "author" : [ { "dropping-particle" : "", "family" : "Cases", "given" : "O", "non-dropping-particle" : "", "parse-names" : false, "suffix" : "" }, { "dropping-particle" : "", "family" : "Lebrand", "given" : "C", "non-dropping-particle" : "", "parse-names" : false, "suffix" : "" }, { "dropping-particle" : "", "family" : "Giros", "given" : "B", "non-dropping-particle" : "", "parse-names" : false, "suffix" : "" }, { "dropping-particle" : "", "family" : "Vitalis", "given" : "T", "non-dropping-particle" : "", "parse-names" : false, "suffix" : "" }, { "dropping-particle" : "", "family" : "Maeyer", "given" : "E", "non-dropping-particle" : "De", "parse-names" : false, "suffix" : "" }, { "dropping-particle" : "", "family" : "Caron", "given" : "M G", "non-dropping-particle" : "", "parse-names" : false, "suffix" : "" }, { "dropping-particle" : "", "family" : "Price", "given" : "D J", "non-dropping-particle" : "", "parse-names" : false, "suffix" : "" }, { "dropping-particle" : "", "family" : "Gaspar", "given" : "P", "non-dropping-particle" : "", "parse-names" : false, "suffix" : "" }, { "dropping-particle" : "", "family" : "Seif", "given" : "I", "non-dropping-particle" : "", "parse-names" : false, "suffix" : "" } ], "container-title" : "J Neurosci", "id" : "ITEM-1", "issue" : "17", "issued" : { "date-parts" : [ [ "1998" ] ] }, "page" : "6914-6927", "title" : "Plasma membrane transporters of serotonin, dopamine, and norepinephrine mediate serotonin accumulation in atypical locations in the developing brain of monoamine oxidase A knock-outs", "type" : "article-journal", "volume" : "18" }, "uris" : [ "http://www.mendeley.com/documents/?uuid=886697df-bf87-4a3c-9eaf-9df796659a90" ] } ], "mendeley" : { "formattedCitation" : "(186)", "plainTextFormattedCitation" : "(186)", "previouslyFormattedCitation" : "(186)" }, "properties" : { "noteIndex" : 19 }, "schema" : "https://github.com/citation-style-language/schema/raw/master/csl-citation.json" }</w:instrText>
      </w:r>
      <w:r w:rsidR="00BC3BBB" w:rsidRPr="00CA69E1">
        <w:rPr>
          <w:rFonts w:ascii="Arial" w:hAnsi="Arial" w:cs="Arial"/>
          <w:color w:val="212121"/>
          <w:sz w:val="22"/>
          <w:szCs w:val="22"/>
          <w:shd w:val="clear" w:color="auto" w:fill="FFFFFF"/>
        </w:rPr>
        <w:fldChar w:fldCharType="separate"/>
      </w:r>
      <w:r w:rsidRPr="00CA69E1">
        <w:rPr>
          <w:rFonts w:ascii="Arial" w:hAnsi="Arial" w:cs="Arial"/>
          <w:noProof/>
          <w:color w:val="212121"/>
          <w:sz w:val="22"/>
          <w:szCs w:val="22"/>
          <w:shd w:val="clear" w:color="auto" w:fill="FFFFFF"/>
        </w:rPr>
        <w:t>(186)</w:t>
      </w:r>
      <w:r w:rsidR="00BC3BBB" w:rsidRPr="00CA69E1">
        <w:rPr>
          <w:rFonts w:ascii="Arial" w:hAnsi="Arial" w:cs="Arial"/>
          <w:color w:val="212121"/>
          <w:sz w:val="22"/>
          <w:szCs w:val="22"/>
          <w:shd w:val="clear" w:color="auto" w:fill="FFFFFF"/>
        </w:rPr>
        <w:fldChar w:fldCharType="end"/>
      </w:r>
      <w:r w:rsidRPr="00CA69E1">
        <w:rPr>
          <w:rFonts w:ascii="Arial" w:hAnsi="Arial" w:cs="Arial"/>
          <w:color w:val="212121"/>
          <w:sz w:val="22"/>
          <w:szCs w:val="22"/>
          <w:shd w:val="clear" w:color="auto" w:fill="FFFFFF"/>
        </w:rPr>
        <w:t xml:space="preserve"> </w:t>
      </w:r>
      <w:r w:rsidR="00CA69E1" w:rsidRPr="00CA69E1">
        <w:rPr>
          <w:rFonts w:ascii="Arial" w:hAnsi="Arial" w:cs="Arial"/>
          <w:sz w:val="22"/>
          <w:szCs w:val="22"/>
        </w:rPr>
        <w:t xml:space="preserve">MAO A'daki 30-bp VNTR'nin 4R ve 5R allelleri 133 İsrailli ailede yürütülen bir çalışmada DEHB ile ilişkili saptanmıştır </w:t>
      </w:r>
      <w:r w:rsidR="00BC3BBB" w:rsidRPr="00CA69E1">
        <w:rPr>
          <w:rFonts w:ascii="Arial" w:hAnsi="Arial" w:cs="Arial"/>
          <w:sz w:val="22"/>
          <w:szCs w:val="22"/>
        </w:rPr>
        <w:fldChar w:fldCharType="begin" w:fldLock="1"/>
      </w:r>
      <w:r w:rsidRPr="00CA69E1">
        <w:rPr>
          <w:rFonts w:ascii="Arial" w:hAnsi="Arial" w:cs="Arial"/>
          <w:sz w:val="22"/>
          <w:szCs w:val="22"/>
        </w:rPr>
        <w:instrText>ADDIN CSL_CITATION { "citationItems" : [ { "id" : "ITEM-1", "itemData" : { "DOI" : "10.1038/sj.mp.4001037", "ISBN" : "1359-4184 (Print)\\n1359-4184 (Linking)", "ISSN" : "1359-4184", "PMID" : "12140786", "abstract" : "Monoamine oxidase A (MAO A) is located on the X chromosome and metabolizes biogenic amines including dopamine, norepinephrine and serotonin. A functional promoter-region polymorphism of this gene has been described that has been studied in a number of mental illnesses but not in attention deficit hyperactivity disorder (ADHD). In the current study, we examined the MAO A promoter-region polymorphism initially in 133 triads and observed preferential transmission of the long alleles from 74 heterozygote mothers to ADHD probands (chi(2) = 4.37, P = 0.036, df = 1). We also examined the role of this polymorphism in a computerized continuous performance test, the TOVA. Significant differences were observed on errors of commission (chi(2) = 7.021, P = 0.008) and patients carrying the long MAO A allele made significantly more such errors. Errors of commission are a measure of impulsivity. However, following Ritalin (methylphenidate) administration the association between this polymorphism and errors of commission was markedly attenuated and no longer significant at the P &lt; 0.05 level. We also analyzed the provisional association by the case-control design. A significant difference in allele frequency was observed between 110 male probands vs 202 male controls (Pearson chi(2) = 7.94, P = 0.047). Similarly results were obtained when 19 female probands were compared to female controls (genotype chi(2) = 21.28; P = 0.0032, 3 df and allele chi(2) = 30.88, P= 0.0007, 2 df). All three complementary approaches employed (family-based, case-control and quantitative trait design) suggest a role for the MAO A promoter-region polymorphism in conferring risk for ADHD in our patient population.", "author" : [ { "dropping-particle" : "", "family" : "Manor", "given" : "I", "non-dropping-particle" : "", "parse-names" : false, "suffix" : "" }, { "dropping-particle" : "", "family" : "Tyano", "given" : "S", "non-dropping-particle" : "", "parse-names" : false, "suffix" : "" }, { "dropping-particle" : "", "family" : "Mel", "given" : "E", "non-dropping-particle" : "", "parse-names" : false, "suffix" : "" }, { "dropping-particle" : "", "family" : "Eisenberg", "given" : "J", "non-dropping-particle" : "", "parse-names" : false, "suffix" : "" }, { "dropping-particle" : "", "family" : "Bachner-Melman", "given" : "R", "non-dropping-particle" : "", "parse-names" : false, "suffix" : "" }, { "dropping-particle" : "", "family" : "Kotler", "given" : "M", "non-dropping-particle" : "", "parse-names" : false, "suffix" : "" }, { "dropping-particle" : "", "family" : "Ebstein", "given" : "R P", "non-dropping-particle" : "", "parse-names" : false, "suffix" : "" } ], "container-title" : "Molecular psychiatry", "id" : "ITEM-1", "issue" : "6", "issued" : { "date-parts" : [ [ "2002" ] ] }, "page" : "626-632", "title" : "Family-based and association studies of monoamine oxidase A and attention deficit hyperactivity disorder (ADHD): preferential transmission of the long promoter-region repeat and its association with impaired performance on a continuous performance test (T", "type" : "article-journal", "volume" : "7" }, "uris" : [ "http://www.mendeley.com/documents/?uuid=42697e6d-2831-457e-bf65-d567cb5ecb5a" ] } ], "mendeley" : { "formattedCitation" : "(187)", "plainTextFormattedCitation" : "(187)", "previouslyFormattedCitation" : "(187)" }, "properties" : { "noteIndex" : 19 }, "schema" : "https://github.com/citation-style-language/schema/raw/master/csl-citation.json" }</w:instrText>
      </w:r>
      <w:r w:rsidR="00BC3BBB" w:rsidRPr="00CA69E1">
        <w:rPr>
          <w:rFonts w:ascii="Arial" w:hAnsi="Arial" w:cs="Arial"/>
          <w:sz w:val="22"/>
          <w:szCs w:val="22"/>
        </w:rPr>
        <w:fldChar w:fldCharType="separate"/>
      </w:r>
      <w:r w:rsidRPr="00CA69E1">
        <w:rPr>
          <w:rFonts w:ascii="Arial" w:hAnsi="Arial" w:cs="Arial"/>
          <w:noProof/>
          <w:sz w:val="22"/>
          <w:szCs w:val="22"/>
        </w:rPr>
        <w:t>(187)</w:t>
      </w:r>
      <w:r w:rsidR="00BC3BBB" w:rsidRPr="00CA69E1">
        <w:rPr>
          <w:rFonts w:ascii="Arial" w:hAnsi="Arial" w:cs="Arial"/>
          <w:sz w:val="22"/>
          <w:szCs w:val="22"/>
        </w:rPr>
        <w:fldChar w:fldCharType="end"/>
      </w:r>
      <w:r w:rsidRPr="00CA69E1">
        <w:rPr>
          <w:rFonts w:ascii="Arial" w:hAnsi="Arial" w:cs="Arial"/>
          <w:color w:val="4F81BD" w:themeColor="accent1"/>
          <w:sz w:val="22"/>
          <w:szCs w:val="22"/>
        </w:rPr>
        <w:t xml:space="preserve">. </w:t>
      </w:r>
      <w:r w:rsidRPr="00CA69E1">
        <w:rPr>
          <w:rFonts w:ascii="Arial" w:hAnsi="Arial" w:cs="Arial"/>
          <w:sz w:val="22"/>
          <w:szCs w:val="22"/>
        </w:rPr>
        <w:t>İngiliz çocuklarla</w:t>
      </w:r>
      <w:r w:rsidRPr="00EC4DCF">
        <w:rPr>
          <w:rFonts w:ascii="Arial" w:hAnsi="Arial" w:cs="Arial"/>
          <w:sz w:val="22"/>
          <w:szCs w:val="22"/>
        </w:rPr>
        <w:t xml:space="preserve"> yapılan bir çalışmada MAO-A'nın hiç bir etkisinin olmadığını saptanmıştır </w:t>
      </w:r>
      <w:r w:rsidR="00BC3BBB" w:rsidRPr="00EC4DCF">
        <w:rPr>
          <w:rFonts w:ascii="Arial" w:hAnsi="Arial" w:cs="Arial"/>
          <w:sz w:val="22"/>
          <w:szCs w:val="22"/>
        </w:rPr>
        <w:fldChar w:fldCharType="begin" w:fldLock="1"/>
      </w:r>
      <w:r w:rsidRPr="00EC4DCF">
        <w:rPr>
          <w:rFonts w:ascii="Arial" w:hAnsi="Arial" w:cs="Arial"/>
          <w:sz w:val="22"/>
          <w:szCs w:val="22"/>
        </w:rPr>
        <w:instrText>ADDIN CSL_CITATION { "citationItems" : [ { "id" : "ITEM-1", "itemData" : { "DOI" : "10.1002/ajmg.b.10002", "ISSN" : "1552-4841", "abstract" : "Attention deficit hyperactivity disorder (ADHD) is a highly heritable disorder. Although the causes of ADHD are unknown, dopaminergic, serotonergic and nor\u2010adrenergic pathways have been strongly implicated. Monoamine Oxidase A (MAOA) is involved in the degradation of all three of these neurotransmitters and therefore has been suggested as a strong candidate gene for ADHD. Animal and human studies have implicated MAOA and 5\u2010HT in impulsive and aggressive behavior. We therefore additionally postulated that MAOA might be associated with a subtype of ADHD where aggressive and impulsive features are especially prominent. We have tested this hypothesis by genotyping two polymorphisms (the 30\u2010bp VNTR in the promoter and the Fnu4HI 941T\u2192G) in MAOA that are associated with altered MAOA function. Our sample consisted of 171 British Caucasian children 6\u201316 years of age fulfilling DSM\u2010III R, DSM\u2010IV or ICD\u201010 criteria for ADHD/Hyperkinetic Disorder. Using case control analysis and then the TDT, no association was found between these two MAOA polymorphisms and ADHD. Case control analysis of the VNTR showed an association with a subgroup of children with comorbid conduct problems (OR = 2.0, 95% CI = 1.09, 3.5), and TDT analysis indicated a statistical trend toward association. Our findings highlight the importance of phenotype definition and the need for the MAOA VNTR to be further examined. (PsycINFO Database Record (c) 2016 APA, all rights reserved)", "author" : [ { "dropping-particle" : "", "family" : "Lawson", "given" : "Deborah C", "non-dropping-particle" : "", "parse-names" : false, "suffix" : "" }, { "dropping-particle" : "", "family" : "Turic", "given" : "Darko", "non-dropping-particle" : "", "parse-names" : false, "suffix" : "" }, { "dropping-particle" : "", "family" : "Langley", "given" : "Kate", "non-dropping-particle" : "", "parse-names" : false, "suffix" : "" }, { "dropping-particle" : "", "family" : "Pay", "given" : "Helen M", "non-dropping-particle" : "", "parse-names" : false, "suffix" : "" }, { "dropping-particle" : "", "family" : "Govan", "given" : "Catherine F", "non-dropping-particle" : "", "parse-names" : false, "suffix" : "" }, { "dropping-particle" : "", "family" : "Norton", "given" : "Nadine", "non-dropping-particle" : "", "parse-names" : false, "suffix" : "" }, { "dropping-particle" : "", "family" : "Hamshere", "given" : "Marian L", "non-dropping-particle" : "", "parse-names" : false, "suffix" : "" }, { "dropping-particle" : "", "family" : "Owen", "given" : "Michael J", "non-dropping-particle" : "", "parse-names" : false, "suffix" : "" }, { "dropping-particle" : "", "family" : "O'Donovan", "given" : "Michael C", "non-dropping-particle" : "", "parse-names" : false, "suffix" : "" }, { "dropping-particle" : "", "family" : "Thapar", "given" : "Anita", "non-dropping-particle" : "", "parse-names" : false, "suffix" : "" } ], "container-title" : "American Journal of Medical Genetics Part B: Neuropsychiatric Genetics", "id" : "ITEM-1", "issue" : "1", "issued" : { "date-parts" : [ [ "2003" ] ] }, "page" : "84-89", "title" : "Association analysis of monoamine oxidase A and attention deficit hyperactivity disorder.", "type" : "article-journal", "volume" : "116B" }, "uris" : [ "http://www.mendeley.com/documents/?uuid=d8361195-c6e2-450e-ac63-f7bb4d3e55fa" ] } ], "mendeley" : { "formattedCitation" : "(188)", "plainTextFormattedCitation" : "(188)", "previouslyFormattedCitation" : "(188)" }, "properties" : { "noteIndex" : 19 }, "schema" : "https://github.com/citation-style-language/schema/raw/master/csl-citation.json" }</w:instrText>
      </w:r>
      <w:r w:rsidR="00BC3BBB" w:rsidRPr="00EC4DCF">
        <w:rPr>
          <w:rFonts w:ascii="Arial" w:hAnsi="Arial" w:cs="Arial"/>
          <w:sz w:val="22"/>
          <w:szCs w:val="22"/>
        </w:rPr>
        <w:fldChar w:fldCharType="separate"/>
      </w:r>
      <w:r w:rsidRPr="00EC4DCF">
        <w:rPr>
          <w:rFonts w:ascii="Arial" w:hAnsi="Arial" w:cs="Arial"/>
          <w:noProof/>
          <w:sz w:val="22"/>
          <w:szCs w:val="22"/>
        </w:rPr>
        <w:t>(188)</w:t>
      </w:r>
      <w:r w:rsidR="00BC3BBB" w:rsidRPr="00EC4DCF">
        <w:rPr>
          <w:rFonts w:ascii="Arial" w:hAnsi="Arial" w:cs="Arial"/>
          <w:sz w:val="22"/>
          <w:szCs w:val="22"/>
        </w:rPr>
        <w:fldChar w:fldCharType="end"/>
      </w:r>
      <w:r w:rsidRPr="00EC4DCF">
        <w:rPr>
          <w:rFonts w:ascii="Arial" w:hAnsi="Arial" w:cs="Arial"/>
          <w:color w:val="4F81BD" w:themeColor="accent1"/>
          <w:sz w:val="22"/>
          <w:szCs w:val="22"/>
        </w:rPr>
        <w:t xml:space="preserve">. </w:t>
      </w:r>
      <w:r w:rsidRPr="00EC4DCF">
        <w:rPr>
          <w:rFonts w:ascii="Arial" w:hAnsi="Arial" w:cs="Arial"/>
          <w:sz w:val="22"/>
          <w:szCs w:val="22"/>
        </w:rPr>
        <w:t xml:space="preserve">Jiang ve ark. 82 Çinlide intron 2 CA-tekrar mikrosatelitin DEHB ile ilişkili olduğunu saptamış </w:t>
      </w:r>
      <w:r w:rsidR="00BC3BBB" w:rsidRPr="00EC4DCF">
        <w:rPr>
          <w:rFonts w:ascii="Arial" w:hAnsi="Arial" w:cs="Arial"/>
          <w:sz w:val="22"/>
          <w:szCs w:val="22"/>
        </w:rPr>
        <w:fldChar w:fldCharType="begin" w:fldLock="1"/>
      </w:r>
      <w:r w:rsidRPr="00EC4DCF">
        <w:rPr>
          <w:rFonts w:ascii="Arial" w:hAnsi="Arial" w:cs="Arial"/>
          <w:sz w:val="22"/>
          <w:szCs w:val="22"/>
        </w:rPr>
        <w:instrText>ADDIN CSL_CITATION { "citationItems" : [ { "id" : "ITEM-1", "itemData" : { "DOI" : "10.1002/ajmg.10098", "ISBN" : "0148-7299 (Print)\\r0148-7299 (Linking)", "ISSN" : "0148-7299", "PMID" : "11803531", "abstract" : "Attention-deficit hyperactivity disorder (ADHD) is a prevalent behavioral disorder in children and the etiology of this disorder is not clear. Molecular genetic and pharmacological studies suggest the involvement of dopaminergic and noradrenergic neurotransmitter systems in ADHD, e.g., several reports have found association between ADHD and the dopamine receptor gene DRD-4, the dopamine transporter gene DAT1, and the catecholamine clearance enzyme catechol-O-methyltransferase. Monoamine oxidase (MAO) A and B genes encode enzymes that participate in the metabolism of neurotransmitters of the dopaminergic and noradrenergic systems. MAO inhibitors have been shown to be effective in the treatment of ADHD. Our previous studies showed an association between ADHD and the DXS7 locus, which is located in close vicinity to the MAO genes on chromosome X. These findings suggest that there might be linkage between ADHD and MAO genes. To test this hypothesis, we used the transmission/disequilibrium test (TDT) to test for linkage between a VNTR polymorphism at the MAOA(CA)(n) or MAOB(GT)(n) locus and DSM-III-R-diagnosed ADHD in 82 nuclear families of the Chinese population. The TDT analysis revealed linkage between ADHD and the MAOA(CA)(n) locus (chi-square = 15.25, df = 7, P &lt; 0.05), but not the MAOB(GT)(n) locus (chi-square = 11.18, df = 7, P &gt; 0.05). The data showed that ADHD was in linkage with the MAOA gene and suggested that MAOA might be a susceptibility factor for ADHD.", "author" : [ { "dropping-particle" : "", "family" : "Jiang", "given" : "S", "non-dropping-particle" : "", "parse-names" : false, "suffix" : "" }, { "dropping-particle" : "", "family" : "Xin", "given" : "R", "non-dropping-particle" : "", "parse-names" : false, "suffix" : "" }, { "dropping-particle" : "", "family" : "Lin", "given" : "S", "non-dropping-particle" : "", "parse-names" : false, "suffix" : "" }, { "dropping-particle" : "", "family" : "Qian", "given" : "Y", "non-dropping-particle" : "", "parse-names" : false, "suffix" : "" }, { "dropping-particle" : "", "family" : "Tang", "given" : "G", "non-dropping-particle" : "", "parse-names" : false, "suffix" : "" }, { "dropping-particle" : "", "family" : "Wang", "given" : "D", "non-dropping-particle" : "", "parse-names" : false, "suffix" : "" }, { "dropping-particle" : "", "family" : "Wu", "given" : "X", "non-dropping-particle" : "", "parse-names" : false, "suffix" : "" } ], "container-title" : "American Journal of Medical Genetics", "id" : "ITEM-1", "issue" : "8", "issued" : { "date-parts" : [ [ "2001" ] ] }, "page" : "783-788", "title" : "Linkage studies between attention-deficit hyperactivity disorder and the monoamine oxidase genes", "type" : "article-journal", "volume" : "105" }, "uris" : [ "http://www.mendeley.com/documents/?uuid=0de1e525-8d6a-4a65-9311-edc2dc55bf86" ] } ], "mendeley" : { "formattedCitation" : "(189)", "plainTextFormattedCitation" : "(189)", "previouslyFormattedCitation" : "(189)" }, "properties" : { "noteIndex" : 19 }, "schema" : "https://github.com/citation-style-language/schema/raw/master/csl-citation.json" }</w:instrText>
      </w:r>
      <w:r w:rsidR="00BC3BBB" w:rsidRPr="00EC4DCF">
        <w:rPr>
          <w:rFonts w:ascii="Arial" w:hAnsi="Arial" w:cs="Arial"/>
          <w:sz w:val="22"/>
          <w:szCs w:val="22"/>
        </w:rPr>
        <w:fldChar w:fldCharType="separate"/>
      </w:r>
      <w:r w:rsidRPr="00EC4DCF">
        <w:rPr>
          <w:rFonts w:ascii="Arial" w:hAnsi="Arial" w:cs="Arial"/>
          <w:noProof/>
          <w:sz w:val="22"/>
          <w:szCs w:val="22"/>
        </w:rPr>
        <w:t>(189)</w:t>
      </w:r>
      <w:r w:rsidR="00BC3BBB" w:rsidRPr="00EC4DCF">
        <w:rPr>
          <w:rFonts w:ascii="Arial" w:hAnsi="Arial" w:cs="Arial"/>
          <w:sz w:val="22"/>
          <w:szCs w:val="22"/>
        </w:rPr>
        <w:fldChar w:fldCharType="end"/>
      </w:r>
      <w:r w:rsidRPr="00EC4DCF">
        <w:rPr>
          <w:rFonts w:ascii="Arial" w:hAnsi="Arial" w:cs="Arial"/>
          <w:color w:val="4F81BD" w:themeColor="accent1"/>
          <w:sz w:val="22"/>
          <w:szCs w:val="22"/>
        </w:rPr>
        <w:t>,</w:t>
      </w:r>
      <w:r w:rsidRPr="00EC4DCF">
        <w:rPr>
          <w:rFonts w:ascii="Arial" w:hAnsi="Arial" w:cs="Arial"/>
          <w:sz w:val="22"/>
          <w:szCs w:val="22"/>
        </w:rPr>
        <w:t xml:space="preserve"> fakat bu sonuç Payton ve ark. tarafından beyaz ırk örneklem ile yapılan çalışmada tekrarlanmamıştır </w:t>
      </w:r>
      <w:r w:rsidR="00BC3BBB" w:rsidRPr="00EC4DCF">
        <w:rPr>
          <w:rFonts w:ascii="Arial" w:hAnsi="Arial" w:cs="Arial"/>
          <w:sz w:val="22"/>
          <w:szCs w:val="22"/>
        </w:rPr>
        <w:fldChar w:fldCharType="begin" w:fldLock="1"/>
      </w:r>
      <w:r w:rsidRPr="00EC4DCF">
        <w:rPr>
          <w:rFonts w:ascii="Arial" w:hAnsi="Arial" w:cs="Arial"/>
          <w:sz w:val="22"/>
          <w:szCs w:val="22"/>
        </w:rPr>
        <w:instrText>ADDIN CSL_CITATION { "citationItems" : [ { "id" : "ITEM-1", "itemData" : { "DOI" : "10.1002/ajmg.1407", "ISBN" : "0148-7299 (Print)0148-7299", "ISSN" : "15524841", "PMID" : "11449400", "abstract" : "Attention-deficit hyperactivity disorder (ADHD) is a highly heritable childhood-onset psychiatric condition characterized by developmentally inappropriate inattention, hyperactivity, and impulsiveness. The pathophysiology of ADHD is currently unknown. However, the therapeutic effects of stimulant medication together with findings from animal and neuroimaging studies as well as from several molecular genetic studies of the dopamine receptor D4 gene and dopamine transporter gene have implicated involvement of the dopaminergic system. To test the dopaminergic hypothesis further, we have looked for association between ADHD and alleles of seven dopamine-related candidate genes using a family-based association approach in a sample of 150 children diagnosed with ADHD. We tested polymorphisms in genes encoding three dopamine receptors (DRD3, DRD4, and DRD5) and four dopamine-relevant enzymes: tyrosine hydroxylase [tyrosine hydroxylase (TH)], dopamine beta hydroxylase (DbetaH), catechol-O-methyltransferase (COMT), and monoamine oxidase A (MAOA). We were unable to detect a significant association with any of the polymorphisms genotyped, although there was a trend for preferential transmission of the DRD5 148 bp marker allele and the MAOA 122 bp marker allele. We conclude that none of the alleles we have tested makes a major contribution to ADHD, although much larger samples are required to exclude small effects.", "author" : [ { "dropping-particle" : "", "family" : "Payton", "given" : "Antony", "non-dropping-particle" : "", "parse-names" : false, "suffix" : "" }, { "dropping-particle" : "", "family" : "Holmes", "given" : "Jane", "non-dropping-particle" : "", "parse-names" : false, "suffix" : "" }, { "dropping-particle" : "", "family" : "Barrett", "given" : "Jennifer H.", "non-dropping-particle" : "", "parse-names" : false, "suffix" : "" }, { "dropping-particle" : "", "family" : "Hever", "given" : "Tracey", "non-dropping-particle" : "", "parse-names" : false, "suffix" : "" }, { "dropping-particle" : "", "family" : "Fitzpatrick", "given" : "Helen", "non-dropping-particle" : "", "parse-names" : false, "suffix" : "" }, { "dropping-particle" : "", "family" : "Trumper", "given" : "Anne L.", "non-dropping-particle" : "", "parse-names" : false, "suffix" : "" }, { "dropping-particle" : "", "family" : "Harrington", "given" : "Richard", "non-dropping-particle" : "", "parse-names" : false, "suffix" : "" }, { "dropping-particle" : "", "family" : "McGuffin", "given" : "Peter", "non-dropping-particle" : "", "parse-names" : false, "suffix" : "" }, { "dropping-particle" : "", "family" : "O'Donovan", "given" : "Michael", "non-dropping-particle" : "", "parse-names" : false, "suffix" : "" }, { "dropping-particle" : "", "family" : "Owen", "given" : "Michael", "non-dropping-particle" : "", "parse-names" : false, "suffix" : "" }, { "dropping-particle" : "", "family" : "Ollier", "given" : "William", "non-dropping-particle" : "", "parse-names" : false, "suffix" : "" }, { "dropping-particle" : "", "family" : "Worthington", "given" : "Jane", "non-dropping-particle" : "", "parse-names" : false, "suffix" : "" }, { "dropping-particle" : "", "family" : "Thapar", "given" : "Anita", "non-dropping-particle" : "", "parse-names" : false, "suffix" : "" } ], "container-title" : "American Journal of Medical Genetics - Neuropsychiatric Genetics", "id" : "ITEM-1", "issue" : "5", "issued" : { "date-parts" : [ [ "2001" ] ] }, "page" : "464-470", "title" : "Examining for association between candidate gene polymorphisms in the dopamine pathway and attention-deficit hyperactivity disorder: A family-based study", "type" : "article-journal", "volume" : "105" }, "uris" : [ "http://www.mendeley.com/documents/?uuid=df71a94b-8ae1-4c0e-88a3-ac42736e8e52" ] } ], "mendeley" : { "formattedCitation" : "(190)", "plainTextFormattedCitation" : "(190)", "previouslyFormattedCitation" : "(190)" }, "properties" : { "noteIndex" : 19 }, "schema" : "https://github.com/citation-style-language/schema/raw/master/csl-citation.json" }</w:instrText>
      </w:r>
      <w:r w:rsidR="00BC3BBB" w:rsidRPr="00EC4DCF">
        <w:rPr>
          <w:rFonts w:ascii="Arial" w:hAnsi="Arial" w:cs="Arial"/>
          <w:sz w:val="22"/>
          <w:szCs w:val="22"/>
        </w:rPr>
        <w:fldChar w:fldCharType="separate"/>
      </w:r>
      <w:r w:rsidRPr="00EC4DCF">
        <w:rPr>
          <w:rFonts w:ascii="Arial" w:hAnsi="Arial" w:cs="Arial"/>
          <w:noProof/>
          <w:sz w:val="22"/>
          <w:szCs w:val="22"/>
        </w:rPr>
        <w:t>(190)</w:t>
      </w:r>
      <w:r w:rsidR="00BC3BBB" w:rsidRPr="00EC4DCF">
        <w:rPr>
          <w:rFonts w:ascii="Arial" w:hAnsi="Arial" w:cs="Arial"/>
          <w:sz w:val="22"/>
          <w:szCs w:val="22"/>
        </w:rPr>
        <w:fldChar w:fldCharType="end"/>
      </w:r>
      <w:r w:rsidRPr="00EC4DCF">
        <w:rPr>
          <w:rFonts w:ascii="Arial" w:hAnsi="Arial" w:cs="Arial"/>
          <w:color w:val="4F81BD" w:themeColor="accent1"/>
          <w:sz w:val="22"/>
          <w:szCs w:val="22"/>
        </w:rPr>
        <w:t xml:space="preserve">. </w:t>
      </w:r>
      <w:r w:rsidRPr="00EC4DCF">
        <w:rPr>
          <w:rFonts w:ascii="Arial" w:hAnsi="Arial" w:cs="Arial"/>
          <w:sz w:val="22"/>
          <w:szCs w:val="22"/>
        </w:rPr>
        <w:t xml:space="preserve">IMAGE çalışması, DEHB ile anlamlı şekilde ilişkisi bulunan beş işaretli SNP belirlemiştir (overlapping 941G&gt;T SNP) </w:t>
      </w:r>
      <w:r w:rsidR="00BC3BBB" w:rsidRPr="00EC4DCF">
        <w:rPr>
          <w:rFonts w:ascii="Arial" w:hAnsi="Arial" w:cs="Arial"/>
          <w:sz w:val="22"/>
          <w:szCs w:val="22"/>
        </w:rPr>
        <w:fldChar w:fldCharType="begin" w:fldLock="1"/>
      </w:r>
      <w:r w:rsidRPr="00EC4DCF">
        <w:rPr>
          <w:rFonts w:ascii="Arial" w:hAnsi="Arial" w:cs="Arial"/>
          <w:sz w:val="22"/>
          <w:szCs w:val="22"/>
        </w:rPr>
        <w:instrText>ADDIN CSL_CITATION { "citationItems" : [ { "id" : "ITEM-1", "itemData" : { "DOI" : "10.1038/sj.mp.4001869", "ISBN" : "1359-4184 (Print)\\r1359-4184", "ISSN" : "1359-4184", "PMID" : "16894395", "abstract" : "Attention deficit hyperactivity disorder (ADHD) is a common neurodevelopmental disorder, starting in early childhood and persisting into adulthood in the majority of cases. Family and twin studies have demonstrated the importance of genetic factors and candidate gene association studies have identified several loci that exert small but significant effects on ADHD. To provide further clarification of reported associations and identify novel associated genes, we examined 1,038 single-nucleotide polymorphisms (SNPs) spanning 51 candidate genes involved in the regulation of neurotransmitter pathways, particularly dopamine, norepinephrine and serotonin pathways, in addition to circadian rhythm genes. Analysis used within family tests of association in a sample of 776 DSM-IV ADHD combined type cases ascertained for the International Multi-centre ADHD Gene project. We found nominal significance with one or more SNPs in 18 genes, including the two most replicated findings in the literature: DRD4 and DAT1. Gene-wide tests, adjusted for the number of SNPs analysed in each gene, identified associations with TPH2, ARRB2, SYP, DAT1, ADRB2, HES1, MAOA and PNMT. Further studies will be needed to confirm or refute the observed associations and their generalisability to other samples.", "author" : [ { "dropping-particle" : "", "family" : "Brookes", "given" : "K", "non-dropping-particle" : "", "parse-names" : false, "suffix" : "" }, { "dropping-particle" : "", "family" : "Xu", "given" : "X", "non-dropping-particle" : "", "parse-names" : false, "suffix" : "" }, { "dropping-particle" : "", "family" : "Chen", "given" : "W", "non-dropping-particle" : "", "parse-names" : false, "suffix" : "" }, { "dropping-particle" : "", "family" : "Zhou", "given" : "K", "non-dropping-particle" : "", "parse-names" : false, "suffix" : "" }, { "dropping-particle" : "", "family" : "Neale", "given" : "B", "non-dropping-particle" : "", "parse-names" : false, "suffix" : "" }, { "dropping-particle" : "", "family" : "Lowe", "given" : "N", "non-dropping-particle" : "", "parse-names" : false, "suffix" : "" }, { "dropping-particle" : "", "family" : "Aneey", "given" : "R", "non-dropping-particle" : "", "parse-names" : false, "suffix" : "" }, { "dropping-particle" : "", "family" : "Franke", "given" : "B", "non-dropping-particle" : "", "parse-names" : false, "suffix" : "" }, { "dropping-particle" : "", "family" : "Gill", "given" : "M", "non-dropping-particle" : "", "parse-names" : false, "suffix" : "" }, { "dropping-particle" : "", "family" : "Ebstein", "given" : "R", "non-dropping-particle" : "", "parse-names" : false, "suffix" : "" }, { "dropping-particle" : "", "family" : "Buitelaar", "given" : "J", "non-dropping-particle" : "", "parse-names" : false, "suffix" : "" }, { "dropping-particle" : "", "family" : "Sham", "given" : "P", "non-dropping-particle" : "", "parse-names" : false, "suffix" : "" }, { "dropping-particle" : "", "family" : "Campbell", "given" : "D", "non-dropping-particle" : "", "parse-names" : false, "suffix" : "" }, { "dropping-particle" : "", "family" : "Knight", "given" : "J", "non-dropping-particle" : "", "parse-names" : false, "suffix" : "" }, { "dropping-particle" : "", "family" : "Andreou", "given" : "P", "non-dropping-particle" : "", "parse-names" : false, "suffix" : "" }, { "dropping-particle" : "", "family" : "Altink", "given" : "M", "non-dropping-particle" : "", "parse-names" : false, "suffix" : "" }, { "dropping-particle" : "", "family" : "Arnold", "given" : "R", "non-dropping-particle" : "", "parse-names" : false, "suffix" : "" }, { "dropping-particle" : "", "family" : "Boer", "given" : "F", "non-dropping-particle" : "", "parse-names" : false, "suffix" : "" }, { "dropping-particle" : "", "family" : "Buschgens", "given" : "C", "non-dropping-particle" : "", "parse-names" : false, "suffix" : "" }, { "dropping-particle" : "", "family" : "Butler", "given" : "L", "non-dropping-particle" : "", "parse-names" : false, "suffix" : "" }, { "dropping-particle" : "", "family" : "Christiansen", "given" : "H", "non-dropping-particle" : "", "parse-names" : false, "suffix" : "" }, { "dropping-particle" : "", "family" : "Feldman", "given" : "L", "non-dropping-particle" : "", "parse-names" : false, "suffix" : "" }, { "dropping-particle" : "", "family" : "Fleischman", "given" : "K", "non-dropping-particle" : "", "parse-names" : false, "suffix" : "" }, { "dropping-particle" : "", "family" : "Fliers", "given" : "E", "non-dropping-particle" : "", "parse-names" : false, "suffix" : "" }, { "dropping-particle" : "", "family" : "Howe-Forbes", "given" : "R", "non-dropping-particle" : "", "parse-names" : false, "suffix" : "" }, { "dropping-particle" : "", "family" : "Goldfarb", "given" : "A", "non-dropping-particle" : "", "parse-names" : false, "suffix" : "" }, { "dropping-particle" : "", "family" : "Heise", "given" : "A", "non-dropping-particle" : "", "parse-names" : false, "suffix" : "" }, { "dropping-particle" : "", "family" : "Gabri\u00ebls", "given" : "I", "non-dropping-particle" : "", "parse-names" : false, "suffix" : "" }, { "dropping-particle" : "", "family" : "Korn-Lubetzki", "given" : "I", "non-dropping-particle" : "", "parse-names" : false, "suffix" : "" }, { "dropping-particle" : "", "family" : "Marco", "given" : "R", "non-dropping-particle" : "", "parse-names" : false, "suffix" : "" }, { "dropping-particle" : "", "family" : "Medad", "given" : "S", "non-dropping-particle" : "", "parse-names" : false, "suffix" : "" }, { "dropping-particle" : "", "family" : "Minderaa", "given" : "R", "non-dropping-particle" : "", "parse-names" : false, "suffix" : "" }, { "dropping-particle" : "", "family" : "Mulas", "given" : "F", "non-dropping-particle" : "", "parse-names" : false, "suffix" : "" }, { "dropping-particle" : "", "family" : "M\u00fcller", "given" : "U", "non-dropping-particle" : "", "parse-names" : false, "suffix" : "" }, { "dropping-particle" : "", "family" : "Mulligan", "given" : "A", "non-dropping-particle" : "", "parse-names" : false, "suffix" : "" }, { "dropping-particle" : "", "family" : "Rabin", "given" : "K", "non-dropping-particle" : "", "parse-names" : false, "suffix" : "" }, { "dropping-particle" : "", "family" : "Rommelse", "given" : "N", "non-dropping-particle" : "", "parse-names" : false, "suffix" : "" }, { "dropping-particle" : "", "family" : "Sethna", "given" : "V", "non-dropping-particle" : "", "parse-names" : false, "suffix" : "" }, { "dropping-particle" : "", "family" : "Sorohan", "given" : "J", "non-dropping-particle" : "", "parse-names" : false, "suffix" : "" }, { "dropping-particle" : "", "family" : "Uebel", "given" : "H", "non-dropping-particle" : "", "parse-names" : false, "suffix" : "" }, { "dropping-particle" : "", "family" : "Psychogiou", "given" : "L", "non-dropping-particle" : "", "parse-names" : false, "suffix" : "" }, { "dropping-particle" : "", "family" : "Weeks", "given" : "A", "non-dropping-particle" : "", "parse-names" : false, "suffix" : "" }, { "dropping-particle" : "", "family" : "Barrett", "given" : "R", "non-dropping-particle" : "", "parse-names" : false, "suffix" : "" }, { "dropping-particle" : "", "family" : "Craig", "given" : "I", "non-dropping-particle" : "", "parse-names" : false, "suffix" : "" }, { "dropping-particle" : "", "family" : "Banaschewski", "given" : "T", "non-dropping-particle" : "", "parse-names" : false, "suffix" : "" }, { "dropping-particle" : "", "family" : "Sonuga-Barke", "given" : "E", "non-dropping-particle" : "", "parse-names" : false, "suffix" : "" }, { "dropping-particle" : "", "family" : "Eisenberg", "given" : "J", "non-dropping-particle" : "", "parse-names" : false, "suffix" : "" }, { "dropping-particle" : "", "family" : "Kuntsi", "given" : "J", "non-dropping-particle" : "", "parse-names" : false, "suffix" : "" }, { "dropping-particle" : "", "family" : "Manor", "given" : "I", "non-dropping-particle" : "", "parse-names" : false, "suffix" : "" }, { "dropping-particle" : "", "family" : "McGuffin", "given" : "P", "non-dropping-particle" : "", "parse-names" : false, "suffix" : "" }, { "dropping-particle" : "", "family" : "Miranda", "given" : "A", "non-dropping-particle" : "", "parse-names" : false, "suffix" : "" }, { "dropping-particle" : "", "family" : "Oades", "given" : "R D", "non-dropping-particle" : "", "parse-names" : false, "suffix" : "" }, { "dropping-particle" : "", "family" : "Plomin", "given" : "R", "non-dropping-particle" : "", "parse-names" : false, "suffix" : "" }, { "dropping-particle" : "", "family" : "Roeyers", "given" : "H", "non-dropping-particle" : "", "parse-names" : false, "suffix" : "" }, { "dropping-particle" : "", "family" : "Rothenberger", "given" : "A", "non-dropping-particle" : "", "parse-names" : false, "suffix" : "" }, { "dropping-particle" : "", "family" : "Sergeant", "given" : "J", "non-dropping-particle" : "", "parse-names" : false, "suffix" : "" }, { "dropping-particle" : "", "family" : "Steinhausen", "given" : "H-C", "non-dropping-particle" : "", "parse-names" : false, "suffix" : "" }, { "dropping-particle" : "", "family" : "Taylor", "given" : "E", "non-dropping-particle" : "", "parse-names" : false, "suffix" : "" }, { "dropping-particle" : "", "family" : "Thompson", "given" : "M", "non-dropping-particle" : "", "parse-names" : false, "suffix" : "" }, { "dropping-particle" : "V", "family" : "Faraone", "given" : "S", "non-dropping-particle" : "", "parse-names" : false, "suffix" : "" }, { "dropping-particle" : "", "family" : "Asherson", "given" : "P", "non-dropping-particle" : "", "parse-names" : false, "suffix" : "" }, { "dropping-particle" : "", "family" : "Johansson", "given" : "L", "non-dropping-particle" : "", "parse-names" : false, "suffix" : "" } ], "container-title" : "Molecular Psychiatry", "id" : "ITEM-1", "issue" : "10", "issued" : { "date-parts" : [ [ "2006" ] ] }, "page" : "934-953", "title" : "The analysis of 51 genes in DSM-IV combined type attention deficit hyperactivity disorder: association signals in DRD4, DAT1 and 16 other genes", "type" : "article-journal", "volume" : "11" }, "uris" : [ "http://www.mendeley.com/documents/?uuid=d326f6d1-a4b7-4947-aae7-7fea9984efc7" ] } ], "mendeley" : { "formattedCitation" : "(191)", "plainTextFormattedCitation" : "(191)", "previouslyFormattedCitation" : "(191)" }, "properties" : { "noteIndex" : 19 }, "schema" : "https://github.com/citation-style-language/schema/raw/master/csl-citation.json" }</w:instrText>
      </w:r>
      <w:r w:rsidR="00BC3BBB" w:rsidRPr="00EC4DCF">
        <w:rPr>
          <w:rFonts w:ascii="Arial" w:hAnsi="Arial" w:cs="Arial"/>
          <w:sz w:val="22"/>
          <w:szCs w:val="22"/>
        </w:rPr>
        <w:fldChar w:fldCharType="separate"/>
      </w:r>
      <w:r w:rsidRPr="00EC4DCF">
        <w:rPr>
          <w:rFonts w:ascii="Arial" w:hAnsi="Arial" w:cs="Arial"/>
          <w:noProof/>
          <w:sz w:val="22"/>
          <w:szCs w:val="22"/>
        </w:rPr>
        <w:t>(191)</w:t>
      </w:r>
      <w:r w:rsidR="00BC3BBB" w:rsidRPr="00EC4DCF">
        <w:rPr>
          <w:rFonts w:ascii="Arial" w:hAnsi="Arial" w:cs="Arial"/>
          <w:sz w:val="22"/>
          <w:szCs w:val="22"/>
        </w:rPr>
        <w:fldChar w:fldCharType="end"/>
      </w:r>
    </w:p>
    <w:p w:rsidR="00C60153" w:rsidRPr="00EC4DCF" w:rsidRDefault="006A7F4A" w:rsidP="00EC4DCF">
      <w:pPr>
        <w:pStyle w:val="HTMLncedenBiimlendirilmi"/>
        <w:shd w:val="clear" w:color="auto" w:fill="FFFFFF"/>
        <w:spacing w:line="360" w:lineRule="auto"/>
        <w:rPr>
          <w:rFonts w:ascii="Arial" w:hAnsi="Arial" w:cs="Arial"/>
          <w:b/>
          <w:i/>
          <w:sz w:val="22"/>
          <w:szCs w:val="22"/>
        </w:rPr>
      </w:pPr>
      <w:r>
        <w:rPr>
          <w:rFonts w:ascii="Arial" w:hAnsi="Arial" w:cs="Arial"/>
          <w:b/>
          <w:i/>
          <w:sz w:val="22"/>
          <w:szCs w:val="22"/>
        </w:rPr>
        <w:tab/>
        <w:t>Dopamin</w:t>
      </w:r>
      <w:r w:rsidR="00C60153" w:rsidRPr="00EC4DCF">
        <w:rPr>
          <w:rFonts w:ascii="Arial" w:hAnsi="Arial" w:cs="Arial"/>
          <w:b/>
          <w:i/>
          <w:sz w:val="22"/>
          <w:szCs w:val="22"/>
        </w:rPr>
        <w:t xml:space="preserve"> D2 Reseptör (DRD2)</w:t>
      </w:r>
    </w:p>
    <w:p w:rsidR="00C60153" w:rsidRPr="00EC4DCF" w:rsidRDefault="00C60153" w:rsidP="00EC4DCF">
      <w:pPr>
        <w:pStyle w:val="HTMLncedenBiimlendirilmi"/>
        <w:shd w:val="clear" w:color="auto" w:fill="FFFFFF"/>
        <w:spacing w:line="360" w:lineRule="auto"/>
        <w:rPr>
          <w:rFonts w:ascii="Arial" w:hAnsi="Arial" w:cs="Arial"/>
          <w:i/>
          <w:iCs/>
          <w:color w:val="4F81BD" w:themeColor="accent1"/>
          <w:sz w:val="22"/>
          <w:szCs w:val="22"/>
        </w:rPr>
      </w:pPr>
      <w:r w:rsidRPr="00EC4DCF">
        <w:rPr>
          <w:rFonts w:ascii="Arial" w:hAnsi="Arial" w:cs="Arial"/>
          <w:b/>
          <w:i/>
          <w:sz w:val="22"/>
          <w:szCs w:val="22"/>
        </w:rPr>
        <w:tab/>
      </w:r>
      <w:r w:rsidRPr="00EC4DCF">
        <w:rPr>
          <w:rFonts w:ascii="Arial" w:hAnsi="Arial" w:cs="Arial"/>
          <w:color w:val="212121"/>
          <w:sz w:val="22"/>
          <w:szCs w:val="22"/>
          <w:shd w:val="clear" w:color="auto" w:fill="FFFFFF"/>
        </w:rPr>
        <w:t>Dopamin D2 reseptörü DEHB’de DRD4 ve DRD5'e göre daha az kapsamlı olarak çalışılmıştır.</w:t>
      </w:r>
      <w:r w:rsidRPr="00EC4DCF">
        <w:rPr>
          <w:rFonts w:ascii="Arial" w:hAnsi="Arial" w:cs="Arial"/>
          <w:sz w:val="22"/>
          <w:szCs w:val="22"/>
        </w:rPr>
        <w:t xml:space="preserve"> D2DR'deki TaqIA1 alleli (rs1800497), </w:t>
      </w:r>
      <w:r w:rsidR="00332004">
        <w:rPr>
          <w:rFonts w:ascii="Arial" w:hAnsi="Arial" w:cs="Arial"/>
          <w:sz w:val="22"/>
          <w:szCs w:val="22"/>
        </w:rPr>
        <w:t>çoğunluğunda komorbid Tourette s</w:t>
      </w:r>
      <w:r w:rsidRPr="00EC4DCF">
        <w:rPr>
          <w:rFonts w:ascii="Arial" w:hAnsi="Arial" w:cs="Arial"/>
          <w:sz w:val="22"/>
          <w:szCs w:val="22"/>
        </w:rPr>
        <w:t xml:space="preserve">endromu bulunan 104 DEHB tanılı bireyde DEHB ile ilişkili olduğu bulunmuştur </w:t>
      </w:r>
      <w:r w:rsidR="00BC3BBB" w:rsidRPr="00EC4DCF">
        <w:rPr>
          <w:rFonts w:ascii="Arial" w:hAnsi="Arial" w:cs="Arial"/>
          <w:sz w:val="22"/>
          <w:szCs w:val="22"/>
        </w:rPr>
        <w:fldChar w:fldCharType="begin" w:fldLock="1"/>
      </w:r>
      <w:r w:rsidRPr="00EC4DCF">
        <w:rPr>
          <w:rFonts w:ascii="Arial" w:hAnsi="Arial" w:cs="Arial"/>
          <w:sz w:val="22"/>
          <w:szCs w:val="22"/>
        </w:rPr>
        <w:instrText>ADDIN CSL_CITATION { "citationItems" : [ { "id" : "ITEM-1", "itemData" : { "DOI" : "10.1001/jama.266.13.1793", "ISBN" : "0098-7484 (Print)\\r0098-7484 (Linking)", "ISSN" : "00987484", "PMID" : "1832466", "abstract" : "OBJECTIVE: --The A1 allele of the Taq I polymorphism of the dopamine D2 receptor (DRD2) gene has been earlier reported to occur in 69% of alcoholics, compared with 20% of controls. Other research has reported no significant difference in the prevalence of the A1 allele in alcoholics vs controls and no evidence that the DRD2 gene was linked to alcoholism. We hypothesized that these seemingly conflicting results might be because increases in the prevalence of the A1 allele may not be specific to alcoholism. Thus, we examined other disorders frequently associated with alcoholism or those believed to involve defects in dopaminergic neurotransmission. DESIGN: --Case comparison study. To minimize the effect of racial differences in gene frequencies, the study was restricted to non-Hispanic whites. SETTING: --Ambulatory and hospitalized patients. RESULTS: --Among all known controls (n = 314), 77 (24.5%) carried the A1 allele. Of the 69 controls known not to be alcoholics, 10 (14.5%) carried the A1 allele. The prevalence of the A1 allele was significantly increased in patients with Tourette's syndrome (44.9%, n = 147), attention deficit hyperactivity disorder (46.2%, n = 104), autism (54.5%, n = 33), alcoholism (42.3%, n = 104), and posttraumatic stress disorder (45.7%, n = 35). After correction for multiple comparisons (requiring P less than .0009 for significance), all remained significant except posttraumatic stress disorder. The prevalence of the A1 allele was not significantly increased in patients with depression, panic attacks, Parkinson's disease, or obesity. The prevalence of the A1 allele in drug addiction and schizophrenia was only significant when compared with that of controls who were not alcoholics, and no correction was made for multiple comparisons. CONCLUSION: --These results suggest the A1 allele of the DRD2 gene is associated with a number of behavior disorders in which it may act as a modifying gene rather than as the primary etiological agent.", "author" : [ { "dropping-particle" : "", "family" : "Comings", "given" : "D E", "non-dropping-particle" : "", "parse-names" : false, "suffix" : "" }, { "dropping-particle" : "", "family" : "Comings", "given" : "B G", "non-dropping-particle" : "", "parse-names" : false, "suffix" : "" }, { "dropping-particle" : "", "family" : "Muhleman", "given" : "D", "non-dropping-particle" : "", "parse-names" : false, "suffix" : "" }, { "dropping-particle" : "", "family" : "Dietz", "given" : "G", "non-dropping-particle" : "", "parse-names" : false, "suffix" : "" }, { "dropping-particle" : "", "family" : "Shahbahrami", "given" : "B", "non-dropping-particle" : "", "parse-names" : false, "suffix" : "" }, { "dropping-particle" : "", "family" : "Tast", "given" : "D", "non-dropping-particle" : "", "parse-names" : false, "suffix" : "" }, { "dropping-particle" : "", "family" : "Knell", "given" : "E", "non-dropping-particle" : "", "parse-names" : false, "suffix" : "" }, { "dropping-particle" : "", "family" : "Kocsis", "given" : "P", "non-dropping-particle" : "", "parse-names" : false, "suffix" : "" }, { "dropping-particle" : "", "family" : "Baumgarten", "given" : "R", "non-dropping-particle" : "", "parse-names" : false, "suffix" : "" }, { "dropping-particle" : "", "family" : "Kovacs", "given" : "B W", "non-dropping-particle" : "", "parse-names" : false, "suffix" : "" }, { "dropping-particle" : "", "family" : "et al.", "given" : "", "non-dropping-particle" : "", "parse-names" : false, "suffix" : "" } ], "container-title" : "Jama", "id" : "ITEM-1", "issue" : "13", "issued" : { "date-parts" : [ [ "1991" ] ] }, "page" : "1793-1800", "title" : "The dopamine D2 receptor locus as a modifying gene in neuropsychiatric disorders", "type" : "article-journal", "volume" : "266" }, "uris" : [ "http://www.mendeley.com/documents/?uuid=f2a17dcd-56aa-4237-8093-b0ee1558ab73" ] } ], "mendeley" : { "formattedCitation" : "(192)", "plainTextFormattedCitation" : "(192)", "previouslyFormattedCitation" : "(192)" }, "properties" : { "noteIndex" : 19 }, "schema" : "https://github.com/citation-style-language/schema/raw/master/csl-citation.json" }</w:instrText>
      </w:r>
      <w:r w:rsidR="00BC3BBB" w:rsidRPr="00EC4DCF">
        <w:rPr>
          <w:rFonts w:ascii="Arial" w:hAnsi="Arial" w:cs="Arial"/>
          <w:sz w:val="22"/>
          <w:szCs w:val="22"/>
        </w:rPr>
        <w:fldChar w:fldCharType="separate"/>
      </w:r>
      <w:r w:rsidRPr="00EC4DCF">
        <w:rPr>
          <w:rFonts w:ascii="Arial" w:hAnsi="Arial" w:cs="Arial"/>
          <w:noProof/>
          <w:sz w:val="22"/>
          <w:szCs w:val="22"/>
        </w:rPr>
        <w:t>(192)</w:t>
      </w:r>
      <w:r w:rsidR="00BC3BBB" w:rsidRPr="00EC4DCF">
        <w:rPr>
          <w:rFonts w:ascii="Arial" w:hAnsi="Arial" w:cs="Arial"/>
          <w:sz w:val="22"/>
          <w:szCs w:val="22"/>
        </w:rPr>
        <w:fldChar w:fldCharType="end"/>
      </w:r>
      <w:r w:rsidRPr="00EC4DCF">
        <w:rPr>
          <w:rFonts w:ascii="Arial" w:hAnsi="Arial" w:cs="Arial"/>
          <w:sz w:val="22"/>
          <w:szCs w:val="22"/>
        </w:rPr>
        <w:t xml:space="preserve">. Ayrıca bu sonuç hem Commings ve ark. tarafından yapılan çalışmada </w:t>
      </w:r>
      <w:r w:rsidR="00BC3BBB" w:rsidRPr="00EC4DCF">
        <w:rPr>
          <w:rFonts w:ascii="Arial" w:hAnsi="Arial" w:cs="Arial"/>
          <w:sz w:val="22"/>
          <w:szCs w:val="22"/>
        </w:rPr>
        <w:fldChar w:fldCharType="begin" w:fldLock="1"/>
      </w:r>
      <w:r w:rsidRPr="00EC4DCF">
        <w:rPr>
          <w:rFonts w:ascii="Arial" w:hAnsi="Arial" w:cs="Arial"/>
          <w:sz w:val="22"/>
          <w:szCs w:val="22"/>
        </w:rPr>
        <w:instrText>ADDIN CSL_CITATION { "citationItems" : [ { "id" : "ITEM-1", "itemData" : { "DOI" : "0006-3223(95)00519-6 [pii]\\r10.1016/0006-3223(95)00519-6", "ISBN" : "0006-3223 (Print)\\r0006-3223 (Linking)", "ISSN" : "0006-3223 (Print) 0006-3223 (Linking)", "PMID" : "8874837", "abstract" : "Subjects on an addiction treatment unit who had been exposed to severe combat conditions in Vietnam were screened for posttraumatic stress disorder (PTSD). Of 24 with PTSD, 58.3% carried the D2A1 allele. Of the remaining eight who did not meet PTSD criteria, 12.5% carried the D2A1 allele (p = 0.04). In a replication study of 13 with PTSD, 61.5% carried the D2A1 allele. Of the remaining 11 who did not meet criteria for PTSD, 0% carried the D2A1 allele (p = 0.002). For the combined group 59.5% of those with PTSD carried the D2A1 allele versus 5.3% of those who did not have PTSD (p = 0.0001). These results suggest that a DRD2 variant in linkage disequilibrium with the D2A1 allele confers an increased risk to PTSD, and the absence of the variant confers a relative resistance to PTSD.", "author" : [ { "dropping-particle" : "", "family" : "Comings", "given" : "D E", "non-dropping-particle" : "", "parse-names" : false, "suffix" : "" }, { "dropping-particle" : "", "family" : "Muhleman", "given" : "D", "non-dropping-particle" : "", "parse-names" : false, "suffix" : "" }, { "dropping-particle" : "", "family" : "Gysin", "given" : "R", "non-dropping-particle" : "", "parse-names" : false, "suffix" : "" } ], "container-title" : "Biol Psychiatry", "id" : "ITEM-1", "issue" : "5", "issued" : { "date-parts" : [ [ "1996" ] ] }, "page" : "368-372", "title" : "Dopamine D2 receptor (DRD2) gene and susceptibility to posttraumatic stress disorder: a study and replication", "type" : "article-journal", "volume" : "40" }, "uris" : [ "http://www.mendeley.com/documents/?uuid=08096594-c26c-4c28-a08e-f5824cdaae5a" ] } ], "mendeley" : { "formattedCitation" : "(193)", "plainTextFormattedCitation" : "(193)", "previouslyFormattedCitation" : "(193)" }, "properties" : { "noteIndex" : 19 }, "schema" : "https://github.com/citation-style-language/schema/raw/master/csl-citation.json" }</w:instrText>
      </w:r>
      <w:r w:rsidR="00BC3BBB" w:rsidRPr="00EC4DCF">
        <w:rPr>
          <w:rFonts w:ascii="Arial" w:hAnsi="Arial" w:cs="Arial"/>
          <w:sz w:val="22"/>
          <w:szCs w:val="22"/>
        </w:rPr>
        <w:fldChar w:fldCharType="separate"/>
      </w:r>
      <w:r w:rsidRPr="00EC4DCF">
        <w:rPr>
          <w:rFonts w:ascii="Arial" w:hAnsi="Arial" w:cs="Arial"/>
          <w:noProof/>
          <w:sz w:val="22"/>
          <w:szCs w:val="22"/>
        </w:rPr>
        <w:t>(193)</w:t>
      </w:r>
      <w:r w:rsidR="00BC3BBB" w:rsidRPr="00EC4DCF">
        <w:rPr>
          <w:rFonts w:ascii="Arial" w:hAnsi="Arial" w:cs="Arial"/>
          <w:sz w:val="22"/>
          <w:szCs w:val="22"/>
        </w:rPr>
        <w:fldChar w:fldCharType="end"/>
      </w:r>
      <w:r w:rsidRPr="00EC4DCF">
        <w:rPr>
          <w:rFonts w:ascii="Arial" w:hAnsi="Arial" w:cs="Arial"/>
          <w:sz w:val="22"/>
          <w:szCs w:val="22"/>
        </w:rPr>
        <w:t xml:space="preserve"> hem de Sery ve ark. tarafından DEHB tanılı Çekli erkek çocuklarla yapılan çalışmada </w:t>
      </w:r>
      <w:r w:rsidR="00BC3BBB" w:rsidRPr="00EC4DCF">
        <w:rPr>
          <w:rFonts w:ascii="Arial" w:hAnsi="Arial" w:cs="Arial"/>
          <w:sz w:val="22"/>
          <w:szCs w:val="22"/>
        </w:rPr>
        <w:fldChar w:fldCharType="begin" w:fldLock="1"/>
      </w:r>
      <w:r w:rsidRPr="00EC4DCF">
        <w:rPr>
          <w:rFonts w:ascii="Arial" w:hAnsi="Arial" w:cs="Arial"/>
          <w:sz w:val="22"/>
          <w:szCs w:val="22"/>
        </w:rPr>
        <w:instrText>ADDIN CSL_CITATION { "citationItems" : [ { "id" : "ITEM-1", "itemData" : { "ISBN" : "0172-780X", "ISSN" : "0172780X", "PMID" : "16648784", "abstract" : "OBJECTIVES: Attention deficit hyperactivity disorder (ADHD) is a prevalent childhood disorder. Evidence from the family and twin studies suggest that ADHD is familiar and highly heritable. Association studies are frequently used for the searching of markers responsible for genetic basis of ADHD. We investigated TaqI polymorphism of the dopamine receptor D2 (DRD2) in relationship with ADHD. The association between TaqI A polymorphism of DRD2 gene and ADHD has previously been published. DESIGN: We used the association study to test the relationship between TaqI A polymorphism of DRD2 gene and ADHD on groups of ADHD boys and control boys. SETTING: For DNA isolation, buccal tissue was used. PCR with restriction analysis of PCR products was used for genotyping. RESULTS: We found statistically different genotypic and allelic frequencies (p &lt; 0.008, p &lt; 0.002, respectively) of DRD2 polymorphism between two studied groups of boys. MAIN FINDINGS: According to our results we suppose that polymorphism TaqI A of DRD2 gene is involved in the pathogenesis of childhood ADHD in male subjects. Allele A1 and genotype A1A1 in male subjects is associated with ADHD. CONCLUSIONS: Our study confirmed the relationship between TaqI A polymorphism of DRD2 gene and ADHD published previously.", "author" : [ { "dropping-particle" : "", "family" : "\u0160er\u00fd", "given" : "Omar", "non-dropping-particle" : "", "parse-names" : false, "suffix" : "" }, { "dropping-particle" : "", "family" : "Drt\u00edlkova", "given" : "Ivana", "non-dropping-particle" : "", "parse-names" : false, "suffix" : "" }, { "dropping-particle" : "", "family" : "Theiner", "given" : "Pavel", "non-dropping-particle" : "", "parse-names" : false, "suffix" : "" }, { "dropping-particle" : "", "family" : "Pitelov\u00e1", "given" : "Ren\u00e1ta", "non-dropping-particle" : "", "parse-names" : false, "suffix" : "" }, { "dropping-particle" : "", "family" : "\u0160taif", "given" : "Radim", "non-dropping-particle" : "", "parse-names" : false, "suffix" : "" }, { "dropping-particle" : "", "family" : "Znojil", "given" : "Vladim\u00edr", "non-dropping-particle" : "", "parse-names" : false, "suffix" : "" }, { "dropping-particle" : "", "family" : "Lochman", "given" : "Jan", "non-dropping-particle" : "", "parse-names" : false, "suffix" : "" }, { "dropping-particle" : "", "family" : "Didden", "given" : "William", "non-dropping-particle" : "", "parse-names" : false, "suffix" : "" } ], "container-title" : "Neuroendocrinology Letters", "id" : "ITEM-1", "issue" : "1-2", "issued" : { "date-parts" : [ [ "2006" ] ] }, "page" : "236-240", "title" : "Polymorphism of DRD2 gene and ADHD", "type" : "article-journal", "volume" : "27" }, "uris" : [ "http://www.mendeley.com/documents/?uuid=c4093f25-3079-413c-baaf-2e72107344ff" ] } ], "mendeley" : { "formattedCitation" : "(194)", "plainTextFormattedCitation" : "(194)", "previouslyFormattedCitation" : "(194)" }, "properties" : { "noteIndex" : 19 }, "schema" : "https://github.com/citation-style-language/schema/raw/master/csl-citation.json" }</w:instrText>
      </w:r>
      <w:r w:rsidR="00BC3BBB" w:rsidRPr="00EC4DCF">
        <w:rPr>
          <w:rFonts w:ascii="Arial" w:hAnsi="Arial" w:cs="Arial"/>
          <w:sz w:val="22"/>
          <w:szCs w:val="22"/>
        </w:rPr>
        <w:fldChar w:fldCharType="separate"/>
      </w:r>
      <w:r w:rsidRPr="00EC4DCF">
        <w:rPr>
          <w:rFonts w:ascii="Arial" w:hAnsi="Arial" w:cs="Arial"/>
          <w:noProof/>
          <w:sz w:val="22"/>
          <w:szCs w:val="22"/>
        </w:rPr>
        <w:t>(194)</w:t>
      </w:r>
      <w:r w:rsidR="00BC3BBB" w:rsidRPr="00EC4DCF">
        <w:rPr>
          <w:rFonts w:ascii="Arial" w:hAnsi="Arial" w:cs="Arial"/>
          <w:sz w:val="22"/>
          <w:szCs w:val="22"/>
        </w:rPr>
        <w:fldChar w:fldCharType="end"/>
      </w:r>
      <w:r w:rsidRPr="00EC4DCF">
        <w:rPr>
          <w:rFonts w:ascii="Arial" w:hAnsi="Arial" w:cs="Arial"/>
          <w:sz w:val="22"/>
          <w:szCs w:val="22"/>
        </w:rPr>
        <w:t xml:space="preserve"> tekrarlanmıştır. Fakat aile temelli çalışmalar, DRD2 - DEHB ilişkisini desteklememiştir </w:t>
      </w:r>
      <w:r w:rsidR="00BC3BBB" w:rsidRPr="00EC4DCF">
        <w:rPr>
          <w:rFonts w:ascii="Arial" w:hAnsi="Arial" w:cs="Arial"/>
          <w:sz w:val="22"/>
          <w:szCs w:val="22"/>
        </w:rPr>
        <w:fldChar w:fldCharType="begin" w:fldLock="1"/>
      </w:r>
      <w:r w:rsidRPr="00EC4DCF">
        <w:rPr>
          <w:rFonts w:ascii="Arial" w:hAnsi="Arial" w:cs="Arial"/>
          <w:sz w:val="22"/>
          <w:szCs w:val="22"/>
        </w:rPr>
        <w:instrText>ADDIN CSL_CITATION { "citationItems" : [ { "id" : "ITEM-1", "itemData" : { "DOI" : "10.1016/S0893-133X(02)00315-9", "ISBN" : "0893-133X (Print)", "ISSN" : "0893133X", "PMID" : "12377397", "abstract" : "Converging evidence has implicated abnormalities of dopamine neurotransmission to the pathology of attention deficit hyperactivity disorder (ADHD). Several genetic association studies have been published, but so far, no DNA variants have been unequivocally demonstrated as contributing to ADHD susceptibility. Four dopamine related gene loci have been implicated, however: DAT1, DRD4, DBH, and DRD5. Each of these may influence the liability of ADHD to a small degree. Notably, all are involved in signal transduction at the neuronal synapse. In this article, we investigate as candidate genes for ADHD, DNA polymorphisms at dopamine receptors, the dopamine transporter, and genes known to be involved in dopamine synthesis and metabolism. In a recent article, we confirmed the previously reported association of DAT1 (480bp allele) with ADHD and identified polymorphisms at two additional loci showing preferential transmission to ADHD children of alleles at DRD5 (148bp allele) and at DBH (allele 2, Taq I polymorphism). Increased transmission of the 4bp deletion in the untranslated exon 1 of the DOPA decarboxylase gene was also observed but was of marginal significance. Nonsignificant trends of association were found for TH (allele 2) and DRD2 (Ser-311). No preferential transmission of alleles to ADHD children was observed for polymorphisms at DRD1, DRD2 (Taq I), DRD3, DRD4, and COMT. Analyzing the data by sex of transmitting parent showed significant preferential paternal transmission of alleles at TH (allele 2) and a nonsignificant trend for paternal transmission for DRD2 (Ser-311). We attempt to put these findings together with what is known of the function of the particular proteins, and suggest working hypotheses. \u00a9 2002 American College of Neuropsychopharmacology. Published by Elsevier Science Inc.", "author" : [ { "dropping-particle" : "", "family" : "Kirley", "given" : "Aiveen", "non-dropping-particle" : "", "parse-names" : false, "suffix" : "" }, { "dropping-particle" : "", "family" : "Hawi", "given" : "Ziarih", "non-dropping-particle" : "", "parse-names" : false, "suffix" : "" }, { "dropping-particle" : "", "family" : "Daly", "given" : "Grainne", "non-dropping-particle" : "", "parse-names" : false, "suffix" : "" }, { "dropping-particle" : "", "family" : "McCarron", "given" : "Mary", "non-dropping-particle" : "", "parse-names" : false, "suffix" : "" }, { "dropping-particle" : "", "family" : "Mullins", "given" : "Celine", "non-dropping-particle" : "", "parse-names" : false, "suffix" : "" }, { "dropping-particle" : "", "family" : "Millar", "given" : "Niamh", "non-dropping-particle" : "", "parse-names" : false, "suffix" : "" }, { "dropping-particle" : "", "family" : "Waldman", "given" : "Irwin", "non-dropping-particle" : "", "parse-names" : false, "suffix" : "" }, { "dropping-particle" : "", "family" : "Fitzgerald", "given" : "Michael", "non-dropping-particle" : "", "parse-names" : false, "suffix" : "" }, { "dropping-particle" : "", "family" : "Gill", "given" : "Michael", "non-dropping-particle" : "", "parse-names" : false, "suffix" : "" } ], "container-title" : "Neuropsychopharmacology", "id" : "ITEM-1", "issue" : "4", "issued" : { "date-parts" : [ [ "2002" ] ] }, "page" : "607-619", "title" : "Dopaminergic system genes in ADHD: Toward a biological hypothesis", "type" : "article-journal", "volume" : "27" }, "uris" : [ "http://www.mendeley.com/documents/?uuid=57fe753f-ce5d-494c-a677-39fe6d078241" ] }, { "id" : "ITEM-2", "itemData" : { "DOI" : "10.1038/sj.mp.4000567", "ISBN" : "1359-4184 (Print)\\r1359-4184", "ISSN" : "1359-4184", "PMID" : "10578241", "abstract" : "The relationship of the DRD2 TaqI-A1 allele to hyperactive/impulsive and inattentive symptoms of attention deficit hyperactivity disorder (ADHD) in children and adolescents was examined in a sample of clinic-referred children and their siblings, and control children and their siblings (n = 236). The contribution of genetic dominance and additivity to mean differences among the A2A2, A1A2, and A1A1 genotypes was estimated using structural equation modeling. The effect of genetic additivity was statistically significant for both traits in an analysis of all children. The heritability from the DRD2 locus was estimated at 4.27% for hyperactive-impulsive symptoms and 2.12% for inattentive symptoms. Children with the A2A2 genotype had the highest mean level of symptoms. To control for any possible effects of population stratification, this analysis was repeated with parental genotypes as controls. In this smaller sample, although the direction of the effect was the same as that in the whole sample, the genotypic differences failed to reach conventional significance levels and the effect sizes were smaller (h2 = 1.62% and 0.79%, respectively). Furthermore, a genotype relative risk test of children who had questionnaire-based diagnoses of ADHD also failed to yield evidence of either association or linkage. Given that the A1 allele was expected to be the high risk allele, and that results were non-significant in tests that controlled for population heterogeneity, we doubt that this DRD2 polymorphism influences symptoms of ADHD in childhood.", "author" : [ { "dropping-particle" : "", "family" : "Rowe", "given" : "D C", "non-dropping-particle" : "", "parse-names" : false, "suffix" : "" }, { "dropping-particle" : "", "family" : "Oord", "given" : "E J", "non-dropping-particle" : "Van den", "parse-names" : false, "suffix" : "" }, { "dropping-particle" : "", "family" : "Stever", "given" : "C", "non-dropping-particle" : "", "parse-names" : false, "suffix" : "" }, { "dropping-particle" : "", "family" : "Giedinghagen", "given" : "L N", "non-dropping-particle" : "", "parse-names" : false, "suffix" : "" }, { "dropping-particle" : "", "family" : "Gard", "given" : "J M", "non-dropping-particle" : "", "parse-names" : false, "suffix" : "" }, { "dropping-particle" : "", "family" : "Cleveland", "given" : "H H", "non-dropping-particle" : "", "parse-names" : false, "suffix" : "" }, { "dropping-particle" : "", "family" : "Gilson", "given" : "M", "non-dropping-particle" : "", "parse-names" : false, "suffix" : "" }, { "dropping-particle" : "", "family" : "Terris", "given" : "S T", "non-dropping-particle" : "", "parse-names" : false, "suffix" : "" }, { "dropping-particle" : "", "family" : "Mohr", "given" : "J H", "non-dropping-particle" : "", "parse-names" : false, "suffix" : "" }, { "dropping-particle" : "", "family" : "Sherman", "given" : "S", "non-dropping-particle" : "", "parse-names" : false, "suffix" : "" }, { "dropping-particle" : "", "family" : "Abramowitz", "given" : "A", "non-dropping-particle" : "", "parse-names" : false, "suffix" : "" }, { "dropping-particle" : "", "family" : "Waldman", "given" : "I D", "non-dropping-particle" : "", "parse-names" : false, "suffix" : "" } ], "container-title" : "Molecular Psychiatry", "id" : "ITEM-2", "issue" : "6", "issued" : { "date-parts" : [ [ "1999" ] ] }, "page" : "580-586", "title" : "The DRD2 TaqI polymorphism and symptoms of attention deficit hyperactivity disorder", "type" : "article-journal", "volume" : "4" }, "uris" : [ "http://www.mendeley.com/documents/?uuid=b86cbfb0-84e2-49f6-9276-c86234ed3cbd" ] }, { "id" : "ITEM-3", "itemData" : { "ISBN" : "2072-0939 (Print)\\r2072-0939 (Linking)", "PMID" : "15008324", "abstract" : "BACKGROUND: Over the past 5 years, considerable progress has been made in the identification of polymorphic variation within monoamine system genes that are associated with the attention-deficit hyperactivity disorder (ADHD) phenotype. In this study, we investigated the association of the dopamine D2 receptor (DAD2) TaqI A and ADHD in a Taiwanese sample. METHODS: The sample consisted of 98 children with ADHD and 154 of their parents. ADHD cases were ascertained from the Child Psychiatric Clinics at Chang Gung Memorial Hospital in the Taipei area, Taiwan. A diagnosis of ADHD was made following clinical interviews plus completion of a standard maternal interview and Conner's revised rating scales by a parent and teacher. Association of DRD2 TaqI A polymorphism in this sample was investigated using a haplotype-based haplotype relative-risk method. RESULTS: Among our subjects, there was no significant difference in transmission rates between DRD2 TaqI A1 and A2 alleles. CONCLUSION: The results of this study do not support DRD2 playing a major role in Taiwanese children with ADHD.", "author" : [ { "dropping-particle" : "", "family" : "Huang", "given" : "Y S", "non-dropping-particle" : "", "parse-names" : false, "suffix" : "" }, { "dropping-particle" : "", "family" : "Lin", "given" : "S K", "non-dropping-particle" : "", "parse-names" : false, "suffix" : "" }, { "dropping-particle" : "", "family" : "Wu", "given" : "Y Y", "non-dropping-particle" : "", "parse-names" : false, "suffix" : "" }, { "dropping-particle" : "", "family" : "Chao", "given" : "C C", "non-dropping-particle" : "", "parse-names" : false, "suffix" : "" }, { "dropping-particle" : "", "family" : "Chen", "given" : "C K", "non-dropping-particle" : "", "parse-names" : false, "suffix" : "" } ], "container-title" : "Chang Gung Med J", "id" : "ITEM-3", "issue" : "12", "issued" : { "date-parts" : [ [ "2003" ] ] }, "page" : "897-903", "title" : "A family-based association study of attention-deficit hyperactivity disorder and dopamine D2 receptor TaqI A alleles", "type" : "article-journal", "volume" : "26" }, "uris" : [ "http://www.mendeley.com/documents/?uuid=eeaf1188-1bfc-4a99-b7c1-154d83f1ea5c" ] } ], "mendeley" : { "formattedCitation" : "(195\u2013197)", "plainTextFormattedCitation" : "(195\u2013197)", "previouslyFormattedCitation" : "(195\u2013197)" }, "properties" : { "noteIndex" : 19 }, "schema" : "https://github.com/citation-style-language/schema/raw/master/csl-citation.json" }</w:instrText>
      </w:r>
      <w:r w:rsidR="00BC3BBB" w:rsidRPr="00EC4DCF">
        <w:rPr>
          <w:rFonts w:ascii="Arial" w:hAnsi="Arial" w:cs="Arial"/>
          <w:sz w:val="22"/>
          <w:szCs w:val="22"/>
        </w:rPr>
        <w:fldChar w:fldCharType="separate"/>
      </w:r>
      <w:r w:rsidRPr="00EC4DCF">
        <w:rPr>
          <w:rFonts w:ascii="Arial" w:hAnsi="Arial" w:cs="Arial"/>
          <w:noProof/>
          <w:sz w:val="22"/>
          <w:szCs w:val="22"/>
        </w:rPr>
        <w:t>(195–197)</w:t>
      </w:r>
      <w:r w:rsidR="00BC3BBB" w:rsidRPr="00EC4DCF">
        <w:rPr>
          <w:rFonts w:ascii="Arial" w:hAnsi="Arial" w:cs="Arial"/>
          <w:sz w:val="22"/>
          <w:szCs w:val="22"/>
        </w:rPr>
        <w:fldChar w:fldCharType="end"/>
      </w:r>
      <w:r w:rsidRPr="00EC4DCF">
        <w:rPr>
          <w:rFonts w:ascii="Arial" w:hAnsi="Arial" w:cs="Arial"/>
          <w:sz w:val="22"/>
          <w:szCs w:val="22"/>
        </w:rPr>
        <w:t xml:space="preserve">. </w:t>
      </w:r>
    </w:p>
    <w:p w:rsidR="00C60153" w:rsidRPr="00EC4DCF" w:rsidRDefault="00C60153" w:rsidP="00EC4DCF">
      <w:pPr>
        <w:spacing w:line="360" w:lineRule="auto"/>
        <w:ind w:firstLine="708"/>
        <w:jc w:val="both"/>
        <w:rPr>
          <w:rFonts w:ascii="Arial" w:hAnsi="Arial" w:cs="Arial"/>
          <w:b/>
          <w:i/>
          <w:sz w:val="22"/>
          <w:szCs w:val="22"/>
        </w:rPr>
      </w:pPr>
      <w:r w:rsidRPr="00EC4DCF">
        <w:rPr>
          <w:rFonts w:ascii="Arial" w:hAnsi="Arial" w:cs="Arial"/>
          <w:b/>
          <w:i/>
          <w:sz w:val="22"/>
          <w:szCs w:val="22"/>
        </w:rPr>
        <w:t xml:space="preserve">Dopamin D3 Reseptörü (DRD3): </w:t>
      </w:r>
    </w:p>
    <w:p w:rsidR="00C60153" w:rsidRPr="00EC4DCF" w:rsidRDefault="00C60153" w:rsidP="00EC4DCF">
      <w:pPr>
        <w:spacing w:line="360" w:lineRule="auto"/>
        <w:ind w:firstLine="708"/>
        <w:rPr>
          <w:rFonts w:ascii="Arial" w:hAnsi="Arial" w:cs="Arial"/>
          <w:color w:val="4F81BD" w:themeColor="accent1"/>
          <w:sz w:val="22"/>
          <w:szCs w:val="22"/>
        </w:rPr>
      </w:pPr>
      <w:r w:rsidRPr="00EC4DCF">
        <w:rPr>
          <w:rFonts w:ascii="Arial" w:hAnsi="Arial" w:cs="Arial"/>
          <w:color w:val="000000"/>
          <w:sz w:val="22"/>
          <w:szCs w:val="22"/>
          <w:shd w:val="clear" w:color="auto" w:fill="FFFFFF"/>
        </w:rPr>
        <w:t>Alman hastalarla yapılan bir çalışmada Ser9Gly exon 1 polymorfizminin artmış dürtüsellikle ilişkili olduğu</w:t>
      </w:r>
      <w:r w:rsidR="00332004">
        <w:rPr>
          <w:rFonts w:ascii="Arial" w:hAnsi="Arial" w:cs="Arial"/>
          <w:color w:val="000000"/>
          <w:sz w:val="22"/>
          <w:szCs w:val="22"/>
          <w:shd w:val="clear" w:color="auto" w:fill="FFFFFF"/>
        </w:rPr>
        <w:t>nun</w:t>
      </w:r>
      <w:r w:rsidRPr="00EC4DCF">
        <w:rPr>
          <w:rFonts w:ascii="Arial" w:hAnsi="Arial" w:cs="Arial"/>
          <w:color w:val="000000"/>
          <w:sz w:val="22"/>
          <w:szCs w:val="22"/>
          <w:shd w:val="clear" w:color="auto" w:fill="FFFFFF"/>
        </w:rPr>
        <w:t xml:space="preserve"> saptanması </w:t>
      </w:r>
      <w:r w:rsidR="00BC3BBB" w:rsidRPr="00EC4DCF">
        <w:rPr>
          <w:rFonts w:ascii="Arial" w:hAnsi="Arial" w:cs="Arial"/>
          <w:color w:val="000000"/>
          <w:sz w:val="22"/>
          <w:szCs w:val="22"/>
          <w:shd w:val="clear" w:color="auto" w:fill="FFFFFF"/>
        </w:rPr>
        <w:fldChar w:fldCharType="begin" w:fldLock="1"/>
      </w:r>
      <w:r w:rsidRPr="00EC4DCF">
        <w:rPr>
          <w:rFonts w:ascii="Arial" w:hAnsi="Arial" w:cs="Arial"/>
          <w:color w:val="000000"/>
          <w:sz w:val="22"/>
          <w:szCs w:val="22"/>
          <w:shd w:val="clear" w:color="auto" w:fill="FFFFFF"/>
        </w:rPr>
        <w:instrText>ADDIN CSL_CITATION { "citationItems" : [ { "id" : "ITEM-1", "itemData" : { "abstract" : "Several lines of evidence indicate that dopaminergic neurotransmission is involved in the regulation of impulsive aggression and violence and that genetically determined variability in dopaminergic gene expression modifies complex traits including that of impulsivity and aggression. In this study we report an association of the dopamine D3 receptor (DRD3) polymorphism with impulsiveness according to Eysenck's EIQ and scores on the German short version of the Wender Utah Rating Scale (WURS-k), which we used for the assessment of a history of ADHD-related symptoms. This association was detected in a group of violent offenders, but not in non-violent individuals. Highest scores of EIQ impulsiveness and of the WURS-k were found in heterozygous violent individuals, while homozygotes showed significant lower rating scores, suggesting an heterosis effect. The results of our study suggest that variations of the DRD3 gene are likely involved in the regulation of impulsivity and some psychopathological aspects of ADHD related to violent behavior.", "author" : [ { "dropping-particle" : "", "family" : "Retz", "given" : "W", "non-dropping-particle" : "", "parse-names" : false, "suffix" : "" }, { "dropping-particle" : "", "family" : "Rosler", "given" : "M", "non-dropping-particle" : "", "parse-names" : false, "suffix" : "" }, { "dropping-particle" : "", "family" : "Supprian", "given" : "T", "non-dropping-particle" : "", "parse-names" : false, "suffix" : "" }, { "dropping-particle" : "", "family" : "Retz-Junginger", "given" : "P", "non-dropping-particle" : "", "parse-names" : false, "suffix" : "" }, { "dropping-particle" : "", "family" : "Thome", "given" : "J", "non-dropping-particle" : "", "parse-names" : false, "suffix" : "" } ], "id" : "ITEM-1", "issue" : "5", "issued" : { "date-parts" : [ [ "2003" ] ] }, "page" : "561-572", "title" : "Dopamine D3 receptor gene polymorphism and violent behavior: relation to impulsiveness and ADHD-related psychopathology", "type" : "article-journal", "volume" : "110" }, "uris" : [ "http://www.mendeley.com/documents/?uuid=fa00495c-e379-4b14-ab4b-ae11b1bcf2b7" ] } ], "mendeley" : { "formattedCitation" : "(198)", "plainTextFormattedCitation" : "(198)", "previouslyFormattedCitation" : "(198)" }, "properties" : { "noteIndex" : 19 }, "schema" : "https://github.com/citation-style-language/schema/raw/master/csl-citation.json" }</w:instrText>
      </w:r>
      <w:r w:rsidR="00BC3BBB" w:rsidRPr="00EC4DCF">
        <w:rPr>
          <w:rFonts w:ascii="Arial" w:hAnsi="Arial" w:cs="Arial"/>
          <w:color w:val="000000"/>
          <w:sz w:val="22"/>
          <w:szCs w:val="22"/>
          <w:shd w:val="clear" w:color="auto" w:fill="FFFFFF"/>
        </w:rPr>
        <w:fldChar w:fldCharType="separate"/>
      </w:r>
      <w:r w:rsidRPr="00EC4DCF">
        <w:rPr>
          <w:rFonts w:ascii="Arial" w:hAnsi="Arial" w:cs="Arial"/>
          <w:noProof/>
          <w:color w:val="000000"/>
          <w:sz w:val="22"/>
          <w:szCs w:val="22"/>
          <w:shd w:val="clear" w:color="auto" w:fill="FFFFFF"/>
        </w:rPr>
        <w:t>(198)</w:t>
      </w:r>
      <w:r w:rsidR="00BC3BBB" w:rsidRPr="00EC4DCF">
        <w:rPr>
          <w:rFonts w:ascii="Arial" w:hAnsi="Arial" w:cs="Arial"/>
          <w:color w:val="000000"/>
          <w:sz w:val="22"/>
          <w:szCs w:val="22"/>
          <w:shd w:val="clear" w:color="auto" w:fill="FFFFFF"/>
        </w:rPr>
        <w:fldChar w:fldCharType="end"/>
      </w:r>
      <w:r w:rsidRPr="00EC4DCF">
        <w:rPr>
          <w:rFonts w:ascii="Arial" w:hAnsi="Arial" w:cs="Arial"/>
          <w:sz w:val="22"/>
          <w:szCs w:val="22"/>
        </w:rPr>
        <w:t xml:space="preserve"> </w:t>
      </w:r>
      <w:r w:rsidRPr="00EC4DCF">
        <w:rPr>
          <w:rFonts w:ascii="Arial" w:hAnsi="Arial" w:cs="Arial"/>
          <w:color w:val="000000"/>
          <w:sz w:val="22"/>
          <w:szCs w:val="22"/>
          <w:shd w:val="clear" w:color="auto" w:fill="FFFFFF"/>
        </w:rPr>
        <w:t xml:space="preserve">üzerine, DEHB ile ilişkisini araştıran çalışmalar yapılmış fakat anlamlı bir ilişki saptanamamıştır </w:t>
      </w:r>
      <w:r w:rsidR="00BC3BBB" w:rsidRPr="00EC4DCF">
        <w:rPr>
          <w:rFonts w:ascii="Arial" w:hAnsi="Arial" w:cs="Arial"/>
          <w:color w:val="000000"/>
          <w:sz w:val="22"/>
          <w:szCs w:val="22"/>
          <w:shd w:val="clear" w:color="auto" w:fill="FFFFFF"/>
        </w:rPr>
        <w:fldChar w:fldCharType="begin" w:fldLock="1"/>
      </w:r>
      <w:r w:rsidR="0037573A">
        <w:rPr>
          <w:rFonts w:ascii="Arial" w:hAnsi="Arial" w:cs="Arial"/>
          <w:color w:val="000000"/>
          <w:sz w:val="22"/>
          <w:szCs w:val="22"/>
          <w:shd w:val="clear" w:color="auto" w:fill="FFFFFF"/>
        </w:rPr>
        <w:instrText>ADDIN CSL_CITATION { "citationItems" : [ { "id" : "ITEM-1", "itemData" : { "DOI" : "10.1002/ajmg.1407", "ISBN" : "0148-7299 (Print)0148-7299", "ISSN" : "15524841", "PMID" : "11449400", "abstract" : "Attention-deficit hyperactivity disorder (ADHD) is a highly heritable childhood-onset psychiatric condition characterized by developmentally inappropriate inattention, hyperactivity, and impulsiveness. The pathophysiology of ADHD is currently unknown. However, the therapeutic effects of stimulant medication together with findings from animal and neuroimaging studies as well as from several molecular genetic studies of the dopamine receptor D4 gene and dopamine transporter gene have implicated involvement of the dopaminergic system. To test the dopaminergic hypothesis further, we have looked for association between ADHD and alleles of seven dopamine-related candidate genes using a family-based association approach in a sample of 150 children diagnosed with ADHD. We tested polymorphisms in genes encoding three dopamine receptors (DRD3, DRD4, and DRD5) and four dopamine-relevant enzymes: tyrosine hydroxylase [tyrosine hydroxylase (TH)], dopamine beta hydroxylase (DbetaH), catechol-O-methyltransferase (COMT), and monoamine oxidase A (MAOA). We were unable to detect a significant association with any of the polymorphisms genotyped, although there was a trend for preferential transmission of the DRD5 148 bp marker allele and the MAOA 122 bp marker allele. We conclude that none of the alleles we have tested makes a major contribution to ADHD, although much larger samples are required to exclude small effects.", "author" : [ { "dropping-particle" : "", "family" : "Payton", "given" : "Antony", "non-dropping-particle" : "", "parse-names" : false, "suffix" : "" }, { "dropping-particle" : "", "family" : "Holmes", "given" : "Jane", "non-dropping-particle" : "", "parse-names" : false, "suffix" : "" }, { "dropping-particle" : "", "family" : "Barrett", "given" : "Jennifer H.", "non-dropping-particle" : "", "parse-names" : false, "suffix" : "" }, { "dropping-particle" : "", "family" : "Hever", "given" : "Tracey", "non-dropping-particle" : "", "parse-names" : false, "suffix" : "" }, { "dropping-particle" : "", "family" : "Fitzpatrick", "given" : "Helen", "non-dropping-particle" : "", "parse-names" : false, "suffix" : "" }, { "dropping-particle" : "", "family" : "Trumper", "given" : "Anne L.", "non-dropping-particle" : "", "parse-names" : false, "suffix" : "" }, { "dropping-particle" : "", "family" : "Harrington", "given" : "Richard", "non-dropping-particle" : "", "parse-names" : false, "suffix" : "" }, { "dropping-particle" : "", "family" : "McGuffin", "given" : "Peter", "non-dropping-particle" : "", "parse-names" : false, "suffix" : "" }, { "dropping-particle" : "", "family" : "O'Donovan", "given" : "Michael", "non-dropping-particle" : "", "parse-names" : false, "suffix" : "" }, { "dropping-particle" : "", "family" : "Owen", "given" : "Michael", "non-dropping-particle" : "", "parse-names" : false, "suffix" : "" }, { "dropping-particle" : "", "family" : "Ollier", "given" : "William", "non-dropping-particle" : "", "parse-names" : false, "suffix" : "" }, { "dropping-particle" : "", "family" : "Worthington", "given" : "Jane", "non-dropping-particle" : "", "parse-names" : false, "suffix" : "" }, { "dropping-particle" : "", "family" : "Thapar", "given" : "Anita", "non-dropping-particle" : "", "parse-names" : false, "suffix" : "" } ], "container-title" : "American Journal of Medical Genetics - Neuropsychiatric Genetics", "id" : "ITEM-1", "issue" : "5", "issued" : { "date-parts" : [ [ "2001" ] ] }, "page" : "464-470", "title" : "Examining for association between candidate gene polymorphisms in the dopamine pathway and attention-deficit hyperactivity disorder: A family-based study", "type" : "article-journal", "volume" : "105" }, "uris" : [ "http://www.mendeley.com/documents/?uuid=df71a94b-8ae1-4c0e-88a3-ac42736e8e52" ] }, { "id" : "ITEM-2", "itemData" : { "DOI" : "10.1034/j.1399-0004.2000.570304.x", "ISBN" : "1399-0004", "ISSN" : "0009-9163", "PMID" : "10782925", "abstract" : "Comparison of the role of dopamine, serotonin, and noradrenaline genes in ADHD, ODD and conduct disorder: multivariate regression analysis of 20 genes. Clin Genet 2000: 57: 178 \u2013 196. \u00a9 Munksgaard, 2000 The present study is based on the proposal that complex disorders resulting from the effects of multiple genes are best investigated by simultaneously examining multiple candidate genes in the same group of subjects. We have examined the effect of 20 genes for dopamine, serotonin, and noradrenergic metabolism on a quantitative score for attention deficit hyperactivity disorder (ADHD) in 336 unrelated Cau-casian subjects. The genotypes of each gene were assigned a score from 0 to 2, based on results from the literature or studies in an independent set of subjects (literature-based scoring), or results based on analysis of variance for the sample (optimized gene scoring). Multivariate linear regression analysis with backward elimination was used to determine which genes contributed most to the phenotype for both coding meth-ods. For optimized gene scoring, three dopamine genes contributed to 2.3% of the variance, p = 0.052; three serotonin genes contributed to 3%, p =0.015; and six adrenergic genes contributed to 6.9%, p = 0.0006. For all genes combined, 12 genes contributed to 11.6% of the variance, p =0.0001. These results indicate that the adrenergic genes play a greater role in ADHD than either the dopaminergic or sero-tonergic genes combined. The results using literature-based gene scoring were similar. An examination of two additional comorbid phenotypes, conduct disorder and oppositional defiant disorder (ODD), indicated they shared genes with ADHD. For ODD different genotypes of the same genes were often used. These results support the value of the simultaneous examination of multiple candidate genes.", "author" : [ { "dropping-particle" : "", "family" : "De", "given" : "Comings", "non-dropping-particle" : "", "parse-names" : false, "suffix" : "" }, { "dropping-particle" : "", "family" : "R", "given" : "Gade-Andavolu", "non-dropping-particle" : "", "parse-names" : false, "suffix" : "" }, { "dropping-particle" : "", "family" : "Gonzalez", "given" : "N", "non-dropping-particle" : "", "parse-names" : false, "suffix" : "" }, { "dropping-particle" : "", "family" : "Wu", "given" : "S", "non-dropping-particle" : "", "parse-names" : false, "suffix" : "" }, { "dropping-particle" : "", "family" : "Muhleman", "given" : "D", "non-dropping-particle" : "", "parse-names" : false, "suffix" : "" }, { "dropping-particle" : "", "family" : "Dietz", "given" : "Blake H", "non-dropping-particle" : "", "parse-names" : false, "suffix" : "" }, { "dropping-particle" : "", "family" : "Saucier", "given" : "G", "non-dropping-particle" : "", "parse-names" : false, "suffix" : "" }, { "dropping-particle" : "", "family" : "Macmurray Jp", "given" : "", "non-dropping-particle" : "", "parse-names" : false, "suffix" : "" } ], "container-title" : "Clin Genet", "id" : "ITEM-2", "issued" : { "date-parts" : [ [ "2000" ] ] }, "page" : "178-196", "title" : "Comparison of the role of dopamine, serotonin, and noradrenaline genes in ADHD, ODD and conduct disorder: multivariate regression analysis of 20 genes", "type" : "article-journal", "volume" : "57" }, "uris" : [ "http://www.mendeley.com/documents/?uuid=efbb3ffe-c8a3-4677-b59b-eb398e5f985e" ] }, { "id" : "ITEM-3", "itemData" : { "abstract" : "Several lines of evidence indicate that dopaminergic neurotransmission is involved in the regulation of impulsive aggression and violence and that genetically determined variability in dopaminergic gene expression modifies complex traits including that of impulsivity and aggression. In this study we report an association of the dopamine D3 receptor (DRD3) polymorphism with impulsiveness according to Eysenck's EIQ and scores on the German short version of the Wender Utah Rating Scale (WURS-k), which we used for the assessment of a history of ADHD-related symptoms. This association was detected in a group of violent offenders, but not in non-violent individuals. Highest scores of EIQ impulsiveness and of the WURS-k were found in heterozygous violent individuals, while homozygotes showed significant lower rating scores, suggesting an heterosis effect. The results of our study suggest that variations of the DRD3 gene are likely involved in the regulation of impulsivity and some psychopathological aspects of ADHD related to violent behavior.", "author" : [ { "dropping-particle" : "", "family" : "Retz", "given" : "W", "non-dropping-particle" : "", "parse-names" : false, "suffix" : "" }, { "dropping-particle" : "", "family" : "Rosler", "given" : "M", "non-dropping-particle" : "", "parse-names" : false, "suffix" : "" }, { "dropping-particle" : "", "family" : "Supprian", "given" : "T", "non-dropping-particle" : "", "parse-names" : false, "suffix" : "" }, { "dropping-particle" : "", "family" : "Retz-Junginger", "given" : "P", "non-dropping-particle" : "", "parse-names" : false, "suffix" : "" }, { "dropping-particle" : "", "family" : "Thome", "given" : "J", "non-dropping-particle" : "", "parse-names" : false, "suffix" : "" } ], "id" : "ITEM-3", "issue" : "5", "issued" : { "date-parts" : [ [ "2003" ] ] }, "page" : "561-572", "title" : "Dopamine D3 receptor gene polymorphism and violent behavior: relation to impulsiveness and ADHD-related psychopathology", "type" : "article-journal", "volume" : "110" }, "uris" : [ "http://www.mendeley.com/documents/?uuid=fa00495c-e379-4b14-ab4b-ae11b1bcf2b7" ] } ], "mendeley" : { "formattedCitation" : "(190, 198, 199)", "plainTextFormattedCitation" : "(190, 198, 199)", "previouslyFormattedCitation" : "(190, 198, 199)" }, "properties" : { "noteIndex" : 19 }, "schema" : "https://github.com/citation-style-language/schema/raw/master/csl-citation.json" }</w:instrText>
      </w:r>
      <w:r w:rsidR="00BC3BBB" w:rsidRPr="00EC4DCF">
        <w:rPr>
          <w:rFonts w:ascii="Arial" w:hAnsi="Arial" w:cs="Arial"/>
          <w:color w:val="000000"/>
          <w:sz w:val="22"/>
          <w:szCs w:val="22"/>
          <w:shd w:val="clear" w:color="auto" w:fill="FFFFFF"/>
        </w:rPr>
        <w:fldChar w:fldCharType="separate"/>
      </w:r>
      <w:r w:rsidR="00BF1F00" w:rsidRPr="00BF1F00">
        <w:rPr>
          <w:rFonts w:ascii="Arial" w:hAnsi="Arial" w:cs="Arial"/>
          <w:noProof/>
          <w:color w:val="000000"/>
          <w:sz w:val="22"/>
          <w:szCs w:val="22"/>
          <w:shd w:val="clear" w:color="auto" w:fill="FFFFFF"/>
        </w:rPr>
        <w:t>(190, 198, 199)</w:t>
      </w:r>
      <w:r w:rsidR="00BC3BBB" w:rsidRPr="00EC4DCF">
        <w:rPr>
          <w:rFonts w:ascii="Arial" w:hAnsi="Arial" w:cs="Arial"/>
          <w:color w:val="000000"/>
          <w:sz w:val="22"/>
          <w:szCs w:val="22"/>
          <w:shd w:val="clear" w:color="auto" w:fill="FFFFFF"/>
        </w:rPr>
        <w:fldChar w:fldCharType="end"/>
      </w:r>
      <w:r w:rsidRPr="00EC4DCF">
        <w:rPr>
          <w:rFonts w:ascii="Arial" w:hAnsi="Arial" w:cs="Arial"/>
          <w:color w:val="000000"/>
          <w:sz w:val="22"/>
          <w:szCs w:val="22"/>
          <w:shd w:val="clear" w:color="auto" w:fill="FFFFFF"/>
        </w:rPr>
        <w:t xml:space="preserve">. </w:t>
      </w:r>
    </w:p>
    <w:p w:rsidR="00C60153" w:rsidRPr="00EC4DCF" w:rsidRDefault="00C60153" w:rsidP="00EC4DCF">
      <w:pPr>
        <w:spacing w:line="360" w:lineRule="auto"/>
        <w:ind w:firstLine="708"/>
        <w:jc w:val="both"/>
        <w:rPr>
          <w:rFonts w:ascii="Arial" w:hAnsi="Arial" w:cs="Arial"/>
          <w:b/>
          <w:i/>
          <w:sz w:val="22"/>
          <w:szCs w:val="22"/>
        </w:rPr>
      </w:pPr>
      <w:r w:rsidRPr="00EC4DCF">
        <w:rPr>
          <w:rFonts w:ascii="Arial" w:hAnsi="Arial" w:cs="Arial"/>
          <w:b/>
          <w:i/>
          <w:color w:val="212121"/>
          <w:sz w:val="22"/>
          <w:szCs w:val="22"/>
          <w:shd w:val="clear" w:color="auto" w:fill="FFFFFF"/>
        </w:rPr>
        <w:t>Katekol-O-metiltransferaz (COMT)</w:t>
      </w:r>
    </w:p>
    <w:p w:rsidR="00C60153" w:rsidRPr="00332004" w:rsidRDefault="00332004" w:rsidP="00332004">
      <w:pPr>
        <w:spacing w:line="360" w:lineRule="auto"/>
        <w:ind w:firstLine="708"/>
        <w:rPr>
          <w:rFonts w:ascii="Arial" w:hAnsi="Arial" w:cs="Arial"/>
          <w:sz w:val="22"/>
          <w:szCs w:val="22"/>
        </w:rPr>
      </w:pPr>
      <w:r w:rsidRPr="00332004">
        <w:rPr>
          <w:rFonts w:ascii="Arial" w:hAnsi="Arial" w:cs="Arial"/>
          <w:sz w:val="22"/>
          <w:szCs w:val="22"/>
          <w:shd w:val="clear" w:color="auto" w:fill="FFFFFF"/>
        </w:rPr>
        <w:t xml:space="preserve">COMT geni için en yaygın olarak Val108Met polimorfizmi varyantları incelenmiştir </w:t>
      </w:r>
      <w:r w:rsidR="00BC3BBB" w:rsidRPr="00332004">
        <w:rPr>
          <w:rFonts w:ascii="Arial" w:hAnsi="Arial" w:cs="Arial"/>
          <w:sz w:val="22"/>
          <w:szCs w:val="22"/>
          <w:shd w:val="clear" w:color="auto" w:fill="FFFFFF"/>
        </w:rPr>
        <w:fldChar w:fldCharType="begin" w:fldLock="1"/>
      </w:r>
      <w:r w:rsidR="00C60153" w:rsidRPr="00332004">
        <w:rPr>
          <w:rFonts w:ascii="Arial" w:hAnsi="Arial" w:cs="Arial"/>
          <w:sz w:val="22"/>
          <w:szCs w:val="22"/>
          <w:shd w:val="clear" w:color="auto" w:fill="FFFFFF"/>
        </w:rPr>
        <w:instrText>ADDIN CSL_CITATION { "citationItems" : [ { "id" : "ITEM-1", "itemData" : { "DOI" : "10.1097/00008571-199702000-00009", "ISBN" : "0960-314X (Print)\\r0960-314X (Linking)", "ISSN" : "0960-314X", "PMID" : "9110364", "abstract" : "The catechol-O-methyltransferase (COMT) gene occurs as two polymorphic alleles, which code for a high activity thermostable and low activity thermolabile form of the enzyme. We devised a fast solid-phase minisequencing assay for genotyping the COMT gene at nucleotide position 544 encoding amino acid residue 158. The method was applied to correlate the genotype of the COMT gene with the biological activity of the COMT enzyme. In red blood cells from individuals homozygous for G at nucleotide position 544 coding for Val-158, the activity of COMT ranged from 0.55-1.03 pmol min-1 mg-1 protein, and in individuals homozygous for A at position 544 coding for Met-158, the activity ranged from 0.21-0.43 pmol min-1 mg-1. Heterozygotes showed intermediate activities of 0.20-0.88 pmol min-1 mg-1. The thermostability (heated/unheated) at 48 degrees C of the high activity form was shown to be about two-fold compared to that of the low activity form of the enzyme. By analysing 76 individual samples and three pooled samples representing altogether 3140 individuals using the solid-phase minisequencing method, the two COMT alleles were shown to be equally distributed in the Finnish population. No statistically significant difference in the frequencies of the COMT alleles was found when comparing the normal population with a sample of 158 Finnish patients with Parkinson's disease.", "author" : [ { "dropping-particle" : "", "family" : "Syv\u00e4nen", "given" : "A C", "non-dropping-particle" : "", "parse-names" : false, "suffix" : "" }, { "dropping-particle" : "", "family" : "Tilgmann", "given" : "C", "non-dropping-particle" : "", "parse-names" : false, "suffix" : "" }, { "dropping-particle" : "", "family" : "Rinne", "given" : "J", "non-dropping-particle" : "", "parse-names" : false, "suffix" : "" }, { "dropping-particle" : "", "family" : "Ulmanen", "given" : "I", "non-dropping-particle" : "", "parse-names" : false, "suffix" : "" } ], "container-title" : "Pharmacogenetics", "id" : "ITEM-1", "issue" : "1", "issued" : { "date-parts" : [ [ "1997" ] ] }, "page" : "65-71", "title" : "Genetic polymorphism of catechol-O-methyltransferase (COMT): correlation of genotype with individual variation of S-COMT activity and comparison of the allele frequencies in the normal population and parkinsonian patients in Finland.", "type" : "article-journal", "volume" : "7" }, "uris" : [ "http://www.mendeley.com/documents/?uuid=3dec760a-d0b3-4a78-8399-d00ca72fb4f7" ] } ], "mendeley" : { "formattedCitation" : "(200)", "plainTextFormattedCitation" : "(200)", "previouslyFormattedCitation" : "(200)" }, "properties" : { "noteIndex" : 20 }, "schema" : "https://github.com/citation-style-language/schema/raw/master/csl-citation.json" }</w:instrText>
      </w:r>
      <w:r w:rsidR="00BC3BBB" w:rsidRPr="00332004">
        <w:rPr>
          <w:rFonts w:ascii="Arial" w:hAnsi="Arial" w:cs="Arial"/>
          <w:sz w:val="22"/>
          <w:szCs w:val="22"/>
          <w:shd w:val="clear" w:color="auto" w:fill="FFFFFF"/>
        </w:rPr>
        <w:fldChar w:fldCharType="separate"/>
      </w:r>
      <w:r w:rsidR="00C60153" w:rsidRPr="00332004">
        <w:rPr>
          <w:rFonts w:ascii="Arial" w:hAnsi="Arial" w:cs="Arial"/>
          <w:noProof/>
          <w:sz w:val="22"/>
          <w:szCs w:val="22"/>
          <w:shd w:val="clear" w:color="auto" w:fill="FFFFFF"/>
        </w:rPr>
        <w:t>(200)</w:t>
      </w:r>
      <w:r w:rsidR="00BC3BBB" w:rsidRPr="00332004">
        <w:rPr>
          <w:rFonts w:ascii="Arial" w:hAnsi="Arial" w:cs="Arial"/>
          <w:sz w:val="22"/>
          <w:szCs w:val="22"/>
          <w:shd w:val="clear" w:color="auto" w:fill="FFFFFF"/>
        </w:rPr>
        <w:fldChar w:fldCharType="end"/>
      </w:r>
      <w:r w:rsidR="00C60153" w:rsidRPr="00332004">
        <w:rPr>
          <w:rFonts w:ascii="Arial" w:hAnsi="Arial" w:cs="Arial"/>
          <w:sz w:val="22"/>
          <w:szCs w:val="22"/>
          <w:shd w:val="clear" w:color="auto" w:fill="FFFFFF"/>
        </w:rPr>
        <w:t xml:space="preserve">.  </w:t>
      </w:r>
      <w:r w:rsidRPr="00332004">
        <w:rPr>
          <w:rFonts w:ascii="Arial" w:hAnsi="Arial" w:cs="Arial"/>
          <w:sz w:val="22"/>
          <w:szCs w:val="22"/>
          <w:shd w:val="clear" w:color="auto" w:fill="FFFFFF"/>
        </w:rPr>
        <w:t xml:space="preserve">Bu polimorfizmin meta analizinde ne olgu-kontrol ne de aile temelli çalışmalarda DEHB ile ilişkisi olduğuna dair herhangi bir kanıt bulunamamıştır </w:t>
      </w:r>
      <w:r w:rsidR="00BC3BBB" w:rsidRPr="00332004">
        <w:rPr>
          <w:rFonts w:ascii="Arial" w:hAnsi="Arial" w:cs="Arial"/>
          <w:sz w:val="22"/>
          <w:szCs w:val="22"/>
          <w:shd w:val="clear" w:color="auto" w:fill="FFFFFF"/>
        </w:rPr>
        <w:fldChar w:fldCharType="begin" w:fldLock="1"/>
      </w:r>
      <w:r w:rsidR="00C60153" w:rsidRPr="00332004">
        <w:rPr>
          <w:rFonts w:ascii="Arial" w:hAnsi="Arial" w:cs="Arial"/>
          <w:sz w:val="22"/>
          <w:szCs w:val="22"/>
          <w:shd w:val="clear" w:color="auto" w:fill="FFFFFF"/>
        </w:rPr>
        <w:instrText>ADDIN CSL_CITATION { "citationItems" : [ { "id" : "ITEM-1", "itemData" : { "PMID" : "16676224", "abstract" : "There have been conflicting reports on the association between the Val158/108Met polymorphism of the catechol-O-methyltransferase (COMT) gene and attention deficit hyperactivity disorder (ADHD). Therefore we would like to perform a meta-analysis of previous studies to assess the overall magnitude and significance of the association. Family-based and case-control studies of the association between the COMT gene polymorphism and ADHD were searched systematically and comprehensively. Odds ratios (OR) of association were pooled by the fixed effects model if no significant heterogeneity was present among different studies. Subgroup analysis by gender and ADHD subtypes were also performed. Eleven family-based and two case-control studies were identified. After pooling the results, no significant association between the COMT Vall58/108Met polymorphism and ADHD was found (OR 0.99 (95% CI: 0.88-1.12), P = 0.87). There was also no significant association when the results were stratified by gender or ADHD subtype. There was no significant statistical heterogeneity (chi2 = 12.27, P = 0.2) although clinical heterogeneity was present in the studies, especially the ethnicity of subjects. Sensitivity analysis demonstrated absence of undue influence of any single study. Standard regression analysis showed no significant publication bias. We concluded that no significant association was present between the most common COMT gene polymorphism and ADHD. Further studies should employ larger sample size in more homogeneous subjects. Further investigations in moderator variables and gene-gene and gene-environment interactions are also warranted", "author" : [ { "dropping-particle" : "", "family" : "Cheuk", "given" : "D K", "non-dropping-particle" : "", "parse-names" : false, "suffix" : "" }, { "dropping-particle" : "", "family" : "Wong", "given" : "V", "non-dropping-particle" : "", "parse-names" : false, "suffix" : "" } ], "container-title" : "Behav.Genet.", "id" : "ITEM-1", "issue" : "5", "issued" : { "date-parts" : [ [ "2006" ] ] }, "page" : "651-659", "title" : "Meta-analysis of association between a catechol-O-methyltransferase gene polymorphism and attention deficit hyperactivity disorder", "type" : "article-journal", "volume" : "36" }, "uris" : [ "http://www.mendeley.com/documents/?uuid=3735a622-60f7-446b-8b3b-be6d3087c86a" ] } ], "mendeley" : { "formattedCitation" : "(165)", "plainTextFormattedCitation" : "(165)", "previouslyFormattedCitation" : "(165)" }, "properties" : { "noteIndex" : 20 }, "schema" : "https://github.com/citation-style-language/schema/raw/master/csl-citation.json" }</w:instrText>
      </w:r>
      <w:r w:rsidR="00BC3BBB" w:rsidRPr="00332004">
        <w:rPr>
          <w:rFonts w:ascii="Arial" w:hAnsi="Arial" w:cs="Arial"/>
          <w:sz w:val="22"/>
          <w:szCs w:val="22"/>
          <w:shd w:val="clear" w:color="auto" w:fill="FFFFFF"/>
        </w:rPr>
        <w:fldChar w:fldCharType="separate"/>
      </w:r>
      <w:r w:rsidR="00C60153" w:rsidRPr="00332004">
        <w:rPr>
          <w:rFonts w:ascii="Arial" w:hAnsi="Arial" w:cs="Arial"/>
          <w:noProof/>
          <w:sz w:val="22"/>
          <w:szCs w:val="22"/>
          <w:shd w:val="clear" w:color="auto" w:fill="FFFFFF"/>
        </w:rPr>
        <w:t>(165)</w:t>
      </w:r>
      <w:r w:rsidR="00BC3BBB" w:rsidRPr="00332004">
        <w:rPr>
          <w:rFonts w:ascii="Arial" w:hAnsi="Arial" w:cs="Arial"/>
          <w:sz w:val="22"/>
          <w:szCs w:val="22"/>
          <w:shd w:val="clear" w:color="auto" w:fill="FFFFFF"/>
        </w:rPr>
        <w:fldChar w:fldCharType="end"/>
      </w:r>
      <w:r w:rsidR="00C60153" w:rsidRPr="00332004">
        <w:rPr>
          <w:rFonts w:ascii="Arial" w:hAnsi="Arial" w:cs="Arial"/>
          <w:sz w:val="22"/>
          <w:szCs w:val="22"/>
          <w:shd w:val="clear" w:color="auto" w:fill="FFFFFF"/>
        </w:rPr>
        <w:t xml:space="preserve">. IMAGE projesinde de benzer sonuçlar alınmıştır </w:t>
      </w:r>
      <w:r w:rsidR="00BC3BBB" w:rsidRPr="00332004">
        <w:rPr>
          <w:rFonts w:ascii="Arial" w:hAnsi="Arial" w:cs="Arial"/>
          <w:sz w:val="22"/>
          <w:szCs w:val="22"/>
          <w:shd w:val="clear" w:color="auto" w:fill="FFFFFF"/>
        </w:rPr>
        <w:fldChar w:fldCharType="begin" w:fldLock="1"/>
      </w:r>
      <w:r w:rsidR="00C60153" w:rsidRPr="00332004">
        <w:rPr>
          <w:rFonts w:ascii="Arial" w:hAnsi="Arial" w:cs="Arial"/>
          <w:sz w:val="22"/>
          <w:szCs w:val="22"/>
          <w:shd w:val="clear" w:color="auto" w:fill="FFFFFF"/>
        </w:rPr>
        <w:instrText>ADDIN CSL_CITATION { "citationItems" : [ { "id" : "ITEM-1", "itemData" : { "DOI" : "10.1038/sj.mp.4001869", "ISBN" : "1359-4184 (Print)\\r1359-4184", "ISSN" : "1359-4184", "PMID" : "16894395", "abstract" : "Attention deficit hyperactivity disorder (ADHD) is a common neurodevelopmental disorder, starting in early childhood and persisting into adulthood in the majority of cases. Family and twin studies have demonstrated the importance of genetic factors and candidate gene association studies have identified several loci that exert small but significant effects on ADHD. To provide further clarification of reported associations and identify novel associated genes, we examined 1,038 single-nucleotide polymorphisms (SNPs) spanning 51 candidate genes involved in the regulation of neurotransmitter pathways, particularly dopamine, norepinephrine and serotonin pathways, in addition to circadian rhythm genes. Analysis used within family tests of association in a sample of 776 DSM-IV ADHD combined type cases ascertained for the International Multi-centre ADHD Gene project. We found nominal significance with one or more SNPs in 18 genes, including the two most replicated findings in the literature: DRD4 and DAT1. Gene-wide tests, adjusted for the number of SNPs analysed in each gene, identified associations with TPH2, ARRB2, SYP, DAT1, ADRB2, HES1, MAOA and PNMT. Further studies will be needed to confirm or refute the observed associations and their generalisability to other samples.", "author" : [ { "dropping-particle" : "", "family" : "Brookes", "given" : "K", "non-dropping-particle" : "", "parse-names" : false, "suffix" : "" }, { "dropping-particle" : "", "family" : "Xu", "given" : "X", "non-dropping-particle" : "", "parse-names" : false, "suffix" : "" }, { "dropping-particle" : "", "family" : "Chen", "given" : "W", "non-dropping-particle" : "", "parse-names" : false, "suffix" : "" }, { "dropping-particle" : "", "family" : "Zhou", "given" : "K", "non-dropping-particle" : "", "parse-names" : false, "suffix" : "" }, { "dropping-particle" : "", "family" : "Neale", "given" : "B", "non-dropping-particle" : "", "parse-names" : false, "suffix" : "" }, { "dropping-particle" : "", "family" : "Lowe", "given" : "N", "non-dropping-particle" : "", "parse-names" : false, "suffix" : "" }, { "dropping-particle" : "", "family" : "Aneey", "given" : "R", "non-dropping-particle" : "", "parse-names" : false, "suffix" : "" }, { "dropping-particle" : "", "family" : "Franke", "given" : "B", "non-dropping-particle" : "", "parse-names" : false, "suffix" : "" }, { "dropping-particle" : "", "family" : "Gill", "given" : "M", "non-dropping-particle" : "", "parse-names" : false, "suffix" : "" }, { "dropping-particle" : "", "family" : "Ebstein", "given" : "R", "non-dropping-particle" : "", "parse-names" : false, "suffix" : "" }, { "dropping-particle" : "", "family" : "Buitelaar", "given" : "J", "non-dropping-particle" : "", "parse-names" : false, "suffix" : "" }, { "dropping-particle" : "", "family" : "Sham", "given" : "P", "non-dropping-particle" : "", "parse-names" : false, "suffix" : "" }, { "dropping-particle" : "", "family" : "Campbell", "given" : "D", "non-dropping-particle" : "", "parse-names" : false, "suffix" : "" }, { "dropping-particle" : "", "family" : "Knight", "given" : "J", "non-dropping-particle" : "", "parse-names" : false, "suffix" : "" }, { "dropping-particle" : "", "family" : "Andreou", "given" : "P", "non-dropping-particle" : "", "parse-names" : false, "suffix" : "" }, { "dropping-particle" : "", "family" : "Altink", "given" : "M", "non-dropping-particle" : "", "parse-names" : false, "suffix" : "" }, { "dropping-particle" : "", "family" : "Arnold", "given" : "R", "non-dropping-particle" : "", "parse-names" : false, "suffix" : "" }, { "dropping-particle" : "", "family" : "Boer", "given" : "F", "non-dropping-particle" : "", "parse-names" : false, "suffix" : "" }, { "dropping-particle" : "", "family" : "Buschgens", "given" : "C", "non-dropping-particle" : "", "parse-names" : false, "suffix" : "" }, { "dropping-particle" : "", "family" : "Butler", "given" : "L", "non-dropping-particle" : "", "parse-names" : false, "suffix" : "" }, { "dropping-particle" : "", "family" : "Christiansen", "given" : "H", "non-dropping-particle" : "", "parse-names" : false, "suffix" : "" }, { "dropping-particle" : "", "family" : "Feldman", "given" : "L", "non-dropping-particle" : "", "parse-names" : false, "suffix" : "" }, { "dropping-particle" : "", "family" : "Fleischman", "given" : "K", "non-dropping-particle" : "", "parse-names" : false, "suffix" : "" }, { "dropping-particle" : "", "family" : "Fliers", "given" : "E", "non-dropping-particle" : "", "parse-names" : false, "suffix" : "" }, { "dropping-particle" : "", "family" : "Howe-Forbes", "given" : "R", "non-dropping-particle" : "", "parse-names" : false, "suffix" : "" }, { "dropping-particle" : "", "family" : "Goldfarb", "given" : "A", "non-dropping-particle" : "", "parse-names" : false, "suffix" : "" }, { "dropping-particle" : "", "family" : "Heise", "given" : "A", "non-dropping-particle" : "", "parse-names" : false, "suffix" : "" }, { "dropping-particle" : "", "family" : "Gabri\u00ebls", "given" : "I", "non-dropping-particle" : "", "parse-names" : false, "suffix" : "" }, { "dropping-particle" : "", "family" : "Korn-Lubetzki", "given" : "I", "non-dropping-particle" : "", "parse-names" : false, "suffix" : "" }, { "dropping-particle" : "", "family" : "Marco", "given" : "R", "non-dropping-particle" : "", "parse-names" : false, "suffix" : "" }, { "dropping-particle" : "", "family" : "Medad", "given" : "S", "non-dropping-particle" : "", "parse-names" : false, "suffix" : "" }, { "dropping-particle" : "", "family" : "Minderaa", "given" : "R", "non-dropping-particle" : "", "parse-names" : false, "suffix" : "" }, { "dropping-particle" : "", "family" : "Mulas", "given" : "F", "non-dropping-particle" : "", "parse-names" : false, "suffix" : "" }, { "dropping-particle" : "", "family" : "M\u00fcller", "given" : "U", "non-dropping-particle" : "", "parse-names" : false, "suffix" : "" }, { "dropping-particle" : "", "family" : "Mulligan", "given" : "A", "non-dropping-particle" : "", "parse-names" : false, "suffix" : "" }, { "dropping-particle" : "", "family" : "Rabin", "given" : "K", "non-dropping-particle" : "", "parse-names" : false, "suffix" : "" }, { "dropping-particle" : "", "family" : "Rommelse", "given" : "N", "non-dropping-particle" : "", "parse-names" : false, "suffix" : "" }, { "dropping-particle" : "", "family" : "Sethna", "given" : "V", "non-dropping-particle" : "", "parse-names" : false, "suffix" : "" }, { "dropping-particle" : "", "family" : "Sorohan", "given" : "J", "non-dropping-particle" : "", "parse-names" : false, "suffix" : "" }, { "dropping-particle" : "", "family" : "Uebel", "given" : "H", "non-dropping-particle" : "", "parse-names" : false, "suffix" : "" }, { "dropping-particle" : "", "family" : "Psychogiou", "given" : "L", "non-dropping-particle" : "", "parse-names" : false, "suffix" : "" }, { "dropping-particle" : "", "family" : "Weeks", "given" : "A", "non-dropping-particle" : "", "parse-names" : false, "suffix" : "" }, { "dropping-particle" : "", "family" : "Barrett", "given" : "R", "non-dropping-particle" : "", "parse-names" : false, "suffix" : "" }, { "dropping-particle" : "", "family" : "Craig", "given" : "I", "non-dropping-particle" : "", "parse-names" : false, "suffix" : "" }, { "dropping-particle" : "", "family" : "Banaschewski", "given" : "T", "non-dropping-particle" : "", "parse-names" : false, "suffix" : "" }, { "dropping-particle" : "", "family" : "Sonuga-Barke", "given" : "E", "non-dropping-particle" : "", "parse-names" : false, "suffix" : "" }, { "dropping-particle" : "", "family" : "Eisenberg", "given" : "J", "non-dropping-particle" : "", "parse-names" : false, "suffix" : "" }, { "dropping-particle" : "", "family" : "Kuntsi", "given" : "J", "non-dropping-particle" : "", "parse-names" : false, "suffix" : "" }, { "dropping-particle" : "", "family" : "Manor", "given" : "I", "non-dropping-particle" : "", "parse-names" : false, "suffix" : "" }, { "dropping-particle" : "", "family" : "McGuffin", "given" : "P", "non-dropping-particle" : "", "parse-names" : false, "suffix" : "" }, { "dropping-particle" : "", "family" : "Miranda", "given" : "A", "non-dropping-particle" : "", "parse-names" : false, "suffix" : "" }, { "dropping-particle" : "", "family" : "Oades", "given" : "R D", "non-dropping-particle" : "", "parse-names" : false, "suffix" : "" }, { "dropping-particle" : "", "family" : "Plomin", "given" : "R", "non-dropping-particle" : "", "parse-names" : false, "suffix" : "" }, { "dropping-particle" : "", "family" : "Roeyers", "given" : "H", "non-dropping-particle" : "", "parse-names" : false, "suffix" : "" }, { "dropping-particle" : "", "family" : "Rothenberger", "given" : "A", "non-dropping-particle" : "", "parse-names" : false, "suffix" : "" }, { "dropping-particle" : "", "family" : "Sergeant", "given" : "J", "non-dropping-particle" : "", "parse-names" : false, "suffix" : "" }, { "dropping-particle" : "", "family" : "Steinhausen", "given" : "H-C", "non-dropping-particle" : "", "parse-names" : false, "suffix" : "" }, { "dropping-particle" : "", "family" : "Taylor", "given" : "E", "non-dropping-particle" : "", "parse-names" : false, "suffix" : "" }, { "dropping-particle" : "", "family" : "Thompson", "given" : "M", "non-dropping-particle" : "", "parse-names" : false, "suffix" : "" }, { "dropping-particle" : "V", "family" : "Faraone", "given" : "S", "non-dropping-particle" : "", "parse-names" : false, "suffix" : "" }, { "dropping-particle" : "", "family" : "Asherson", "given" : "P", "non-dropping-particle" : "", "parse-names" : false, "suffix" : "" }, { "dropping-particle" : "", "family" : "Johansson", "given" : "L", "non-dropping-particle" : "", "parse-names" : false, "suffix" : "" } ], "container-title" : "Molecular Psychiatry", "id" : "ITEM-1", "issue" : "10", "issued" : { "date-parts" : [ [ "2006" ] ] }, "page" : "934-953", "title" : "The analysis of 51 genes in DSM-IV combined type attention deficit hyperactivity disorder: association signals in DRD4, DAT1 and 16 other genes", "type" : "article-journal", "volume" : "11" }, "uris" : [ "http://www.mendeley.com/documents/?uuid=d326f6d1-a4b7-4947-aae7-7fea9984efc7" ] } ], "mendeley" : { "formattedCitation" : "(191)", "plainTextFormattedCitation" : "(191)", "previouslyFormattedCitation" : "(191)" }, "properties" : { "noteIndex" : 20 }, "schema" : "https://github.com/citation-style-language/schema/raw/master/csl-citation.json" }</w:instrText>
      </w:r>
      <w:r w:rsidR="00BC3BBB" w:rsidRPr="00332004">
        <w:rPr>
          <w:rFonts w:ascii="Arial" w:hAnsi="Arial" w:cs="Arial"/>
          <w:sz w:val="22"/>
          <w:szCs w:val="22"/>
          <w:shd w:val="clear" w:color="auto" w:fill="FFFFFF"/>
        </w:rPr>
        <w:fldChar w:fldCharType="separate"/>
      </w:r>
      <w:r w:rsidR="00C60153" w:rsidRPr="00332004">
        <w:rPr>
          <w:rFonts w:ascii="Arial" w:hAnsi="Arial" w:cs="Arial"/>
          <w:noProof/>
          <w:sz w:val="22"/>
          <w:szCs w:val="22"/>
          <w:shd w:val="clear" w:color="auto" w:fill="FFFFFF"/>
        </w:rPr>
        <w:t>(191)</w:t>
      </w:r>
      <w:r w:rsidR="00BC3BBB" w:rsidRPr="00332004">
        <w:rPr>
          <w:rFonts w:ascii="Arial" w:hAnsi="Arial" w:cs="Arial"/>
          <w:sz w:val="22"/>
          <w:szCs w:val="22"/>
          <w:shd w:val="clear" w:color="auto" w:fill="FFFFFF"/>
        </w:rPr>
        <w:fldChar w:fldCharType="end"/>
      </w:r>
      <w:r w:rsidR="00C60153" w:rsidRPr="00332004">
        <w:rPr>
          <w:rFonts w:ascii="Arial" w:hAnsi="Arial" w:cs="Arial"/>
          <w:sz w:val="22"/>
          <w:szCs w:val="22"/>
          <w:shd w:val="clear" w:color="auto" w:fill="FFFFFF"/>
        </w:rPr>
        <w:t xml:space="preserve">. </w:t>
      </w:r>
    </w:p>
    <w:p w:rsidR="00C60153" w:rsidRPr="00EC4DCF" w:rsidRDefault="00C60153" w:rsidP="00EC4DCF">
      <w:pPr>
        <w:spacing w:line="360" w:lineRule="auto"/>
        <w:ind w:firstLine="708"/>
        <w:jc w:val="both"/>
        <w:rPr>
          <w:rFonts w:ascii="Arial" w:hAnsi="Arial" w:cs="Arial"/>
          <w:b/>
          <w:i/>
          <w:sz w:val="22"/>
          <w:szCs w:val="22"/>
        </w:rPr>
      </w:pPr>
      <w:r w:rsidRPr="00EC4DCF">
        <w:rPr>
          <w:rFonts w:ascii="Arial" w:hAnsi="Arial" w:cs="Arial"/>
          <w:b/>
          <w:i/>
          <w:sz w:val="22"/>
          <w:szCs w:val="22"/>
        </w:rPr>
        <w:t>Norepinefrin Taşıyıcı Geni (NET;SLC6A2)</w:t>
      </w:r>
    </w:p>
    <w:p w:rsidR="00C60153" w:rsidRPr="004B3BE0" w:rsidRDefault="004B3BE0" w:rsidP="00C60153">
      <w:pPr>
        <w:spacing w:line="360" w:lineRule="auto"/>
        <w:ind w:firstLine="708"/>
        <w:jc w:val="both"/>
        <w:rPr>
          <w:rFonts w:ascii="Arial" w:hAnsi="Arial" w:cs="Arial"/>
          <w:sz w:val="22"/>
          <w:szCs w:val="22"/>
        </w:rPr>
      </w:pPr>
      <w:r w:rsidRPr="004B3BE0">
        <w:rPr>
          <w:rFonts w:ascii="Arial" w:hAnsi="Arial" w:cs="Arial"/>
          <w:sz w:val="22"/>
          <w:szCs w:val="22"/>
        </w:rPr>
        <w:t>Norepinefrin taşıyıcısını bloke eden ilaçların DEHB tedavisinde faydalı oldukları kanıtlanmıştır</w:t>
      </w:r>
      <w:r w:rsidR="00C60153" w:rsidRPr="004B3BE0">
        <w:rPr>
          <w:rFonts w:ascii="Arial" w:hAnsi="Arial" w:cs="Arial"/>
          <w:sz w:val="22"/>
          <w:szCs w:val="22"/>
        </w:rPr>
        <w:t xml:space="preserve"> </w:t>
      </w:r>
      <w:r w:rsidR="00BC3BBB" w:rsidRPr="004B3BE0">
        <w:rPr>
          <w:rFonts w:ascii="Arial" w:hAnsi="Arial" w:cs="Arial"/>
          <w:sz w:val="22"/>
          <w:szCs w:val="22"/>
        </w:rPr>
        <w:fldChar w:fldCharType="begin" w:fldLock="1"/>
      </w:r>
      <w:r w:rsidR="00C60153" w:rsidRPr="004B3BE0">
        <w:rPr>
          <w:rFonts w:ascii="Arial" w:hAnsi="Arial" w:cs="Arial"/>
          <w:sz w:val="22"/>
          <w:szCs w:val="22"/>
        </w:rPr>
        <w:instrText>ADDIN CSL_CITATION { "citationItems" : [ { "id" : "ITEM-1", "itemData" : { "ISSN" : "1018-8827", "PMID" : "11140780", "abstract" : "We reviewed the literature of medication trials in ADHD to evaluate the scope of the available non-stimulant treatments. A variety of compounds with a common noradrenergic/ dopaminergic activity have shown documented anti-ADHD activity. There is a substantial body of literature documenting the efficacy of tricyclic antidepressants on ADHD in over 1,000 subjects. In addition, the atypical antidepressant bupropion and the novel noradrenergic specific antidepressant tomoxetine have also been documented to be effective in the treatment of ADHD in controlled clinical trials. Despite wide use, the scientific base supporting the efficacy of alpha-2, noradrenergic agonists continues to be limited. Several lines of evidence provide preliminary support for the potential benefits of cholinergic cognitive enhancing drugs in such as anticholinesterase inhibitors (tacrine, donepezil) as well as novel nicotinic analogues (ABT-418). Despite these promising results, more research is needed on alternative pharmacologic treatments for the treatment of ADHD.", "author" : [ { "dropping-particle" : "", "family" : "Biederman", "given" : "J", "non-dropping-particle" : "", "parse-names" : false, "suffix" : "" }, { "dropping-particle" : "", "family" : "Spencer", "given" : "T", "non-dropping-particle" : "", "parse-names" : false, "suffix" : "" } ], "container-title" : "European child &amp; adolescent psychiatry", "id" : "ITEM-1", "issued" : { "date-parts" : [ [ "2000" ] ] }, "page" : "I51-9", "title" : "Non-stimulant treatments for ADHD.", "type" : "article-journal", "volume" : "9 Suppl 1" }, "uris" : [ "http://www.mendeley.com/documents/?uuid=c8c4aaee-8486-3a0d-abb8-b13a4bab9458" ] } ], "mendeley" : { "formattedCitation" : "(201)", "plainTextFormattedCitation" : "(201)", "previouslyFormattedCitation" : "(201)" }, "properties" : { "noteIndex" : 20 }, "schema" : "https://github.com/citation-style-language/schema/raw/master/csl-citation.json" }</w:instrText>
      </w:r>
      <w:r w:rsidR="00BC3BBB" w:rsidRPr="004B3BE0">
        <w:rPr>
          <w:rFonts w:ascii="Arial" w:hAnsi="Arial" w:cs="Arial"/>
          <w:sz w:val="22"/>
          <w:szCs w:val="22"/>
        </w:rPr>
        <w:fldChar w:fldCharType="separate"/>
      </w:r>
      <w:r w:rsidR="00C60153" w:rsidRPr="004B3BE0">
        <w:rPr>
          <w:rFonts w:ascii="Arial" w:hAnsi="Arial" w:cs="Arial"/>
          <w:noProof/>
          <w:sz w:val="22"/>
          <w:szCs w:val="22"/>
        </w:rPr>
        <w:t>(201)</w:t>
      </w:r>
      <w:r w:rsidR="00BC3BBB" w:rsidRPr="004B3BE0">
        <w:rPr>
          <w:rFonts w:ascii="Arial" w:hAnsi="Arial" w:cs="Arial"/>
          <w:sz w:val="22"/>
          <w:szCs w:val="22"/>
        </w:rPr>
        <w:fldChar w:fldCharType="end"/>
      </w:r>
      <w:r w:rsidR="00C60153" w:rsidRPr="004B3BE0">
        <w:rPr>
          <w:rFonts w:ascii="Arial" w:hAnsi="Arial" w:cs="Arial"/>
          <w:sz w:val="22"/>
          <w:szCs w:val="22"/>
        </w:rPr>
        <w:t>.</w:t>
      </w:r>
      <w:r w:rsidR="00C60153" w:rsidRPr="004B3BE0">
        <w:rPr>
          <w:rFonts w:ascii="Arial" w:hAnsi="Arial" w:cs="Arial"/>
          <w:color w:val="4F81BD" w:themeColor="accent1"/>
          <w:sz w:val="22"/>
          <w:szCs w:val="22"/>
        </w:rPr>
        <w:t xml:space="preserve"> </w:t>
      </w:r>
      <w:r w:rsidR="00C60153" w:rsidRPr="004B3BE0">
        <w:rPr>
          <w:rFonts w:ascii="Arial" w:hAnsi="Arial" w:cs="Arial"/>
          <w:sz w:val="22"/>
          <w:szCs w:val="22"/>
        </w:rPr>
        <w:t xml:space="preserve">SLC6A2 ‘deki bir SNP Comming ve ark tarafından DEHB ile ilişkili bulunmuş </w:t>
      </w:r>
      <w:r w:rsidR="00BC3BBB" w:rsidRPr="004B3BE0">
        <w:rPr>
          <w:rFonts w:ascii="Arial" w:hAnsi="Arial" w:cs="Arial"/>
          <w:sz w:val="22"/>
          <w:szCs w:val="22"/>
        </w:rPr>
        <w:fldChar w:fldCharType="begin" w:fldLock="1"/>
      </w:r>
      <w:r w:rsidR="00C60153" w:rsidRPr="004B3BE0">
        <w:rPr>
          <w:rFonts w:ascii="Arial" w:hAnsi="Arial" w:cs="Arial"/>
          <w:sz w:val="22"/>
          <w:szCs w:val="22"/>
        </w:rPr>
        <w:instrText>ADDIN CSL_CITATION { "citationItems" : [ { "id" : "ITEM-1", "itemData" : { "DOI" : "10.1034/j.1399-0004.2000.570304.x", "ISBN" : "1399-0004", "ISSN" : "0009-9163", "PMID" : "10782925", "abstract" : "Comparison of the role of dopamine, serotonin, and noradrenaline genes in ADHD, ODD and conduct disorder: multivariate regression analysis of 20 genes. Clin Genet 2000: 57: 178 \u2013 196. \u00a9 Munksgaard, 2000 The present study is based on the proposal that complex disorders resulting from the effects of multiple genes are best investigated by simultaneously examining multiple candidate genes in the same group of subjects. We have examined the effect of 20 genes for dopamine, serotonin, and noradrenergic metabolism on a quantitative score for attention deficit hyperactivity disorder (ADHD) in 336 unrelated Cau-casian subjects. The genotypes of each gene were assigned a score from 0 to 2, based on results from the literature or studies in an independent set of subjects (literature-based scoring), or results based on analysis of variance for the sample (optimized gene scoring). Multivariate linear regression analysis with backward elimination was used to determine which genes contributed most to the phenotype for both coding meth-ods. For optimized gene scoring, three dopamine genes contributed to 2.3% of the variance, p = 0.052; three serotonin genes contributed to 3%, p =0.015; and six adrenergic genes contributed to 6.9%, p = 0.0006. For all genes combined, 12 genes contributed to 11.6% of the variance, p =0.0001. These results indicate that the adrenergic genes play a greater role in ADHD than either the dopaminergic or sero-tonergic genes combined. The results using literature-based gene scoring were similar. An examination of two additional comorbid phenotypes, conduct disorder and oppositional defiant disorder (ODD), indicated they shared genes with ADHD. For ODD different genotypes of the same genes were often used. These results support the value of the simultaneous examination of multiple candidate genes.", "author" : [ { "dropping-particle" : "", "family" : "De", "given" : "Comings", "non-dropping-particle" : "", "parse-names" : false, "suffix" : "" }, { "dropping-particle" : "", "family" : "R", "given" : "Gade-Andavolu", "non-dropping-particle" : "", "parse-names" : false, "suffix" : "" }, { "dropping-particle" : "", "family" : "Gonzalez", "given" : "N", "non-dropping-particle" : "", "parse-names" : false, "suffix" : "" }, { "dropping-particle" : "", "family" : "Wu", "given" : "S", "non-dropping-particle" : "", "parse-names" : false, "suffix" : "" }, { "dropping-particle" : "", "family" : "Muhleman", "given" : "D", "non-dropping-particle" : "", "parse-names" : false, "suffix" : "" }, { "dropping-particle" : "", "family" : "Dietz", "given" : "Blake H", "non-dropping-particle" : "", "parse-names" : false, "suffix" : "" }, { "dropping-particle" : "", "family" : "Saucier", "given" : "G", "non-dropping-particle" : "", "parse-names" : false, "suffix" : "" }, { "dropping-particle" : "", "family" : "Macmurray Jp", "given" : "", "non-dropping-particle" : "", "parse-names" : false, "suffix" : "" } ], "container-title" : "Clin Genet", "id" : "ITEM-1", "issued" : { "date-parts" : [ [ "2000" ] ] }, "page" : "178-196", "title" : "Comparison of the role of dopamine, serotonin, and noradrenaline genes in ADHD, ODD and conduct disorder: multivariate regression analysis of 20 genes", "type" : "article-journal", "volume" : "57" }, "uris" : [ "http://www.mendeley.com/documents/?uuid=efbb3ffe-c8a3-4677-b59b-eb398e5f985e" ] } ], "mendeley" : { "formattedCitation" : "(199)", "plainTextFormattedCitation" : "(199)", "previouslyFormattedCitation" : "(199)" }, "properties" : { "noteIndex" : 20 }, "schema" : "https://github.com/citation-style-language/schema/raw/master/csl-citation.json" }</w:instrText>
      </w:r>
      <w:r w:rsidR="00BC3BBB" w:rsidRPr="004B3BE0">
        <w:rPr>
          <w:rFonts w:ascii="Arial" w:hAnsi="Arial" w:cs="Arial"/>
          <w:sz w:val="22"/>
          <w:szCs w:val="22"/>
        </w:rPr>
        <w:fldChar w:fldCharType="separate"/>
      </w:r>
      <w:r w:rsidR="00C60153" w:rsidRPr="004B3BE0">
        <w:rPr>
          <w:rFonts w:ascii="Arial" w:hAnsi="Arial" w:cs="Arial"/>
          <w:noProof/>
          <w:sz w:val="22"/>
          <w:szCs w:val="22"/>
        </w:rPr>
        <w:t>(199)</w:t>
      </w:r>
      <w:r w:rsidR="00BC3BBB" w:rsidRPr="004B3BE0">
        <w:rPr>
          <w:rFonts w:ascii="Arial" w:hAnsi="Arial" w:cs="Arial"/>
          <w:sz w:val="22"/>
          <w:szCs w:val="22"/>
        </w:rPr>
        <w:fldChar w:fldCharType="end"/>
      </w:r>
      <w:r w:rsidR="00C60153" w:rsidRPr="004B3BE0">
        <w:rPr>
          <w:rFonts w:ascii="Arial" w:hAnsi="Arial" w:cs="Arial"/>
          <w:color w:val="4F81BD" w:themeColor="accent1"/>
          <w:sz w:val="22"/>
          <w:szCs w:val="22"/>
        </w:rPr>
        <w:t xml:space="preserve"> </w:t>
      </w:r>
      <w:r w:rsidR="00C60153" w:rsidRPr="004B3BE0">
        <w:rPr>
          <w:rFonts w:ascii="Arial" w:hAnsi="Arial" w:cs="Arial"/>
          <w:sz w:val="22"/>
          <w:szCs w:val="22"/>
        </w:rPr>
        <w:t xml:space="preserve">fakat devamında Barr ve ark tarafından yapılan aile temelli çalışmada bu ilişki saptanmamıştır </w:t>
      </w:r>
      <w:r w:rsidR="00BC3BBB" w:rsidRPr="004B3BE0">
        <w:rPr>
          <w:rFonts w:ascii="Arial" w:hAnsi="Arial" w:cs="Arial"/>
          <w:sz w:val="22"/>
          <w:szCs w:val="22"/>
        </w:rPr>
        <w:fldChar w:fldCharType="begin" w:fldLock="1"/>
      </w:r>
      <w:r w:rsidR="00C60153" w:rsidRPr="004B3BE0">
        <w:rPr>
          <w:rFonts w:ascii="Arial" w:hAnsi="Arial" w:cs="Arial"/>
          <w:sz w:val="22"/>
          <w:szCs w:val="22"/>
        </w:rPr>
        <w:instrText>ADDIN CSL_CITATION { "citationItems" : [ { "id" : "ITEM-1", "itemData" : { "DOI" : "10.1002/ajmg.10193", "ISSN" : "0148-7299", "PMID" : "11920844", "abstract" : "The adrenergic system plays a known role in attentional systems and a suspected causal role in attention-deficit hyperactivity disorder (ADHD), based on evidence from pharmacological interventions and animal models. The efficacy of the highly selective noradrenergic reuptake inhibitor, tomoxetine, in treating ADHD symptoms supports the system's role in ADHD and points to the norephinephrine transporter as a candidate gene. This study tested the gene for the norepinephrine transporter (NET1) as a susceptibility factor in ADHD using three polymorphisms located in exon 9, intron 9, and intron 13. We examined the inheritance of these polymorphisms in a sample of 122 families with a total of 155 children with ADHD identified through an ADHD proband. Use of the transmission disequilibrium test failed to show significant evidence for biased transmission of any of the alleles or the haplotypes of these polymorphisms. We further investigated this gene by screening the probands for five known amino acid variants to determine if they contributed to the ADHD phenotype but observed only one (Thr99Ile) in our sample. Since the frequency of this variant (1.8%) was similar to that previously reported in a control sample (2.2%), it is unlikely that this variant is related to the ADHD phenotype. Our results do not support the NET1 gene as a major genetic susceptibility factor in ADHD. (C) 2002 Wiley-Liss, Inc.", "author" : [ { "dropping-particle" : "", "family" : "Barr", "given" : "C L", "non-dropping-particle" : "", "parse-names" : false, "suffix" : "" }, { "dropping-particle" : "", "family" : "Kroft", "given" : "J", "non-dropping-particle" : "", "parse-names" : false, "suffix" : "" }, { "dropping-particle" : "", "family" : "Feng", "given" : "Y", "non-dropping-particle" : "", "parse-names" : false, "suffix" : "" }, { "dropping-particle" : "", "family" : "Wigg", "given" : "K", "non-dropping-particle" : "", "parse-names" : false, "suffix" : "" }, { "dropping-particle" : "", "family" : "Roberts", "given" : "W", "non-dropping-particle" : "", "parse-names" : false, "suffix" : "" }, { "dropping-particle" : "", "family" : "Malone", "given" : "M", "non-dropping-particle" : "", "parse-names" : false, "suffix" : "" }, { "dropping-particle" : "", "family" : "Ickowicz", "given" : "A", "non-dropping-particle" : "", "parse-names" : false, "suffix" : "" }, { "dropping-particle" : "", "family" : "Schachar", "given" : "R", "non-dropping-particle" : "", "parse-names" : false, "suffix" : "" }, { "dropping-particle" : "", "family" : "Tannock", "given" : "R", "non-dropping-particle" : "", "parse-names" : false, "suffix" : "" }, { "dropping-particle" : "", "family" : "Kennedy", "given" : "J L", "non-dropping-particle" : "", "parse-names" : false, "suffix" : "" } ], "container-title" : "American Journal of Medical Genetics", "id" : "ITEM-1", "issue" : "3", "issued" : { "date-parts" : [ [ "2002" ] ] }, "page" : "255-259", "title" : "The norepinephrine transporter gene and attention-deficit hyperactivity disorder", "type" : "article-journal", "volume" : "114" }, "uris" : [ "http://www.mendeley.com/documents/?uuid=a4a793c4-da95-42f6-918a-7142aa5c07ed" ] } ], "mendeley" : { "formattedCitation" : "(202)", "plainTextFormattedCitation" : "(202)", "previouslyFormattedCitation" : "(202)" }, "properties" : { "noteIndex" : 20 }, "schema" : "https://github.com/citation-style-language/schema/raw/master/csl-citation.json" }</w:instrText>
      </w:r>
      <w:r w:rsidR="00BC3BBB" w:rsidRPr="004B3BE0">
        <w:rPr>
          <w:rFonts w:ascii="Arial" w:hAnsi="Arial" w:cs="Arial"/>
          <w:sz w:val="22"/>
          <w:szCs w:val="22"/>
        </w:rPr>
        <w:fldChar w:fldCharType="separate"/>
      </w:r>
      <w:r w:rsidR="00C60153" w:rsidRPr="004B3BE0">
        <w:rPr>
          <w:rFonts w:ascii="Arial" w:hAnsi="Arial" w:cs="Arial"/>
          <w:noProof/>
          <w:sz w:val="22"/>
          <w:szCs w:val="22"/>
        </w:rPr>
        <w:t>(202)</w:t>
      </w:r>
      <w:r w:rsidR="00BC3BBB" w:rsidRPr="004B3BE0">
        <w:rPr>
          <w:rFonts w:ascii="Arial" w:hAnsi="Arial" w:cs="Arial"/>
          <w:sz w:val="22"/>
          <w:szCs w:val="22"/>
        </w:rPr>
        <w:fldChar w:fldCharType="end"/>
      </w:r>
      <w:r w:rsidR="00C60153" w:rsidRPr="004B3BE0">
        <w:rPr>
          <w:rFonts w:ascii="Arial" w:hAnsi="Arial" w:cs="Arial"/>
          <w:color w:val="4F81BD" w:themeColor="accent1"/>
          <w:sz w:val="22"/>
          <w:szCs w:val="22"/>
        </w:rPr>
        <w:t xml:space="preserve">. </w:t>
      </w:r>
    </w:p>
    <w:p w:rsidR="00E828D6" w:rsidRDefault="00C60153" w:rsidP="00EC4DCF">
      <w:pPr>
        <w:spacing w:line="360" w:lineRule="auto"/>
        <w:rPr>
          <w:sz w:val="22"/>
          <w:szCs w:val="22"/>
        </w:rPr>
      </w:pPr>
      <w:r w:rsidRPr="00EC4DCF">
        <w:rPr>
          <w:sz w:val="22"/>
          <w:szCs w:val="22"/>
        </w:rPr>
        <w:tab/>
      </w:r>
    </w:p>
    <w:p w:rsidR="00C60153" w:rsidRPr="00EC4DCF" w:rsidRDefault="00C60153" w:rsidP="003C1280">
      <w:pPr>
        <w:spacing w:line="360" w:lineRule="auto"/>
        <w:ind w:firstLine="708"/>
        <w:rPr>
          <w:rFonts w:ascii="Arial" w:hAnsi="Arial" w:cs="Arial"/>
          <w:b/>
          <w:i/>
          <w:sz w:val="22"/>
          <w:szCs w:val="22"/>
        </w:rPr>
      </w:pPr>
      <w:r w:rsidRPr="00EC4DCF">
        <w:rPr>
          <w:rFonts w:ascii="Arial" w:hAnsi="Arial" w:cs="Arial"/>
          <w:b/>
          <w:i/>
          <w:sz w:val="22"/>
          <w:szCs w:val="22"/>
        </w:rPr>
        <w:lastRenderedPageBreak/>
        <w:t>Serotonin reseptörü 1B (HTR1B)</w:t>
      </w:r>
    </w:p>
    <w:p w:rsidR="00C60153" w:rsidRPr="00EC4DCF" w:rsidRDefault="00C60153" w:rsidP="00EC4DCF">
      <w:pPr>
        <w:spacing w:line="360" w:lineRule="auto"/>
        <w:ind w:firstLine="708"/>
        <w:rPr>
          <w:rFonts w:ascii="Arial" w:hAnsi="Arial" w:cs="Arial"/>
          <w:color w:val="E36C0A" w:themeColor="accent6" w:themeShade="BF"/>
          <w:sz w:val="22"/>
          <w:szCs w:val="22"/>
        </w:rPr>
      </w:pPr>
      <w:r w:rsidRPr="00EC4DCF">
        <w:rPr>
          <w:rFonts w:ascii="Arial" w:hAnsi="Arial" w:cs="Arial"/>
          <w:sz w:val="22"/>
          <w:szCs w:val="22"/>
        </w:rPr>
        <w:t xml:space="preserve">Bir çok çalışmada serotonin HTR1B reseptörü, DEHB ile ilişkili saptanmamış olsa da, Hawi ve ark. çok bölgeli bir çalışmada G681C alleli ile DEHB arasında anlamlı bir ilişki bulmuşlardır </w:t>
      </w:r>
      <w:r w:rsidR="00BC3BBB" w:rsidRPr="00EC4DCF">
        <w:rPr>
          <w:rFonts w:ascii="Arial" w:hAnsi="Arial" w:cs="Arial"/>
          <w:sz w:val="22"/>
          <w:szCs w:val="22"/>
        </w:rPr>
        <w:fldChar w:fldCharType="begin" w:fldLock="1"/>
      </w:r>
      <w:r w:rsidRPr="00EC4DCF">
        <w:rPr>
          <w:rFonts w:ascii="Arial" w:hAnsi="Arial" w:cs="Arial"/>
          <w:sz w:val="22"/>
          <w:szCs w:val="22"/>
        </w:rPr>
        <w:instrText>ADDIN CSL_CITATION { "citationItems" : [ { "id" : "ITEM-1", "itemData" : { "DOI" : "10.1002/ajmg.b.30142", "ISBN" : "1552-4841 (Print)\\r1552-4841 (Linking)", "ISSN" : "15524841", "PMID" : "15717291", "abstract" : "Attention deficit hyperactivity disorder (ADHD) is a common, multifactorial disorder with significant genetic contribution. Multiple candidate genes have been studied in ADHD, including the norepinephrine transporter (NET1) and dopamine D1 receptor (DRD1). NET1 is implicated in ADHD because of the efficacy of atomoxetine, a selective noradrenergic reuptake inhibitor, in the treatment of ADHD. DRD1 is primarily implicated through mouse models of ADHD. DNA from 163 ADHD probands, 192 parents, and 129 healthy controls was used to investigate possible associations between ADHD and polymorphisms in 12 previously studied candidate genes (5-HT1B, 5-HT2A, 5-HT2C, ADRA2A, CHRNA4, COMT, DAT1, DRD1, DRD4, DRD5, NET1, and SNAP-25). Analyses included case-control and family-based methods, and dimensional measures of behavior, cognition, and anatomic brain magnetic resonance imaging (MRI). Of the 12 genes examined, two showed a significant association with ADHD. Transmission disequilibrium test (TDT) analysis revealed significant association of two NET1 single nucleotide polymorphisms (SNPs) with ADHD (P &lt; or = 0.009); case-control analysis revealed significant association of two DRD1 SNPs with ADHD (P &lt; or = 0.008). No behavioral, cognitive, or brain MRI volume measurement significantly differed across NET1 or DRD1 genotypes at an alpha of 0.01. This study provides support for an association between ADHD and polymorphisms in both NET1 and DRD1; polymorphisms in ten other candidate genes were not associated with ADHD. Because family-based and case-control methods gave divergent results, both should be used in genetic studies of ADHD.", "author" : [ { "dropping-particle" : "", "family" : "Bobb", "given" : "Aaron J.", "non-dropping-particle" : "", "parse-names" : false, "suffix" : "" }, { "dropping-particle" : "", "family" : "Addington", "given" : "Anjene M.", "non-dropping-particle" : "", "parse-names" : false, "suffix" : "" }, { "dropping-particle" : "", "family" : "Sidransky", "given" : "Ellen", "non-dropping-particle" : "", "parse-names" : false, "suffix" : "" }, { "dropping-particle" : "", "family" : "Gornick", "given" : "Michele C.", "non-dropping-particle" : "", "parse-names" : false, "suffix" : "" }, { "dropping-particle" : "", "family" : "Lerch", "given" : "Jason P.", "non-dropping-particle" : "", "parse-names" : false, "suffix" : "" }, { "dropping-particle" : "", "family" : "Greenstein", "given" : "Deanna K.", "non-dropping-particle" : "", "parse-names" : false, "suffix" : "" }, { "dropping-particle" : "", "family" : "Clasen", "given" : "Liv S.", "non-dropping-particle" : "", "parse-names" : false, "suffix" : "" }, { "dropping-particle" : "", "family" : "Sharp", "given" : "Wendy S.", "non-dropping-particle" : "", "parse-names" : false, "suffix" : "" }, { "dropping-particle" : "", "family" : "Inoff-Germain", "given" : "Gale", "non-dropping-particle" : "", "parse-names" : false, "suffix" : "" }, { "dropping-particle" : "", "family" : "Wavrant-De Vri\u00e8ze", "given" : "Fabienne", "non-dropping-particle" : "", "parse-names" : false, "suffix" : "" }, { "dropping-particle" : "", "family" : "Arcos-Burgos", "given" : "Mauricio", "non-dropping-particle" : "", "parse-names" : false, "suffix" : "" }, { "dropping-particle" : "", "family" : "Straub", "given" : "Richard E.", "non-dropping-particle" : "", "parse-names" : false, "suffix" : "" }, { "dropping-particle" : "", "family" : "Hardy", "given" : "John A.", "non-dropping-particle" : "", "parse-names" : false, "suffix" : "" }, { "dropping-particle" : "", "family" : "Castellanos", "given" : "F. Xavier", "non-dropping-particle" : "", "parse-names" : false, "suffix" : "" }, { "dropping-particle" : "", "family" : "Rapoport", "given" : "Judith L.", "non-dropping-particle" : "", "parse-names" : false, "suffix" : "" } ], "container-title" : "American Journal of Medical Genetics - Neuropsychiatric Genetics", "id" : "ITEM-1", "issue" : "1", "issued" : { "date-parts" : [ [ "2005" ] ] }, "page" : "67-72", "title" : "Support for association between ADHD and two candidate genes: NET1 and DRD1", "type" : "article-journal", "volume" : "134 B" }, "uris" : [ "http://www.mendeley.com/documents/?uuid=0a5a5c21-3ca6-4f1f-82f8-7732ee568766" ] }, { "id" : "ITEM-2", "itemData" : { "DOI" : "10.1038/sj.mp.4001048", "ISBN" : "1359-4184 (Print)\\r1359-4184 (Linking)", "ISSN" : "1359-4184", "PMID" : "12192616", "abstract" : "Attention deficit hyperactivity disorder (ADHD) is a highly heritable and heterogeneous disorder, which usually becomes apparent during the first few years of childhood. Imbalance in dopamine neurotransmission has been suggested as a factor predisposing to ADHD. However, evidence has suggested an interaction between dopamine and serotonin systems in the pathophysiology of the disorder. Studies using selective agonists of the different 5-HT receptors microinjected into selected brain structures have shown a positive modulating effect on the functional activities of the mesotelencephalic dopaminergic system. This suggests that some of the genetic predisposition to ADHD might be due to DNA variation at serotonin system genes. In this study, we investigated polymorphisms in HTR(1B) and HTR(2A) (which encode the serotonin receptors 5-HT(1B) and 5-HT(2A) respectively) in a European ADHD sample. Using haplotype based haplotype relative risk (HHRR) and transmission disequilibrium test (TDT) analyses, we observed significant preferential transmission of the allele 861G of the HTR(1B) in the total sample (for HHRR; chi(2) = 7.4, P = 0.0065 and TDT; (chi(2) = 6.4, P = 0.014). Analysis of HTR(2A) failed to reveal evidence of association or linkage between the His452Tyr polymorphism and ADHD in the total sample. However, a significantly increased transmission of the allele 452His was observed in the Irish sample alone (chi(2) = 4.9, P = 0.026). These preliminary data suggest an important role for the serotonin system in the development of ADHD. Further studies, preferentially including different ethnic groups are required to substantiate these findings.", "author" : [ { "dropping-particle" : "", "family" : "Hawi", "given" : "Z", "non-dropping-particle" : "", "parse-names" : false, "suffix" : "" }, { "dropping-particle" : "", "family" : "Dring", "given" : "M", "non-dropping-particle" : "", "parse-names" : false, "suffix" : "" }, { "dropping-particle" : "", "family" : "Kirley", "given" : "a", "non-dropping-particle" : "", "parse-names" : false, "suffix" : "" }, { "dropping-particle" : "", "family" : "Foley", "given" : "D", "non-dropping-particle" : "", "parse-names" : false, "suffix" : "" }, { "dropping-particle" : "", "family" : "Kent", "given" : "L", "non-dropping-particle" : "", "parse-names" : false, "suffix" : "" }, { "dropping-particle" : "", "family" : "Craddock", "given" : "N", "non-dropping-particle" : "", "parse-names" : false, "suffix" : "" }, { "dropping-particle" : "", "family" : "Asherson", "given" : "P", "non-dropping-particle" : "", "parse-names" : false, "suffix" : "" }, { "dropping-particle" : "", "family" : "Curran", "given" : "S", "non-dropping-particle" : "", "parse-names" : false, "suffix" : "" }, { "dropping-particle" : "", "family" : "Gould", "given" : "a", "non-dropping-particle" : "", "parse-names" : false, "suffix" : "" }, { "dropping-particle" : "", "family" : "Richards", "given" : "S", "non-dropping-particle" : "", "parse-names" : false, "suffix" : "" }, { "dropping-particle" : "", "family" : "Lawson", "given" : "D", "non-dropping-particle" : "", "parse-names" : false, "suffix" : "" }, { "dropping-particle" : "", "family" : "Pay", "given" : "H", "non-dropping-particle" : "", "parse-names" : false, "suffix" : "" }, { "dropping-particle" : "", "family" : "Turic", "given" : "D", "non-dropping-particle" : "", "parse-names" : false, "suffix" : "" }, { "dropping-particle" : "", "family" : "Langley", "given" : "K", "non-dropping-particle" : "", "parse-names" : false, "suffix" : "" }, { "dropping-particle" : "", "family" : "Owen", "given" : "M", "non-dropping-particle" : "", "parse-names" : false, "suffix" : "" }, { "dropping-particle" : "", "family" : "O'Donovan", "given" : "M", "non-dropping-particle" : "", "parse-names" : false, "suffix" : "" }, { "dropping-particle" : "", "family" : "Thapar", "given" : "a", "non-dropping-particle" : "", "parse-names" : false, "suffix" : "" }, { "dropping-particle" : "", "family" : "Fitzgerald", "given" : "M", "non-dropping-particle" : "", "parse-names" : false, "suffix" : "" }, { "dropping-particle" : "", "family" : "Gill", "given" : "M", "non-dropping-particle" : "", "parse-names" : false, "suffix" : "" } ], "container-title" : "Molecular psychiatry", "id" : "ITEM-2", "issue" : "7", "issued" : { "date-parts" : [ [ "2002" ] ] }, "page" : "718-725", "title" : "Serotonergic system and attention deficit hyperactivity disorder (ADHD): a potential susceptibility locus at the 5-HT(1B) receptor gene in 273 nuclear families from a multi-centre sample.", "type" : "article-journal", "volume" : "7" }, "uris" : [ "http://www.mendeley.com/documents/?uuid=63b67ed4-23f0-423b-9a90-72ba6c3a5e99" ] }, { "id" : "ITEM-3", "itemData" : { "DOI" : "10.1007/s00702-006-0584-5", "ISBN" : "0300-9564 (Print)\\r0300-9564 (Linking)", "ISSN" : "03009564", "PMID" : "17093889", "abstract" : "Alterations in the serotonergic pathway have been implicated in the pathogenesis of attention-deficit/hyperactivity disorder (ADHD). The aim of this study was to investigate seven genetic variants in three genes (serotonin transporter (5-HTT), serotonin receptor 1B (5-HTR1B) and serotonin receptor 2A (5-HTR2A)), which have previously been shown to be associated with ADHD. The polymorphisms under investigation were the 5-HTTLPR, the VNTR in intron 2 and the 3'UTR SNP in 5-HTT, the 5-HTR1B variations 861G&gt;C and 102T&gt;C, and the 5-HTR2A variations His452Tyr and 1438G&gt;A. We genotyped these variants in a sample of 102 families with 229 children with ADHD according to DSM-IV criteria. Among the affected children, 69% fulfilled criteria for the combined type, 27% for the predominantly inattentive type, and 4% for the predominantly hyperactive-impulsive type. Associations were tested by the pedigree transmission disequilibrium test (PDT). All investigated polymorphisms in serotonergic candidate genes showed no association to ADHD in our sample. Earlier studies of these polymorphisms had also shown inconsistent results, with some studies reporting significant associations and others demonstrating no association. This discordance between studies may reflect variation in patient ascertainment criteria, genetic heterogeneity, too low statistical power for the expected effects or false positive results in the initial reports. We cannot rule out the possibility that other variations in the investigated genes contribute to the etiology of ADHD.", "author" : [ { "dropping-particle" : "", "family" : "Heiser", "given" : "P.", "non-dropping-particle" : "", "parse-names" : false, "suffix" : "" }, { "dropping-particle" : "", "family" : "Dempfle", "given" : "A.", "non-dropping-particle" : "", "parse-names" : false, "suffix" : "" }, { "dropping-particle" : "", "family" : "Friedel", "given" : "S.", "non-dropping-particle" : "", "parse-names" : false, "suffix" : "" }, { "dropping-particle" : "", "family" : "Konrad", "given" : "K.", "non-dropping-particle" : "", "parse-names" : false, "suffix" : "" }, { "dropping-particle" : "", "family" : "Hinney", "given" : "A.", "non-dropping-particle" : "", "parse-names" : false, "suffix" : "" }, { "dropping-particle" : "", "family" : "Kiefl", "given" : "H.", "non-dropping-particle" : "", "parse-names" : false, "suffix" : "" }, { "dropping-particle" : "", "family" : "Walitza", "given" : "S.", "non-dropping-particle" : "", "parse-names" : false, "suffix" : "" }, { "dropping-particle" : "", "family" : "Bettecken", "given" : "T.", "non-dropping-particle" : "", "parse-names" : false, "suffix" : "" }, { "dropping-particle" : "", "family" : "Saar", "given" : "K.", "non-dropping-particle" : "", "parse-names" : false, "suffix" : "" }, { "dropping-particle" : "", "family" : "Linder", "given" : "M.", "non-dropping-particle" : "", "parse-names" : false, "suffix" : "" }, { "dropping-particle" : "", "family" : "Warnke", "given" : "A.", "non-dropping-particle" : "", "parse-names" : false, "suffix" : "" }, { "dropping-particle" : "", "family" : "Herpertz-Dahlmann", "given" : "B.", "non-dropping-particle" : "", "parse-names" : false, "suffix" : "" }, { "dropping-particle" : "", "family" : "Sch\u00e4fer", "given" : "H.", "non-dropping-particle" : "", "parse-names" : false, "suffix" : "" }, { "dropping-particle" : "", "family" : "Remschmidt", "given" : "H.", "non-dropping-particle" : "", "parse-names" : false, "suffix" : "" }, { "dropping-particle" : "", "family" : "Hebebrand", "given" : "J.", "non-dropping-particle" : "", "parse-names" : false, "suffix" : "" } ], "container-title" : "Journal of Neural Transmission", "id" : "ITEM-3", "issue" : "4", "issued" : { "date-parts" : [ [ "2007" ] ] }, "page" : "513-521", "title" : "Family-based association study of serotonergic candidate genes and attention-deficit/hyperactivity disorder in a German sample", "type" : "article-journal", "volume" : "114" }, "uris" : [ "http://www.mendeley.com/documents/?uuid=3c7a2083-3ed1-4458-a562-cf26f7019842" ] } ], "mendeley" : { "formattedCitation" : "(203\u2013205)", "plainTextFormattedCitation" : "(203\u2013205)", "previouslyFormattedCitation" : "(203\u2013205)" }, "properties" : { "noteIndex" : 20 }, "schema" : "https://github.com/citation-style-language/schema/raw/master/csl-citation.json" }</w:instrText>
      </w:r>
      <w:r w:rsidR="00BC3BBB" w:rsidRPr="00EC4DCF">
        <w:rPr>
          <w:rFonts w:ascii="Arial" w:hAnsi="Arial" w:cs="Arial"/>
          <w:sz w:val="22"/>
          <w:szCs w:val="22"/>
        </w:rPr>
        <w:fldChar w:fldCharType="separate"/>
      </w:r>
      <w:r w:rsidRPr="00EC4DCF">
        <w:rPr>
          <w:rFonts w:ascii="Arial" w:hAnsi="Arial" w:cs="Arial"/>
          <w:noProof/>
          <w:sz w:val="22"/>
          <w:szCs w:val="22"/>
        </w:rPr>
        <w:t>(203–205)</w:t>
      </w:r>
      <w:r w:rsidR="00BC3BBB" w:rsidRPr="00EC4DCF">
        <w:rPr>
          <w:rFonts w:ascii="Arial" w:hAnsi="Arial" w:cs="Arial"/>
          <w:sz w:val="22"/>
          <w:szCs w:val="22"/>
        </w:rPr>
        <w:fldChar w:fldCharType="end"/>
      </w:r>
      <w:r w:rsidRPr="00EC4DCF">
        <w:rPr>
          <w:sz w:val="22"/>
          <w:szCs w:val="22"/>
        </w:rPr>
        <w:t xml:space="preserve"> </w:t>
      </w:r>
      <w:r w:rsidRPr="00EC4DCF">
        <w:rPr>
          <w:rFonts w:ascii="Arial" w:hAnsi="Arial" w:cs="Arial"/>
          <w:sz w:val="22"/>
          <w:szCs w:val="22"/>
        </w:rPr>
        <w:t xml:space="preserve">IMAGE projesi analizleri ise DEHB ile işaretli SNP'ler arasında bir ilişki bulmamıştır  </w:t>
      </w:r>
      <w:r w:rsidR="00BC3BBB" w:rsidRPr="00EC4DCF">
        <w:rPr>
          <w:rFonts w:ascii="Arial" w:hAnsi="Arial" w:cs="Arial"/>
          <w:sz w:val="22"/>
          <w:szCs w:val="22"/>
        </w:rPr>
        <w:fldChar w:fldCharType="begin" w:fldLock="1"/>
      </w:r>
      <w:r w:rsidRPr="00EC4DCF">
        <w:rPr>
          <w:rFonts w:ascii="Arial" w:hAnsi="Arial" w:cs="Arial"/>
          <w:sz w:val="22"/>
          <w:szCs w:val="22"/>
        </w:rPr>
        <w:instrText>ADDIN CSL_CITATION { "citationItems" : [ { "id" : "ITEM-1", "itemData" : { "DOI" : "10.1038/sj.mp.4001869", "ISBN" : "1359-4184 (Print)\\r1359-4184", "ISSN" : "1359-4184", "PMID" : "16894395", "abstract" : "Attention deficit hyperactivity disorder (ADHD) is a common neurodevelopmental disorder, starting in early childhood and persisting into adulthood in the majority of cases. Family and twin studies have demonstrated the importance of genetic factors and candidate gene association studies have identified several loci that exert small but significant effects on ADHD. To provide further clarification of reported associations and identify novel associated genes, we examined 1,038 single-nucleotide polymorphisms (SNPs) spanning 51 candidate genes involved in the regulation of neurotransmitter pathways, particularly dopamine, norepinephrine and serotonin pathways, in addition to circadian rhythm genes. Analysis used within family tests of association in a sample of 776 DSM-IV ADHD combined type cases ascertained for the International Multi-centre ADHD Gene project. We found nominal significance with one or more SNPs in 18 genes, including the two most replicated findings in the literature: DRD4 and DAT1. Gene-wide tests, adjusted for the number of SNPs analysed in each gene, identified associations with TPH2, ARRB2, SYP, DAT1, ADRB2, HES1, MAOA and PNMT. Further studies will be needed to confirm or refute the observed associations and their generalisability to other samples.", "author" : [ { "dropping-particle" : "", "family" : "Brookes", "given" : "K", "non-dropping-particle" : "", "parse-names" : false, "suffix" : "" }, { "dropping-particle" : "", "family" : "Xu", "given" : "X", "non-dropping-particle" : "", "parse-names" : false, "suffix" : "" }, { "dropping-particle" : "", "family" : "Chen", "given" : "W", "non-dropping-particle" : "", "parse-names" : false, "suffix" : "" }, { "dropping-particle" : "", "family" : "Zhou", "given" : "K", "non-dropping-particle" : "", "parse-names" : false, "suffix" : "" }, { "dropping-particle" : "", "family" : "Neale", "given" : "B", "non-dropping-particle" : "", "parse-names" : false, "suffix" : "" }, { "dropping-particle" : "", "family" : "Lowe", "given" : "N", "non-dropping-particle" : "", "parse-names" : false, "suffix" : "" }, { "dropping-particle" : "", "family" : "Aneey", "given" : "R", "non-dropping-particle" : "", "parse-names" : false, "suffix" : "" }, { "dropping-particle" : "", "family" : "Franke", "given" : "B", "non-dropping-particle" : "", "parse-names" : false, "suffix" : "" }, { "dropping-particle" : "", "family" : "Gill", "given" : "M", "non-dropping-particle" : "", "parse-names" : false, "suffix" : "" }, { "dropping-particle" : "", "family" : "Ebstein", "given" : "R", "non-dropping-particle" : "", "parse-names" : false, "suffix" : "" }, { "dropping-particle" : "", "family" : "Buitelaar", "given" : "J", "non-dropping-particle" : "", "parse-names" : false, "suffix" : "" }, { "dropping-particle" : "", "family" : "Sham", "given" : "P", "non-dropping-particle" : "", "parse-names" : false, "suffix" : "" }, { "dropping-particle" : "", "family" : "Campbell", "given" : "D", "non-dropping-particle" : "", "parse-names" : false, "suffix" : "" }, { "dropping-particle" : "", "family" : "Knight", "given" : "J", "non-dropping-particle" : "", "parse-names" : false, "suffix" : "" }, { "dropping-particle" : "", "family" : "Andreou", "given" : "P", "non-dropping-particle" : "", "parse-names" : false, "suffix" : "" }, { "dropping-particle" : "", "family" : "Altink", "given" : "M", "non-dropping-particle" : "", "parse-names" : false, "suffix" : "" }, { "dropping-particle" : "", "family" : "Arnold", "given" : "R", "non-dropping-particle" : "", "parse-names" : false, "suffix" : "" }, { "dropping-particle" : "", "family" : "Boer", "given" : "F", "non-dropping-particle" : "", "parse-names" : false, "suffix" : "" }, { "dropping-particle" : "", "family" : "Buschgens", "given" : "C", "non-dropping-particle" : "", "parse-names" : false, "suffix" : "" }, { "dropping-particle" : "", "family" : "Butler", "given" : "L", "non-dropping-particle" : "", "parse-names" : false, "suffix" : "" }, { "dropping-particle" : "", "family" : "Christiansen", "given" : "H", "non-dropping-particle" : "", "parse-names" : false, "suffix" : "" }, { "dropping-particle" : "", "family" : "Feldman", "given" : "L", "non-dropping-particle" : "", "parse-names" : false, "suffix" : "" }, { "dropping-particle" : "", "family" : "Fleischman", "given" : "K", "non-dropping-particle" : "", "parse-names" : false, "suffix" : "" }, { "dropping-particle" : "", "family" : "Fliers", "given" : "E", "non-dropping-particle" : "", "parse-names" : false, "suffix" : "" }, { "dropping-particle" : "", "family" : "Howe-Forbes", "given" : "R", "non-dropping-particle" : "", "parse-names" : false, "suffix" : "" }, { "dropping-particle" : "", "family" : "Goldfarb", "given" : "A", "non-dropping-particle" : "", "parse-names" : false, "suffix" : "" }, { "dropping-particle" : "", "family" : "Heise", "given" : "A", "non-dropping-particle" : "", "parse-names" : false, "suffix" : "" }, { "dropping-particle" : "", "family" : "Gabri\u00ebls", "given" : "I", "non-dropping-particle" : "", "parse-names" : false, "suffix" : "" }, { "dropping-particle" : "", "family" : "Korn-Lubetzki", "given" : "I", "non-dropping-particle" : "", "parse-names" : false, "suffix" : "" }, { "dropping-particle" : "", "family" : "Marco", "given" : "R", "non-dropping-particle" : "", "parse-names" : false, "suffix" : "" }, { "dropping-particle" : "", "family" : "Medad", "given" : "S", "non-dropping-particle" : "", "parse-names" : false, "suffix" : "" }, { "dropping-particle" : "", "family" : "Minderaa", "given" : "R", "non-dropping-particle" : "", "parse-names" : false, "suffix" : "" }, { "dropping-particle" : "", "family" : "Mulas", "given" : "F", "non-dropping-particle" : "", "parse-names" : false, "suffix" : "" }, { "dropping-particle" : "", "family" : "M\u00fcller", "given" : "U", "non-dropping-particle" : "", "parse-names" : false, "suffix" : "" }, { "dropping-particle" : "", "family" : "Mulligan", "given" : "A", "non-dropping-particle" : "", "parse-names" : false, "suffix" : "" }, { "dropping-particle" : "", "family" : "Rabin", "given" : "K", "non-dropping-particle" : "", "parse-names" : false, "suffix" : "" }, { "dropping-particle" : "", "family" : "Rommelse", "given" : "N", "non-dropping-particle" : "", "parse-names" : false, "suffix" : "" }, { "dropping-particle" : "", "family" : "Sethna", "given" : "V", "non-dropping-particle" : "", "parse-names" : false, "suffix" : "" }, { "dropping-particle" : "", "family" : "Sorohan", "given" : "J", "non-dropping-particle" : "", "parse-names" : false, "suffix" : "" }, { "dropping-particle" : "", "family" : "Uebel", "given" : "H", "non-dropping-particle" : "", "parse-names" : false, "suffix" : "" }, { "dropping-particle" : "", "family" : "Psychogiou", "given" : "L", "non-dropping-particle" : "", "parse-names" : false, "suffix" : "" }, { "dropping-particle" : "", "family" : "Weeks", "given" : "A", "non-dropping-particle" : "", "parse-names" : false, "suffix" : "" }, { "dropping-particle" : "", "family" : "Barrett", "given" : "R", "non-dropping-particle" : "", "parse-names" : false, "suffix" : "" }, { "dropping-particle" : "", "family" : "Craig", "given" : "I", "non-dropping-particle" : "", "parse-names" : false, "suffix" : "" }, { "dropping-particle" : "", "family" : "Banaschewski", "given" : "T", "non-dropping-particle" : "", "parse-names" : false, "suffix" : "" }, { "dropping-particle" : "", "family" : "Sonuga-Barke", "given" : "E", "non-dropping-particle" : "", "parse-names" : false, "suffix" : "" }, { "dropping-particle" : "", "family" : "Eisenberg", "given" : "J", "non-dropping-particle" : "", "parse-names" : false, "suffix" : "" }, { "dropping-particle" : "", "family" : "Kuntsi", "given" : "J", "non-dropping-particle" : "", "parse-names" : false, "suffix" : "" }, { "dropping-particle" : "", "family" : "Manor", "given" : "I", "non-dropping-particle" : "", "parse-names" : false, "suffix" : "" }, { "dropping-particle" : "", "family" : "McGuffin", "given" : "P", "non-dropping-particle" : "", "parse-names" : false, "suffix" : "" }, { "dropping-particle" : "", "family" : "Miranda", "given" : "A", "non-dropping-particle" : "", "parse-names" : false, "suffix" : "" }, { "dropping-particle" : "", "family" : "Oades", "given" : "R D", "non-dropping-particle" : "", "parse-names" : false, "suffix" : "" }, { "dropping-particle" : "", "family" : "Plomin", "given" : "R", "non-dropping-particle" : "", "parse-names" : false, "suffix" : "" }, { "dropping-particle" : "", "family" : "Roeyers", "given" : "H", "non-dropping-particle" : "", "parse-names" : false, "suffix" : "" }, { "dropping-particle" : "", "family" : "Rothenberger", "given" : "A", "non-dropping-particle" : "", "parse-names" : false, "suffix" : "" }, { "dropping-particle" : "", "family" : "Sergeant", "given" : "J", "non-dropping-particle" : "", "parse-names" : false, "suffix" : "" }, { "dropping-particle" : "", "family" : "Steinhausen", "given" : "H-C", "non-dropping-particle" : "", "parse-names" : false, "suffix" : "" }, { "dropping-particle" : "", "family" : "Taylor", "given" : "E", "non-dropping-particle" : "", "parse-names" : false, "suffix" : "" }, { "dropping-particle" : "", "family" : "Thompson", "given" : "M", "non-dropping-particle" : "", "parse-names" : false, "suffix" : "" }, { "dropping-particle" : "V", "family" : "Faraone", "given" : "S", "non-dropping-particle" : "", "parse-names" : false, "suffix" : "" }, { "dropping-particle" : "", "family" : "Asherson", "given" : "P", "non-dropping-particle" : "", "parse-names" : false, "suffix" : "" }, { "dropping-particle" : "", "family" : "Johansson", "given" : "L", "non-dropping-particle" : "", "parse-names" : false, "suffix" : "" } ], "container-title" : "Molecular Psychiatry", "id" : "ITEM-1", "issue" : "10", "issued" : { "date-parts" : [ [ "2006" ] ] }, "page" : "934-953", "title" : "The analysis of 51 genes in DSM-IV combined type attention deficit hyperactivity disorder: association signals in DRD4, DAT1 and 16 other genes", "type" : "article-journal", "volume" : "11" }, "uris" : [ "http://www.mendeley.com/documents/?uuid=d326f6d1-a4b7-4947-aae7-7fea9984efc7" ] } ], "mendeley" : { "formattedCitation" : "(191)", "plainTextFormattedCitation" : "(191)", "previouslyFormattedCitation" : "(191)" }, "properties" : { "noteIndex" : 20 }, "schema" : "https://github.com/citation-style-language/schema/raw/master/csl-citation.json" }</w:instrText>
      </w:r>
      <w:r w:rsidR="00BC3BBB" w:rsidRPr="00EC4DCF">
        <w:rPr>
          <w:rFonts w:ascii="Arial" w:hAnsi="Arial" w:cs="Arial"/>
          <w:sz w:val="22"/>
          <w:szCs w:val="22"/>
        </w:rPr>
        <w:fldChar w:fldCharType="separate"/>
      </w:r>
      <w:r w:rsidRPr="00EC4DCF">
        <w:rPr>
          <w:rFonts w:ascii="Arial" w:hAnsi="Arial" w:cs="Arial"/>
          <w:noProof/>
          <w:sz w:val="22"/>
          <w:szCs w:val="22"/>
        </w:rPr>
        <w:t>(191)</w:t>
      </w:r>
      <w:r w:rsidR="00BC3BBB" w:rsidRPr="00EC4DCF">
        <w:rPr>
          <w:rFonts w:ascii="Arial" w:hAnsi="Arial" w:cs="Arial"/>
          <w:sz w:val="22"/>
          <w:szCs w:val="22"/>
        </w:rPr>
        <w:fldChar w:fldCharType="end"/>
      </w:r>
      <w:r w:rsidRPr="00EC4DCF">
        <w:rPr>
          <w:rFonts w:ascii="Arial" w:hAnsi="Arial" w:cs="Arial"/>
          <w:color w:val="E36C0A" w:themeColor="accent6" w:themeShade="BF"/>
          <w:sz w:val="22"/>
          <w:szCs w:val="22"/>
        </w:rPr>
        <w:t xml:space="preserve">. </w:t>
      </w:r>
    </w:p>
    <w:p w:rsidR="00C60153" w:rsidRPr="00EC4DCF" w:rsidRDefault="00C60153" w:rsidP="00EC4DCF">
      <w:pPr>
        <w:spacing w:line="360" w:lineRule="auto"/>
        <w:rPr>
          <w:rFonts w:ascii="Arial" w:hAnsi="Arial" w:cs="Arial"/>
          <w:b/>
          <w:i/>
          <w:sz w:val="22"/>
          <w:szCs w:val="22"/>
        </w:rPr>
      </w:pPr>
      <w:r w:rsidRPr="00EC4DCF">
        <w:rPr>
          <w:rFonts w:ascii="Arial" w:hAnsi="Arial" w:cs="Arial"/>
          <w:b/>
          <w:sz w:val="22"/>
          <w:szCs w:val="22"/>
        </w:rPr>
        <w:tab/>
      </w:r>
      <w:r w:rsidRPr="00EC4DCF">
        <w:rPr>
          <w:rFonts w:ascii="Arial" w:hAnsi="Arial" w:cs="Arial"/>
          <w:b/>
          <w:i/>
          <w:sz w:val="22"/>
          <w:szCs w:val="22"/>
        </w:rPr>
        <w:t>Serotonin transporter (5HTT, SLC6A4)</w:t>
      </w:r>
    </w:p>
    <w:p w:rsidR="00C60153" w:rsidRPr="00EC4DCF" w:rsidRDefault="00C60153" w:rsidP="00EC4DCF">
      <w:pPr>
        <w:spacing w:line="360" w:lineRule="auto"/>
        <w:jc w:val="both"/>
        <w:rPr>
          <w:rFonts w:ascii="Arial" w:hAnsi="Arial" w:cs="Arial"/>
          <w:color w:val="E36C0A" w:themeColor="accent6" w:themeShade="BF"/>
          <w:sz w:val="22"/>
          <w:szCs w:val="22"/>
        </w:rPr>
      </w:pPr>
      <w:r w:rsidRPr="00EC4DCF">
        <w:rPr>
          <w:color w:val="4F81BD" w:themeColor="accent1"/>
          <w:sz w:val="22"/>
          <w:szCs w:val="22"/>
        </w:rPr>
        <w:tab/>
      </w:r>
      <w:r w:rsidRPr="00EC4DCF">
        <w:rPr>
          <w:rFonts w:ascii="Arial" w:hAnsi="Arial" w:cs="Arial"/>
          <w:sz w:val="22"/>
          <w:szCs w:val="22"/>
        </w:rPr>
        <w:t xml:space="preserve">SLC6A4'e ait 44-bp in/del promoter polimorfizmi (5HTTLPR) psikiyatrik hastalıklarla ilişkilendirilmiştir </w:t>
      </w:r>
      <w:r w:rsidR="00BC3BBB" w:rsidRPr="00EC4DCF">
        <w:rPr>
          <w:rFonts w:ascii="Arial" w:hAnsi="Arial" w:cs="Arial"/>
          <w:sz w:val="22"/>
          <w:szCs w:val="22"/>
        </w:rPr>
        <w:fldChar w:fldCharType="begin" w:fldLock="1"/>
      </w:r>
      <w:r w:rsidR="0037573A">
        <w:rPr>
          <w:rFonts w:ascii="Arial" w:hAnsi="Arial" w:cs="Arial"/>
          <w:sz w:val="22"/>
          <w:szCs w:val="22"/>
        </w:rPr>
        <w:instrText>ADDIN CSL_CITATION { "citationItems" : [ { "id" : "ITEM-1", "itemData" : { "DOI" : "10.1038/sj.mp.4001336", "ISBN" : "1476-5578(Electronic);1359-4184(Print)", "ISSN" : "13594184", "PMID" : "12874600", "abstract" : "The different serotonin (5-HT) receptors, including the serotonin transporter (5-HTT), are excellent candidate genes for suicide and suicidal behavior, and thus, they have been investigated in a large number of allelic association studies. The individual results of these studies have been inconsistent and definite conclusions are difficult to establish. A reliable method for assessing individual studies and generating combined results is provided by systematic reviews using meta-analytical techniques. In this study, we carried out a systematic review of studies investigating 5-HT receptors and the 5-HTT in suicidal behavior. Studies were identified by means of MEDLINE database searches and by scanning reference lists. More than 190 articles were reviewed and 26 met the inclusion criteria. In all, 14 studies investigated six different 5-HT receptor loci and 12 studies investigated the 5-HTT promoter 44 bp insertion/deletion polymorphism. Two specific meta-analyses were carried out, pooling studies investigating the 5-HT2A 102 T/C and the 5-HTT promoter loci that included, respectively, a total of 1599 and 2539 subjects. The combined evidence was significant for association with the 5-HTT locus (Mantel-Haenszel weighted odds ratio (M-H(w) OR)=1.17 CI : 1.04-1.32, P=0.009), but not for the 5-HT2A 102 T/C variant (M-H(w) OR)=1.09 CI : 0.93-1.27, P=0.319). The 5-HTT result was robust and remained significant following sensitivity analysis, suggesting that 5-HTT may play a role in the predisposition to suicide.", "author" : [ { "dropping-particle" : "", "family" : "Anguelova", "given" : "M", "non-dropping-particle" : "", "parse-names" : false, "suffix" : "" }, { "dropping-particle" : "", "family" : "Benkelfat", "given" : "C", "non-dropping-particle" : "", "parse-names" : false, "suffix" : "" }, { "dropping-particle" : "", "family" : "Turecki", "given" : "G", "non-dropping-particle" : "", "parse-names" : false, "suffix" : "" } ], "container-title" : "Molecular Psychiatry", "id" : "ITEM-1", "issue" : "7", "issued" : { "date-parts" : [ [ "2003" ] ] }, "page" : "646-653", "title" : "A systematic review of association studies investigating genes coding for serotonin receptors and the serotonin transporter: II. Suicidal behavior", "type" : "article-journal", "volume" : "8" }, "uris" : [ "http://www.mendeley.com/documents/?uuid=5c42716e-8724-4c3b-bf60-267fee83eae5" ] }, { "id" : "ITEM-2", "itemData" : { "ISSN" : "1359-4184", "PMID" : "12874600", "abstract" : "The different serotonin (5-HT) receptors, including the serotonin transporter (5-HTT), are excellent candidate genes for suicide and suicidal behavior, and thus, they have been investigated in a large number of allelic association studies. The individual results of these studies have been inconsistent and definite conclusions are difficult to establish. A reliable method for assessing individual studies and generating combined results is provided by systematic reviews using meta-analytical techniques. In this study, we carried out a systematic review of studies investigating 5-HT receptors and the 5-HTT in suicidal behavior. Studies were identified by means of MEDLINE database searches and by scanning reference lists. More than 190 articles were reviewed and 26 met the inclusion criteria. In all, 14 studies investigated six different 5-HT receptor loci and 12 studies investigated the 5-HTT promoter 44 bp insertion/deletion polymorphism. Two specific meta-analyses were carried out, pooling studies investigating the 5-HT2A 102 T/C and the 5-HTT promoter loci that included, respectively, a total of 1599 and 2539 subjects. The combined evidence was significant for association with the 5-HTT locus (Mantel-Haenszel weighted odds ratio (M-H(w) OR)=1.17 CI : 1.04-1.32, P=0.009), but not for the 5-HT2A 102 T/C variant (M-H(w) OR)=1.09 CI : 0.93-1.27, P=0.319). The 5-HTT result was robust and remained significant following sensitivity analysis, suggesting that 5-HTT may play a role in the predisposition to suicide.", "author" : [ { "dropping-particle" : "", "family" : "Anguelova", "given" : "M", "non-dropping-particle" : "", "parse-names" : false, "suffix" : "" }, { "dropping-particle" : "", "family" : "Benkelfat", "given" : "C", "non-dropping-particle" : "", "parse-names" : false, "suffix" : "" }, { "dropping-particle" : "", "family" : "Turecki", "given" : "G", "non-dropping-particle" : "", "parse-names" : false, "suffix" : "" } ], "container-title" : "Mol Psychiatry", "id" : "ITEM-2", "issue" : "7", "issued" : { "date-parts" : [ [ "0" ] ] }, "page" : "646-653", "title" : "A systematic review of association studies investigating genes coding for serotonin receptors and the serotonin transporter: II. Suicidal behavior", "type" : "article-journal", "volume" : "8" }, "uris" : [ "http://www.mendeley.com/documents/?uuid=a57134f7-ceb8-459a-b26f-a16781c6dd32" ] } ], "mendeley" : { "formattedCitation" : "(206, 207)", "plainTextFormattedCitation" : "(206, 207)", "previouslyFormattedCitation" : "(206, 207)" }, "properties" : { "noteIndex" : 20 }, "schema" : "https://github.com/citation-style-language/schema/raw/master/csl-citation.json" }</w:instrText>
      </w:r>
      <w:r w:rsidR="00BC3BBB" w:rsidRPr="00EC4DCF">
        <w:rPr>
          <w:rFonts w:ascii="Arial" w:hAnsi="Arial" w:cs="Arial"/>
          <w:sz w:val="22"/>
          <w:szCs w:val="22"/>
        </w:rPr>
        <w:fldChar w:fldCharType="separate"/>
      </w:r>
      <w:r w:rsidR="00BF1F00" w:rsidRPr="00BF1F00">
        <w:rPr>
          <w:rFonts w:ascii="Arial" w:hAnsi="Arial" w:cs="Arial"/>
          <w:noProof/>
          <w:sz w:val="22"/>
          <w:szCs w:val="22"/>
        </w:rPr>
        <w:t>(206, 207)</w:t>
      </w:r>
      <w:r w:rsidR="00BC3BBB" w:rsidRPr="00EC4DCF">
        <w:rPr>
          <w:rFonts w:ascii="Arial" w:hAnsi="Arial" w:cs="Arial"/>
          <w:sz w:val="22"/>
          <w:szCs w:val="22"/>
        </w:rPr>
        <w:fldChar w:fldCharType="end"/>
      </w:r>
      <w:r w:rsidRPr="00EC4DCF">
        <w:rPr>
          <w:rFonts w:ascii="Arial" w:hAnsi="Arial" w:cs="Arial"/>
          <w:sz w:val="22"/>
          <w:szCs w:val="22"/>
        </w:rPr>
        <w:t>.</w:t>
      </w:r>
      <w:r w:rsidRPr="00EC4DCF">
        <w:rPr>
          <w:rFonts w:ascii="Arial" w:hAnsi="Arial" w:cs="Arial"/>
          <w:color w:val="1F497D" w:themeColor="text2"/>
          <w:sz w:val="22"/>
          <w:szCs w:val="22"/>
        </w:rPr>
        <w:t xml:space="preserve"> </w:t>
      </w:r>
      <w:r w:rsidRPr="00EC4DCF">
        <w:rPr>
          <w:rFonts w:ascii="Arial" w:hAnsi="Arial" w:cs="Arial"/>
          <w:sz w:val="22"/>
          <w:szCs w:val="22"/>
        </w:rPr>
        <w:t xml:space="preserve">5HTTLPR geninin de içinde olduğu, DEHB üzerine gen etkilerinin araştırıldığı bir </w:t>
      </w:r>
      <w:r w:rsidR="00702BB7">
        <w:rPr>
          <w:rFonts w:ascii="Arial" w:hAnsi="Arial" w:cs="Arial"/>
          <w:sz w:val="22"/>
          <w:szCs w:val="22"/>
        </w:rPr>
        <w:t xml:space="preserve">meta-analizde uzun alleli için </w:t>
      </w:r>
      <w:r w:rsidRPr="00EC4DCF">
        <w:rPr>
          <w:rFonts w:ascii="Arial" w:hAnsi="Arial" w:cs="Arial"/>
          <w:sz w:val="22"/>
          <w:szCs w:val="22"/>
        </w:rPr>
        <w:t>odds</w:t>
      </w:r>
      <w:r w:rsidR="00702BB7">
        <w:rPr>
          <w:rFonts w:ascii="Arial" w:hAnsi="Arial" w:cs="Arial"/>
          <w:sz w:val="22"/>
          <w:szCs w:val="22"/>
        </w:rPr>
        <w:t xml:space="preserve"> o</w:t>
      </w:r>
      <w:r w:rsidRPr="00EC4DCF">
        <w:rPr>
          <w:rFonts w:ascii="Arial" w:hAnsi="Arial" w:cs="Arial"/>
          <w:sz w:val="22"/>
          <w:szCs w:val="22"/>
        </w:rPr>
        <w:t xml:space="preserve">ranı 1.31 bulunmuştur </w:t>
      </w:r>
      <w:r w:rsidR="00BC3BBB" w:rsidRPr="00EC4DCF">
        <w:rPr>
          <w:rFonts w:ascii="Arial" w:hAnsi="Arial" w:cs="Arial"/>
          <w:sz w:val="22"/>
          <w:szCs w:val="22"/>
        </w:rPr>
        <w:fldChar w:fldCharType="begin" w:fldLock="1"/>
      </w:r>
      <w:r w:rsidRPr="00EC4DCF">
        <w:rPr>
          <w:rFonts w:ascii="Arial" w:hAnsi="Arial" w:cs="Arial"/>
          <w:sz w:val="22"/>
          <w:szCs w:val="22"/>
        </w:rPr>
        <w:instrText>ADDIN CSL_CITATION { "citationItems" : [ { "id" : "ITEM-1", "itemData" : { "DOI" : "10.1016/j.biopsych.2004.11.024", "ISSN" : "00063223", "PMID" : "15950004", "abstract" : "Results of behavioral genetic and molecular genetic studies have converged to suggest that both genetic and nongenetic factors contribute to the development of attention-deficit/hyperactivity disorder (ADHD). We review this literature, with a particular emphasis on molecular genetic studies. Family, twin, and adoption studies provide compelling evidence that genes play a strong role in mediating susceptibility to ADHD. This fact is most clearly seen in the 20 extant twin studies, which estimate the heritability of ADHD to be .76. Molecular genetic studies suggest that the genetic architecture of ADHD is complex. The few genome-wide scans conducted thus far are not conclusive. In contrast, the many candidate gene studies of ADHD have produced substantial evidence implicating several genes in the etiology of the disorder. For the eight genes for which the same variant has been studied in three or more case-control or family-based studies, seven show statistically significant evidence of association with ADHD on the basis of the pooled odds ratio across studies: DRD4, DRD5, DAT, DBH, 5-HTT, HTR1B, and SNAP-25.", "author" : [ { "dropping-particle" : "V.", "family" : "Faraone", "given" : "Stephen", "non-dropping-particle" : "", "parse-names" : false, "suffix" : "" }, { "dropping-particle" : "", "family" : "Perlis", "given" : "Roy H.", "non-dropping-particle" : "", "parse-names" : false, "suffix" : "" }, { "dropping-particle" : "", "family" : "Doyle", "given" : "Alysa E.", "non-dropping-particle" : "", "parse-names" : false, "suffix" : "" }, { "dropping-particle" : "", "family" : "Smoller", "given" : "Jordan W.", "non-dropping-particle" : "", "parse-names" : false, "suffix" : "" }, { "dropping-particle" : "", "family" : "Goralnick", "given" : "Jennifer J.", "non-dropping-particle" : "", "parse-names" : false, "suffix" : "" }, { "dropping-particle" : "", "family" : "Holmgren", "given" : "Meredith A.", "non-dropping-particle" : "", "parse-names" : false, "suffix" : "" }, { "dropping-particle" : "", "family" : "Sklar", "given" : "Pamela", "non-dropping-particle" : "", "parse-names" : false, "suffix" : "" } ], "container-title" : "Biological Psychiatry", "id" : "ITEM-1", "issue" : "11", "issued" : { "date-parts" : [ [ "2005", "6", "1" ] ] }, "page" : "1313-1323", "title" : "Molecular Genetics of Attention-Deficit/Hyperactivity Disorder", "type" : "article-journal", "volume" : "57" }, "uris" : [ "http://www.mendeley.com/documents/?uuid=d5d6a7b0-e245-374e-8099-a239f6852667" ] } ], "mendeley" : { "formattedCitation" : "(5)", "plainTextFormattedCitation" : "(5)", "previouslyFormattedCitation" : "(5)" }, "properties" : { "noteIndex" : 20 }, "schema" : "https://github.com/citation-style-language/schema/raw/master/csl-citation.json" }</w:instrText>
      </w:r>
      <w:r w:rsidR="00BC3BBB" w:rsidRPr="00EC4DCF">
        <w:rPr>
          <w:rFonts w:ascii="Arial" w:hAnsi="Arial" w:cs="Arial"/>
          <w:sz w:val="22"/>
          <w:szCs w:val="22"/>
        </w:rPr>
        <w:fldChar w:fldCharType="separate"/>
      </w:r>
      <w:r w:rsidRPr="00EC4DCF">
        <w:rPr>
          <w:rFonts w:ascii="Arial" w:hAnsi="Arial" w:cs="Arial"/>
          <w:noProof/>
          <w:sz w:val="22"/>
          <w:szCs w:val="22"/>
        </w:rPr>
        <w:t>(5)</w:t>
      </w:r>
      <w:r w:rsidR="00BC3BBB" w:rsidRPr="00EC4DCF">
        <w:rPr>
          <w:rFonts w:ascii="Arial" w:hAnsi="Arial" w:cs="Arial"/>
          <w:sz w:val="22"/>
          <w:szCs w:val="22"/>
        </w:rPr>
        <w:fldChar w:fldCharType="end"/>
      </w:r>
      <w:r w:rsidRPr="00EC4DCF">
        <w:rPr>
          <w:rFonts w:ascii="Arial" w:hAnsi="Arial" w:cs="Arial"/>
          <w:sz w:val="22"/>
          <w:szCs w:val="22"/>
        </w:rPr>
        <w:t xml:space="preserve"> Fakat bu bulgu aile temelli çalışmalarda tekrarlanamamıştır </w:t>
      </w:r>
      <w:r w:rsidR="00BC3BBB" w:rsidRPr="00EC4DCF">
        <w:rPr>
          <w:rFonts w:ascii="Arial" w:hAnsi="Arial" w:cs="Arial"/>
          <w:sz w:val="22"/>
          <w:szCs w:val="22"/>
        </w:rPr>
        <w:fldChar w:fldCharType="begin" w:fldLock="1"/>
      </w:r>
      <w:r w:rsidRPr="00EC4DCF">
        <w:rPr>
          <w:rFonts w:ascii="Arial" w:hAnsi="Arial" w:cs="Arial"/>
          <w:sz w:val="22"/>
          <w:szCs w:val="22"/>
        </w:rPr>
        <w:instrText>ADDIN CSL_CITATION { "citationItems" : [ { "id" : "ITEM-1", "itemData" : { "PMID" : "16082698", "abstract" : "The dopamine (DA) system has been implicated in attention deficit hyperactivity disorder (ADHD) based on pharmacologic evidence. Because of an interaction between the serotonin (5-HT) and DA systems, the serotonin transporter gene (SLC6A4) has been considered as a candidate ADHD susceptibility gene. Two common polymorphisms, 5-HTTLPR and the intron 2 VNTR, have been studied for association in ADHD, with both positive (increased frequency of long allele of 5-HTTLPR and decreased frequency of 12 repeats of the intron 2 VNTR) and negative findings. However, there has not been an association study in an East Asian ADHD population. In this study, we examined the genotypes of these two polymorphisms in 126 Korean ADHD families and investigated linkage disequilibrium (LD) between SLC6A4 and ADHD, using the transmission disequilibrium test (TDT) and haplotype analysis. Additionally, association with quantitative measures of inattention, hyperactivity-impulsivity, and overall severity was tested using logistic regression and QTDT analysis. TDT of both polymorphisms and haplotype analysis failed to detect LD. However, after excluding ADHD NOS subtype, TDT revealed nominally significant LD between 5-HTTLPR and ADHD (chi2 = 4.9, P = 0.036). QTDT revealed positive association between 12 repeats of the intron 2 VNTR and attention (P = 0.031), but case-control and TDT logistic regression analyses were negative. These markers have low heterozygosity in the Korean population, which would be expected to reduce the power of association. This result suggests that future studies should include more polymorphic markers and subjects to thoroughly investigate a potential association between SLC6A4 and ADHD in the Korean population.", "author" : [ { "dropping-particle" : "", "family" : "Kim", "given" : "S J", "non-dropping-particle" : "", "parse-names" : false, "suffix" : "" }, { "dropping-particle" : "", "family" : "Badner", "given" : "J", "non-dropping-particle" : "", "parse-names" : false, "suffix" : "" }, { "dropping-particle" : "", "family" : "Cheon", "given" : "K A", "non-dropping-particle" : "", "parse-names" : false, "suffix" : "" }, { "dropping-particle" : "", "family" : "Kim", "given" : "B N", "non-dropping-particle" : "", "parse-names" : false, "suffix" : "" }, { "dropping-particle" : "", "family" : "Yoo", "given" : "H J", "non-dropping-particle" : "", "parse-names" : false, "suffix" : "" }, { "dropping-particle" : "", "family" : "Cook  Jr.", "given" : "E", "non-dropping-particle" : "", "parse-names" : false, "suffix" : "" }, { "dropping-particle" : "", "family" : "Leventhal", "given" : "B L", "non-dropping-particle" : "", "parse-names" : false, "suffix" : "" }, { "dropping-particle" : "", "family" : "Kim", "given" : "Y S", "non-dropping-particle" : "", "parse-names" : false, "suffix" : "" } ], "container-title" : "American Journal of Medical Genetics Part B: Neuropsychiatric Genetics", "id" : "ITEM-1", "issue" : "1", "issued" : { "date-parts" : [ [ "2005" ] ] }, "page" : "14-18", "title" : "Family-based association study of the serotonin transporter gene polymorphisms in Korean ADHD trios", "type" : "article-journal", "volume" : "139" }, "uris" : [ "http://www.mendeley.com/documents/?uuid=1b98fd25-dd99-4cb5-8972-3830dca03dd3" ] }, { "id" : "ITEM-2", "itemData" : { "DOI" : "10.1002/ajmg.b.30203", "author" : [ { "dropping-particle" : "", "family" : "Xu", "given" : "Xiaohui", "non-dropping-particle" : "", "parse-names" : false, "suffix" : "" }, { "dropping-particle" : "", "family" : "Mill", "given" : "Jonathan", "non-dropping-particle" : "", "parse-names" : false, "suffix" : "" }, { "dropping-particle" : "", "family" : "Chen", "given" : "Chi-ken", "non-dropping-particle" : "", "parse-names" : false, "suffix" : "" }, { "dropping-particle" : "", "family" : "Brookes", "given" : "Keeley", "non-dropping-particle" : "", "parse-names" : false, "suffix" : "" }, { "dropping-particle" : "", "family" : "Taylor", "given" : "Eric", "non-dropping-particle" : "", "parse-names" : false, "suffix" : "" }, { "dropping-particle" : "", "family" : "Asherson", "given" : "Philip", "non-dropping-particle" : "", "parse-names" : false, "suffix" : "" } ], "id" : "ITEM-2", "issued" : { "date-parts" : [ [ "2005" ] ] }, "page" : "11-13", "title" : "Family-Based Association Study of Serotonin Transporter Gene Polymorphisms in Attention Deficit Hyperactivity Disorder : No Evidence for Association in UK and Taiwanese Samples", "type" : "article-journal", "volume" : "13" }, "uris" : [ "http://www.mendeley.com/documents/?uuid=f3866508-b738-4e19-9c85-c90e11a9d5cf" ] }, { "id" : "ITEM-3", "itemData" : { "DOI" : "10.1016/0092-8674(94)90026-4", "ISBN" : "0092-8674 (Print)\\n0092-8674 (Linking)", "ISSN" : "00928674", "PMID" : "8001143", "abstract" : "The brain mesoaccumbens dopamine system is intricately involved in the psychomotor stimulant activities of cocaine. However, the extent to which different dopamine receptors mediate these effects has not yet been firmly established. The present study used dopamine D1 receptor mutant mice produced by gene targeting to investigate the role of this receptor in the effects induced by cocaine. In contrast with wild-type mice, which showed a dose-dependent increase in locomotion, D1 mutant mice exhibited a dose-dependent decrease. Electrophysiological studies of dopamine-sensitive nucleus accumbens neurons demonstrated a marked reduction in the inhibitory effects of cocaine on the generation of action potentials. In addition, the inhibitory effects of dopamine as well as D1 and D2 agonists were almost completely abolished, whereas those of serotonin were unaffected. D2-like dopamine receptor binding was also normal. These results demonstrate the essential role of the D1 receptor in the locomotor stimulant effects of cocaine and in dopamine-mediated neurophysiological effects within the nucleus accumbens. \u00a9 1994.", "author" : [ { "dropping-particle" : "", "family" : "Xu", "given" : "Ming", "non-dropping-particle" : "", "parse-names" : false, "suffix" : "" }, { "dropping-particle" : "", "family" : "Hu", "given" : "Xiu Ti", "non-dropping-particle" : "", "parse-names" : false, "suffix" : "" }, { "dropping-particle" : "", "family" : "Cooper", "given" : "Donald C.", "non-dropping-particle" : "", "parse-names" : false, "suffix" : "" }, { "dropping-particle" : "", "family" : "Moratalla", "given" : "Rosario", "non-dropping-particle" : "", "parse-names" : false, "suffix" : "" }, { "dropping-particle" : "", "family" : "Graybiel", "given" : "Ann M.", "non-dropping-particle" : "", "parse-names" : false, "suffix" : "" }, { "dropping-particle" : "", "family" : "White", "given" : "Francis J.", "non-dropping-particle" : "", "parse-names" : false, "suffix" : "" }, { "dropping-particle" : "", "family" : "Tonegawa", "given" : "Susumu", "non-dropping-particle" : "", "parse-names" : false, "suffix" : "" } ], "container-title" : "Cell", "id" : "ITEM-3", "issue" : "6", "issued" : { "date-parts" : [ [ "1994" ] ] }, "page" : "945-955", "title" : "Elimination of cocaine-induced hyperactivity and dopamine-mediated neurophysiological effects in dopamine D1 receptor mutant mice", "type" : "article-journal", "volume" : "79" }, "uris" : [ "http://www.mendeley.com/documents/?uuid=8149257d-20f6-4e68-9f32-764dd5dfe580" ] } ], "mendeley" : { "formattedCitation" : "(208\u2013210)", "plainTextFormattedCitation" : "(208\u2013210)", "previouslyFormattedCitation" : "(208\u2013210)" }, "properties" : { "noteIndex" : 20 }, "schema" : "https://github.com/citation-style-language/schema/raw/master/csl-citation.json" }</w:instrText>
      </w:r>
      <w:r w:rsidR="00BC3BBB" w:rsidRPr="00EC4DCF">
        <w:rPr>
          <w:rFonts w:ascii="Arial" w:hAnsi="Arial" w:cs="Arial"/>
          <w:sz w:val="22"/>
          <w:szCs w:val="22"/>
        </w:rPr>
        <w:fldChar w:fldCharType="separate"/>
      </w:r>
      <w:r w:rsidRPr="00EC4DCF">
        <w:rPr>
          <w:rFonts w:ascii="Arial" w:hAnsi="Arial" w:cs="Arial"/>
          <w:noProof/>
          <w:sz w:val="22"/>
          <w:szCs w:val="22"/>
        </w:rPr>
        <w:t>(208–210)</w:t>
      </w:r>
      <w:r w:rsidR="00BC3BBB" w:rsidRPr="00EC4DCF">
        <w:rPr>
          <w:rFonts w:ascii="Arial" w:hAnsi="Arial" w:cs="Arial"/>
          <w:sz w:val="22"/>
          <w:szCs w:val="22"/>
        </w:rPr>
        <w:fldChar w:fldCharType="end"/>
      </w:r>
      <w:r w:rsidRPr="00EC4DCF">
        <w:rPr>
          <w:rFonts w:ascii="Arial" w:hAnsi="Arial" w:cs="Arial"/>
          <w:sz w:val="22"/>
          <w:szCs w:val="22"/>
        </w:rPr>
        <w:t>.</w:t>
      </w:r>
      <w:r w:rsidRPr="00EC4DCF">
        <w:rPr>
          <w:rFonts w:ascii="Arial" w:hAnsi="Arial" w:cs="Arial"/>
          <w:color w:val="4F81BD" w:themeColor="accent1"/>
          <w:sz w:val="22"/>
          <w:szCs w:val="22"/>
        </w:rPr>
        <w:t xml:space="preserve">. </w:t>
      </w:r>
      <w:r w:rsidRPr="00EC4DCF">
        <w:rPr>
          <w:rFonts w:ascii="Arial" w:hAnsi="Arial" w:cs="Arial"/>
          <w:sz w:val="22"/>
          <w:szCs w:val="22"/>
        </w:rPr>
        <w:t xml:space="preserve">IMAGE projesi incelenen SNP’ler ile DEHB arasında bir ilişki saptamamıştır </w:t>
      </w:r>
      <w:r w:rsidR="00BC3BBB" w:rsidRPr="00EC4DCF">
        <w:rPr>
          <w:rFonts w:ascii="Arial" w:hAnsi="Arial" w:cs="Arial"/>
          <w:sz w:val="22"/>
          <w:szCs w:val="22"/>
        </w:rPr>
        <w:fldChar w:fldCharType="begin" w:fldLock="1"/>
      </w:r>
      <w:r w:rsidRPr="00EC4DCF">
        <w:rPr>
          <w:rFonts w:ascii="Arial" w:hAnsi="Arial" w:cs="Arial"/>
          <w:sz w:val="22"/>
          <w:szCs w:val="22"/>
        </w:rPr>
        <w:instrText>ADDIN CSL_CITATION { "citationItems" : [ { "id" : "ITEM-1", "itemData" : { "DOI" : "10.1038/sj.mp.4001869", "ISBN" : "1359-4184 (Print)\\r1359-4184", "ISSN" : "1359-4184", "PMID" : "16894395", "abstract" : "Attention deficit hyperactivity disorder (ADHD) is a common neurodevelopmental disorder, starting in early childhood and persisting into adulthood in the majority of cases. Family and twin studies have demonstrated the importance of genetic factors and candidate gene association studies have identified several loci that exert small but significant effects on ADHD. To provide further clarification of reported associations and identify novel associated genes, we examined 1,038 single-nucleotide polymorphisms (SNPs) spanning 51 candidate genes involved in the regulation of neurotransmitter pathways, particularly dopamine, norepinephrine and serotonin pathways, in addition to circadian rhythm genes. Analysis used within family tests of association in a sample of 776 DSM-IV ADHD combined type cases ascertained for the International Multi-centre ADHD Gene project. We found nominal significance with one or more SNPs in 18 genes, including the two most replicated findings in the literature: DRD4 and DAT1. Gene-wide tests, adjusted for the number of SNPs analysed in each gene, identified associations with TPH2, ARRB2, SYP, DAT1, ADRB2, HES1, MAOA and PNMT. Further studies will be needed to confirm or refute the observed associations and their generalisability to other samples.", "author" : [ { "dropping-particle" : "", "family" : "Brookes", "given" : "K", "non-dropping-particle" : "", "parse-names" : false, "suffix" : "" }, { "dropping-particle" : "", "family" : "Xu", "given" : "X", "non-dropping-particle" : "", "parse-names" : false, "suffix" : "" }, { "dropping-particle" : "", "family" : "Chen", "given" : "W", "non-dropping-particle" : "", "parse-names" : false, "suffix" : "" }, { "dropping-particle" : "", "family" : "Zhou", "given" : "K", "non-dropping-particle" : "", "parse-names" : false, "suffix" : "" }, { "dropping-particle" : "", "family" : "Neale", "given" : "B", "non-dropping-particle" : "", "parse-names" : false, "suffix" : "" }, { "dropping-particle" : "", "family" : "Lowe", "given" : "N", "non-dropping-particle" : "", "parse-names" : false, "suffix" : "" }, { "dropping-particle" : "", "family" : "Aneey", "given" : "R", "non-dropping-particle" : "", "parse-names" : false, "suffix" : "" }, { "dropping-particle" : "", "family" : "Franke", "given" : "B", "non-dropping-particle" : "", "parse-names" : false, "suffix" : "" }, { "dropping-particle" : "", "family" : "Gill", "given" : "M", "non-dropping-particle" : "", "parse-names" : false, "suffix" : "" }, { "dropping-particle" : "", "family" : "Ebstein", "given" : "R", "non-dropping-particle" : "", "parse-names" : false, "suffix" : "" }, { "dropping-particle" : "", "family" : "Buitelaar", "given" : "J", "non-dropping-particle" : "", "parse-names" : false, "suffix" : "" }, { "dropping-particle" : "", "family" : "Sham", "given" : "P", "non-dropping-particle" : "", "parse-names" : false, "suffix" : "" }, { "dropping-particle" : "", "family" : "Campbell", "given" : "D", "non-dropping-particle" : "", "parse-names" : false, "suffix" : "" }, { "dropping-particle" : "", "family" : "Knight", "given" : "J", "non-dropping-particle" : "", "parse-names" : false, "suffix" : "" }, { "dropping-particle" : "", "family" : "Andreou", "given" : "P", "non-dropping-particle" : "", "parse-names" : false, "suffix" : "" }, { "dropping-particle" : "", "family" : "Altink", "given" : "M", "non-dropping-particle" : "", "parse-names" : false, "suffix" : "" }, { "dropping-particle" : "", "family" : "Arnold", "given" : "R", "non-dropping-particle" : "", "parse-names" : false, "suffix" : "" }, { "dropping-particle" : "", "family" : "Boer", "given" : "F", "non-dropping-particle" : "", "parse-names" : false, "suffix" : "" }, { "dropping-particle" : "", "family" : "Buschgens", "given" : "C", "non-dropping-particle" : "", "parse-names" : false, "suffix" : "" }, { "dropping-particle" : "", "family" : "Butler", "given" : "L", "non-dropping-particle" : "", "parse-names" : false, "suffix" : "" }, { "dropping-particle" : "", "family" : "Christiansen", "given" : "H", "non-dropping-particle" : "", "parse-names" : false, "suffix" : "" }, { "dropping-particle" : "", "family" : "Feldman", "given" : "L", "non-dropping-particle" : "", "parse-names" : false, "suffix" : "" }, { "dropping-particle" : "", "family" : "Fleischman", "given" : "K", "non-dropping-particle" : "", "parse-names" : false, "suffix" : "" }, { "dropping-particle" : "", "family" : "Fliers", "given" : "E", "non-dropping-particle" : "", "parse-names" : false, "suffix" : "" }, { "dropping-particle" : "", "family" : "Howe-Forbes", "given" : "R", "non-dropping-particle" : "", "parse-names" : false, "suffix" : "" }, { "dropping-particle" : "", "family" : "Goldfarb", "given" : "A", "non-dropping-particle" : "", "parse-names" : false, "suffix" : "" }, { "dropping-particle" : "", "family" : "Heise", "given" : "A", "non-dropping-particle" : "", "parse-names" : false, "suffix" : "" }, { "dropping-particle" : "", "family" : "Gabri\u00ebls", "given" : "I", "non-dropping-particle" : "", "parse-names" : false, "suffix" : "" }, { "dropping-particle" : "", "family" : "Korn-Lubetzki", "given" : "I", "non-dropping-particle" : "", "parse-names" : false, "suffix" : "" }, { "dropping-particle" : "", "family" : "Marco", "given" : "R", "non-dropping-particle" : "", "parse-names" : false, "suffix" : "" }, { "dropping-particle" : "", "family" : "Medad", "given" : "S", "non-dropping-particle" : "", "parse-names" : false, "suffix" : "" }, { "dropping-particle" : "", "family" : "Minderaa", "given" : "R", "non-dropping-particle" : "", "parse-names" : false, "suffix" : "" }, { "dropping-particle" : "", "family" : "Mulas", "given" : "F", "non-dropping-particle" : "", "parse-names" : false, "suffix" : "" }, { "dropping-particle" : "", "family" : "M\u00fcller", "given" : "U", "non-dropping-particle" : "", "parse-names" : false, "suffix" : "" }, { "dropping-particle" : "", "family" : "Mulligan", "given" : "A", "non-dropping-particle" : "", "parse-names" : false, "suffix" : "" }, { "dropping-particle" : "", "family" : "Rabin", "given" : "K", "non-dropping-particle" : "", "parse-names" : false, "suffix" : "" }, { "dropping-particle" : "", "family" : "Rommelse", "given" : "N", "non-dropping-particle" : "", "parse-names" : false, "suffix" : "" }, { "dropping-particle" : "", "family" : "Sethna", "given" : "V", "non-dropping-particle" : "", "parse-names" : false, "suffix" : "" }, { "dropping-particle" : "", "family" : "Sorohan", "given" : "J", "non-dropping-particle" : "", "parse-names" : false, "suffix" : "" }, { "dropping-particle" : "", "family" : "Uebel", "given" : "H", "non-dropping-particle" : "", "parse-names" : false, "suffix" : "" }, { "dropping-particle" : "", "family" : "Psychogiou", "given" : "L", "non-dropping-particle" : "", "parse-names" : false, "suffix" : "" }, { "dropping-particle" : "", "family" : "Weeks", "given" : "A", "non-dropping-particle" : "", "parse-names" : false, "suffix" : "" }, { "dropping-particle" : "", "family" : "Barrett", "given" : "R", "non-dropping-particle" : "", "parse-names" : false, "suffix" : "" }, { "dropping-particle" : "", "family" : "Craig", "given" : "I", "non-dropping-particle" : "", "parse-names" : false, "suffix" : "" }, { "dropping-particle" : "", "family" : "Banaschewski", "given" : "T", "non-dropping-particle" : "", "parse-names" : false, "suffix" : "" }, { "dropping-particle" : "", "family" : "Sonuga-Barke", "given" : "E", "non-dropping-particle" : "", "parse-names" : false, "suffix" : "" }, { "dropping-particle" : "", "family" : "Eisenberg", "given" : "J", "non-dropping-particle" : "", "parse-names" : false, "suffix" : "" }, { "dropping-particle" : "", "family" : "Kuntsi", "given" : "J", "non-dropping-particle" : "", "parse-names" : false, "suffix" : "" }, { "dropping-particle" : "", "family" : "Manor", "given" : "I", "non-dropping-particle" : "", "parse-names" : false, "suffix" : "" }, { "dropping-particle" : "", "family" : "McGuffin", "given" : "P", "non-dropping-particle" : "", "parse-names" : false, "suffix" : "" }, { "dropping-particle" : "", "family" : "Miranda", "given" : "A", "non-dropping-particle" : "", "parse-names" : false, "suffix" : "" }, { "dropping-particle" : "", "family" : "Oades", "given" : "R D", "non-dropping-particle" : "", "parse-names" : false, "suffix" : "" }, { "dropping-particle" : "", "family" : "Plomin", "given" : "R", "non-dropping-particle" : "", "parse-names" : false, "suffix" : "" }, { "dropping-particle" : "", "family" : "Roeyers", "given" : "H", "non-dropping-particle" : "", "parse-names" : false, "suffix" : "" }, { "dropping-particle" : "", "family" : "Rothenberger", "given" : "A", "non-dropping-particle" : "", "parse-names" : false, "suffix" : "" }, { "dropping-particle" : "", "family" : "Sergeant", "given" : "J", "non-dropping-particle" : "", "parse-names" : false, "suffix" : "" }, { "dropping-particle" : "", "family" : "Steinhausen", "given" : "H-C", "non-dropping-particle" : "", "parse-names" : false, "suffix" : "" }, { "dropping-particle" : "", "family" : "Taylor", "given" : "E", "non-dropping-particle" : "", "parse-names" : false, "suffix" : "" }, { "dropping-particle" : "", "family" : "Thompson", "given" : "M", "non-dropping-particle" : "", "parse-names" : false, "suffix" : "" }, { "dropping-particle" : "V", "family" : "Faraone", "given" : "S", "non-dropping-particle" : "", "parse-names" : false, "suffix" : "" }, { "dropping-particle" : "", "family" : "Asherson", "given" : "P", "non-dropping-particle" : "", "parse-names" : false, "suffix" : "" }, { "dropping-particle" : "", "family" : "Johansson", "given" : "L", "non-dropping-particle" : "", "parse-names" : false, "suffix" : "" } ], "container-title" : "Molecular Psychiatry", "id" : "ITEM-1", "issue" : "10", "issued" : { "date-parts" : [ [ "2006" ] ] }, "page" : "934-953", "title" : "The analysis of 51 genes in DSM-IV combined type attention deficit hyperactivity disorder: association signals in DRD4, DAT1 and 16 other genes", "type" : "article-journal", "volume" : "11" }, "uris" : [ "http://www.mendeley.com/documents/?uuid=d326f6d1-a4b7-4947-aae7-7fea9984efc7" ] } ], "mendeley" : { "formattedCitation" : "(191)", "plainTextFormattedCitation" : "(191)", "previouslyFormattedCitation" : "(191)" }, "properties" : { "noteIndex" : 20 }, "schema" : "https://github.com/citation-style-language/schema/raw/master/csl-citation.json" }</w:instrText>
      </w:r>
      <w:r w:rsidR="00BC3BBB" w:rsidRPr="00EC4DCF">
        <w:rPr>
          <w:rFonts w:ascii="Arial" w:hAnsi="Arial" w:cs="Arial"/>
          <w:sz w:val="22"/>
          <w:szCs w:val="22"/>
        </w:rPr>
        <w:fldChar w:fldCharType="separate"/>
      </w:r>
      <w:r w:rsidRPr="00EC4DCF">
        <w:rPr>
          <w:rFonts w:ascii="Arial" w:hAnsi="Arial" w:cs="Arial"/>
          <w:noProof/>
          <w:sz w:val="22"/>
          <w:szCs w:val="22"/>
        </w:rPr>
        <w:t>(191)</w:t>
      </w:r>
      <w:r w:rsidR="00BC3BBB" w:rsidRPr="00EC4DCF">
        <w:rPr>
          <w:rFonts w:ascii="Arial" w:hAnsi="Arial" w:cs="Arial"/>
          <w:sz w:val="22"/>
          <w:szCs w:val="22"/>
        </w:rPr>
        <w:fldChar w:fldCharType="end"/>
      </w:r>
      <w:r w:rsidRPr="00EC4DCF">
        <w:rPr>
          <w:rFonts w:ascii="Arial" w:hAnsi="Arial" w:cs="Arial"/>
          <w:color w:val="E36C0A" w:themeColor="accent6" w:themeShade="BF"/>
          <w:sz w:val="22"/>
          <w:szCs w:val="22"/>
        </w:rPr>
        <w:t xml:space="preserve">. </w:t>
      </w:r>
    </w:p>
    <w:p w:rsidR="00C60153" w:rsidRPr="00702BB7" w:rsidRDefault="00C60153" w:rsidP="00EC4DCF">
      <w:pPr>
        <w:spacing w:line="360" w:lineRule="auto"/>
        <w:jc w:val="both"/>
        <w:rPr>
          <w:rFonts w:ascii="Arial" w:hAnsi="Arial" w:cs="Arial"/>
          <w:b/>
          <w:i/>
          <w:sz w:val="22"/>
          <w:szCs w:val="22"/>
        </w:rPr>
      </w:pPr>
      <w:r w:rsidRPr="00EC4DCF">
        <w:rPr>
          <w:rFonts w:ascii="Arial" w:hAnsi="Arial" w:cs="Arial"/>
          <w:color w:val="E36C0A" w:themeColor="accent6" w:themeShade="BF"/>
          <w:sz w:val="22"/>
          <w:szCs w:val="22"/>
        </w:rPr>
        <w:tab/>
      </w:r>
      <w:r w:rsidRPr="00702BB7">
        <w:rPr>
          <w:rFonts w:ascii="Arial" w:hAnsi="Arial" w:cs="Arial"/>
          <w:b/>
          <w:i/>
          <w:sz w:val="22"/>
          <w:szCs w:val="22"/>
        </w:rPr>
        <w:t>Sinaptozomal İlişkili Protein (SNAP-25)</w:t>
      </w:r>
    </w:p>
    <w:p w:rsidR="00C60153" w:rsidRPr="00702BB7" w:rsidRDefault="00C60153" w:rsidP="00EC4DCF">
      <w:pPr>
        <w:spacing w:line="360" w:lineRule="auto"/>
        <w:jc w:val="both"/>
        <w:rPr>
          <w:rFonts w:ascii="Arial" w:hAnsi="Arial" w:cs="Arial"/>
          <w:sz w:val="22"/>
          <w:szCs w:val="22"/>
        </w:rPr>
      </w:pPr>
      <w:r w:rsidRPr="00702BB7">
        <w:rPr>
          <w:rFonts w:ascii="Arial" w:hAnsi="Arial" w:cs="Arial"/>
          <w:b/>
          <w:sz w:val="22"/>
          <w:szCs w:val="22"/>
        </w:rPr>
        <w:tab/>
      </w:r>
      <w:r w:rsidRPr="00702BB7">
        <w:rPr>
          <w:rFonts w:ascii="Arial" w:hAnsi="Arial" w:cs="Arial"/>
          <w:sz w:val="22"/>
          <w:szCs w:val="22"/>
        </w:rPr>
        <w:t>SNAP-25’i kapsayan kromozom 2q</w:t>
      </w:r>
      <w:r w:rsidR="00702BB7" w:rsidRPr="00702BB7">
        <w:rPr>
          <w:rFonts w:ascii="Arial" w:hAnsi="Arial" w:cs="Arial"/>
          <w:sz w:val="22"/>
          <w:szCs w:val="22"/>
        </w:rPr>
        <w:t xml:space="preserve"> homozigot</w:t>
      </w:r>
      <w:r w:rsidRPr="00702BB7">
        <w:rPr>
          <w:rFonts w:ascii="Arial" w:hAnsi="Arial" w:cs="Arial"/>
          <w:sz w:val="22"/>
          <w:szCs w:val="22"/>
        </w:rPr>
        <w:t xml:space="preserve"> delesyonu </w:t>
      </w:r>
      <w:r w:rsidR="00702BB7" w:rsidRPr="00702BB7">
        <w:rPr>
          <w:rFonts w:ascii="Arial" w:hAnsi="Arial" w:cs="Arial"/>
          <w:sz w:val="22"/>
          <w:szCs w:val="22"/>
        </w:rPr>
        <w:t>olan fareler</w:t>
      </w:r>
      <w:r w:rsidRPr="00702BB7">
        <w:rPr>
          <w:rFonts w:ascii="Arial" w:hAnsi="Arial" w:cs="Arial"/>
          <w:sz w:val="22"/>
          <w:szCs w:val="22"/>
        </w:rPr>
        <w:t xml:space="preserve">de hiperaktivite ve öğrenme güçlükleri belirtilmiştir </w:t>
      </w:r>
      <w:r w:rsidR="00BC3BBB" w:rsidRPr="00702BB7">
        <w:rPr>
          <w:rFonts w:ascii="Arial" w:hAnsi="Arial" w:cs="Arial"/>
          <w:sz w:val="22"/>
          <w:szCs w:val="22"/>
        </w:rPr>
        <w:fldChar w:fldCharType="begin" w:fldLock="1"/>
      </w:r>
      <w:r w:rsidRPr="00702BB7">
        <w:rPr>
          <w:rFonts w:ascii="Arial" w:hAnsi="Arial" w:cs="Arial"/>
          <w:sz w:val="22"/>
          <w:szCs w:val="22"/>
        </w:rPr>
        <w:instrText>ADDIN CSL_CITATION { "citationItems" : [ { "id" : "ITEM-1", "itemData" : { "author" : [ { "dropping-particle" : "", "family" : "Wilson", "given" : "Michael C", "non-dropping-particle" : "", "parse-names" : false, "suffix" : "" } ], "container-title" : "Biobehavioral Reviews", "id" : "ITEM-1", "issue" : "99", "issued" : { "date-parts" : [ [ "2000" ] ] }, "title" : "Coloboma mouse mutant as an animal model of hyperkinesis and attention deficit hyperactivity disorder", "type" : "article-journal", "volume" : "4" }, "uris" : [ "http://www.mendeley.com/documents/?uuid=5b5caf4a-97db-47f7-a8be-9c8e40d4d9b6" ] } ], "mendeley" : { "formattedCitation" : "(211)", "plainTextFormattedCitation" : "(211)", "previouslyFormattedCitation" : "(211)" }, "properties" : { "noteIndex" : 20 }, "schema" : "https://github.com/citation-style-language/schema/raw/master/csl-citation.json" }</w:instrText>
      </w:r>
      <w:r w:rsidR="00BC3BBB" w:rsidRPr="00702BB7">
        <w:rPr>
          <w:rFonts w:ascii="Arial" w:hAnsi="Arial" w:cs="Arial"/>
          <w:sz w:val="22"/>
          <w:szCs w:val="22"/>
        </w:rPr>
        <w:fldChar w:fldCharType="separate"/>
      </w:r>
      <w:r w:rsidRPr="00702BB7">
        <w:rPr>
          <w:rFonts w:ascii="Arial" w:hAnsi="Arial" w:cs="Arial"/>
          <w:noProof/>
          <w:sz w:val="22"/>
          <w:szCs w:val="22"/>
        </w:rPr>
        <w:t>(211)</w:t>
      </w:r>
      <w:r w:rsidR="00BC3BBB" w:rsidRPr="00702BB7">
        <w:rPr>
          <w:rFonts w:ascii="Arial" w:hAnsi="Arial" w:cs="Arial"/>
          <w:sz w:val="22"/>
          <w:szCs w:val="22"/>
        </w:rPr>
        <w:fldChar w:fldCharType="end"/>
      </w:r>
      <w:r w:rsidRPr="00702BB7">
        <w:rPr>
          <w:rFonts w:ascii="Arial" w:hAnsi="Arial" w:cs="Arial"/>
          <w:sz w:val="22"/>
          <w:szCs w:val="22"/>
        </w:rPr>
        <w:t xml:space="preserve">. SNAP-25 genindeki iki SNP’nin (1069T&gt;C ve 1065T&gt;G) incelendiği dört aile-temelli çalışmanın meta-analizinde, DEHB ile ilişkisi bulunduğna dair kanıtlar elde edilmiştir </w:t>
      </w:r>
      <w:r w:rsidR="00BC3BBB" w:rsidRPr="00702BB7">
        <w:rPr>
          <w:rFonts w:ascii="Arial" w:hAnsi="Arial" w:cs="Arial"/>
          <w:sz w:val="22"/>
          <w:szCs w:val="22"/>
        </w:rPr>
        <w:fldChar w:fldCharType="begin" w:fldLock="1"/>
      </w:r>
      <w:r w:rsidRPr="00702BB7">
        <w:rPr>
          <w:rFonts w:ascii="Arial" w:hAnsi="Arial" w:cs="Arial"/>
          <w:sz w:val="22"/>
          <w:szCs w:val="22"/>
        </w:rPr>
        <w:instrText>ADDIN CSL_CITATION { "citationItems" : [ { "id" : "ITEM-1", "itemData" : { "DOI" : "4001722 [pii]\\r10.1038/sj.mp.4001722", "ISBN" : "1359-4184 (Print)\\r1359-4184 (Linking)", "PMID" : "16088329", "abstract" : "The synaptosomal-associated protein of 25 kDa gene (SNAP25) has been suggested as a genetic susceptibility factor in attention-deficit hyperactivity disorder (ADHD) based on the mouse strain coloboma. This strain is hemizygous for the SNAP25 gene and displays hyperactivity that responds to dextroamphetamine, but not to methylphenidate. Previously, we reported association of SNAP25 and ADHD using two polymorphisms. To further investigate this gene, we screened the exons for DNA variation and genotyped ten additional polymorphisms in an expanded sample of families from Toronto and a second sample of families collected in Irvine, CA. Significant results were observed in the Toronto sample for four markers, although not in the Irvine sample. The paper discusses the possible influence of the selection criteria on these differential results. The Irvine sample selected subjects that met the DSM-IV combined subtype diagnosis, whereas the Toronto sample included all subtypes. Analysis of the DSM-IV subtypes in the Toronto sample indicated that the differential results were not attributable to ADHD subtype. Differences in ethnicity, differential medication response, and other clinical characteristics of the samples cannot be ruled out at this time. Quantitative analysis of the dimensions of hyperactivity/impulsivity and inattention in the Toronto sample found that both behavioral traits were associated with SNAP25. Our findings continue to support SNAP25 in the susceptibility to ADHD.", "author" : [ { "dropping-particle" : "", "family" : "Feng", "given" : "Y", "non-dropping-particle" : "", "parse-names" : false, "suffix" : "" }, { "dropping-particle" : "", "family" : "Crosbie", "given" : "J", "non-dropping-particle" : "", "parse-names" : false, "suffix" : "" }, { "dropping-particle" : "", "family" : "Wigg", "given" : "K", "non-dropping-particle" : "", "parse-names" : false, "suffix" : "" }, { "dropping-particle" : "", "family" : "Pathare", "given" : "T", "non-dropping-particle" : "", "parse-names" : false, "suffix" : "" }, { "dropping-particle" : "", "family" : "Ickowicz", "given" : "A", "non-dropping-particle" : "", "parse-names" : false, "suffix" : "" }, { "dropping-particle" : "", "family" : "Schachar", "given" : "R", "non-dropping-particle" : "", "parse-names" : false, "suffix" : "" }, { "dropping-particle" : "", "family" : "Tannock", "given" : "R", "non-dropping-particle" : "", "parse-names" : false, "suffix" : "" }, { "dropping-particle" : "", "family" : "Roberts", "given" : "W", "non-dropping-particle" : "", "parse-names" : false, "suffix" : "" }, { "dropping-particle" : "", "family" : "Malone", "given" : "M", "non-dropping-particle" : "", "parse-names" : false, "suffix" : "" }, { "dropping-particle" : "", "family" : "Swanson", "given" : "J", "non-dropping-particle" : "", "parse-names" : false, "suffix" : "" }, { "dropping-particle" : "", "family" : "Kennedy", "given" : "J L", "non-dropping-particle" : "", "parse-names" : false, "suffix" : "" }, { "dropping-particle" : "", "family" : "Barr", "given" : "C L", "non-dropping-particle" : "", "parse-names" : false, "suffix" : "" } ], "container-title" : "Mol Psychiatry", "id" : "ITEM-1", "issue" : "11", "issued" : { "date-parts" : [ [ "2005" ] ] }, "page" : "973,998-1005", "title" : "The SNAP25 gene as a susceptibility gene contributing to attention-deficit hyperactivity disorder", "type" : "article-journal", "volume" : "10" }, "uris" : [ "http://www.mendeley.com/documents/?uuid=0ee3a288-30a8-4f65-ae3b-f71d9bd476aa" ] } ], "mendeley" : { "formattedCitation" : "(212)", "plainTextFormattedCitation" : "(212)", "previouslyFormattedCitation" : "(212)" }, "properties" : { "noteIndex" : 20 }, "schema" : "https://github.com/citation-style-language/schema/raw/master/csl-citation.json" }</w:instrText>
      </w:r>
      <w:r w:rsidR="00BC3BBB" w:rsidRPr="00702BB7">
        <w:rPr>
          <w:rFonts w:ascii="Arial" w:hAnsi="Arial" w:cs="Arial"/>
          <w:sz w:val="22"/>
          <w:szCs w:val="22"/>
        </w:rPr>
        <w:fldChar w:fldCharType="separate"/>
      </w:r>
      <w:r w:rsidRPr="00702BB7">
        <w:rPr>
          <w:rFonts w:ascii="Arial" w:hAnsi="Arial" w:cs="Arial"/>
          <w:noProof/>
          <w:sz w:val="22"/>
          <w:szCs w:val="22"/>
        </w:rPr>
        <w:t>(212)</w:t>
      </w:r>
      <w:r w:rsidR="00BC3BBB" w:rsidRPr="00702BB7">
        <w:rPr>
          <w:rFonts w:ascii="Arial" w:hAnsi="Arial" w:cs="Arial"/>
          <w:sz w:val="22"/>
          <w:szCs w:val="22"/>
        </w:rPr>
        <w:fldChar w:fldCharType="end"/>
      </w:r>
      <w:r w:rsidRPr="00702BB7">
        <w:rPr>
          <w:rFonts w:ascii="Arial" w:hAnsi="Arial" w:cs="Arial"/>
          <w:sz w:val="22"/>
          <w:szCs w:val="22"/>
        </w:rPr>
        <w:t xml:space="preserve">. </w:t>
      </w:r>
      <w:r w:rsidRPr="00702BB7">
        <w:rPr>
          <w:rFonts w:ascii="Arial" w:hAnsi="Arial" w:cs="Arial"/>
          <w:iCs/>
          <w:sz w:val="22"/>
          <w:szCs w:val="22"/>
        </w:rPr>
        <w:t>Fakat</w:t>
      </w:r>
      <w:r w:rsidRPr="00702BB7">
        <w:rPr>
          <w:rFonts w:ascii="Arial" w:hAnsi="Arial" w:cs="Arial"/>
          <w:i/>
          <w:iCs/>
          <w:sz w:val="22"/>
          <w:szCs w:val="22"/>
        </w:rPr>
        <w:t xml:space="preserve"> </w:t>
      </w:r>
      <w:r w:rsidRPr="00702BB7">
        <w:rPr>
          <w:rFonts w:ascii="Arial" w:hAnsi="Arial" w:cs="Arial"/>
          <w:sz w:val="22"/>
          <w:szCs w:val="22"/>
        </w:rPr>
        <w:t xml:space="preserve">IMAGE çalışması SNAP-25’in istatiksel olarak önemsiz derecede ilişkili olduğunu saptamıştır </w:t>
      </w:r>
      <w:r w:rsidR="00BC3BBB" w:rsidRPr="00702BB7">
        <w:rPr>
          <w:rFonts w:ascii="Arial" w:hAnsi="Arial" w:cs="Arial"/>
          <w:sz w:val="22"/>
          <w:szCs w:val="22"/>
        </w:rPr>
        <w:fldChar w:fldCharType="begin" w:fldLock="1"/>
      </w:r>
      <w:r w:rsidRPr="00702BB7">
        <w:rPr>
          <w:rFonts w:ascii="Arial" w:hAnsi="Arial" w:cs="Arial"/>
          <w:sz w:val="22"/>
          <w:szCs w:val="22"/>
        </w:rPr>
        <w:instrText>ADDIN CSL_CITATION { "citationItems" : [ { "id" : "ITEM-1", "itemData" : { "DOI" : "10.1038/sj.mp.4001869", "ISBN" : "1359-4184 (Print)\\r1359-4184", "ISSN" : "1359-4184", "PMID" : "16894395", "abstract" : "Attention deficit hyperactivity disorder (ADHD) is a common neurodevelopmental disorder, starting in early childhood and persisting into adulthood in the majority of cases. Family and twin studies have demonstrated the importance of genetic factors and candidate gene association studies have identified several loci that exert small but significant effects on ADHD. To provide further clarification of reported associations and identify novel associated genes, we examined 1,038 single-nucleotide polymorphisms (SNPs) spanning 51 candidate genes involved in the regulation of neurotransmitter pathways, particularly dopamine, norepinephrine and serotonin pathways, in addition to circadian rhythm genes. Analysis used within family tests of association in a sample of 776 DSM-IV ADHD combined type cases ascertained for the International Multi-centre ADHD Gene project. We found nominal significance with one or more SNPs in 18 genes, including the two most replicated findings in the literature: DRD4 and DAT1. Gene-wide tests, adjusted for the number of SNPs analysed in each gene, identified associations with TPH2, ARRB2, SYP, DAT1, ADRB2, HES1, MAOA and PNMT. Further studies will be needed to confirm or refute the observed associations and their generalisability to other samples.", "author" : [ { "dropping-particle" : "", "family" : "Brookes", "given" : "K", "non-dropping-particle" : "", "parse-names" : false, "suffix" : "" }, { "dropping-particle" : "", "family" : "Xu", "given" : "X", "non-dropping-particle" : "", "parse-names" : false, "suffix" : "" }, { "dropping-particle" : "", "family" : "Chen", "given" : "W", "non-dropping-particle" : "", "parse-names" : false, "suffix" : "" }, { "dropping-particle" : "", "family" : "Zhou", "given" : "K", "non-dropping-particle" : "", "parse-names" : false, "suffix" : "" }, { "dropping-particle" : "", "family" : "Neale", "given" : "B", "non-dropping-particle" : "", "parse-names" : false, "suffix" : "" }, { "dropping-particle" : "", "family" : "Lowe", "given" : "N", "non-dropping-particle" : "", "parse-names" : false, "suffix" : "" }, { "dropping-particle" : "", "family" : "Aneey", "given" : "R", "non-dropping-particle" : "", "parse-names" : false, "suffix" : "" }, { "dropping-particle" : "", "family" : "Franke", "given" : "B", "non-dropping-particle" : "", "parse-names" : false, "suffix" : "" }, { "dropping-particle" : "", "family" : "Gill", "given" : "M", "non-dropping-particle" : "", "parse-names" : false, "suffix" : "" }, { "dropping-particle" : "", "family" : "Ebstein", "given" : "R", "non-dropping-particle" : "", "parse-names" : false, "suffix" : "" }, { "dropping-particle" : "", "family" : "Buitelaar", "given" : "J", "non-dropping-particle" : "", "parse-names" : false, "suffix" : "" }, { "dropping-particle" : "", "family" : "Sham", "given" : "P", "non-dropping-particle" : "", "parse-names" : false, "suffix" : "" }, { "dropping-particle" : "", "family" : "Campbell", "given" : "D", "non-dropping-particle" : "", "parse-names" : false, "suffix" : "" }, { "dropping-particle" : "", "family" : "Knight", "given" : "J", "non-dropping-particle" : "", "parse-names" : false, "suffix" : "" }, { "dropping-particle" : "", "family" : "Andreou", "given" : "P", "non-dropping-particle" : "", "parse-names" : false, "suffix" : "" }, { "dropping-particle" : "", "family" : "Altink", "given" : "M", "non-dropping-particle" : "", "parse-names" : false, "suffix" : "" }, { "dropping-particle" : "", "family" : "Arnold", "given" : "R", "non-dropping-particle" : "", "parse-names" : false, "suffix" : "" }, { "dropping-particle" : "", "family" : "Boer", "given" : "F", "non-dropping-particle" : "", "parse-names" : false, "suffix" : "" }, { "dropping-particle" : "", "family" : "Buschgens", "given" : "C", "non-dropping-particle" : "", "parse-names" : false, "suffix" : "" }, { "dropping-particle" : "", "family" : "Butler", "given" : "L", "non-dropping-particle" : "", "parse-names" : false, "suffix" : "" }, { "dropping-particle" : "", "family" : "Christiansen", "given" : "H", "non-dropping-particle" : "", "parse-names" : false, "suffix" : "" }, { "dropping-particle" : "", "family" : "Feldman", "given" : "L", "non-dropping-particle" : "", "parse-names" : false, "suffix" : "" }, { "dropping-particle" : "", "family" : "Fleischman", "given" : "K", "non-dropping-particle" : "", "parse-names" : false, "suffix" : "" }, { "dropping-particle" : "", "family" : "Fliers", "given" : "E", "non-dropping-particle" : "", "parse-names" : false, "suffix" : "" }, { "dropping-particle" : "", "family" : "Howe-Forbes", "given" : "R", "non-dropping-particle" : "", "parse-names" : false, "suffix" : "" }, { "dropping-particle" : "", "family" : "Goldfarb", "given" : "A", "non-dropping-particle" : "", "parse-names" : false, "suffix" : "" }, { "dropping-particle" : "", "family" : "Heise", "given" : "A", "non-dropping-particle" : "", "parse-names" : false, "suffix" : "" }, { "dropping-particle" : "", "family" : "Gabri\u00ebls", "given" : "I", "non-dropping-particle" : "", "parse-names" : false, "suffix" : "" }, { "dropping-particle" : "", "family" : "Korn-Lubetzki", "given" : "I", "non-dropping-particle" : "", "parse-names" : false, "suffix" : "" }, { "dropping-particle" : "", "family" : "Marco", "given" : "R", "non-dropping-particle" : "", "parse-names" : false, "suffix" : "" }, { "dropping-particle" : "", "family" : "Medad", "given" : "S", "non-dropping-particle" : "", "parse-names" : false, "suffix" : "" }, { "dropping-particle" : "", "family" : "Minderaa", "given" : "R", "non-dropping-particle" : "", "parse-names" : false, "suffix" : "" }, { "dropping-particle" : "", "family" : "Mulas", "given" : "F", "non-dropping-particle" : "", "parse-names" : false, "suffix" : "" }, { "dropping-particle" : "", "family" : "M\u00fcller", "given" : "U", "non-dropping-particle" : "", "parse-names" : false, "suffix" : "" }, { "dropping-particle" : "", "family" : "Mulligan", "given" : "A", "non-dropping-particle" : "", "parse-names" : false, "suffix" : "" }, { "dropping-particle" : "", "family" : "Rabin", "given" : "K", "non-dropping-particle" : "", "parse-names" : false, "suffix" : "" }, { "dropping-particle" : "", "family" : "Rommelse", "given" : "N", "non-dropping-particle" : "", "parse-names" : false, "suffix" : "" }, { "dropping-particle" : "", "family" : "Sethna", "given" : "V", "non-dropping-particle" : "", "parse-names" : false, "suffix" : "" }, { "dropping-particle" : "", "family" : "Sorohan", "given" : "J", "non-dropping-particle" : "", "parse-names" : false, "suffix" : "" }, { "dropping-particle" : "", "family" : "Uebel", "given" : "H", "non-dropping-particle" : "", "parse-names" : false, "suffix" : "" }, { "dropping-particle" : "", "family" : "Psychogiou", "given" : "L", "non-dropping-particle" : "", "parse-names" : false, "suffix" : "" }, { "dropping-particle" : "", "family" : "Weeks", "given" : "A", "non-dropping-particle" : "", "parse-names" : false, "suffix" : "" }, { "dropping-particle" : "", "family" : "Barrett", "given" : "R", "non-dropping-particle" : "", "parse-names" : false, "suffix" : "" }, { "dropping-particle" : "", "family" : "Craig", "given" : "I", "non-dropping-particle" : "", "parse-names" : false, "suffix" : "" }, { "dropping-particle" : "", "family" : "Banaschewski", "given" : "T", "non-dropping-particle" : "", "parse-names" : false, "suffix" : "" }, { "dropping-particle" : "", "family" : "Sonuga-Barke", "given" : "E", "non-dropping-particle" : "", "parse-names" : false, "suffix" : "" }, { "dropping-particle" : "", "family" : "Eisenberg", "given" : "J", "non-dropping-particle" : "", "parse-names" : false, "suffix" : "" }, { "dropping-particle" : "", "family" : "Kuntsi", "given" : "J", "non-dropping-particle" : "", "parse-names" : false, "suffix" : "" }, { "dropping-particle" : "", "family" : "Manor", "given" : "I", "non-dropping-particle" : "", "parse-names" : false, "suffix" : "" }, { "dropping-particle" : "", "family" : "McGuffin", "given" : "P", "non-dropping-particle" : "", "parse-names" : false, "suffix" : "" }, { "dropping-particle" : "", "family" : "Miranda", "given" : "A", "non-dropping-particle" : "", "parse-names" : false, "suffix" : "" }, { "dropping-particle" : "", "family" : "Oades", "given" : "R D", "non-dropping-particle" : "", "parse-names" : false, "suffix" : "" }, { "dropping-particle" : "", "family" : "Plomin", "given" : "R", "non-dropping-particle" : "", "parse-names" : false, "suffix" : "" }, { "dropping-particle" : "", "family" : "Roeyers", "given" : "H", "non-dropping-particle" : "", "parse-names" : false, "suffix" : "" }, { "dropping-particle" : "", "family" : "Rothenberger", "given" : "A", "non-dropping-particle" : "", "parse-names" : false, "suffix" : "" }, { "dropping-particle" : "", "family" : "Sergeant", "given" : "J", "non-dropping-particle" : "", "parse-names" : false, "suffix" : "" }, { "dropping-particle" : "", "family" : "Steinhausen", "given" : "H-C", "non-dropping-particle" : "", "parse-names" : false, "suffix" : "" }, { "dropping-particle" : "", "family" : "Taylor", "given" : "E", "non-dropping-particle" : "", "parse-names" : false, "suffix" : "" }, { "dropping-particle" : "", "family" : "Thompson", "given" : "M", "non-dropping-particle" : "", "parse-names" : false, "suffix" : "" }, { "dropping-particle" : "V", "family" : "Faraone", "given" : "S", "non-dropping-particle" : "", "parse-names" : false, "suffix" : "" }, { "dropping-particle" : "", "family" : "Asherson", "given" : "P", "non-dropping-particle" : "", "parse-names" : false, "suffix" : "" }, { "dropping-particle" : "", "family" : "Johansson", "given" : "L", "non-dropping-particle" : "", "parse-names" : false, "suffix" : "" } ], "container-title" : "Molecular Psychiatry", "id" : "ITEM-1", "issue" : "10", "issued" : { "date-parts" : [ [ "2006" ] ] }, "page" : "934-953", "title" : "The analysis of 51 genes in DSM-IV combined type attention deficit hyperactivity disorder: association signals in DRD4, DAT1 and 16 other genes", "type" : "article-journal", "volume" : "11" }, "uris" : [ "http://www.mendeley.com/documents/?uuid=d326f6d1-a4b7-4947-aae7-7fea9984efc7" ] } ], "mendeley" : { "formattedCitation" : "(191)", "plainTextFormattedCitation" : "(191)", "previouslyFormattedCitation" : "(191)" }, "properties" : { "noteIndex" : 20 }, "schema" : "https://github.com/citation-style-language/schema/raw/master/csl-citation.json" }</w:instrText>
      </w:r>
      <w:r w:rsidR="00BC3BBB" w:rsidRPr="00702BB7">
        <w:rPr>
          <w:rFonts w:ascii="Arial" w:hAnsi="Arial" w:cs="Arial"/>
          <w:sz w:val="22"/>
          <w:szCs w:val="22"/>
        </w:rPr>
        <w:fldChar w:fldCharType="separate"/>
      </w:r>
      <w:r w:rsidRPr="00702BB7">
        <w:rPr>
          <w:rFonts w:ascii="Arial" w:hAnsi="Arial" w:cs="Arial"/>
          <w:noProof/>
          <w:sz w:val="22"/>
          <w:szCs w:val="22"/>
        </w:rPr>
        <w:t>(191)</w:t>
      </w:r>
      <w:r w:rsidR="00BC3BBB" w:rsidRPr="00702BB7">
        <w:rPr>
          <w:rFonts w:ascii="Arial" w:hAnsi="Arial" w:cs="Arial"/>
          <w:sz w:val="22"/>
          <w:szCs w:val="22"/>
        </w:rPr>
        <w:fldChar w:fldCharType="end"/>
      </w:r>
      <w:r w:rsidRPr="00702BB7">
        <w:rPr>
          <w:rFonts w:ascii="Arial" w:hAnsi="Arial" w:cs="Arial"/>
          <w:sz w:val="22"/>
          <w:szCs w:val="22"/>
        </w:rPr>
        <w:t>.</w:t>
      </w:r>
    </w:p>
    <w:p w:rsidR="00702BB7" w:rsidRDefault="00C60153" w:rsidP="00EC4DCF">
      <w:pPr>
        <w:spacing w:line="360" w:lineRule="auto"/>
        <w:rPr>
          <w:sz w:val="22"/>
          <w:szCs w:val="22"/>
        </w:rPr>
      </w:pPr>
      <w:r w:rsidRPr="00702BB7">
        <w:rPr>
          <w:sz w:val="22"/>
          <w:szCs w:val="22"/>
        </w:rPr>
        <w:tab/>
      </w:r>
    </w:p>
    <w:p w:rsidR="00C60153" w:rsidRPr="00702BB7" w:rsidRDefault="00702BB7" w:rsidP="00EC4DCF">
      <w:pPr>
        <w:spacing w:line="360" w:lineRule="auto"/>
        <w:rPr>
          <w:rFonts w:ascii="Arial" w:eastAsia="Calibri" w:hAnsi="Arial" w:cs="Arial"/>
          <w:b/>
          <w:sz w:val="22"/>
          <w:szCs w:val="22"/>
        </w:rPr>
      </w:pPr>
      <w:r>
        <w:rPr>
          <w:sz w:val="22"/>
          <w:szCs w:val="22"/>
        </w:rPr>
        <w:tab/>
      </w:r>
      <w:r w:rsidR="00C60153" w:rsidRPr="00702BB7">
        <w:rPr>
          <w:rFonts w:ascii="Arial" w:eastAsia="Calibri" w:hAnsi="Arial" w:cs="Arial"/>
          <w:b/>
          <w:sz w:val="22"/>
          <w:szCs w:val="22"/>
        </w:rPr>
        <w:t>Tüm Genomda İlişki Çalışmaları (</w:t>
      </w:r>
      <w:r w:rsidRPr="00702BB7">
        <w:rPr>
          <w:rFonts w:ascii="Arial" w:eastAsia="Calibri" w:hAnsi="Arial" w:cs="Arial"/>
          <w:b/>
          <w:sz w:val="22"/>
          <w:szCs w:val="22"/>
        </w:rPr>
        <w:t>GWAS</w:t>
      </w:r>
      <w:r>
        <w:rPr>
          <w:rFonts w:ascii="Arial" w:eastAsia="Calibri" w:hAnsi="Arial" w:cs="Arial"/>
          <w:b/>
          <w:sz w:val="22"/>
          <w:szCs w:val="22"/>
        </w:rPr>
        <w:t xml:space="preserve"> </w:t>
      </w:r>
      <w:r w:rsidRPr="00702BB7">
        <w:rPr>
          <w:rFonts w:ascii="Arial" w:eastAsia="Calibri" w:hAnsi="Arial" w:cs="Arial"/>
          <w:b/>
          <w:sz w:val="22"/>
          <w:szCs w:val="22"/>
        </w:rPr>
        <w:t>-</w:t>
      </w:r>
      <w:r>
        <w:rPr>
          <w:rFonts w:ascii="Arial" w:eastAsia="Calibri" w:hAnsi="Arial" w:cs="Arial"/>
          <w:b/>
          <w:sz w:val="22"/>
          <w:szCs w:val="22"/>
        </w:rPr>
        <w:t xml:space="preserve"> </w:t>
      </w:r>
      <w:r w:rsidRPr="00702BB7">
        <w:rPr>
          <w:rFonts w:ascii="Arial" w:eastAsia="Calibri" w:hAnsi="Arial" w:cs="Arial"/>
          <w:b/>
          <w:sz w:val="22"/>
          <w:szCs w:val="22"/>
        </w:rPr>
        <w:t>Genom wide association study)</w:t>
      </w:r>
    </w:p>
    <w:p w:rsidR="00C60153" w:rsidRPr="00702BB7" w:rsidRDefault="00C60153" w:rsidP="00EC4DCF">
      <w:pPr>
        <w:spacing w:line="360" w:lineRule="auto"/>
        <w:jc w:val="both"/>
        <w:rPr>
          <w:rStyle w:val="Vurgu"/>
          <w:rFonts w:ascii="Arial" w:hAnsi="Arial" w:cs="Arial"/>
          <w:sz w:val="22"/>
          <w:szCs w:val="22"/>
          <w:shd w:val="clear" w:color="auto" w:fill="FFFFFF"/>
        </w:rPr>
      </w:pPr>
      <w:r w:rsidRPr="00702BB7">
        <w:rPr>
          <w:rFonts w:ascii="Arial" w:eastAsia="Calibri" w:hAnsi="Arial" w:cs="Arial"/>
          <w:b/>
          <w:sz w:val="22"/>
          <w:szCs w:val="22"/>
        </w:rPr>
        <w:tab/>
      </w:r>
      <w:r w:rsidRPr="00702BB7">
        <w:rPr>
          <w:rFonts w:ascii="Arial" w:eastAsia="Calibri" w:hAnsi="Arial" w:cs="Arial"/>
          <w:sz w:val="22"/>
          <w:szCs w:val="22"/>
        </w:rPr>
        <w:t xml:space="preserve">Az sayıdaki GWAS çalışmalarından biri olan </w:t>
      </w:r>
      <w:r w:rsidRPr="00702BB7">
        <w:rPr>
          <w:rFonts w:ascii="Arial" w:hAnsi="Arial" w:cs="Arial"/>
          <w:sz w:val="22"/>
          <w:szCs w:val="22"/>
          <w:shd w:val="clear" w:color="auto" w:fill="FFFFFF"/>
        </w:rPr>
        <w:t xml:space="preserve">IMAGE, potansiyel etkileri için DEHB literatüründeki mevcut aday genleri araştırmış, </w:t>
      </w:r>
      <w:r w:rsidRPr="00B026B1">
        <w:rPr>
          <w:rStyle w:val="Vurgu"/>
          <w:rFonts w:ascii="Arial" w:hAnsi="Arial" w:cs="Arial"/>
          <w:i w:val="0"/>
          <w:sz w:val="22"/>
          <w:szCs w:val="22"/>
          <w:shd w:val="clear" w:color="auto" w:fill="FFFFFF"/>
        </w:rPr>
        <w:t xml:space="preserve">DRD4, SLC6A3, HTR1B, </w:t>
      </w:r>
      <w:r w:rsidRPr="00711125">
        <w:rPr>
          <w:rStyle w:val="Vurgu"/>
          <w:rFonts w:ascii="Arial" w:hAnsi="Arial" w:cs="Arial"/>
          <w:i w:val="0"/>
          <w:sz w:val="22"/>
          <w:szCs w:val="22"/>
          <w:shd w:val="clear" w:color="auto" w:fill="FFFFFF"/>
        </w:rPr>
        <w:t>SLC6A4</w:t>
      </w:r>
      <w:r w:rsidRPr="00711125">
        <w:rPr>
          <w:rFonts w:ascii="Arial" w:hAnsi="Arial" w:cs="Arial"/>
          <w:i/>
          <w:sz w:val="22"/>
          <w:szCs w:val="22"/>
          <w:shd w:val="clear" w:color="auto" w:fill="FFFFFF"/>
        </w:rPr>
        <w:t> </w:t>
      </w:r>
      <w:r w:rsidRPr="00711125">
        <w:rPr>
          <w:rFonts w:ascii="Arial" w:hAnsi="Arial" w:cs="Arial"/>
          <w:sz w:val="22"/>
          <w:szCs w:val="22"/>
          <w:shd w:val="clear" w:color="auto" w:fill="FFFFFF"/>
        </w:rPr>
        <w:t>ve </w:t>
      </w:r>
      <w:r w:rsidRPr="00711125">
        <w:rPr>
          <w:rStyle w:val="Vurgu"/>
          <w:rFonts w:ascii="Arial" w:hAnsi="Arial" w:cs="Arial"/>
          <w:i w:val="0"/>
          <w:sz w:val="22"/>
          <w:szCs w:val="22"/>
          <w:shd w:val="clear" w:color="auto" w:fill="FFFFFF"/>
        </w:rPr>
        <w:t>DBH genlerinin DEHB ile kuvvetli</w:t>
      </w:r>
      <w:r w:rsidRPr="00B026B1">
        <w:rPr>
          <w:rStyle w:val="Vurgu"/>
          <w:rFonts w:ascii="Arial" w:hAnsi="Arial" w:cs="Arial"/>
          <w:i w:val="0"/>
          <w:sz w:val="22"/>
          <w:szCs w:val="22"/>
          <w:shd w:val="clear" w:color="auto" w:fill="FFFFFF"/>
        </w:rPr>
        <w:t xml:space="preserve"> ilişki gösterdiğini saptamıştır </w:t>
      </w:r>
      <w:r w:rsidR="00BC3BBB" w:rsidRPr="00B026B1">
        <w:rPr>
          <w:rStyle w:val="Vurgu"/>
          <w:rFonts w:ascii="Arial" w:hAnsi="Arial" w:cs="Arial"/>
          <w:i w:val="0"/>
          <w:sz w:val="22"/>
          <w:szCs w:val="22"/>
          <w:shd w:val="clear" w:color="auto" w:fill="FFFFFF"/>
        </w:rPr>
        <w:fldChar w:fldCharType="begin" w:fldLock="1"/>
      </w:r>
      <w:r w:rsidRPr="00B026B1">
        <w:rPr>
          <w:rStyle w:val="Vurgu"/>
          <w:rFonts w:ascii="Arial" w:hAnsi="Arial" w:cs="Arial"/>
          <w:i w:val="0"/>
          <w:sz w:val="22"/>
          <w:szCs w:val="22"/>
          <w:shd w:val="clear" w:color="auto" w:fill="FFFFFF"/>
        </w:rPr>
        <w:instrText>ADDIN CSL_CITATION { "citationItems" : [ { "id" : "ITEM-1", "itemData" : { "DOI" : "10.1038/sj.mp.4001869", "ISBN" : "1359-4184 (Print)\\r1359-4184", "ISSN" : "1359-4184", "PMID" : "16894395", "abstract" : "Attention deficit hyperactivity disorder (ADHD) is a common neurodevelopmental disorder, starting in early childhood and persisting into adulthood in the majority of cases. Family and twin studies have demonstrated the importance of genetic factors and candidate gene association studies have identified several loci that exert small but significant effects on ADHD. To provide further clarification of reported associations and identify novel associated genes, we examined 1,038 single-nucleotide polymorphisms (SNPs) spanning 51 candidate genes involved in the regulation of neurotransmitter pathways, particularly dopamine, norepinephrine and serotonin pathways, in addition to circadian rhythm genes. Analysis used within family tests of association in a sample of 776 DSM-IV ADHD combined type cases ascertained for the International Multi-centre ADHD Gene project. We found nominal significance with one or more SNPs in 18 genes, including the two most replicated findings in the literature: DRD4 and DAT1. Gene-wide tests, adjusted for the number of SNPs analysed in each gene, identified associations with TPH2, ARRB2, SYP, DAT1, ADRB2, HES1, MAOA and PNMT. Further studies will be needed to confirm or refute the observed associations and their generalisability to other samples.", "author" : [ { "dropping-particle" : "", "family" : "Brookes", "given" : "K", "non-dropping-particle" : "", "parse-names" : false, "suffix" : "" }, { "dropping-particle" : "", "family" : "Xu", "given" : "X", "non-dropping-particle" : "", "parse-names" : false, "suffix" : "" }, { "dropping-particle" : "", "family" : "Chen", "given" : "W", "non-dropping-particle" : "", "parse-names" : false, "suffix" : "" }, { "dropping-particle" : "", "family" : "Zhou", "given" : "K", "non-dropping-particle" : "", "parse-names" : false, "suffix" : "" }, { "dropping-particle" : "", "family" : "Neale", "given" : "B", "non-dropping-particle" : "", "parse-names" : false, "suffix" : "" }, { "dropping-particle" : "", "family" : "Lowe", "given" : "N", "non-dropping-particle" : "", "parse-names" : false, "suffix" : "" }, { "dropping-particle" : "", "family" : "Aneey", "given" : "R", "non-dropping-particle" : "", "parse-names" : false, "suffix" : "" }, { "dropping-particle" : "", "family" : "Franke", "given" : "B", "non-dropping-particle" : "", "parse-names" : false, "suffix" : "" }, { "dropping-particle" : "", "family" : "Gill", "given" : "M", "non-dropping-particle" : "", "parse-names" : false, "suffix" : "" }, { "dropping-particle" : "", "family" : "Ebstein", "given" : "R", "non-dropping-particle" : "", "parse-names" : false, "suffix" : "" }, { "dropping-particle" : "", "family" : "Buitelaar", "given" : "J", "non-dropping-particle" : "", "parse-names" : false, "suffix" : "" }, { "dropping-particle" : "", "family" : "Sham", "given" : "P", "non-dropping-particle" : "", "parse-names" : false, "suffix" : "" }, { "dropping-particle" : "", "family" : "Campbell", "given" : "D", "non-dropping-particle" : "", "parse-names" : false, "suffix" : "" }, { "dropping-particle" : "", "family" : "Knight", "given" : "J", "non-dropping-particle" : "", "parse-names" : false, "suffix" : "" }, { "dropping-particle" : "", "family" : "Andreou", "given" : "P", "non-dropping-particle" : "", "parse-names" : false, "suffix" : "" }, { "dropping-particle" : "", "family" : "Altink", "given" : "M", "non-dropping-particle" : "", "parse-names" : false, "suffix" : "" }, { "dropping-particle" : "", "family" : "Arnold", "given" : "R", "non-dropping-particle" : "", "parse-names" : false, "suffix" : "" }, { "dropping-particle" : "", "family" : "Boer", "given" : "F", "non-dropping-particle" : "", "parse-names" : false, "suffix" : "" }, { "dropping-particle" : "", "family" : "Buschgens", "given" : "C", "non-dropping-particle" : "", "parse-names" : false, "suffix" : "" }, { "dropping-particle" : "", "family" : "Butler", "given" : "L", "non-dropping-particle" : "", "parse-names" : false, "suffix" : "" }, { "dropping-particle" : "", "family" : "Christiansen", "given" : "H", "non-dropping-particle" : "", "parse-names" : false, "suffix" : "" }, { "dropping-particle" : "", "family" : "Feldman", "given" : "L", "non-dropping-particle" : "", "parse-names" : false, "suffix" : "" }, { "dropping-particle" : "", "family" : "Fleischman", "given" : "K", "non-dropping-particle" : "", "parse-names" : false, "suffix" : "" }, { "dropping-particle" : "", "family" : "Fliers", "given" : "E", "non-dropping-particle" : "", "parse-names" : false, "suffix" : "" }, { "dropping-particle" : "", "family" : "Howe-Forbes", "given" : "R", "non-dropping-particle" : "", "parse-names" : false, "suffix" : "" }, { "dropping-particle" : "", "family" : "Goldfarb", "given" : "A", "non-dropping-particle" : "", "parse-names" : false, "suffix" : "" }, { "dropping-particle" : "", "family" : "Heise", "given" : "A", "non-dropping-particle" : "", "parse-names" : false, "suffix" : "" }, { "dropping-particle" : "", "family" : "Gabri\u00ebls", "given" : "I", "non-dropping-particle" : "", "parse-names" : false, "suffix" : "" }, { "dropping-particle" : "", "family" : "Korn-Lubetzki", "given" : "I", "non-dropping-particle" : "", "parse-names" : false, "suffix" : "" }, { "dropping-particle" : "", "family" : "Marco", "given" : "R", "non-dropping-particle" : "", "parse-names" : false, "suffix" : "" }, { "dropping-particle" : "", "family" : "Medad", "given" : "S", "non-dropping-particle" : "", "parse-names" : false, "suffix" : "" }, { "dropping-particle" : "", "family" : "Minderaa", "given" : "R", "non-dropping-particle" : "", "parse-names" : false, "suffix" : "" }, { "dropping-particle" : "", "family" : "Mulas", "given" : "F", "non-dropping-particle" : "", "parse-names" : false, "suffix" : "" }, { "dropping-particle" : "", "family" : "M\u00fcller", "given" : "U", "non-dropping-particle" : "", "parse-names" : false, "suffix" : "" }, { "dropping-particle" : "", "family" : "Mulligan", "given" : "A", "non-dropping-particle" : "", "parse-names" : false, "suffix" : "" }, { "dropping-particle" : "", "family" : "Rabin", "given" : "K", "non-dropping-particle" : "", "parse-names" : false, "suffix" : "" }, { "dropping-particle" : "", "family" : "Rommelse", "given" : "N", "non-dropping-particle" : "", "parse-names" : false, "suffix" : "" }, { "dropping-particle" : "", "family" : "Sethna", "given" : "V", "non-dropping-particle" : "", "parse-names" : false, "suffix" : "" }, { "dropping-particle" : "", "family" : "Sorohan", "given" : "J", "non-dropping-particle" : "", "parse-names" : false, "suffix" : "" }, { "dropping-particle" : "", "family" : "Uebel", "given" : "H", "non-dropping-particle" : "", "parse-names" : false, "suffix" : "" }, { "dropping-particle" : "", "family" : "Psychogiou", "given" : "L", "non-dropping-particle" : "", "parse-names" : false, "suffix" : "" }, { "dropping-particle" : "", "family" : "Weeks", "given" : "A", "non-dropping-particle" : "", "parse-names" : false, "suffix" : "" }, { "dropping-particle" : "", "family" : "Barrett", "given" : "R", "non-dropping-particle" : "", "parse-names" : false, "suffix" : "" }, { "dropping-particle" : "", "family" : "Craig", "given" : "I", "non-dropping-particle" : "", "parse-names" : false, "suffix" : "" }, { "dropping-particle" : "", "family" : "Banaschewski", "given" : "T", "non-dropping-particle" : "", "parse-names" : false, "suffix" : "" }, { "dropping-particle" : "", "family" : "Sonuga-Barke", "given" : "E", "non-dropping-particle" : "", "parse-names" : false, "suffix" : "" }, { "dropping-particle" : "", "family" : "Eisenberg", "given" : "J", "non-dropping-particle" : "", "parse-names" : false, "suffix" : "" }, { "dropping-particle" : "", "family" : "Kuntsi", "given" : "J", "non-dropping-particle" : "", "parse-names" : false, "suffix" : "" }, { "dropping-particle" : "", "family" : "Manor", "given" : "I", "non-dropping-particle" : "", "parse-names" : false, "suffix" : "" }, { "dropping-particle" : "", "family" : "McGuffin", "given" : "P", "non-dropping-particle" : "", "parse-names" : false, "suffix" : "" }, { "dropping-particle" : "", "family" : "Miranda", "given" : "A", "non-dropping-particle" : "", "parse-names" : false, "suffix" : "" }, { "dropping-particle" : "", "family" : "Oades", "given" : "R D", "non-dropping-particle" : "", "parse-names" : false, "suffix" : "" }, { "dropping-particle" : "", "family" : "Plomin", "given" : "R", "non-dropping-particle" : "", "parse-names" : false, "suffix" : "" }, { "dropping-particle" : "", "family" : "Roeyers", "given" : "H", "non-dropping-particle" : "", "parse-names" : false, "suffix" : "" }, { "dropping-particle" : "", "family" : "Rothenberger", "given" : "A", "non-dropping-particle" : "", "parse-names" : false, "suffix" : "" }, { "dropping-particle" : "", "family" : "Sergeant", "given" : "J", "non-dropping-particle" : "", "parse-names" : false, "suffix" : "" }, { "dropping-particle" : "", "family" : "Steinhausen", "given" : "H-C", "non-dropping-particle" : "", "parse-names" : false, "suffix" : "" }, { "dropping-particle" : "", "family" : "Taylor", "given" : "E", "non-dropping-particle" : "", "parse-names" : false, "suffix" : "" }, { "dropping-particle" : "", "family" : "Thompson", "given" : "M", "non-dropping-particle" : "", "parse-names" : false, "suffix" : "" }, { "dropping-particle" : "V", "family" : "Faraone", "given" : "S", "non-dropping-particle" : "", "parse-names" : false, "suffix" : "" }, { "dropping-particle" : "", "family" : "Asherson", "given" : "P", "non-dropping-particle" : "", "parse-names" : false, "suffix" : "" }, { "dropping-particle" : "", "family" : "Johansson", "given" : "L", "non-dropping-particle" : "", "parse-names" : false, "suffix" : "" } ], "container-title" : "Molecular Psychiatry", "id" : "ITEM-1", "issue" : "10", "issued" : { "date-parts" : [ [ "2006" ] ] }, "page" : "934-953", "title" : "The analysis of 51 genes in DSM-IV combined type attention deficit hyperactivity disorder: association signals in DRD4, DAT1 and 16 other genes", "type" : "article-journal", "volume" : "11" }, "uris" : [ "http://www.mendeley.com/documents/?uuid=d326f6d1-a4b7-4947-aae7-7fea9984efc7" ] } ], "mendeley" : { "formattedCitation" : "(191)", "plainTextFormattedCitation" : "(191)", "previouslyFormattedCitation" : "(191)" }, "properties" : { "noteIndex" : 20 }, "schema" : "https://github.com/citation-style-language/schema/raw/master/csl-citation.json" }</w:instrText>
      </w:r>
      <w:r w:rsidR="00BC3BBB" w:rsidRPr="00B026B1">
        <w:rPr>
          <w:rStyle w:val="Vurgu"/>
          <w:rFonts w:ascii="Arial" w:hAnsi="Arial" w:cs="Arial"/>
          <w:i w:val="0"/>
          <w:sz w:val="22"/>
          <w:szCs w:val="22"/>
          <w:shd w:val="clear" w:color="auto" w:fill="FFFFFF"/>
        </w:rPr>
        <w:fldChar w:fldCharType="separate"/>
      </w:r>
      <w:r w:rsidRPr="00B026B1">
        <w:rPr>
          <w:rStyle w:val="Vurgu"/>
          <w:rFonts w:ascii="Arial" w:hAnsi="Arial" w:cs="Arial"/>
          <w:i w:val="0"/>
          <w:noProof/>
          <w:sz w:val="22"/>
          <w:szCs w:val="22"/>
          <w:shd w:val="clear" w:color="auto" w:fill="FFFFFF"/>
        </w:rPr>
        <w:t>(191)</w:t>
      </w:r>
      <w:r w:rsidR="00BC3BBB" w:rsidRPr="00B026B1">
        <w:rPr>
          <w:rStyle w:val="Vurgu"/>
          <w:rFonts w:ascii="Arial" w:hAnsi="Arial" w:cs="Arial"/>
          <w:i w:val="0"/>
          <w:sz w:val="22"/>
          <w:szCs w:val="22"/>
          <w:shd w:val="clear" w:color="auto" w:fill="FFFFFF"/>
        </w:rPr>
        <w:fldChar w:fldCharType="end"/>
      </w:r>
      <w:r w:rsidRPr="00B026B1">
        <w:rPr>
          <w:rStyle w:val="Vurgu"/>
          <w:rFonts w:ascii="Arial" w:hAnsi="Arial" w:cs="Arial"/>
          <w:i w:val="0"/>
          <w:sz w:val="22"/>
          <w:szCs w:val="22"/>
          <w:shd w:val="clear" w:color="auto" w:fill="FFFFFF"/>
        </w:rPr>
        <w:t>.</w:t>
      </w:r>
      <w:r w:rsidRPr="00702BB7">
        <w:rPr>
          <w:rStyle w:val="Vurgu"/>
          <w:rFonts w:ascii="Arial" w:hAnsi="Arial" w:cs="Arial"/>
          <w:sz w:val="22"/>
          <w:szCs w:val="22"/>
          <w:shd w:val="clear" w:color="auto" w:fill="FFFFFF"/>
        </w:rPr>
        <w:t xml:space="preserve"> </w:t>
      </w:r>
    </w:p>
    <w:p w:rsidR="00E828D6" w:rsidRDefault="00E828D6" w:rsidP="00EC4DCF">
      <w:pPr>
        <w:spacing w:line="360" w:lineRule="auto"/>
        <w:jc w:val="both"/>
        <w:rPr>
          <w:rStyle w:val="Vurgu"/>
          <w:rFonts w:ascii="Arial" w:hAnsi="Arial" w:cs="Arial"/>
          <w:sz w:val="22"/>
          <w:szCs w:val="22"/>
          <w:shd w:val="clear" w:color="auto" w:fill="FFFFFF"/>
        </w:rPr>
      </w:pPr>
    </w:p>
    <w:p w:rsidR="00E828D6" w:rsidRDefault="00E828D6" w:rsidP="00EC4DCF">
      <w:pPr>
        <w:spacing w:line="360" w:lineRule="auto"/>
        <w:jc w:val="both"/>
        <w:rPr>
          <w:rStyle w:val="Vurgu"/>
          <w:rFonts w:ascii="Arial" w:hAnsi="Arial" w:cs="Arial"/>
          <w:sz w:val="22"/>
          <w:szCs w:val="22"/>
          <w:shd w:val="clear" w:color="auto" w:fill="FFFFFF"/>
        </w:rPr>
      </w:pPr>
    </w:p>
    <w:p w:rsidR="00E828D6" w:rsidRDefault="00E828D6" w:rsidP="00EC4DCF">
      <w:pPr>
        <w:spacing w:line="360" w:lineRule="auto"/>
        <w:jc w:val="both"/>
        <w:rPr>
          <w:rStyle w:val="Vurgu"/>
          <w:rFonts w:ascii="Arial" w:hAnsi="Arial" w:cs="Arial"/>
          <w:sz w:val="22"/>
          <w:szCs w:val="22"/>
          <w:shd w:val="clear" w:color="auto" w:fill="FFFFFF"/>
        </w:rPr>
      </w:pPr>
    </w:p>
    <w:p w:rsidR="00E828D6" w:rsidRDefault="00E828D6" w:rsidP="00EC4DCF">
      <w:pPr>
        <w:spacing w:line="360" w:lineRule="auto"/>
        <w:jc w:val="both"/>
        <w:rPr>
          <w:rStyle w:val="Vurgu"/>
          <w:rFonts w:ascii="Arial" w:hAnsi="Arial" w:cs="Arial"/>
          <w:sz w:val="22"/>
          <w:szCs w:val="22"/>
          <w:shd w:val="clear" w:color="auto" w:fill="FFFFFF"/>
        </w:rPr>
      </w:pPr>
    </w:p>
    <w:p w:rsidR="00E828D6" w:rsidRDefault="00E828D6" w:rsidP="00EC4DCF">
      <w:pPr>
        <w:spacing w:line="360" w:lineRule="auto"/>
        <w:jc w:val="both"/>
        <w:rPr>
          <w:rStyle w:val="Vurgu"/>
          <w:rFonts w:ascii="Arial" w:hAnsi="Arial" w:cs="Arial"/>
          <w:sz w:val="22"/>
          <w:szCs w:val="22"/>
          <w:shd w:val="clear" w:color="auto" w:fill="FFFFFF"/>
        </w:rPr>
      </w:pPr>
    </w:p>
    <w:p w:rsidR="00E828D6" w:rsidRDefault="00E828D6" w:rsidP="00EC4DCF">
      <w:pPr>
        <w:spacing w:line="360" w:lineRule="auto"/>
        <w:jc w:val="both"/>
        <w:rPr>
          <w:rStyle w:val="Vurgu"/>
          <w:rFonts w:ascii="Arial" w:hAnsi="Arial" w:cs="Arial"/>
          <w:sz w:val="22"/>
          <w:szCs w:val="22"/>
          <w:shd w:val="clear" w:color="auto" w:fill="FFFFFF"/>
        </w:rPr>
      </w:pPr>
    </w:p>
    <w:p w:rsidR="00E828D6" w:rsidRDefault="00E828D6" w:rsidP="00EC4DCF">
      <w:pPr>
        <w:spacing w:line="360" w:lineRule="auto"/>
        <w:jc w:val="both"/>
        <w:rPr>
          <w:rStyle w:val="Vurgu"/>
          <w:rFonts w:ascii="Arial" w:hAnsi="Arial" w:cs="Arial"/>
          <w:sz w:val="22"/>
          <w:szCs w:val="22"/>
          <w:shd w:val="clear" w:color="auto" w:fill="FFFFFF"/>
        </w:rPr>
      </w:pPr>
    </w:p>
    <w:p w:rsidR="00E828D6" w:rsidRDefault="00E828D6" w:rsidP="00EC4DCF">
      <w:pPr>
        <w:spacing w:line="360" w:lineRule="auto"/>
        <w:jc w:val="both"/>
        <w:rPr>
          <w:rStyle w:val="Vurgu"/>
          <w:rFonts w:ascii="Arial" w:hAnsi="Arial" w:cs="Arial"/>
          <w:sz w:val="22"/>
          <w:szCs w:val="22"/>
          <w:shd w:val="clear" w:color="auto" w:fill="FFFFFF"/>
        </w:rPr>
      </w:pPr>
    </w:p>
    <w:p w:rsidR="00E828D6" w:rsidRDefault="00E828D6" w:rsidP="00EC4DCF">
      <w:pPr>
        <w:spacing w:line="360" w:lineRule="auto"/>
        <w:jc w:val="both"/>
        <w:rPr>
          <w:rStyle w:val="Vurgu"/>
          <w:rFonts w:ascii="Arial" w:hAnsi="Arial" w:cs="Arial"/>
          <w:sz w:val="22"/>
          <w:szCs w:val="22"/>
          <w:shd w:val="clear" w:color="auto" w:fill="FFFFFF"/>
        </w:rPr>
      </w:pPr>
    </w:p>
    <w:p w:rsidR="00E828D6" w:rsidRDefault="00E828D6" w:rsidP="00EC4DCF">
      <w:pPr>
        <w:spacing w:line="360" w:lineRule="auto"/>
        <w:jc w:val="both"/>
        <w:rPr>
          <w:rStyle w:val="Vurgu"/>
          <w:rFonts w:ascii="Arial" w:hAnsi="Arial" w:cs="Arial"/>
          <w:sz w:val="22"/>
          <w:szCs w:val="22"/>
          <w:shd w:val="clear" w:color="auto" w:fill="FFFFFF"/>
        </w:rPr>
      </w:pPr>
    </w:p>
    <w:p w:rsidR="00E828D6" w:rsidRDefault="00E828D6" w:rsidP="00EC4DCF">
      <w:pPr>
        <w:spacing w:line="360" w:lineRule="auto"/>
        <w:jc w:val="both"/>
        <w:rPr>
          <w:rStyle w:val="Vurgu"/>
          <w:rFonts w:ascii="Arial" w:hAnsi="Arial" w:cs="Arial"/>
          <w:sz w:val="22"/>
          <w:szCs w:val="22"/>
          <w:shd w:val="clear" w:color="auto" w:fill="FFFFFF"/>
        </w:rPr>
      </w:pPr>
    </w:p>
    <w:p w:rsidR="00EC4DCF" w:rsidRPr="00EC4DCF" w:rsidRDefault="00EC4DCF" w:rsidP="00EC4DCF">
      <w:pPr>
        <w:spacing w:line="360" w:lineRule="auto"/>
        <w:jc w:val="both"/>
        <w:rPr>
          <w:rFonts w:ascii="Arial" w:hAnsi="Arial" w:cs="Arial"/>
          <w:b/>
          <w:sz w:val="22"/>
          <w:szCs w:val="22"/>
        </w:rPr>
      </w:pPr>
    </w:p>
    <w:p w:rsidR="00EC4DCF" w:rsidRPr="0057704D" w:rsidRDefault="00C60153" w:rsidP="000E0F5C">
      <w:pPr>
        <w:spacing w:line="360" w:lineRule="auto"/>
        <w:jc w:val="center"/>
        <w:rPr>
          <w:rFonts w:ascii="Arial" w:hAnsi="Arial" w:cs="Arial"/>
          <w:b/>
          <w:sz w:val="22"/>
          <w:szCs w:val="22"/>
        </w:rPr>
      </w:pPr>
      <w:r w:rsidRPr="0057704D">
        <w:rPr>
          <w:rFonts w:ascii="Arial" w:hAnsi="Arial" w:cs="Arial"/>
          <w:b/>
          <w:sz w:val="22"/>
          <w:szCs w:val="22"/>
        </w:rPr>
        <w:t>MikroRNA’LAR VE DEHB’DEKİ ROLLERİ</w:t>
      </w:r>
    </w:p>
    <w:p w:rsidR="00C60153" w:rsidRPr="000E15DC" w:rsidRDefault="00C60153" w:rsidP="00C6481A">
      <w:pPr>
        <w:spacing w:line="360" w:lineRule="auto"/>
        <w:jc w:val="both"/>
        <w:rPr>
          <w:rFonts w:ascii="Arial" w:hAnsi="Arial" w:cs="Arial"/>
          <w:color w:val="212121"/>
          <w:shd w:val="clear" w:color="auto" w:fill="FFFFFF"/>
        </w:rPr>
      </w:pPr>
      <w:r w:rsidRPr="0057704D">
        <w:rPr>
          <w:rFonts w:ascii="Arial" w:hAnsi="Arial" w:cs="Arial"/>
          <w:sz w:val="22"/>
          <w:szCs w:val="22"/>
          <w:shd w:val="clear" w:color="auto" w:fill="FFFFFF"/>
        </w:rPr>
        <w:tab/>
      </w:r>
      <w:r w:rsidR="00702BB7" w:rsidRPr="0057704D">
        <w:rPr>
          <w:rFonts w:ascii="Arial" w:hAnsi="Arial" w:cs="Arial"/>
          <w:sz w:val="22"/>
          <w:szCs w:val="22"/>
        </w:rPr>
        <w:t>DEHB'de sözü edilen aday genler</w:t>
      </w:r>
      <w:r w:rsidRPr="0057704D">
        <w:rPr>
          <w:rFonts w:ascii="Arial" w:hAnsi="Arial" w:cs="Arial"/>
          <w:sz w:val="22"/>
          <w:szCs w:val="22"/>
        </w:rPr>
        <w:t xml:space="preserve">, genetik ve çevresel faktörler arasındaki karşılıklı etkileşim sonucu ortaya çıkan plastisitenin, migrasyonun, adezyonunun ve sinyalizasyonun nöronal modülasyonunu içeren heterojen süreçlerle ilişkilidir </w:t>
      </w:r>
      <w:r w:rsidR="00BC3BBB" w:rsidRPr="0057704D">
        <w:rPr>
          <w:rFonts w:ascii="Arial" w:hAnsi="Arial" w:cs="Arial"/>
          <w:sz w:val="22"/>
          <w:szCs w:val="22"/>
        </w:rPr>
        <w:fldChar w:fldCharType="begin" w:fldLock="1"/>
      </w:r>
      <w:r w:rsidRPr="0057704D">
        <w:rPr>
          <w:rFonts w:ascii="Arial" w:hAnsi="Arial" w:cs="Arial"/>
          <w:sz w:val="22"/>
          <w:szCs w:val="22"/>
        </w:rPr>
        <w:instrText>ADDIN CSL_CITATION { "citationItems" : [ { "id" : "ITEM-1", "itemData" : { "DOI" : "10.1371/journal.pone.0122501", "ISBN" : "1932-6203", "PMID" : "25875332", "abstract" : "BACKGROUND: Attention deficit hyperactivity disorder (ADHD) is a highly heritable neuropsychiatric condition, but it has been difficult to identify genes underlying this disorder. This study aimed to explore genetics of ADHD in an ethnically homogeneous Norwegian population by means of a genome-wide association (GWA) analysis followed by examination of candidate loci. MATERIALS AND METHODS: Participants were recruited through Norwegian medical and birth registries as well as the general population. Presence of ADHD was defined according to DSM-IV criteria. Genotyping was performed using Illumina Human OmniExpress-12v1 microarrays. Statistical analyses were divided into several steps: (1) genome-wide association in the form of logistic regression in PLINK and follow-up pathway analyses performed in DAPPLE and INRICH softwares, (2) SNP-heritability calculated using genome-wide complex trait analysis (GCTA) tool, (3) gene-based association tests carried out in JAG software, and (4) evaluation of previously reported genome-wide signals and candidate genes of ADHD. RESULTS: In total, 1.358 individuals (478 cases and 880 controls) and 598.384 autosomal SNPs were subjected to GWA analysis. No single polymorphism reached genome-wide significance. The strongest signal was observed at rs9949006 in the ENSG00000263745 gene (OR=1.51, 95% CI 1.28-1.79, p=1.38E-06). Pathway analyses of the top SNPs implicated genes involved in the regulation of gene expression, cell adhesion and inflammation. Among previously identified ADHD candidate genes, prominent association signals were observed for SLC9A9 (rs1393072, OR=1.46, 95% CI = 1.21-1.77, p=9.95E-05) and TPH2 (rs17110690, OR = 1.38, 95% CI = 1.14-1.66, p=8.31E-04). CONCLUSION: This study confirms the complexity and heterogeneity of ADHD etiology. Taken together with previous findings, our results point to a spectrum of biological mechanisms underlying the symptoms of ADHD, providing targets for further genetic exploration of this complex disorder.", "author" : [ { "dropping-particle" : "", "family" : "Zayats", "given" : "T", "non-dropping-particle" : "", "parse-names" : false, "suffix" : "" }, { "dropping-particle" : "", "family" : "Athanasiu", "given" : "L", "non-dropping-particle" : "", "parse-names" : false, "suffix" : "" }, { "dropping-particle" : "", "family" : "Sonderby", "given" : "I", "non-dropping-particle" : "", "parse-names" : false, "suffix" : "" }, { "dropping-particle" : "", "family" : "Djurovic", "given" : "S", "non-dropping-particle" : "", "parse-names" : false, "suffix" : "" }, { "dropping-particle" : "", "family" : "Westlye", "given" : "L T", "non-dropping-particle" : "", "parse-names" : false, "suffix" : "" }, { "dropping-particle" : "", "family" : "Tamnes", "given" : "C K", "non-dropping-particle" : "", "parse-names" : false, "suffix" : "" }, { "dropping-particle" : "", "family" : "Fladby", "given" : "T", "non-dropping-particle" : "", "parse-names" : false, "suffix" : "" }, { "dropping-particle" : "", "family" : "Aase", "given" : "H", "non-dropping-particle" : "", "parse-names" : false, "suffix" : "" }, { "dropping-particle" : "", "family" : "Zeiner", "given" : "P", "non-dropping-particle" : "", "parse-names" : false, "suffix" : "" }, { "dropping-particle" : "", "family" : "Reichborn-Kjennerud", "given" : "T", "non-dropping-particle" : "", "parse-names" : false, "suffix" : "" }, { "dropping-particle" : "", "family" : "Knappskog", "given" : "P M", "non-dropping-particle" : "", "parse-names" : false, "suffix" : "" }, { "dropping-particle" : "", "family" : "Knudsen", "given" : "G P", "non-dropping-particle" : "", "parse-names" : false, "suffix" : "" }, { "dropping-particle" : "", "family" : "Andreassen", "given" : "O A", "non-dropping-particle" : "", "parse-names" : false, "suffix" : "" }, { "dropping-particle" : "", "family" : "Johansson", "given" : "S", "non-dropping-particle" : "", "parse-names" : false, "suffix" : "" }, { "dropping-particle" : "", "family" : "Haavik", "given" : "J", "non-dropping-particle" : "", "parse-names" : false, "suffix" : "" } ], "container-title" : "PLoS One", "id" : "ITEM-1", "issue" : "4", "issued" : { "date-parts" : [ [ "2015" ] ] }, "page" : "e0122501", "title" : "Genome-wide analysis of attention deficit hyperactivity disorder in Norway", "type" : "article-journal", "volume" : "10" }, "uris" : [ "http://www.mendeley.com/documents/?uuid=4ef7327c-e4f2-4da1-b845-c00af31a1501" ] }, { "id" : "ITEM-2", "itemData" : { "DOI" : "10.1038/mp.2013.16", "ISBN" : "1476-5578 (Electronic)\\r1359-4184 (Linking)", "ISSN" : "1359-4184", "PMID" : "23439483", "abstract" : "Many putative genetic factors that confer risk to neurodevelopmental disorders such as autism spectrum disorders (ASDs) and X-linked intellectual disability (XLID), and to neuropsychiatric disorders including attention deficit hyperactivity disorder (ADHD) and schizophrenia (SZ) have been identified in individuals from diverse human populations. Although there is significant aetiological heterogeneity within and between these conditions, recent data show that genetic factors contribute to their comorbidity. Many studies have identified candidate gene associations for these mental health disorders, albeit this is often done in a piecemeal fashion with little regard to the inherent molecular complexity. Here, we sought to abstract relationships from our knowledge of systems level biology to help understand the unique and common genetic drivers of these conditions. We undertook a global and systematic approach to build and integrate available data in gene networks associated with ASDs, XLID, ADHD and SZ. Complex network concepts and computational methods were used to investigate whether candidate genes associated with these conditions were related through mechanisms of gene regulation, functional protein-protein interactions, transcription factor (TF) and microRNA (miRNA) binding sites. Although our analyses show that genetic variations associated with the four disorders can occur in the same molecular pathways and functional domains, including synaptic transmission, there are patterns of variation that define significant differences between disorders. Of particular interest is DNA variations located in intergenic regions that comprise regulatory sites for TFs or miRNA. Our approach provides a hypothetical framework, which will help discovery and analysis of candidate genes associated with neurodevelopmental and neuropsychiatric disorders.", "author" : [ { "dropping-particle" : "", "family" : "Cristino", "given" : "A S", "non-dropping-particle" : "", "parse-names" : false, "suffix" : "" }, { "dropping-particle" : "", "family" : "Williams", "given" : "S M", "non-dropping-particle" : "", "parse-names" : false, "suffix" : "" }, { "dropping-particle" : "", "family" : "Hawi", "given" : "Z", "non-dropping-particle" : "", "parse-names" : false, "suffix" : "" }, { "dropping-particle" : "", "family" : "An", "given" : "J-Y", "non-dropping-particle" : "", "parse-names" : false, "suffix" : "" }, { "dropping-particle" : "", "family" : "Bellgrove", "given" : "M A", "non-dropping-particle" : "", "parse-names" : false, "suffix" : "" }, { "dropping-particle" : "", "family" : "Schwartz", "given" : "C E", "non-dropping-particle" : "", "parse-names" : false, "suffix" : "" }, { "dropping-particle" : "", "family" : "Costa", "given" : "L da F", "non-dropping-particle" : "", "parse-names" : false, "suffix" : "" }, { "dropping-particle" : "", "family" : "Claudianos", "given" : "C", "non-dropping-particle" : "", "parse-names" : false, "suffix" : "" } ], "container-title" : "Molecular Psychiatry", "id" : "ITEM-2", "issue" : "3", "issued" : { "date-parts" : [ [ "2014" ] ] }, "page" : "294-301", "title" : "Neurodevelopmental and neuropsychiatric disorders represent an interconnected molecular system", "type" : "article-journal", "volume" : "19" }, "uris" : [ "http://www.mendeley.com/documents/?uuid=f62ac43b-cb2c-48b3-bf1a-1a8d1f20f939" ] }, { "id" : "ITEM-3", "itemData" : { "author" : [ { "dropping-particle" : "", "family" : "Qian", "given" : "GAO", "non-dropping-particle" : "", "parse-names" : false, "suffix" : "" }, { "dropping-particle" : "", "family" : "Lu", "given" : "LIU", "non-dropping-particle" : "", "parse-names" : false, "suffix" : "" }, { "dropping-particle" : "", "family" : "Qiujin", "given" : "Q", "non-dropping-particle" : "", "parse-names" : false, "suffix" : "" } ], "container-title" : "Shanghai archives of", "id" : "ITEM-3", "issued" : { "date-parts" : [ [ "2014" ] ] }, "title" : "Advances in molecular genetic studies of attention deficit hyperactivity disorder in China", "type" : "article-journal" }, "uris" : [ "http://www.mendeley.com/documents/?uuid=9342c104-8308-4dc7-96dd-df2017f1265f" ] } ], "mendeley" : { "formattedCitation" : "(7\u20139)", "plainTextFormattedCitation" : "(7\u20139)", "previouslyFormattedCitation" : "(7\u20139)" }, "properties" : { "noteIndex" : 21 }, "schema" : "https://github.com/citation-style-language/schema/raw/master/csl-citation.json" }</w:instrText>
      </w:r>
      <w:r w:rsidR="00BC3BBB" w:rsidRPr="0057704D">
        <w:rPr>
          <w:rFonts w:ascii="Arial" w:hAnsi="Arial" w:cs="Arial"/>
          <w:sz w:val="22"/>
          <w:szCs w:val="22"/>
        </w:rPr>
        <w:fldChar w:fldCharType="separate"/>
      </w:r>
      <w:r w:rsidRPr="0057704D">
        <w:rPr>
          <w:rFonts w:ascii="Arial" w:hAnsi="Arial" w:cs="Arial"/>
          <w:noProof/>
          <w:sz w:val="22"/>
          <w:szCs w:val="22"/>
        </w:rPr>
        <w:t>(7–9)</w:t>
      </w:r>
      <w:r w:rsidR="00BC3BBB" w:rsidRPr="0057704D">
        <w:rPr>
          <w:rFonts w:ascii="Arial" w:hAnsi="Arial" w:cs="Arial"/>
          <w:sz w:val="22"/>
          <w:szCs w:val="22"/>
        </w:rPr>
        <w:fldChar w:fldCharType="end"/>
      </w:r>
      <w:r w:rsidRPr="0057704D">
        <w:rPr>
          <w:rFonts w:ascii="Arial" w:hAnsi="Arial" w:cs="Arial"/>
          <w:sz w:val="22"/>
          <w:szCs w:val="22"/>
        </w:rPr>
        <w:t xml:space="preserve">. </w:t>
      </w:r>
      <w:r w:rsidRPr="0057704D">
        <w:rPr>
          <w:rFonts w:ascii="Arial" w:hAnsi="Arial" w:cs="Arial"/>
          <w:sz w:val="22"/>
          <w:szCs w:val="22"/>
          <w:shd w:val="clear" w:color="auto" w:fill="FFFFFF"/>
        </w:rPr>
        <w:t xml:space="preserve">Gelişimsel ve psikiyatrik süreçlerde bu </w:t>
      </w:r>
      <w:r w:rsidR="0057704D" w:rsidRPr="0057704D">
        <w:rPr>
          <w:rFonts w:ascii="Arial" w:hAnsi="Arial" w:cs="Arial"/>
          <w:color w:val="212121"/>
          <w:sz w:val="22"/>
          <w:shd w:val="clear" w:color="auto" w:fill="FFFFFF"/>
        </w:rPr>
        <w:t xml:space="preserve">durum </w:t>
      </w:r>
      <w:r w:rsidRPr="0057704D">
        <w:rPr>
          <w:rFonts w:ascii="Arial" w:hAnsi="Arial" w:cs="Arial"/>
          <w:sz w:val="22"/>
          <w:szCs w:val="22"/>
          <w:shd w:val="clear" w:color="auto" w:fill="FFFFFF"/>
        </w:rPr>
        <w:t xml:space="preserve">kritik öneme sahiptir, çünkü </w:t>
      </w:r>
      <w:r w:rsidR="0057704D">
        <w:rPr>
          <w:rFonts w:ascii="Arial" w:hAnsi="Arial" w:cs="Arial"/>
          <w:sz w:val="22"/>
          <w:szCs w:val="22"/>
          <w:shd w:val="clear" w:color="auto" w:fill="FFFFFF"/>
        </w:rPr>
        <w:t>hem genetik hem de çevresel faktörlerdeki</w:t>
      </w:r>
      <w:r w:rsidRPr="0057704D">
        <w:rPr>
          <w:rFonts w:ascii="Arial" w:hAnsi="Arial" w:cs="Arial"/>
          <w:sz w:val="22"/>
          <w:szCs w:val="22"/>
          <w:shd w:val="clear" w:color="auto" w:fill="FFFFFF"/>
        </w:rPr>
        <w:t xml:space="preserve"> ufak değişikliklerin psikiyatrik bozukluklara yol açabileceği ifade edilmektedir </w:t>
      </w:r>
      <w:r w:rsidR="00BC3BBB" w:rsidRPr="0057704D">
        <w:rPr>
          <w:rFonts w:ascii="Arial" w:hAnsi="Arial" w:cs="Arial"/>
          <w:sz w:val="22"/>
          <w:szCs w:val="22"/>
          <w:shd w:val="clear" w:color="auto" w:fill="FFFFFF"/>
        </w:rPr>
        <w:fldChar w:fldCharType="begin" w:fldLock="1"/>
      </w:r>
      <w:r w:rsidRPr="0057704D">
        <w:rPr>
          <w:rFonts w:ascii="Arial" w:hAnsi="Arial" w:cs="Arial"/>
          <w:sz w:val="22"/>
          <w:szCs w:val="22"/>
          <w:shd w:val="clear" w:color="auto" w:fill="FFFFFF"/>
        </w:rPr>
        <w:instrText>ADDIN CSL_CITATION { "citationItems" : [ { "id" : "ITEM-1", "itemData" : { "DOI" : "10.1016/j.neubiorev.2010.12.016\\rS0149-7634(11)00008-X [pii]", "ISBN" : "1873-7528 (Electronic)\\r0149-7634 (Linking)", "PMID" : "21251925", "abstract" : "The impact that stressful encounters have upon long-lasting behavioural phenotypes is varied. Whereas a significant proportion of the population will develop \"stress-related\" conditions such as post-traumatic stress disorder or depression in later life, the majority are considered \"resilient\" and are able to cope with stress and avoid such psychopathologies. The reason for this heterogeneity is undoubtedly multi-factorial, involving a complex interplay between genetic and environmental factors. Both genes and environment are of critical importance when it comes to developmental processes, and it appears that subtle differences in either of these may be responsible for altering developmental trajectories that confer vulnerability or resilience. At the molecular level, developmental processes are regulated by epigenetic mechanisms, with recent clinical and pre-clinical data obtained by ourselves and others suggesting that epigenetic differences in various regions of the brain are associated with a range of psychiatric disorders, including many that are stress-related. Here we provide an overview of how these epigenetic differences, and hence susceptibility to psychiatric disorders, might arise through exposure to stress-related factors during critical periods of development.", "author" : [ { "dropping-particle" : "", "family" : "Dudley", "given" : "K J", "non-dropping-particle" : "", "parse-names" : false, "suffix" : "" }, { "dropping-particle" : "", "family" : "Li", "given" : "X", "non-dropping-particle" : "", "parse-names" : false, "suffix" : "" }, { "dropping-particle" : "", "family" : "Kobor", "given" : "M S", "non-dropping-particle" : "", "parse-names" : false, "suffix" : "" }, { "dropping-particle" : "", "family" : "Kippin", "given" : "T E", "non-dropping-particle" : "", "parse-names" : false, "suffix" : "" }, { "dropping-particle" : "", "family" : "Bredy", "given" : "T W", "non-dropping-particle" : "", "parse-names" : false, "suffix" : "" } ], "container-title" : "Neurosci Biobehav Rev", "id" : "ITEM-1", "issue" : "7", "issued" : { "date-parts" : [ [ "2011" ] ] }, "page" : "1544-1551", "title" : "Epigenetic mechanisms mediating vulnerability and resilience to psychiatric disorders", "type" : "article-journal", "volume" : "35" }, "uris" : [ "http://www.mendeley.com/documents/?uuid=0789baf6-cfdd-447e-9870-e398278ff42f" ] } ], "mendeley" : { "formattedCitation" : "(213)", "plainTextFormattedCitation" : "(213)", "previouslyFormattedCitation" : "(213)" }, "properties" : { "noteIndex" : 21 }, "schema" : "https://github.com/citation-style-language/schema/raw/master/csl-citation.json" }</w:instrText>
      </w:r>
      <w:r w:rsidR="00BC3BBB" w:rsidRPr="0057704D">
        <w:rPr>
          <w:rFonts w:ascii="Arial" w:hAnsi="Arial" w:cs="Arial"/>
          <w:sz w:val="22"/>
          <w:szCs w:val="22"/>
          <w:shd w:val="clear" w:color="auto" w:fill="FFFFFF"/>
        </w:rPr>
        <w:fldChar w:fldCharType="separate"/>
      </w:r>
      <w:r w:rsidRPr="0057704D">
        <w:rPr>
          <w:rFonts w:ascii="Arial" w:hAnsi="Arial" w:cs="Arial"/>
          <w:noProof/>
          <w:sz w:val="22"/>
          <w:szCs w:val="22"/>
          <w:shd w:val="clear" w:color="auto" w:fill="FFFFFF"/>
        </w:rPr>
        <w:t>(213)</w:t>
      </w:r>
      <w:r w:rsidR="00BC3BBB" w:rsidRPr="0057704D">
        <w:rPr>
          <w:rFonts w:ascii="Arial" w:hAnsi="Arial" w:cs="Arial"/>
          <w:sz w:val="22"/>
          <w:szCs w:val="22"/>
          <w:shd w:val="clear" w:color="auto" w:fill="FFFFFF"/>
        </w:rPr>
        <w:fldChar w:fldCharType="end"/>
      </w:r>
      <w:r w:rsidRPr="0057704D">
        <w:rPr>
          <w:rFonts w:ascii="Arial" w:hAnsi="Arial" w:cs="Arial"/>
          <w:sz w:val="22"/>
          <w:szCs w:val="22"/>
          <w:shd w:val="clear" w:color="auto" w:fill="FFFFFF"/>
        </w:rPr>
        <w:t xml:space="preserve">. </w:t>
      </w:r>
      <w:r w:rsidRPr="0057704D">
        <w:rPr>
          <w:rFonts w:ascii="Arial" w:hAnsi="Arial" w:cs="Arial"/>
          <w:sz w:val="22"/>
          <w:szCs w:val="22"/>
          <w:lang w:eastAsia="en-US"/>
        </w:rPr>
        <w:t xml:space="preserve">Bu nedenle, gen - çevre etkileşimine ilişkin olarak, yukarıda sözü edilen süreçlerin optimize edilebilmesi, genin düzenleyici unsurlarına bağlıdır; çünkü yaygın fenotipik değişikliklerin birçoğu, gen düzenleyici element varyasyonlarının sonucudur </w:t>
      </w:r>
      <w:r w:rsidR="00BC3BBB" w:rsidRPr="0057704D">
        <w:rPr>
          <w:rFonts w:ascii="Arial" w:hAnsi="Arial" w:cs="Arial"/>
          <w:sz w:val="22"/>
          <w:szCs w:val="22"/>
          <w:lang w:eastAsia="en-US"/>
        </w:rPr>
        <w:fldChar w:fldCharType="begin" w:fldLock="1"/>
      </w:r>
      <w:r w:rsidR="0037573A" w:rsidRPr="0057704D">
        <w:rPr>
          <w:rFonts w:ascii="Arial" w:hAnsi="Arial" w:cs="Arial"/>
          <w:sz w:val="22"/>
          <w:szCs w:val="22"/>
          <w:lang w:eastAsia="en-US"/>
        </w:rPr>
        <w:instrText>ADDIN CSL_CITATION { "citationItems" : [ { "id" : "ITEM-1", "itemData" : { "DOI" : "10.1038/ng2142.Population", "abstract" : "Genetic variation influences gene expression, and this can be efficiently mapped to specific genomic regions and variants. We used gene expression profiling of EBV-transformed lymphoblastoid cell lines of all 270 individuals of the HapMap consortium to elucidate the detailed features of genetic variation underlying gene expression variation. We find gene expression levels to be heritable and differentiation between populations in agreement with earlier small-scale studies. A detailed association analysis of over 2.2 million common SNPs per population (5% frequency HapMap) with gene expression identified at least 1348 genes with association signals in cis and at least 180 in trans. Replication in at least one independent population was achieved for 37% of cis- signals and 15% of trans- signals, respectively. Our results strongly support an abundance of cis- regulatory variation in the human genome. Detection of trans- effects is limited but suggests that regulatory variation may be the key primary effect contributing to phenotypic variation in humans. Finally, we explore a variety of methodologies that improve the current state of analysis of gene expression variation. Understanding", "author" : [ { "dropping-particle" : "", "family" : "Stranger", "given" : "BE", "non-dropping-particle" : "", "parse-names" : false, "suffix" : "" }, { "dropping-particle" : "", "family" : "Nica", "given" : "AC", "non-dropping-particle" : "", "parse-names" : false, "suffix" : "" }, { "dropping-particle" : "", "family" : "Forrest", "given" : "MS", "non-dropping-particle" : "", "parse-names" : false, "suffix" : "" }, { "dropping-particle" : "", "family" : "Dimas", "given" : "Antigone", "non-dropping-particle" : "", "parse-names" : false, "suffix" : "" }, { "dropping-particle" : "", "family" : "Bird", "given" : "CP", "non-dropping-particle" : "", "parse-names" : false, "suffix" : "" } ], "container-title" : "Nature genetics", "id" : "ITEM-1", "issue" : "10", "issued" : { "date-parts" : [ [ "2007" ] ] }, "page" : "1217-1224", "title" : "Population genomics of human gene expression", "type" : "article-journal", "volume" : "39" }, "uris" : [ "http://www.mendeley.com/documents/?uuid=f1fa6fe7-4ee7-4142-a4e9-48a00c02bacf" ] }, { "id" : "ITEM-2", "itemData" : { "DOI" : "10.1007/978-1-84882-644-1_11", "author" : [ { "dropping-particle" : "", "family" : "Mostafavi-Abdolmaleky", "given" : "Hamid", "non-dropping-particle" : "", "parse-names" : false, "suffix" : "" }, { "dropping-particle" : "", "family" : "Glatt", "given" : "Stephen J.", "non-dropping-particle" : "", "parse-names" : false, "suffix" : "" }, { "dropping-particle" : "", "family" : "Tsuang", "given" : "Ming T.", "non-dropping-particle" : "", "parse-names" : false, "suffix" : "" } ], "container-title" : "Epigenetic Aspects of Chronic Diseases", "id" : "ITEM-2", "issued" : { "date-parts" : [ [ "2011" ] ] }, "page" : "163-174", "publisher" : "Springer London", "publisher-place" : "London", "title" : "Epigenetics in Psychiatry", "type" : "chapter" }, "uris" : [ "http://www.mendeley.com/documents/?uuid=76f096ff-e233-3c53-9d7f-24e597ddd60a" ] } ], "mendeley" : { "formattedCitation" : "(10, 11)", "plainTextFormattedCitation" : "(10, 11)", "previouslyFormattedCitation" : "(10, 11)" }, "properties" : { "noteIndex" : 21 }, "schema" : "https://github.com/citation-style-language/schema/raw/master/csl-citation.json" }</w:instrText>
      </w:r>
      <w:r w:rsidR="00BC3BBB" w:rsidRPr="0057704D">
        <w:rPr>
          <w:rFonts w:ascii="Arial" w:hAnsi="Arial" w:cs="Arial"/>
          <w:sz w:val="22"/>
          <w:szCs w:val="22"/>
          <w:lang w:eastAsia="en-US"/>
        </w:rPr>
        <w:fldChar w:fldCharType="separate"/>
      </w:r>
      <w:r w:rsidR="00BF1F00" w:rsidRPr="0057704D">
        <w:rPr>
          <w:rFonts w:ascii="Arial" w:hAnsi="Arial" w:cs="Arial"/>
          <w:noProof/>
          <w:sz w:val="22"/>
          <w:szCs w:val="22"/>
          <w:lang w:eastAsia="en-US"/>
        </w:rPr>
        <w:t>(10, 11)</w:t>
      </w:r>
      <w:r w:rsidR="00BC3BBB" w:rsidRPr="0057704D">
        <w:rPr>
          <w:rFonts w:ascii="Arial" w:hAnsi="Arial" w:cs="Arial"/>
          <w:sz w:val="22"/>
          <w:szCs w:val="22"/>
          <w:lang w:eastAsia="en-US"/>
        </w:rPr>
        <w:fldChar w:fldCharType="end"/>
      </w:r>
      <w:r w:rsidRPr="0057704D">
        <w:rPr>
          <w:rFonts w:ascii="Arial" w:hAnsi="Arial" w:cs="Arial"/>
          <w:sz w:val="22"/>
          <w:szCs w:val="22"/>
          <w:lang w:eastAsia="en-US"/>
        </w:rPr>
        <w:t xml:space="preserve">. </w:t>
      </w:r>
      <w:r w:rsidRPr="0057704D">
        <w:rPr>
          <w:rFonts w:ascii="Arial" w:hAnsi="Arial" w:cs="Arial"/>
          <w:sz w:val="22"/>
          <w:szCs w:val="22"/>
          <w:shd w:val="clear" w:color="auto" w:fill="FFFFFF"/>
        </w:rPr>
        <w:t xml:space="preserve">DNA metilasyonu, histon modifikasyonları, </w:t>
      </w:r>
      <w:r w:rsidRPr="00181CD6">
        <w:rPr>
          <w:rFonts w:ascii="Arial" w:hAnsi="Arial" w:cs="Arial"/>
          <w:sz w:val="22"/>
          <w:szCs w:val="22"/>
          <w:shd w:val="clear" w:color="auto" w:fill="FFFFFF"/>
        </w:rPr>
        <w:t>mikro RNA'ların müdahalesi ve RNA düzenleme, psikiyatrik bozukluklarda yer alan dört büyük epigenetik düzenleyici mekanizmadır</w:t>
      </w:r>
      <w:r w:rsidRPr="00181CD6">
        <w:rPr>
          <w:rFonts w:ascii="Arial" w:hAnsi="Arial" w:cs="Arial"/>
          <w:sz w:val="22"/>
          <w:szCs w:val="22"/>
          <w:lang w:eastAsia="en-US"/>
        </w:rPr>
        <w:t xml:space="preserve"> </w:t>
      </w:r>
      <w:r w:rsidR="00BC3BBB" w:rsidRPr="00181CD6">
        <w:rPr>
          <w:rFonts w:ascii="Arial" w:hAnsi="Arial" w:cs="Arial"/>
          <w:sz w:val="22"/>
          <w:szCs w:val="22"/>
          <w:lang w:eastAsia="en-US"/>
        </w:rPr>
        <w:fldChar w:fldCharType="begin" w:fldLock="1"/>
      </w:r>
      <w:r w:rsidRPr="00181CD6">
        <w:rPr>
          <w:rFonts w:ascii="Arial" w:hAnsi="Arial" w:cs="Arial"/>
          <w:sz w:val="22"/>
          <w:szCs w:val="22"/>
          <w:lang w:eastAsia="en-US"/>
        </w:rPr>
        <w:instrText>ADDIN CSL_CITATION { "citationItems" : [ { "id" : "ITEM-1", "itemData" : { "DOI" : "10.1007/978-1-84882-644-1_11", "author" : [ { "dropping-particle" : "", "family" : "Mostafavi-Abdolmaleky", "given" : "Hamid", "non-dropping-particle" : "", "parse-names" : false, "suffix" : "" }, { "dropping-particle" : "", "family" : "Glatt", "given" : "Stephen J.", "non-dropping-particle" : "", "parse-names" : false, "suffix" : "" }, { "dropping-particle" : "", "family" : "Tsuang", "given" : "Ming T.", "non-dropping-particle" : "", "parse-names" : false, "suffix" : "" } ], "container-title" : "Epigenetic Aspects of Chronic Diseases", "id" : "ITEM-1", "issued" : { "date-parts" : [ [ "2011" ] ] }, "page" : "163-174", "publisher" : "Springer London", "publisher-place" : "London", "title" : "Epigenetics in Psychiatry", "type" : "chapter" }, "uris" : [ "http://www.mendeley.com/documents/?uuid=76f096ff-e233-3c53-9d7f-24e597ddd60a" ] } ], "mendeley" : { "formattedCitation" : "(11)", "plainTextFormattedCitation" : "(11)", "previouslyFormattedCitation" : "(11)" }, "properties" : { "noteIndex" : 21 }, "schema" : "https://github.com/citation-style-language/schema/raw/master/csl-citation.json" }</w:instrText>
      </w:r>
      <w:r w:rsidR="00BC3BBB" w:rsidRPr="00181CD6">
        <w:rPr>
          <w:rFonts w:ascii="Arial" w:hAnsi="Arial" w:cs="Arial"/>
          <w:sz w:val="22"/>
          <w:szCs w:val="22"/>
          <w:lang w:eastAsia="en-US"/>
        </w:rPr>
        <w:fldChar w:fldCharType="separate"/>
      </w:r>
      <w:r w:rsidRPr="00181CD6">
        <w:rPr>
          <w:rFonts w:ascii="Arial" w:hAnsi="Arial" w:cs="Arial"/>
          <w:noProof/>
          <w:sz w:val="22"/>
          <w:szCs w:val="22"/>
          <w:lang w:eastAsia="en-US"/>
        </w:rPr>
        <w:t>(11)</w:t>
      </w:r>
      <w:r w:rsidR="00BC3BBB" w:rsidRPr="00181CD6">
        <w:rPr>
          <w:rFonts w:ascii="Arial" w:hAnsi="Arial" w:cs="Arial"/>
          <w:sz w:val="22"/>
          <w:szCs w:val="22"/>
          <w:lang w:eastAsia="en-US"/>
        </w:rPr>
        <w:fldChar w:fldCharType="end"/>
      </w:r>
      <w:r w:rsidRPr="00181CD6">
        <w:rPr>
          <w:rFonts w:ascii="Arial" w:hAnsi="Arial" w:cs="Arial"/>
          <w:sz w:val="22"/>
          <w:szCs w:val="22"/>
          <w:lang w:eastAsia="en-US"/>
        </w:rPr>
        <w:t xml:space="preserve">. Bu bağlamda mikroRNA(miRNA, miR)’lar </w:t>
      </w:r>
      <w:r w:rsidR="0057704D" w:rsidRPr="00181CD6">
        <w:rPr>
          <w:rFonts w:ascii="Arial" w:hAnsi="Arial" w:cs="Arial"/>
          <w:sz w:val="22"/>
          <w:szCs w:val="22"/>
        </w:rPr>
        <w:t xml:space="preserve">hastalık süreçlerinde rol alabilen </w:t>
      </w:r>
      <w:r w:rsidR="0057704D" w:rsidRPr="00181CD6">
        <w:rPr>
          <w:rFonts w:ascii="Arial" w:hAnsi="Arial" w:cs="Arial"/>
          <w:sz w:val="22"/>
          <w:szCs w:val="22"/>
          <w:shd w:val="clear" w:color="auto" w:fill="FFFFFF"/>
        </w:rPr>
        <w:t>potansiyel etkenler olarak ortaya çıkmaktadır. miRNA’lar sadece hücresel işlevlerin düzenlenmesinde g</w:t>
      </w:r>
      <w:r w:rsidR="00113621" w:rsidRPr="00181CD6">
        <w:rPr>
          <w:rFonts w:ascii="Arial" w:hAnsi="Arial" w:cs="Arial"/>
          <w:sz w:val="22"/>
          <w:szCs w:val="22"/>
          <w:shd w:val="clear" w:color="auto" w:fill="FFFFFF"/>
        </w:rPr>
        <w:t>örev almamaktadır, aynı zamanda</w:t>
      </w:r>
      <w:r w:rsidR="0057704D" w:rsidRPr="00181CD6">
        <w:rPr>
          <w:rFonts w:ascii="Arial" w:hAnsi="Arial" w:cs="Arial"/>
          <w:sz w:val="22"/>
          <w:szCs w:val="22"/>
          <w:shd w:val="clear" w:color="auto" w:fill="FFFFFF"/>
        </w:rPr>
        <w:t>, belirgin bir dizi miRNA disregülasyonu nörogelişimsel ve nöropsikiyatrik bozukluklarla ilişkili olarak saptanmıştır</w:t>
      </w:r>
      <w:r w:rsidR="00BC3BBB" w:rsidRPr="00181CD6">
        <w:rPr>
          <w:rFonts w:ascii="Arial" w:hAnsi="Arial" w:cs="Arial"/>
          <w:sz w:val="22"/>
          <w:szCs w:val="22"/>
          <w:shd w:val="clear" w:color="auto" w:fill="FFFFFF"/>
        </w:rPr>
        <w:fldChar w:fldCharType="begin" w:fldLock="1"/>
      </w:r>
      <w:r w:rsidRPr="00181CD6">
        <w:rPr>
          <w:rFonts w:ascii="Arial" w:hAnsi="Arial" w:cs="Arial"/>
          <w:sz w:val="22"/>
          <w:szCs w:val="22"/>
          <w:shd w:val="clear" w:color="auto" w:fill="FFFFFF"/>
        </w:rPr>
        <w:instrText>ADDIN CSL_CITATION { "citationItems" : [ { "id" : "ITEM-1", "itemData" : { "ISSN" : "17359287", "PMID" : "25780369", "abstract" : "Today multinational studies using genome-wide association scan (GWAS) for &gt;1000,000 polymorphisms on &gt;100,000 cases with major psychiatric diseases versus controls, combined with next-generation sequencing have found ~100 genetic polymorphisms associated with schizophrenia (SCZ), bipolar disorder (BD), autism, attention deficit and hyperactivity disorder (ADHD), etc. However, the effect size of each genetic mutation has been generally low (&lt;1%), and altogether could portray a tiny fraction of these mental diseases. Furthermore, none of these polymorphisms was specific to disease phenotypes indicating that they are simply genetic risk factors rather than causal mutations. The lack of identification of the major gene(s) in huge genetic studies increased the tendency for reexamining the roles of environmental factors in psychiatric and other complex diseases. However, this time at cellular/molecular levels mediated by epigenetic mechanisms that are heritable, but reversible while interacting with the environment. Now, gene-specific or whole-genome epigenetic analyses have introduced hundreds of aberrant epigenetic marks in the blood or brain of individuals with psychiatric diseases that include aberrations in DNA methylation, histone modifications and microRNA expression. Interestingly, most of the current psychiatric drugs such as valproate, lithium, antidepressants, antipsychotics and even electroconvulsive therapy (ECT) modulate epigenetic codes. The existing data indicate that, the impacts of environment/nurture, including the uterine milieu and early-life events might be more significant than genetic/nature in most psychiatric diseases. The lack of significant results in large-scale genetic studies led to revise the bolded roles of genetics and now we are at the turning point of genomics for reconsidering environmental factors that through epigenetic mechanisms may impact the brain development/functions causing disease phenotypes.", "author" : [ { "dropping-particle" : "", "family" : "Abdolmaleky", "given" : "Hamid Mostafavi", "non-dropping-particle" : "", "parse-names" : false, "suffix" : "" } ], "container-title" : "Iranian Journal of Psychiatry and Behavioral Sciences", "id" : "ITEM-1", "issue" : "3", "issued" : { "date-parts" : [ [ "2014" ] ] }, "page" : "1-10", "title" : "Horizons of psychiatric genetics and epigenetics: Where are we and where are we heading?", "type" : "article-journal", "volume" : "8" }, "uris" : [ "http://www.mendeley.com/documents/?uuid=3a1ac2a4-7f90-4757-b68a-5d17783bd5a8" ] }, { "id" : "ITEM-2", "itemData" : { "DOI" : "10.1016/j.pnpbp.2016.03.010", "ISSN" : "1878-4216", "PMID" : "27072377", "abstract" : "Neuropsychiatric disorders are common health problems affecting approximately 1% of the population. Twin, adoption, and family studies have displayed a strong genetic component for many of these disorders; however, the underlying pathophysiological mechanisms and neural substrates remain largely unknown. Given the critical need for new diagnostic markers and disease-modifying treatments, expanding the focus of genomic studies of neuropsychiatric disorders to include the role of non-coding RNAs (ncRNAs) is of growing interest. Of known types of ncRNAs, microRNAs (miRNAs) are 20-25-nucleotide, single-stranded, molecules that regulate gene expression through post-transcriptional mechanisms and have the potential to coordinately regulate complex regulatory networks. In this review, we summarize the current knowledge on miRNA alteration/dysregulation in neuropsychiatric disorders, with a special emphasis on schizophrenia (SCZ), bipolar disorder (BD), and major depressive disorder (MDD). With an eye toward the future, we also discuss the diagnostic and prognostic potential of miRNAs for neuropsychiatric disorders in the context of personalized treatments and network medicine.", "author" : [ { "dropping-particle" : "", "family" : "Alural", "given" : "Begum", "non-dropping-particle" : "", "parse-names" : false, "suffix" : "" }, { "dropping-particle" : "", "family" : "Genc", "given" : "Sermin", "non-dropping-particle" : "", "parse-names" : false, "suffix" : "" }, { "dropping-particle" : "", "family" : "Haggarty", "given" : "Stephen J", "non-dropping-particle" : "", "parse-names" : false, "suffix" : "" } ], "container-title" : "Progress in neuro-psychopharmacology &amp; biological psychiatry", "id" : "ITEM-2", "issued" : { "date-parts" : [ [ "2017" ] ] }, "page" : "87-103", "title" : "Diagnostic and therapeutic potential of microRNAs in neuropsychiatric disorders: Past, present, and future.", "type" : "article-journal", "volume" : "73" }, "uris" : [ "http://www.mendeley.com/documents/?uuid=486bf5fb-0083-404f-a19c-3d271ad6ae4a" ] }, { "id" : "ITEM-3", "itemData" : { "DOI" : "10.1016/j.biopsych.2014.12.009", "ISBN" : "1873-2402 (Electronic)\\r0006-3223 (Linking)", "ISSN" : "18732402", "PMID" : "25636176", "abstract" : "Psychiatric syndromes, including schizophrenia, mood disorders, and autism spectrum disorders, are characterized by a complex range of symptoms, including psychosis, depression, mania, and cognitive deficits. Although the mechanisms driving pathophysiology are complex and remain largely unknown, advances in the understanding of gene association and gene networks are providing significant clues to their etiology. In recent years, small noncoding RNA molecules known as microRNA (miRNA) have emerged as potential players in the pathophysiology of mental illness. These small RNAs regulate hundreds of target transcripts by modifying their stability and translation on a broad scale, influencing entire gene networks in the process. There is evidence to suggest that numerous miRNAs are dysregulated in postmortem neuropathology of neuropsychiatric disorders, and there is strong genetic support for association of miRNA genes and their targets with these conditions. This review presents the accumulated evidence linking miRNA dysregulation and dysfunction with schizophrenia, bipolar disorder, major depressive disorder, and autism spectrum disorders and the potential of miRNAs as biomarkers or therapeutics for these disorders. We further assess the functional roles of some outstanding miRNAs associated with these conditions and how they may be influencing the development of psychiatric symptoms.", "author" : [ { "dropping-particle" : "", "family" : "Geaghan", "given" : "Michael", "non-dropping-particle" : "", "parse-names" : false, "suffix" : "" }, { "dropping-particle" : "", "family" : "Cairns", "given" : "Murray J.", "non-dropping-particle" : "", "parse-names" : false, "suffix" : "" } ], "container-title" : "Biological Psychiatry", "id" : "ITEM-3", "issue" : "4", "issued" : { "date-parts" : [ [ "2015" ] ] }, "page" : "231-239", "title" : "MicroRNA and Posttranscriptional Dysregulation in Psychiatry", "type" : "article-journal", "volume" : "78" }, "uris" : [ "http://www.mendeley.com/documents/?uuid=78c448c4-58be-4891-b795-4670a81518b0" ] }, { "id" : "ITEM-4", "itemData" : { "DOI" : "10.3389/fncel.2014.00075", "ISBN" : "1662-5102 (Electronic) 1662-5102 (Linking)", "ISSN" : "1662-5102", "PMID" : "24653674", "abstract" : "microRNAs (miRNAs) are small non-coding RNAs (20-22 nucleotides) playing a major role in post-transcriptional regulation of gene expression. miRNAs are predicted to regulate more than 50% of all the protein-coding genes. Increasing evidence indicates that they may play key roles in the biological pathways that regulate neurogenesis and synaptic plasticity, as well as in neurotransmitter homeostasis in the adult brain. In this article we review recent studies suggesting that miRNAs may be involved in the pathophysiology of neuropsychiatric disorders and in the action of psychotropic drugs, in particular by analyzing the contribution of genomic studies in patients' peripheral tissues. Alterations in miRNA expression have been observed in schizophrenia, bipolar disorder, major depression, Parkinson's disease, Alzheimer's disease and other neuropsychiatric conditions. In particular, intriguing findings concern the identification of disease-associated miRNA signatures in peripheral tissues, or modifications in miRNA profiles induced by drug treatments. Furthermore, genetic variations in miRNA sequences and miRNA-related genes have been described in neuropsychiatric diseases. Overall, though still at a preliminary stage, several lines of evidence indicate an involvement of miRNAs in both the pathophysiology and pharmacotherapy of neuropsychiatric disorders. In this regard, the data obtained in peripheral tissues may provide further insights into the etiopathogenesis of several brain diseases and contribute to identify new biomarkers for diagnostic assessment improvement and treatment personalization.", "author" : [ { "dropping-particle" : "", "family" : "Maffioletti", "given" : "Elisabetta", "non-dropping-particle" : "", "parse-names" : false, "suffix" : "" }, { "dropping-particle" : "", "family" : "Tardito", "given" : "Daniela", "non-dropping-particle" : "", "parse-names" : false, "suffix" : "" }, { "dropping-particle" : "", "family" : "Gennarelli", "given" : "Massimo", "non-dropping-particle" : "", "parse-names" : false, "suffix" : "" }, { "dropping-particle" : "", "family" : "Bocchio-Chiavetto", "given" : "Luisella", "non-dropping-particle" : "", "parse-names" : false, "suffix" : "" } ], "container-title" : "Frontiers in Cellular Neuroscience", "id" : "ITEM-4", "issued" : { "date-parts" : [ [ "2014" ] ] }, "title" : "Micro spies from the brain to the periphery: new clues from studies on microRNAs in neuropsychiatric disorders", "type" : "article-journal", "volume" : "8" }, "uris" : [ "http://www.mendeley.com/documents/?uuid=700b6125-0565-426d-8914-b463f590b363" ] }, { "id" : "ITEM-5", "itemData" : { "DOI" : "10.1016/j.expneurol.2014.08.005", "ISBN" : "1090-2430 (Electronic)\\r0014-4886 (Linking)", "ISSN" : "10902430", "PMID" : "25128264", "abstract" : "MicroRNAs (miRNAs) are single-stranded, non-coding RNA molecules that play important roles in the development and functions of the brain. Extensive studies have revealed critical roles for miRNAs in brain development and function. Dysregulation or altered expression of miRNAs is associated with abnormal brain development and pathogenesis of neurodevelopmental diseases. This review serves to highlight the versatile roles of these small RNA molecules in normal brain development and their association with neurodevelopmental disorders, in particular, two closely related neuropsychiatric disorders of neurodevelopmental origin, schizophrenia and bipolar disorder.", "author" : [ { "dropping-particle" : "", "family" : "Sun", "given" : "Emily", "non-dropping-particle" : "", "parse-names" : false, "suffix" : "" }, { "dropping-particle" : "", "family" : "Shi", "given" : "Yanhong", "non-dropping-particle" : "", "parse-names" : false, "suffix" : "" } ], "container-title" : "Experimental Neurology", "id" : "ITEM-5", "issued" : { "date-parts" : [ [ "2015" ] ] }, "page" : "46-53", "title" : "MicroRNAs: Small molecules with big roles in neurodevelopment and diseases", "type" : "article-journal", "volume" : "268" }, "uris" : [ "http://www.mendeley.com/documents/?uuid=a127a8ca-27a9-421d-b3cc-14092285ef31" ] } ], "mendeley" : { "formattedCitation" : "(12\u201316)", "plainTextFormattedCitation" : "(12\u201316)", "previouslyFormattedCitation" : "(12\u201316)" }, "properties" : { "noteIndex" : 21 }, "schema" : "https://github.com/citation-style-language/schema/raw/master/csl-citation.json" }</w:instrText>
      </w:r>
      <w:r w:rsidR="00BC3BBB" w:rsidRPr="00181CD6">
        <w:rPr>
          <w:rFonts w:ascii="Arial" w:hAnsi="Arial" w:cs="Arial"/>
          <w:sz w:val="22"/>
          <w:szCs w:val="22"/>
          <w:shd w:val="clear" w:color="auto" w:fill="FFFFFF"/>
        </w:rPr>
        <w:fldChar w:fldCharType="separate"/>
      </w:r>
      <w:r w:rsidRPr="00181CD6">
        <w:rPr>
          <w:rFonts w:ascii="Arial" w:hAnsi="Arial" w:cs="Arial"/>
          <w:noProof/>
          <w:sz w:val="22"/>
          <w:szCs w:val="22"/>
          <w:shd w:val="clear" w:color="auto" w:fill="FFFFFF"/>
        </w:rPr>
        <w:t>(12–16)</w:t>
      </w:r>
      <w:r w:rsidR="00BC3BBB" w:rsidRPr="00181CD6">
        <w:rPr>
          <w:rFonts w:ascii="Arial" w:hAnsi="Arial" w:cs="Arial"/>
          <w:sz w:val="22"/>
          <w:szCs w:val="22"/>
          <w:shd w:val="clear" w:color="auto" w:fill="FFFFFF"/>
        </w:rPr>
        <w:fldChar w:fldCharType="end"/>
      </w:r>
      <w:r w:rsidRPr="00181CD6">
        <w:rPr>
          <w:rFonts w:ascii="Arial" w:hAnsi="Arial" w:cs="Arial"/>
          <w:sz w:val="22"/>
          <w:szCs w:val="22"/>
          <w:shd w:val="clear" w:color="auto" w:fill="FFFFFF"/>
        </w:rPr>
        <w:t>. miRNAlar evrimsel olarak korunmuş olan küçük RNA türleridir</w:t>
      </w:r>
      <w:r w:rsidRPr="0057704D">
        <w:rPr>
          <w:rFonts w:ascii="Arial" w:hAnsi="Arial" w:cs="Arial"/>
          <w:sz w:val="22"/>
          <w:szCs w:val="22"/>
          <w:shd w:val="clear" w:color="auto" w:fill="FFFFFF"/>
        </w:rPr>
        <w:t xml:space="preserve"> (~ 22 nü</w:t>
      </w:r>
      <w:r w:rsidR="00181CD6">
        <w:rPr>
          <w:rFonts w:ascii="Arial" w:hAnsi="Arial" w:cs="Arial"/>
          <w:sz w:val="22"/>
          <w:szCs w:val="22"/>
          <w:shd w:val="clear" w:color="auto" w:fill="FFFFFF"/>
        </w:rPr>
        <w:t>kleotid);</w:t>
      </w:r>
      <w:r w:rsidRPr="0057704D">
        <w:rPr>
          <w:rFonts w:ascii="Arial" w:hAnsi="Arial" w:cs="Arial"/>
          <w:sz w:val="22"/>
          <w:szCs w:val="22"/>
          <w:shd w:val="clear" w:color="auto" w:fill="FFFFFF"/>
        </w:rPr>
        <w:t xml:space="preserve"> hedef mRNA’nın 3</w:t>
      </w:r>
      <w:r w:rsidRPr="0057704D">
        <w:rPr>
          <w:rFonts w:ascii="Arial" w:hAnsi="Arial" w:cs="Arial"/>
          <w:sz w:val="22"/>
          <w:szCs w:val="22"/>
        </w:rPr>
        <w:t>’</w:t>
      </w:r>
      <w:r w:rsidRPr="0057704D">
        <w:rPr>
          <w:rFonts w:ascii="Arial" w:hAnsi="Arial" w:cs="Arial"/>
          <w:sz w:val="22"/>
          <w:szCs w:val="22"/>
          <w:shd w:val="clear" w:color="auto" w:fill="FFFFFF"/>
        </w:rPr>
        <w:t xml:space="preserve"> UTR bölgesine bağlanarak baskılanmasını veya bozunmasını tetikler, böylece gen</w:t>
      </w:r>
      <w:r w:rsidR="00181CD6">
        <w:rPr>
          <w:rFonts w:ascii="Arial" w:hAnsi="Arial" w:cs="Arial"/>
          <w:sz w:val="22"/>
          <w:szCs w:val="22"/>
          <w:shd w:val="clear" w:color="auto" w:fill="FFFFFF"/>
        </w:rPr>
        <w:t>in</w:t>
      </w:r>
      <w:r w:rsidRPr="0057704D">
        <w:rPr>
          <w:rFonts w:ascii="Arial" w:hAnsi="Arial" w:cs="Arial"/>
          <w:sz w:val="22"/>
          <w:szCs w:val="22"/>
          <w:shd w:val="clear" w:color="auto" w:fill="FFFFFF"/>
        </w:rPr>
        <w:t xml:space="preserve"> transkripsiyon sonrası regülasyonunda anahtar rol oynamaktadır </w:t>
      </w:r>
      <w:r w:rsidR="00BC3BBB" w:rsidRPr="0057704D">
        <w:rPr>
          <w:rFonts w:ascii="Arial" w:hAnsi="Arial" w:cs="Arial"/>
          <w:sz w:val="22"/>
          <w:szCs w:val="22"/>
          <w:shd w:val="clear" w:color="auto" w:fill="FFFFFF"/>
        </w:rPr>
        <w:fldChar w:fldCharType="begin" w:fldLock="1"/>
      </w:r>
      <w:r w:rsidR="0037573A" w:rsidRPr="0057704D">
        <w:rPr>
          <w:rFonts w:ascii="Arial" w:hAnsi="Arial" w:cs="Arial"/>
          <w:sz w:val="22"/>
          <w:szCs w:val="22"/>
          <w:shd w:val="clear" w:color="auto" w:fill="FFFFFF"/>
        </w:rPr>
        <w:instrText>ADDIN CSL_CITATION { "citationItems" : [ { "id" : "ITEM-1", "itemData" : { "DOI" : "10.1016/S0092-8674(03)01018-3", "ISBN" : "0092-8674", "ISSN" : "00928674", "PMID" : "14697198", "abstract" : "MicroRNAs (miRNAs) can play important gene regulatory roles in nematodes, insects, and plants by basepairing to mRNAs to specify posttranscriptional repression of these messages. However, the mRNAs regulated by vertebrate miRNAs are all unknown. Here we predict more than 400 regulatory target genes for the conserved vertebrate miRNAs by identifying mRNAs with conserved pairing to the 5\u2032 region of the miRNA and evaluating the number and quality of these complementary sites. Rigorous tests using shuffled miRNA controls supported a majority of these predictions, with the fraction of false positives estimated at 31% for targets identified in human, mouse, and rat and 22% for targets identified in pufferfish as well as mammals. Eleven predicted targets (out of 15 tested) were supported experimentally using a HeLa cell reporter system. The predicted regulatory targets of mammalian miRNAs were enriched for genes involved in transcriptional regulation but also encompassed an unexpectedly broad range of other functions.", "author" : [ { "dropping-particle" : "", "family" : "Lewis", "given" : "Benjamin P.", "non-dropping-particle" : "", "parse-names" : false, "suffix" : "" }, { "dropping-particle" : "", "family" : "Shih", "given" : "I. Hung", "non-dropping-particle" : "", "parse-names" : false, "suffix" : "" }, { "dropping-particle" : "", "family" : "Jones-Rhoades", "given" : "Matthew W.", "non-dropping-particle" : "", "parse-names" : false, "suffix" : "" }, { "dropping-particle" : "", "family" : "Bartel", "given" : "David P.", "non-dropping-particle" : "", "parse-names" : false, "suffix" : "" }, { "dropping-particle" : "", "family" : "Burge", "given" : "Christopher B.", "non-dropping-particle" : "", "parse-names" : false, "suffix" : "" } ], "container-title" : "Cell", "id" : "ITEM-1", "issue" : "7", "issued" : { "date-parts" : [ [ "2003" ] ] }, "page" : "787-798", "title" : "Prediction of Mammalian MicroRNA Targets", "type" : "article-journal", "volume" : "115" }, "uris" : [ "http://www.mendeley.com/documents/?uuid=7ccfbf39-90eb-4503-943e-c83a32fd8781" ] }, { "id" : "ITEM-2", "itemData" : { "ISSN" : "0092-8674", "PMID" : "14744438", "abstract" : "MicroRNAs (miRNAs) are endogenous approximately 22 nt RNAs that can play important regulatory roles in animals and plants by targeting mRNAs for cleavage or translational repression. Although they escaped notice until relatively recently, miRNAs comprise one of the more abundant classes of gene regulatory molecules in multicellular organisms and likely influence the output of many protein-coding genes.", "author" : [ { "dropping-particle" : "", "family" : "Bartel", "given" : "David P", "non-dropping-particle" : "", "parse-names" : false, "suffix" : "" } ], "container-title" : "Cell", "id" : "ITEM-2", "issue" : "2", "issued" : { "date-parts" : [ [ "2004", "1", "23" ] ] }, "page" : "281-97", "title" : "MicroRNAs: genomics, biogenesis, mechanism, and function.", "type" : "article-journal", "volume" : "116" }, "uris" : [ "http://www.mendeley.com/documents/?uuid=f828c1a2-c004-3f8c-bff9-8c8618383d00" ] } ], "mendeley" : { "formattedCitation" : "(214, 215)", "plainTextFormattedCitation" : "(214, 215)", "previouslyFormattedCitation" : "(214, 215)" }, "properties" : { "noteIndex" : 21 }, "schema" : "https://github.com/citation-style-language/schema/raw/master/csl-citation.json" }</w:instrText>
      </w:r>
      <w:r w:rsidR="00BC3BBB" w:rsidRPr="0057704D">
        <w:rPr>
          <w:rFonts w:ascii="Arial" w:hAnsi="Arial" w:cs="Arial"/>
          <w:sz w:val="22"/>
          <w:szCs w:val="22"/>
          <w:shd w:val="clear" w:color="auto" w:fill="FFFFFF"/>
        </w:rPr>
        <w:fldChar w:fldCharType="separate"/>
      </w:r>
      <w:r w:rsidR="00BF1F00" w:rsidRPr="0057704D">
        <w:rPr>
          <w:rFonts w:ascii="Arial" w:hAnsi="Arial" w:cs="Arial"/>
          <w:noProof/>
          <w:sz w:val="22"/>
          <w:szCs w:val="22"/>
          <w:shd w:val="clear" w:color="auto" w:fill="FFFFFF"/>
        </w:rPr>
        <w:t>(214, 215)</w:t>
      </w:r>
      <w:r w:rsidR="00BC3BBB" w:rsidRPr="0057704D">
        <w:rPr>
          <w:rFonts w:ascii="Arial" w:hAnsi="Arial" w:cs="Arial"/>
          <w:sz w:val="22"/>
          <w:szCs w:val="22"/>
          <w:shd w:val="clear" w:color="auto" w:fill="FFFFFF"/>
        </w:rPr>
        <w:fldChar w:fldCharType="end"/>
      </w:r>
      <w:r w:rsidRPr="0057704D">
        <w:rPr>
          <w:rFonts w:ascii="Arial" w:hAnsi="Arial" w:cs="Arial"/>
          <w:sz w:val="22"/>
          <w:szCs w:val="22"/>
          <w:shd w:val="clear" w:color="auto" w:fill="FFFFFF"/>
        </w:rPr>
        <w:t>.</w:t>
      </w:r>
      <w:r w:rsidRPr="0057704D">
        <w:rPr>
          <w:rFonts w:ascii="Arial" w:hAnsi="Arial" w:cs="Arial"/>
          <w:sz w:val="22"/>
          <w:szCs w:val="22"/>
        </w:rPr>
        <w:t xml:space="preserve"> Bu nedenle post-transkripsiyonel düzenleyiciler olarak da adlandırılmışlardır (212). </w:t>
      </w:r>
      <w:r w:rsidRPr="0057704D">
        <w:rPr>
          <w:rFonts w:ascii="Arial" w:hAnsi="Arial" w:cs="Arial"/>
          <w:sz w:val="22"/>
          <w:szCs w:val="22"/>
          <w:shd w:val="clear" w:color="auto" w:fill="FFFFFF"/>
        </w:rPr>
        <w:t xml:space="preserve">Bazı durumlarda ise mRNA'nın translasyonunu aktive eder </w:t>
      </w:r>
      <w:r w:rsidR="00BC3BBB" w:rsidRPr="0057704D">
        <w:rPr>
          <w:rFonts w:ascii="Arial" w:hAnsi="Arial" w:cs="Arial"/>
          <w:sz w:val="22"/>
          <w:szCs w:val="22"/>
          <w:shd w:val="clear" w:color="auto" w:fill="FFFFFF"/>
        </w:rPr>
        <w:fldChar w:fldCharType="begin" w:fldLock="1"/>
      </w:r>
      <w:r w:rsidRPr="0057704D">
        <w:rPr>
          <w:rFonts w:ascii="Arial" w:hAnsi="Arial" w:cs="Arial"/>
          <w:sz w:val="22"/>
          <w:szCs w:val="22"/>
          <w:shd w:val="clear" w:color="auto" w:fill="FFFFFF"/>
        </w:rPr>
        <w:instrText>ADDIN CSL_CITATION { "citationItems" : [ { "id" : "ITEM-1", "itemData" : { "DOI" : "10.1126/science.1149460", "ISBN" : "1095-9203 (Electronic)\\r0036-8075 (Linking)", "ISSN" : "0036-8075", "PMID" : "18048652", "abstract" : "AU-rich elements (AREs) and microRNA target sites are conserved sequences in messenger RNA (mRNA) 3' untranslated regions (3'UTRs) that control gene expression posttranscriptionally. Upon cell cycle arrest, the ARE in tumor necrosis factor-alpha (TNFalpha) mRNA is transformed into a translation activation signal, recruiting Argonaute (AGO) and fragile X mental retardation-related protein 1 (FXR1), factors associated with micro-ribonucleoproteins (microRNPs). We show that human microRNA miR369-3 directs association of these proteins with the AREs to activate translation. Furthermore, we document that two well-studied microRNAs-Let-7 and the synthetic microRNA miRcxcr4-likewise induce translation up-regulation of target mRNAs on cell cycle arrest, yet they repress translation in proliferating cells. Thus, activation is a common function of microRNPs on cell cycle arrest. We propose that translation regulation by microRNPs oscillates between repression and activation during the cell cycle.", "author" : [ { "dropping-particle" : "", "family" : "Vasudevan", "given" : "S.", "non-dropping-particle" : "", "parse-names" : false, "suffix" : "" }, { "dropping-particle" : "", "family" : "Tong", "given" : "Y.", "non-dropping-particle" : "", "parse-names" : false, "suffix" : "" }, { "dropping-particle" : "", "family" : "Steitz", "given" : "J. A.", "non-dropping-particle" : "", "parse-names" : false, "suffix" : "" } ], "container-title" : "Science", "id" : "ITEM-1", "issue" : "5858", "issued" : { "date-parts" : [ [ "2007" ] ] }, "page" : "1931-1934", "title" : "Switching from Repression to Activation: MicroRNAs Can Up-Regulate Translation", "type" : "article-journal", "volume" : "318" }, "uris" : [ "http://www.mendeley.com/documents/?uuid=2d149ca2-e0ab-4bd2-89fd-9cc19dc0c4f6" ] } ], "mendeley" : { "formattedCitation" : "(216)", "plainTextFormattedCitation" : "(216)", "previouslyFormattedCitation" : "(216)" }, "properties" : { "noteIndex" : 21 }, "schema" : "https://github.com/citation-style-language/schema/raw/master/csl-citation.json" }</w:instrText>
      </w:r>
      <w:r w:rsidR="00BC3BBB" w:rsidRPr="0057704D">
        <w:rPr>
          <w:rFonts w:ascii="Arial" w:hAnsi="Arial" w:cs="Arial"/>
          <w:sz w:val="22"/>
          <w:szCs w:val="22"/>
          <w:shd w:val="clear" w:color="auto" w:fill="FFFFFF"/>
        </w:rPr>
        <w:fldChar w:fldCharType="separate"/>
      </w:r>
      <w:r w:rsidRPr="0057704D">
        <w:rPr>
          <w:rFonts w:ascii="Arial" w:hAnsi="Arial" w:cs="Arial"/>
          <w:noProof/>
          <w:sz w:val="22"/>
          <w:szCs w:val="22"/>
          <w:shd w:val="clear" w:color="auto" w:fill="FFFFFF"/>
        </w:rPr>
        <w:t>(216)</w:t>
      </w:r>
      <w:r w:rsidR="00BC3BBB" w:rsidRPr="0057704D">
        <w:rPr>
          <w:rFonts w:ascii="Arial" w:hAnsi="Arial" w:cs="Arial"/>
          <w:sz w:val="22"/>
          <w:szCs w:val="22"/>
          <w:shd w:val="clear" w:color="auto" w:fill="FFFFFF"/>
        </w:rPr>
        <w:fldChar w:fldCharType="end"/>
      </w:r>
      <w:r w:rsidRPr="0057704D">
        <w:rPr>
          <w:rFonts w:ascii="Arial" w:hAnsi="Arial" w:cs="Arial"/>
          <w:sz w:val="22"/>
          <w:szCs w:val="22"/>
          <w:shd w:val="clear" w:color="auto" w:fill="FFFFFF"/>
        </w:rPr>
        <w:t>.</w:t>
      </w:r>
      <w:r w:rsidRPr="0057704D">
        <w:rPr>
          <w:rFonts w:ascii="Arial" w:hAnsi="Arial" w:cs="Arial"/>
          <w:sz w:val="22"/>
          <w:szCs w:val="22"/>
        </w:rPr>
        <w:t xml:space="preserve"> </w:t>
      </w:r>
      <w:r w:rsidRPr="0057704D">
        <w:rPr>
          <w:rFonts w:ascii="Arial" w:hAnsi="Arial" w:cs="Arial"/>
          <w:sz w:val="22"/>
          <w:szCs w:val="22"/>
          <w:shd w:val="clear" w:color="auto" w:fill="FFFFFF"/>
        </w:rPr>
        <w:t xml:space="preserve">miRNA genleri saç tokası şekline sahip bir primer transkript (pri-miRNA) oluşturmak üzere kopyalanır </w:t>
      </w:r>
      <w:r w:rsidR="00BC3BBB" w:rsidRPr="0057704D">
        <w:rPr>
          <w:rFonts w:ascii="Arial" w:hAnsi="Arial" w:cs="Arial"/>
          <w:sz w:val="22"/>
          <w:szCs w:val="22"/>
          <w:shd w:val="clear" w:color="auto" w:fill="FFFFFF"/>
        </w:rPr>
        <w:fldChar w:fldCharType="begin" w:fldLock="1"/>
      </w:r>
      <w:r w:rsidRPr="0057704D">
        <w:rPr>
          <w:rFonts w:ascii="Arial" w:hAnsi="Arial" w:cs="Arial"/>
          <w:sz w:val="22"/>
          <w:szCs w:val="22"/>
          <w:shd w:val="clear" w:color="auto" w:fill="FFFFFF"/>
        </w:rPr>
        <w:instrText>ADDIN CSL_CITATION { "citationItems" : [ { "id" : "ITEM-1", "itemData" : { "ISSN" : "0092-8674", "PMID" : "14744438", "abstract" : "MicroRNAs (miRNAs) are endogenous approximately 22 nt RNAs that can play important regulatory roles in animals and plants by targeting mRNAs for cleavage or translational repression. Although they escaped notice until relatively recently, miRNAs comprise one of the more abundant classes of gene regulatory molecules in multicellular organisms and likely influence the output of many protein-coding genes.", "author" : [ { "dropping-particle" : "", "family" : "Bartel", "given" : "David P", "non-dropping-particle" : "", "parse-names" : false, "suffix" : "" } ], "container-title" : "Cell", "id" : "ITEM-1", "issue" : "2", "issued" : { "date-parts" : [ [ "2004", "1", "23" ] ] }, "page" : "281-97", "title" : "MicroRNAs: genomics, biogenesis, mechanism, and function.", "type" : "article-journal", "volume" : "116" }, "uris" : [ "http://www.mendeley.com/documents/?uuid=f828c1a2-c004-3f8c-bff9-8c8618383d00" ] } ], "mendeley" : { "formattedCitation" : "(215)", "plainTextFormattedCitation" : "(215)", "previouslyFormattedCitation" : "(215)" }, "properties" : { "noteIndex" : 21 }, "schema" : "https://github.com/citation-style-language/schema/raw/master/csl-citation.json" }</w:instrText>
      </w:r>
      <w:r w:rsidR="00BC3BBB" w:rsidRPr="0057704D">
        <w:rPr>
          <w:rFonts w:ascii="Arial" w:hAnsi="Arial" w:cs="Arial"/>
          <w:sz w:val="22"/>
          <w:szCs w:val="22"/>
          <w:shd w:val="clear" w:color="auto" w:fill="FFFFFF"/>
        </w:rPr>
        <w:fldChar w:fldCharType="separate"/>
      </w:r>
      <w:r w:rsidRPr="0057704D">
        <w:rPr>
          <w:rFonts w:ascii="Arial" w:hAnsi="Arial" w:cs="Arial"/>
          <w:noProof/>
          <w:sz w:val="22"/>
          <w:szCs w:val="22"/>
          <w:shd w:val="clear" w:color="auto" w:fill="FFFFFF"/>
        </w:rPr>
        <w:t>(215)</w:t>
      </w:r>
      <w:r w:rsidR="00BC3BBB" w:rsidRPr="0057704D">
        <w:rPr>
          <w:rFonts w:ascii="Arial" w:hAnsi="Arial" w:cs="Arial"/>
          <w:sz w:val="22"/>
          <w:szCs w:val="22"/>
          <w:shd w:val="clear" w:color="auto" w:fill="FFFFFF"/>
        </w:rPr>
        <w:fldChar w:fldCharType="end"/>
      </w:r>
      <w:r w:rsidRPr="0057704D">
        <w:rPr>
          <w:rFonts w:ascii="Arial" w:hAnsi="Arial" w:cs="Arial"/>
          <w:sz w:val="22"/>
          <w:szCs w:val="22"/>
          <w:shd w:val="clear" w:color="auto" w:fill="FFFFFF"/>
        </w:rPr>
        <w:t xml:space="preserve">, ardından yaklaşık 70 nükleotid uzunluğunda prekürsör miRNA'yı (pre-miRNA) oluşturmak için </w:t>
      </w:r>
      <w:r w:rsidR="00181CD6" w:rsidRPr="00181CD6">
        <w:rPr>
          <w:rFonts w:ascii="Arial" w:hAnsi="Arial" w:cs="Arial"/>
          <w:sz w:val="22"/>
          <w:szCs w:val="22"/>
          <w:shd w:val="clear" w:color="auto" w:fill="FFFFFF"/>
        </w:rPr>
        <w:t>Drosha (double-stranded RNA-specific endoribonuclease)</w:t>
      </w:r>
      <w:r w:rsidRPr="0057704D">
        <w:rPr>
          <w:rFonts w:ascii="Arial" w:hAnsi="Arial" w:cs="Arial"/>
          <w:sz w:val="22"/>
          <w:szCs w:val="22"/>
          <w:shd w:val="clear" w:color="auto" w:fill="FFFFFF"/>
        </w:rPr>
        <w:t xml:space="preserve"> ve DGCR8 </w:t>
      </w:r>
      <w:r w:rsidRPr="000E15DC">
        <w:rPr>
          <w:rFonts w:ascii="Arial" w:hAnsi="Arial" w:cs="Arial"/>
          <w:sz w:val="22"/>
          <w:szCs w:val="22"/>
          <w:shd w:val="clear" w:color="auto" w:fill="FFFFFF"/>
        </w:rPr>
        <w:t>(</w:t>
      </w:r>
      <w:r w:rsidR="000E15DC" w:rsidRPr="000E15DC">
        <w:rPr>
          <w:rFonts w:ascii="Arial" w:hAnsi="Arial" w:cs="Arial"/>
          <w:sz w:val="22"/>
          <w:szCs w:val="22"/>
          <w:shd w:val="clear" w:color="auto" w:fill="FFFFFF"/>
        </w:rPr>
        <w:t>8-DiGeorge syndrome critical region protein 8)</w:t>
      </w:r>
      <w:r w:rsidR="000E15DC" w:rsidRPr="00893F90">
        <w:rPr>
          <w:rFonts w:ascii="Arial" w:hAnsi="Arial" w:cs="Arial"/>
          <w:color w:val="212121"/>
          <w:shd w:val="clear" w:color="auto" w:fill="FFFFFF"/>
        </w:rPr>
        <w:t xml:space="preserve"> </w:t>
      </w:r>
      <w:r w:rsidRPr="0057704D">
        <w:rPr>
          <w:rFonts w:ascii="Arial" w:hAnsi="Arial" w:cs="Arial"/>
          <w:sz w:val="22"/>
          <w:szCs w:val="22"/>
          <w:shd w:val="clear" w:color="auto" w:fill="FFFFFF"/>
        </w:rPr>
        <w:t xml:space="preserve">tarafından çekirdek içerisinde işleme tabi tutulur </w:t>
      </w:r>
      <w:r w:rsidR="00BC3BBB" w:rsidRPr="0057704D">
        <w:rPr>
          <w:rFonts w:ascii="Arial" w:hAnsi="Arial" w:cs="Arial"/>
          <w:sz w:val="22"/>
          <w:szCs w:val="22"/>
          <w:shd w:val="clear" w:color="auto" w:fill="FFFFFF"/>
        </w:rPr>
        <w:fldChar w:fldCharType="begin" w:fldLock="1"/>
      </w:r>
      <w:r w:rsidRPr="0057704D">
        <w:rPr>
          <w:rFonts w:ascii="Arial" w:hAnsi="Arial" w:cs="Arial"/>
          <w:sz w:val="22"/>
          <w:szCs w:val="22"/>
          <w:shd w:val="clear" w:color="auto" w:fill="FFFFFF"/>
        </w:rPr>
        <w:instrText>ADDIN CSL_CITATION { "citationItems" : [ { "id" : "ITEM-1", "itemData" : { "DOI" : "10.1038/nature03120", "ISBN" : "1476-4687 (Electronic)", "ISSN" : "0028-0836", "PMID" : "15531877", "abstract" : "MicroRNAs (miRNAs) are a growing family of small non-protein-coding regulatory genes that regulate the expression of homologous target-gene transcripts. They have been implicated in the control of cell death and proliferation in flies, haematopoietic lineage differentiation in mammals, neuronal patterning in nematodes and leaf and flower development in plants. miRNAs are processed by the RNA-mediated interference machinery. Drosha is an RNase III enzyme that was recently implicated in miRNA processing. Here we show that human Drosha is a component of two multi-protein complexes. The larger complex contains multiple classes of RNA-associated proteins including RNA helicases, proteins that bind double-stranded RNA, novel heterogeneous nuclear ribonucleoproteins and the Ewing's sarcoma family of proteins. The smaller complex is composed of Drosha and the double-stranded-RNA-binding protein, DGCR8, the product of a gene deleted in DiGeorge syndrome. In vivo knock-down and in vitro reconstitution studies revealed that both components of this smaller complex, termed Microprocessor, are necessary and sufficient in mediating the genesis of miRNAs from the primary miRNA transcript.", "author" : [ { "dropping-particle" : "", "family" : "Gregory", "given" : "Richard I.", "non-dropping-particle" : "", "parse-names" : false, "suffix" : "" }, { "dropping-particle" : "", "family" : "Yan", "given" : "Kai-ping", "non-dropping-particle" : "", "parse-names" : false, "suffix" : "" }, { "dropping-particle" : "", "family" : "Amuthan", "given" : "Govindasamy", "non-dropping-particle" : "", "parse-names" : false, "suffix" : "" }, { "dropping-particle" : "", "family" : "Chendrimada", "given" : "Thimmaiah", "non-dropping-particle" : "", "parse-names" : false, "suffix" : "" }, { "dropping-particle" : "", "family" : "Doratotaj", "given" : "Behzad", "non-dropping-particle" : "", "parse-names" : false, "suffix" : "" }, { "dropping-particle" : "", "family" : "Cooch", "given" : "Neil", "non-dropping-particle" : "", "parse-names" : false, "suffix" : "" }, { "dropping-particle" : "", "family" : "Shiekhattar", "given" : "Ramin", "non-dropping-particle" : "", "parse-names" : false, "suffix" : "" } ], "container-title" : "Nature", "id" : "ITEM-1", "issue" : "7014", "issued" : { "date-parts" : [ [ "2004" ] ] }, "page" : "235-240", "title" : "The Microprocessor complex mediates the genesis of microRNAs", "type" : "article-journal", "volume" : "432" }, "uris" : [ "http://www.mendeley.com/documents/?uuid=d63813a0-dc5b-412b-8794-9bcff4f3cfde" ] } ], "mendeley" : { "formattedCitation" : "(217)", "plainTextFormattedCitation" : "(217)", "previouslyFormattedCitation" : "(217)" }, "properties" : { "noteIndex" : 21 }, "schema" : "https://github.com/citation-style-language/schema/raw/master/csl-citation.json" }</w:instrText>
      </w:r>
      <w:r w:rsidR="00BC3BBB" w:rsidRPr="0057704D">
        <w:rPr>
          <w:rFonts w:ascii="Arial" w:hAnsi="Arial" w:cs="Arial"/>
          <w:sz w:val="22"/>
          <w:szCs w:val="22"/>
          <w:shd w:val="clear" w:color="auto" w:fill="FFFFFF"/>
        </w:rPr>
        <w:fldChar w:fldCharType="separate"/>
      </w:r>
      <w:r w:rsidRPr="0057704D">
        <w:rPr>
          <w:rFonts w:ascii="Arial" w:hAnsi="Arial" w:cs="Arial"/>
          <w:noProof/>
          <w:sz w:val="22"/>
          <w:szCs w:val="22"/>
          <w:shd w:val="clear" w:color="auto" w:fill="FFFFFF"/>
        </w:rPr>
        <w:t>(217)</w:t>
      </w:r>
      <w:r w:rsidR="00BC3BBB" w:rsidRPr="0057704D">
        <w:rPr>
          <w:rFonts w:ascii="Arial" w:hAnsi="Arial" w:cs="Arial"/>
          <w:sz w:val="22"/>
          <w:szCs w:val="22"/>
          <w:shd w:val="clear" w:color="auto" w:fill="FFFFFF"/>
        </w:rPr>
        <w:fldChar w:fldCharType="end"/>
      </w:r>
      <w:r w:rsidRPr="0057704D">
        <w:rPr>
          <w:rFonts w:ascii="Arial" w:hAnsi="Arial" w:cs="Arial"/>
          <w:sz w:val="22"/>
          <w:szCs w:val="22"/>
          <w:shd w:val="clear" w:color="auto" w:fill="FFFFFF"/>
        </w:rPr>
        <w:t xml:space="preserve">. Pre-miRNA daha sonra Exportin-5 aracılığıyla sitoplazma içine nakledilir ve Dicer (endonükleaz)  tarafından ~22 nükleotid çift sarmallı olgun miRNA'ya bölünmesi sağlanır. Bu olgun miRNA'nın sarmallarından biri Dicer, “transaktive eden yanıt RNA bağlama proteini” </w:t>
      </w:r>
      <w:r w:rsidRPr="000E15DC">
        <w:rPr>
          <w:rFonts w:ascii="Arial" w:hAnsi="Arial" w:cs="Arial"/>
          <w:sz w:val="22"/>
          <w:szCs w:val="22"/>
          <w:shd w:val="clear" w:color="auto" w:fill="FFFFFF"/>
        </w:rPr>
        <w:t>(</w:t>
      </w:r>
      <w:r w:rsidR="000E15DC" w:rsidRPr="000E15DC">
        <w:rPr>
          <w:rFonts w:ascii="Arial" w:hAnsi="Arial" w:cs="Arial"/>
          <w:sz w:val="22"/>
          <w:szCs w:val="22"/>
          <w:shd w:val="clear" w:color="auto" w:fill="FFFFFF"/>
        </w:rPr>
        <w:t>transactivating response RNA-binding protein-TRBP</w:t>
      </w:r>
      <w:r w:rsidRPr="000E15DC">
        <w:rPr>
          <w:rFonts w:ascii="Arial" w:hAnsi="Arial" w:cs="Arial"/>
          <w:sz w:val="22"/>
          <w:szCs w:val="22"/>
          <w:shd w:val="clear" w:color="auto" w:fill="FFFFFF"/>
        </w:rPr>
        <w:t>)</w:t>
      </w:r>
      <w:r w:rsidRPr="0057704D">
        <w:rPr>
          <w:rFonts w:ascii="Arial" w:hAnsi="Arial" w:cs="Arial"/>
          <w:sz w:val="22"/>
          <w:szCs w:val="22"/>
          <w:shd w:val="clear" w:color="auto" w:fill="FFFFFF"/>
        </w:rPr>
        <w:t xml:space="preserve"> ve Argonaute 2'den oluşan “RNA il</w:t>
      </w:r>
      <w:r w:rsidR="000E15DC">
        <w:rPr>
          <w:rFonts w:ascii="Arial" w:hAnsi="Arial" w:cs="Arial"/>
          <w:sz w:val="22"/>
          <w:szCs w:val="22"/>
          <w:shd w:val="clear" w:color="auto" w:fill="FFFFFF"/>
        </w:rPr>
        <w:t xml:space="preserve">e indüklenen </w:t>
      </w:r>
      <w:r w:rsidR="002B6BA9">
        <w:rPr>
          <w:rFonts w:ascii="Arial" w:hAnsi="Arial" w:cs="Arial"/>
          <w:sz w:val="22"/>
          <w:szCs w:val="22"/>
          <w:shd w:val="clear" w:color="auto" w:fill="FFFFFF"/>
        </w:rPr>
        <w:t>sessizleştirme</w:t>
      </w:r>
      <w:r w:rsidR="000E15DC">
        <w:rPr>
          <w:rFonts w:ascii="Arial" w:hAnsi="Arial" w:cs="Arial"/>
          <w:sz w:val="22"/>
          <w:szCs w:val="22"/>
          <w:shd w:val="clear" w:color="auto" w:fill="FFFFFF"/>
        </w:rPr>
        <w:t xml:space="preserve"> kompleksi’</w:t>
      </w:r>
      <w:r w:rsidRPr="0057704D">
        <w:rPr>
          <w:rFonts w:ascii="Arial" w:hAnsi="Arial" w:cs="Arial"/>
          <w:sz w:val="22"/>
          <w:szCs w:val="22"/>
          <w:shd w:val="clear" w:color="auto" w:fill="FFFFFF"/>
        </w:rPr>
        <w:t>ne (</w:t>
      </w:r>
      <w:r w:rsidR="000E15DC" w:rsidRPr="000E15DC">
        <w:rPr>
          <w:rFonts w:ascii="Arial" w:hAnsi="Arial" w:cs="Arial"/>
          <w:sz w:val="22"/>
          <w:szCs w:val="22"/>
          <w:shd w:val="clear" w:color="auto" w:fill="FFFFFF"/>
        </w:rPr>
        <w:t>RNA induced silencing complex -</w:t>
      </w:r>
      <w:r w:rsidRPr="000E15DC">
        <w:rPr>
          <w:rFonts w:ascii="Arial" w:hAnsi="Arial" w:cs="Arial"/>
          <w:sz w:val="22"/>
          <w:szCs w:val="22"/>
          <w:shd w:val="clear" w:color="auto" w:fill="FFFFFF"/>
        </w:rPr>
        <w:t>RISC) yük</w:t>
      </w:r>
      <w:r w:rsidRPr="0057704D">
        <w:rPr>
          <w:rFonts w:ascii="Arial" w:hAnsi="Arial" w:cs="Arial"/>
          <w:sz w:val="22"/>
          <w:szCs w:val="22"/>
          <w:shd w:val="clear" w:color="auto" w:fill="FFFFFF"/>
        </w:rPr>
        <w:t xml:space="preserve">lenir </w:t>
      </w:r>
      <w:r w:rsidR="00BC3BBB" w:rsidRPr="0057704D">
        <w:rPr>
          <w:rFonts w:ascii="Arial" w:hAnsi="Arial" w:cs="Arial"/>
          <w:sz w:val="22"/>
          <w:szCs w:val="22"/>
          <w:shd w:val="clear" w:color="auto" w:fill="FFFFFF"/>
        </w:rPr>
        <w:fldChar w:fldCharType="begin" w:fldLock="1"/>
      </w:r>
      <w:r w:rsidRPr="0057704D">
        <w:rPr>
          <w:rFonts w:ascii="Arial" w:hAnsi="Arial" w:cs="Arial"/>
          <w:sz w:val="22"/>
          <w:szCs w:val="22"/>
          <w:shd w:val="clear" w:color="auto" w:fill="FFFFFF"/>
        </w:rPr>
        <w:instrText>ADDIN CSL_CITATION { "citationItems" : [ { "id" : "ITEM-1", "itemData" : { "DOI" : "10.1038/nrm1644", "ISBN" : "doi:10.1038/nrm1644", "ISSN" : "1471-0072", "PMID" : "15852042", "abstract" : "The recent discovery of microRNAs (miRNAs) took many by surprise because of their unorthodox features and widespread functions. These tiny, approximately 22-nucleotide, RNAs control several pathways including developmental timing, haematopoiesis, organogenesis, apoptosis, cell proliferation and possibly even tumorigenesis. Among the most pressing questions regarding this unusual class of regulatory miRNA-encoding genes is how miRNAs are produced in cells and how the genes themselves are controlled by various regulatory networks.", "author" : [ { "dropping-particle" : "", "family" : "Kim", "given" : "V. Narry", "non-dropping-particle" : "", "parse-names" : false, "suffix" : "" } ], "container-title" : "Nature Reviews Molecular Cell Biology", "id" : "ITEM-1", "issue" : "5", "issued" : { "date-parts" : [ [ "2005" ] ] }, "page" : "376-385", "title" : "MicroRNA biogenesis: coordinated cropping and dicing", "type" : "article-journal", "volume" : "6" }, "uris" : [ "http://www.mendeley.com/documents/?uuid=af9f48ed-9eed-4477-8832-ac99c581a633" ] } ], "mendeley" : { "formattedCitation" : "(218)", "plainTextFormattedCitation" : "(218)", "previouslyFormattedCitation" : "(218)" }, "properties" : { "noteIndex" : 21 }, "schema" : "https://github.com/citation-style-language/schema/raw/master/csl-citation.json" }</w:instrText>
      </w:r>
      <w:r w:rsidR="00BC3BBB" w:rsidRPr="0057704D">
        <w:rPr>
          <w:rFonts w:ascii="Arial" w:hAnsi="Arial" w:cs="Arial"/>
          <w:sz w:val="22"/>
          <w:szCs w:val="22"/>
          <w:shd w:val="clear" w:color="auto" w:fill="FFFFFF"/>
        </w:rPr>
        <w:fldChar w:fldCharType="separate"/>
      </w:r>
      <w:r w:rsidRPr="0057704D">
        <w:rPr>
          <w:rFonts w:ascii="Arial" w:hAnsi="Arial" w:cs="Arial"/>
          <w:noProof/>
          <w:sz w:val="22"/>
          <w:szCs w:val="22"/>
          <w:shd w:val="clear" w:color="auto" w:fill="FFFFFF"/>
        </w:rPr>
        <w:t>(218)</w:t>
      </w:r>
      <w:r w:rsidR="00BC3BBB" w:rsidRPr="0057704D">
        <w:rPr>
          <w:rFonts w:ascii="Arial" w:hAnsi="Arial" w:cs="Arial"/>
          <w:sz w:val="22"/>
          <w:szCs w:val="22"/>
          <w:shd w:val="clear" w:color="auto" w:fill="FFFFFF"/>
        </w:rPr>
        <w:fldChar w:fldCharType="end"/>
      </w:r>
      <w:r w:rsidRPr="0057704D">
        <w:rPr>
          <w:rFonts w:ascii="Arial" w:hAnsi="Arial" w:cs="Arial"/>
          <w:sz w:val="22"/>
          <w:szCs w:val="22"/>
          <w:lang w:val="en-US" w:eastAsia="en-US"/>
        </w:rPr>
        <w:t xml:space="preserve">. RISC’e dahil olan matür miRNA sarmalı, pre-miRNA’nın 3’ veya 5’ bölgesinden kaynaklanabilir, buna bağlı olarak isimlerine sırasıyla 3p ve 5p </w:t>
      </w:r>
      <w:r w:rsidRPr="0057704D">
        <w:rPr>
          <w:rFonts w:ascii="Arial" w:hAnsi="Arial" w:cs="Arial"/>
          <w:sz w:val="22"/>
          <w:szCs w:val="22"/>
          <w:lang w:val="en-US" w:eastAsia="en-US"/>
        </w:rPr>
        <w:lastRenderedPageBreak/>
        <w:t xml:space="preserve">takıları eklenir </w:t>
      </w:r>
      <w:r w:rsidR="00BC3BBB" w:rsidRPr="0057704D">
        <w:rPr>
          <w:rFonts w:ascii="Arial" w:hAnsi="Arial" w:cs="Arial"/>
          <w:sz w:val="22"/>
          <w:szCs w:val="22"/>
          <w:lang w:val="en-US" w:eastAsia="en-US"/>
        </w:rPr>
        <w:fldChar w:fldCharType="begin" w:fldLock="1"/>
      </w:r>
      <w:r w:rsidRPr="0057704D">
        <w:rPr>
          <w:rFonts w:ascii="Arial" w:hAnsi="Arial" w:cs="Arial"/>
          <w:sz w:val="22"/>
          <w:szCs w:val="22"/>
          <w:lang w:val="en-US" w:eastAsia="en-US"/>
        </w:rPr>
        <w:instrText>ADDIN CSL_CITATION { "citationItems" : [ { "id" : "ITEM-1", "itemData" : { "DOI" : "10.1093/nar/gkq1027", "ISBN" : "1362-4962 (Electronic)\\r0305-1048 (Linking)", "ISSN" : "03051048", "PMID" : "21037258", "abstract" : "miRBase is the primary online repository for all microRNA sequences and annotation. The current release (miRBase 16) contains over 15,000 microRNA gene loci in over 140 species, and over 17,000 distinct mature microRNA sequences. Deep-sequencing technologies have delivered a sharp rise in the rate of novel microRNA discovery. We have mapped reads from short RNA deep-sequencing experiments to microRNAs in miRBase and developed web interfaces to view these mappings. The user can view all read data associated with a given microRNA annotation, filter reads by experiment and count, and search for microRNAs by tissue- and stage-specific expression. These data can be used as a proxy for relative expression levels of microRNA sequences, provide detailed evidence for microRNA annotations and alternative isoforms of mature microRNAs, and allow us to revisit previous annotations. miRBase is available online at: http://www.mirbase.org/.", "author" : [ { "dropping-particle" : "", "family" : "Kozomara", "given" : "Ana", "non-dropping-particle" : "", "parse-names" : false, "suffix" : "" }, { "dropping-particle" : "", "family" : "Griffiths-Jones", "given" : "Sam", "non-dropping-particle" : "", "parse-names" : false, "suffix" : "" } ], "container-title" : "Nucleic Acids Research", "id" : "ITEM-1", "issue" : "SUPPL. 1", "issued" : { "date-parts" : [ [ "2011" ] ] }, "title" : "MiRBase: Integrating microRNA annotation and deep-sequencing data", "type" : "article-journal", "volume" : "39" }, "uris" : [ "http://www.mendeley.com/documents/?uuid=f10748bc-4d1d-4f3e-93c6-9bcb438d42bb" ] } ], "mendeley" : { "formattedCitation" : "(219)", "plainTextFormattedCitation" : "(219)", "previouslyFormattedCitation" : "(219)" }, "properties" : { "noteIndex" : 21 }, "schema" : "https://github.com/citation-style-language/schema/raw/master/csl-citation.json" }</w:instrText>
      </w:r>
      <w:r w:rsidR="00BC3BBB" w:rsidRPr="0057704D">
        <w:rPr>
          <w:rFonts w:ascii="Arial" w:hAnsi="Arial" w:cs="Arial"/>
          <w:sz w:val="22"/>
          <w:szCs w:val="22"/>
          <w:lang w:val="en-US" w:eastAsia="en-US"/>
        </w:rPr>
        <w:fldChar w:fldCharType="separate"/>
      </w:r>
      <w:r w:rsidRPr="0057704D">
        <w:rPr>
          <w:rFonts w:ascii="Arial" w:hAnsi="Arial" w:cs="Arial"/>
          <w:noProof/>
          <w:sz w:val="22"/>
          <w:szCs w:val="22"/>
          <w:lang w:val="en-US" w:eastAsia="en-US"/>
        </w:rPr>
        <w:t>(219)</w:t>
      </w:r>
      <w:r w:rsidR="00BC3BBB" w:rsidRPr="0057704D">
        <w:rPr>
          <w:rFonts w:ascii="Arial" w:hAnsi="Arial" w:cs="Arial"/>
          <w:sz w:val="22"/>
          <w:szCs w:val="22"/>
          <w:lang w:val="en-US" w:eastAsia="en-US"/>
        </w:rPr>
        <w:fldChar w:fldCharType="end"/>
      </w:r>
      <w:r w:rsidRPr="0057704D">
        <w:rPr>
          <w:rFonts w:ascii="Arial" w:hAnsi="Arial" w:cs="Arial"/>
          <w:sz w:val="22"/>
          <w:szCs w:val="22"/>
          <w:lang w:val="en-US" w:eastAsia="en-US"/>
        </w:rPr>
        <w:t xml:space="preserve">. </w:t>
      </w:r>
      <w:r w:rsidRPr="0057704D">
        <w:rPr>
          <w:rFonts w:ascii="Arial" w:hAnsi="Arial" w:cs="Arial"/>
          <w:sz w:val="22"/>
          <w:szCs w:val="22"/>
          <w:shd w:val="clear" w:color="auto" w:fill="FFFFFF"/>
        </w:rPr>
        <w:t xml:space="preserve">Bu miRNA yüklü RISC, miRNA çekirdeği bölgesiyle hedef mRNA'ya bağlanır ve gen ekspresyonunu modüle eder </w:t>
      </w:r>
      <w:r w:rsidR="00BC3BBB" w:rsidRPr="0057704D">
        <w:rPr>
          <w:rFonts w:ascii="Arial" w:hAnsi="Arial" w:cs="Arial"/>
          <w:sz w:val="22"/>
          <w:szCs w:val="22"/>
          <w:shd w:val="clear" w:color="auto" w:fill="FFFFFF"/>
        </w:rPr>
        <w:fldChar w:fldCharType="begin" w:fldLock="1"/>
      </w:r>
      <w:r w:rsidRPr="0057704D">
        <w:rPr>
          <w:rFonts w:ascii="Arial" w:hAnsi="Arial" w:cs="Arial"/>
          <w:sz w:val="22"/>
          <w:szCs w:val="22"/>
          <w:shd w:val="clear" w:color="auto" w:fill="FFFFFF"/>
        </w:rPr>
        <w:instrText>ADDIN CSL_CITATION { "citationItems" : [ { "id" : "ITEM-1", "itemData" : { "DOI" : "10.1016/S0092-8674(03)01018-3", "ISBN" : "0092-8674", "ISSN" : "00928674", "PMID" : "14697198", "abstract" : "MicroRNAs (miRNAs) can play important gene regulatory roles in nematodes, insects, and plants by basepairing to mRNAs to specify posttranscriptional repression of these messages. However, the mRNAs regulated by vertebrate miRNAs are all unknown. Here we predict more than 400 regulatory target genes for the conserved vertebrate miRNAs by identifying mRNAs with conserved pairing to the 5\u2032 region of the miRNA and evaluating the number and quality of these complementary sites. Rigorous tests using shuffled miRNA controls supported a majority of these predictions, with the fraction of false positives estimated at 31% for targets identified in human, mouse, and rat and 22% for targets identified in pufferfish as well as mammals. Eleven predicted targets (out of 15 tested) were supported experimentally using a HeLa cell reporter system. The predicted regulatory targets of mammalian miRNAs were enriched for genes involved in transcriptional regulation but also encompassed an unexpectedly broad range of other functions.", "author" : [ { "dropping-particle" : "", "family" : "Lewis", "given" : "Benjamin P.", "non-dropping-particle" : "", "parse-names" : false, "suffix" : "" }, { "dropping-particle" : "", "family" : "Shih", "given" : "I. Hung", "non-dropping-particle" : "", "parse-names" : false, "suffix" : "" }, { "dropping-particle" : "", "family" : "Jones-Rhoades", "given" : "Matthew W.", "non-dropping-particle" : "", "parse-names" : false, "suffix" : "" }, { "dropping-particle" : "", "family" : "Bartel", "given" : "David P.", "non-dropping-particle" : "", "parse-names" : false, "suffix" : "" }, { "dropping-particle" : "", "family" : "Burge", "given" : "Christopher B.", "non-dropping-particle" : "", "parse-names" : false, "suffix" : "" } ], "container-title" : "Cell", "id" : "ITEM-1", "issue" : "7", "issued" : { "date-parts" : [ [ "2003" ] ] }, "page" : "787-798", "title" : "Prediction of Mammalian MicroRNA Targets", "type" : "article-journal", "volume" : "115" }, "uris" : [ "http://www.mendeley.com/documents/?uuid=7ccfbf39-90eb-4503-943e-c83a32fd8781" ] } ], "mendeley" : { "formattedCitation" : "(214)", "plainTextFormattedCitation" : "(214)", "previouslyFormattedCitation" : "(214)" }, "properties" : { "noteIndex" : 21 }, "schema" : "https://github.com/citation-style-language/schema/raw/master/csl-citation.json" }</w:instrText>
      </w:r>
      <w:r w:rsidR="00BC3BBB" w:rsidRPr="0057704D">
        <w:rPr>
          <w:rFonts w:ascii="Arial" w:hAnsi="Arial" w:cs="Arial"/>
          <w:sz w:val="22"/>
          <w:szCs w:val="22"/>
          <w:shd w:val="clear" w:color="auto" w:fill="FFFFFF"/>
        </w:rPr>
        <w:fldChar w:fldCharType="separate"/>
      </w:r>
      <w:r w:rsidRPr="0057704D">
        <w:rPr>
          <w:rFonts w:ascii="Arial" w:hAnsi="Arial" w:cs="Arial"/>
          <w:noProof/>
          <w:sz w:val="22"/>
          <w:szCs w:val="22"/>
          <w:shd w:val="clear" w:color="auto" w:fill="FFFFFF"/>
        </w:rPr>
        <w:t>(214)</w:t>
      </w:r>
      <w:r w:rsidR="00BC3BBB" w:rsidRPr="0057704D">
        <w:rPr>
          <w:rFonts w:ascii="Arial" w:hAnsi="Arial" w:cs="Arial"/>
          <w:sz w:val="22"/>
          <w:szCs w:val="22"/>
          <w:shd w:val="clear" w:color="auto" w:fill="FFFFFF"/>
        </w:rPr>
        <w:fldChar w:fldCharType="end"/>
      </w:r>
      <w:r w:rsidRPr="0057704D">
        <w:rPr>
          <w:rFonts w:ascii="Arial" w:hAnsi="Arial" w:cs="Arial"/>
          <w:sz w:val="22"/>
          <w:szCs w:val="22"/>
          <w:shd w:val="clear" w:color="auto" w:fill="FFFFFF"/>
        </w:rPr>
        <w:t xml:space="preserve"> (</w:t>
      </w:r>
      <w:r w:rsidRPr="0057704D">
        <w:rPr>
          <w:rFonts w:ascii="Arial" w:hAnsi="Arial" w:cs="Arial"/>
          <w:sz w:val="22"/>
          <w:szCs w:val="22"/>
        </w:rPr>
        <w:t>Bkz. Şekil 1).</w:t>
      </w:r>
    </w:p>
    <w:p w:rsidR="00EC4DCF" w:rsidRPr="0057704D" w:rsidRDefault="00EC4DCF" w:rsidP="00EC4DCF">
      <w:pPr>
        <w:pStyle w:val="HTMLncedenBiimlendirilmi"/>
        <w:shd w:val="clear" w:color="auto" w:fill="FFFFFF"/>
        <w:spacing w:line="360" w:lineRule="auto"/>
        <w:jc w:val="both"/>
        <w:rPr>
          <w:rFonts w:ascii="Arial" w:hAnsi="Arial" w:cs="Arial"/>
          <w:sz w:val="22"/>
          <w:szCs w:val="22"/>
        </w:rPr>
      </w:pPr>
      <w:r w:rsidRPr="0057704D">
        <w:rPr>
          <w:rFonts w:ascii="Arial" w:hAnsi="Arial" w:cs="Arial"/>
          <w:sz w:val="22"/>
          <w:szCs w:val="22"/>
        </w:rPr>
        <w:tab/>
      </w:r>
      <w:r w:rsidR="00C6481A" w:rsidRPr="008B58D5">
        <w:rPr>
          <w:rFonts w:ascii="Arial" w:hAnsi="Arial" w:cs="Arial"/>
          <w:sz w:val="22"/>
          <w:szCs w:val="22"/>
        </w:rPr>
        <w:t>miRNA’lar</w:t>
      </w:r>
      <w:r w:rsidR="00C6481A">
        <w:rPr>
          <w:rFonts w:ascii="Arial" w:hAnsi="Arial" w:cs="Arial"/>
          <w:sz w:val="22"/>
          <w:szCs w:val="22"/>
        </w:rPr>
        <w:t>,</w:t>
      </w:r>
      <w:r w:rsidR="00C6481A" w:rsidRPr="008B58D5">
        <w:rPr>
          <w:rFonts w:ascii="Arial" w:hAnsi="Arial" w:cs="Arial"/>
          <w:sz w:val="22"/>
          <w:szCs w:val="22"/>
        </w:rPr>
        <w:t xml:space="preserve"> keş</w:t>
      </w:r>
      <w:r w:rsidR="00C6481A">
        <w:rPr>
          <w:rFonts w:ascii="Arial" w:hAnsi="Arial" w:cs="Arial"/>
          <w:sz w:val="22"/>
          <w:szCs w:val="22"/>
        </w:rPr>
        <w:t>ifleri sonrasında</w:t>
      </w:r>
      <w:r w:rsidRPr="0057704D">
        <w:rPr>
          <w:rFonts w:ascii="Arial" w:hAnsi="Arial" w:cs="Arial"/>
          <w:sz w:val="22"/>
          <w:szCs w:val="22"/>
        </w:rPr>
        <w:t xml:space="preserve">, bir türe ait sayılarını ve hedeflerini belirlemek, ayrıca hücresel işlevleri düzenleyen etki mekanizmalarını anlamak için çokça çalışılmıştır. </w:t>
      </w:r>
      <w:r w:rsidRPr="0057704D">
        <w:rPr>
          <w:rFonts w:ascii="Arial" w:hAnsi="Arial" w:cs="Arial"/>
          <w:sz w:val="22"/>
          <w:szCs w:val="22"/>
          <w:shd w:val="clear" w:color="auto" w:fill="FFFFFF"/>
        </w:rPr>
        <w:t xml:space="preserve">Haziran 2014 MiRBase 21. yayınına göre, açıklanmış olgun ve öncü insan miRNA'larının toplam sayısı sırasıyla 2588 ve 1881'dir </w:t>
      </w:r>
      <w:r w:rsidR="00BC3BBB" w:rsidRPr="0057704D">
        <w:rPr>
          <w:rFonts w:ascii="Arial" w:hAnsi="Arial" w:cs="Arial"/>
          <w:sz w:val="22"/>
          <w:szCs w:val="22"/>
          <w:shd w:val="clear" w:color="auto" w:fill="FFFFFF"/>
        </w:rPr>
        <w:fldChar w:fldCharType="begin" w:fldLock="1"/>
      </w:r>
      <w:r w:rsidRPr="0057704D">
        <w:rPr>
          <w:rFonts w:ascii="Arial" w:hAnsi="Arial" w:cs="Arial"/>
          <w:sz w:val="22"/>
          <w:szCs w:val="22"/>
          <w:shd w:val="clear" w:color="auto" w:fill="FFFFFF"/>
        </w:rPr>
        <w:instrText>ADDIN CSL_CITATION { "citationItems" : [ { "id" : "ITEM-1", "itemData" : { "DOI" : "10.1093/nar/gkq1027", "ISBN" : "1362-4962 (Electronic)\\r0305-1048 (Linking)", "ISSN" : "03051048", "PMID" : "21037258", "abstract" : "miRBase is the primary online repository for all microRNA sequences and annotation. The current release (miRBase 16) contains over 15,000 microRNA gene loci in over 140 species, and over 17,000 distinct mature microRNA sequences. Deep-sequencing technologies have delivered a sharp rise in the rate of novel microRNA discovery. We have mapped reads from short RNA deep-sequencing experiments to microRNAs in miRBase and developed web interfaces to view these mappings. The user can view all read data associated with a given microRNA annotation, filter reads by experiment and count, and search for microRNAs by tissue- and stage-specific expression. These data can be used as a proxy for relative expression levels of microRNA sequences, provide detailed evidence for microRNA annotations and alternative isoforms of mature microRNAs, and allow us to revisit previous annotations. miRBase is available online at: http://www.mirbase.org/.", "author" : [ { "dropping-particle" : "", "family" : "Kozomara", "given" : "Ana", "non-dropping-particle" : "", "parse-names" : false, "suffix" : "" }, { "dropping-particle" : "", "family" : "Griffiths-Jones", "given" : "Sam", "non-dropping-particle" : "", "parse-names" : false, "suffix" : "" } ], "container-title" : "Nucleic Acids Research", "id" : "ITEM-1", "issue" : "SUPPL. 1", "issued" : { "date-parts" : [ [ "2011" ] ] }, "title" : "MiRBase: Integrating microRNA annotation and deep-sequencing data", "type" : "article-journal", "volume" : "39" }, "uris" : [ "http://www.mendeley.com/documents/?uuid=f10748bc-4d1d-4f3e-93c6-9bcb438d42bb" ] } ], "mendeley" : { "formattedCitation" : "(219)", "plainTextFormattedCitation" : "(219)", "previouslyFormattedCitation" : "(219)" }, "properties" : { "noteIndex" : 22 }, "schema" : "https://github.com/citation-style-language/schema/raw/master/csl-citation.json" }</w:instrText>
      </w:r>
      <w:r w:rsidR="00BC3BBB" w:rsidRPr="0057704D">
        <w:rPr>
          <w:rFonts w:ascii="Arial" w:hAnsi="Arial" w:cs="Arial"/>
          <w:sz w:val="22"/>
          <w:szCs w:val="22"/>
          <w:shd w:val="clear" w:color="auto" w:fill="FFFFFF"/>
        </w:rPr>
        <w:fldChar w:fldCharType="separate"/>
      </w:r>
      <w:r w:rsidRPr="0057704D">
        <w:rPr>
          <w:rFonts w:ascii="Arial" w:hAnsi="Arial" w:cs="Arial"/>
          <w:noProof/>
          <w:sz w:val="22"/>
          <w:szCs w:val="22"/>
          <w:shd w:val="clear" w:color="auto" w:fill="FFFFFF"/>
        </w:rPr>
        <w:t>(219)</w:t>
      </w:r>
      <w:r w:rsidR="00BC3BBB" w:rsidRPr="0057704D">
        <w:rPr>
          <w:rFonts w:ascii="Arial" w:hAnsi="Arial" w:cs="Arial"/>
          <w:sz w:val="22"/>
          <w:szCs w:val="22"/>
          <w:shd w:val="clear" w:color="auto" w:fill="FFFFFF"/>
        </w:rPr>
        <w:fldChar w:fldCharType="end"/>
      </w:r>
      <w:r w:rsidRPr="0057704D">
        <w:rPr>
          <w:rFonts w:ascii="Arial" w:hAnsi="Arial" w:cs="Arial"/>
          <w:sz w:val="22"/>
          <w:szCs w:val="22"/>
          <w:shd w:val="clear" w:color="auto" w:fill="FFFFFF"/>
        </w:rPr>
        <w:t xml:space="preserve">. Tüm protein kodlayan genlerin ~% 50'sinin miRNA'lar tarafından modüle edildiği tahmin edilmektedir </w:t>
      </w:r>
      <w:r w:rsidR="00BC3BBB" w:rsidRPr="0057704D">
        <w:rPr>
          <w:rFonts w:ascii="Arial" w:hAnsi="Arial" w:cs="Arial"/>
          <w:sz w:val="22"/>
          <w:szCs w:val="22"/>
          <w:shd w:val="clear" w:color="auto" w:fill="FFFFFF"/>
        </w:rPr>
        <w:fldChar w:fldCharType="begin" w:fldLock="1"/>
      </w:r>
      <w:r w:rsidR="0037573A" w:rsidRPr="0057704D">
        <w:rPr>
          <w:rFonts w:ascii="Arial" w:hAnsi="Arial" w:cs="Arial"/>
          <w:sz w:val="22"/>
          <w:szCs w:val="22"/>
          <w:shd w:val="clear" w:color="auto" w:fill="FFFFFF"/>
        </w:rPr>
        <w:instrText>ADDIN CSL_CITATION { "citationItems" : [ { "id" : "ITEM-1", "itemData" : { "DOI" : "10.1038/nrg2843", "ISBN" : "1471-0064; 1471-0056", "ISSN" : "1471-0056", "PMID" : "20661255", "abstract" : "MicroRNAs (miRNAs) are a large family of post-transcriptional regulators of gene expression that are approximately 21 nucleotides in length and control many developmental and cellular processes in eukaryotic organisms. Research during the past decade has identified major factors participating in miRNA biogenesis and has established basic principles of miRNA function. More recently, it has become apparent that miRNA regulators themselves are subject to sophisticated control. Many reports over the past few years have reported the regulation of miRNA metabolism and function by a range of mechanisms involving numerous protein-protein and protein-RNA interactions. Such regulation has an important role in the context-specific functions of miRNAs.", "author" : [ { "dropping-particle" : "", "family" : "Krol", "given" : "Jacek", "non-dropping-particle" : "", "parse-names" : false, "suffix" : "" }, { "dropping-particle" : "", "family" : "Loedige", "given" : "Inga", "non-dropping-particle" : "", "parse-names" : false, "suffix" : "" }, { "dropping-particle" : "", "family" : "Filipowicz", "given" : "Witold", "non-dropping-particle" : "", "parse-names" : false, "suffix" : "" } ], "container-title" : "Nature Reviews Genetics", "id" : "ITEM-1", "issued" : { "date-parts" : [ [ "2010" ] ] }, "title" : "The widespread regulation of microRNA biogenesis, function and decay", "type" : "article-journal" }, "uris" : [ "http://www.mendeley.com/documents/?uuid=2842afcf-844c-469b-b446-f81f68c16880" ] } ], "mendeley" : { "formattedCitation" : "(220)", "plainTextFormattedCitation" : "(220)", "previouslyFormattedCitation" : "(220)" }, "properties" : { "noteIndex" : 22 }, "schema" : "https://github.com/citation-style-language/schema/raw/master/csl-citation.json" }</w:instrText>
      </w:r>
      <w:r w:rsidR="00BC3BBB" w:rsidRPr="0057704D">
        <w:rPr>
          <w:rFonts w:ascii="Arial" w:hAnsi="Arial" w:cs="Arial"/>
          <w:sz w:val="22"/>
          <w:szCs w:val="22"/>
          <w:shd w:val="clear" w:color="auto" w:fill="FFFFFF"/>
        </w:rPr>
        <w:fldChar w:fldCharType="separate"/>
      </w:r>
      <w:r w:rsidR="00BF1F00" w:rsidRPr="0057704D">
        <w:rPr>
          <w:rFonts w:ascii="Arial" w:hAnsi="Arial" w:cs="Arial"/>
          <w:noProof/>
          <w:sz w:val="22"/>
          <w:szCs w:val="22"/>
          <w:shd w:val="clear" w:color="auto" w:fill="FFFFFF"/>
        </w:rPr>
        <w:t>(220)</w:t>
      </w:r>
      <w:r w:rsidR="00BC3BBB" w:rsidRPr="0057704D">
        <w:rPr>
          <w:rFonts w:ascii="Arial" w:hAnsi="Arial" w:cs="Arial"/>
          <w:sz w:val="22"/>
          <w:szCs w:val="22"/>
          <w:shd w:val="clear" w:color="auto" w:fill="FFFFFF"/>
        </w:rPr>
        <w:fldChar w:fldCharType="end"/>
      </w:r>
      <w:r w:rsidRPr="0057704D">
        <w:rPr>
          <w:rFonts w:ascii="Arial" w:hAnsi="Arial" w:cs="Arial"/>
          <w:sz w:val="22"/>
          <w:szCs w:val="22"/>
          <w:shd w:val="clear" w:color="auto" w:fill="FFFFFF"/>
        </w:rPr>
        <w:t xml:space="preserve">. miRNA'lar koordineli bir şekilde mRNA'yı modüle etmek için muazzam bir potansiyele sahiptir, çünkü tek bir miRNA birden fazla mRNA hedefine sahip olabilir ve farklı miRNA'lar aynı anda tek bir mRNA'yı hedefleyebilir. miRNA’lar hücre ve doku tipindeki protein profillerini özgül bir şekilde etkiler ve bu nedenle hemen hemen her </w:t>
      </w:r>
      <w:r w:rsidR="00C6481A">
        <w:rPr>
          <w:rFonts w:ascii="Arial" w:hAnsi="Arial" w:cs="Arial"/>
          <w:sz w:val="22"/>
          <w:szCs w:val="22"/>
          <w:shd w:val="clear" w:color="auto" w:fill="FFFFFF"/>
        </w:rPr>
        <w:t>biyolojik fonksiyona dahil old</w:t>
      </w:r>
      <w:r w:rsidRPr="0057704D">
        <w:rPr>
          <w:rFonts w:ascii="Arial" w:hAnsi="Arial" w:cs="Arial"/>
          <w:sz w:val="22"/>
          <w:szCs w:val="22"/>
          <w:shd w:val="clear" w:color="auto" w:fill="FFFFFF"/>
        </w:rPr>
        <w:t xml:space="preserve">ukları ileri sürülmektedir </w:t>
      </w:r>
      <w:r w:rsidR="00BC3BBB" w:rsidRPr="0057704D">
        <w:rPr>
          <w:rFonts w:ascii="Arial" w:hAnsi="Arial" w:cs="Arial"/>
          <w:sz w:val="22"/>
          <w:szCs w:val="22"/>
          <w:shd w:val="clear" w:color="auto" w:fill="FFFFFF"/>
        </w:rPr>
        <w:fldChar w:fldCharType="begin" w:fldLock="1"/>
      </w:r>
      <w:r w:rsidR="0037573A" w:rsidRPr="0057704D">
        <w:rPr>
          <w:rFonts w:ascii="Arial" w:hAnsi="Arial" w:cs="Arial"/>
          <w:sz w:val="22"/>
          <w:szCs w:val="22"/>
          <w:shd w:val="clear" w:color="auto" w:fill="FFFFFF"/>
        </w:rPr>
        <w:instrText>ADDIN CSL_CITATION { "citationItems" : [ { "id" : "ITEM-1", "itemData" : { "DOI" : "10.1007/s12402-017-0232-y", "ISSN" : "18666647", "PMID" : "28493018", "abstract" : "Attention deficit hyperactivity disorder (ADHD) is a neuropsychiatric disorder whose aetiology still remains elusive. Nevertheless, evidence supports a high genetic contribution that interacts with environmental factors, also known to modulate epigenetic processes. These epigenetic modulators are a class of non-coding RNAs, microRNAs (miRNAs), known as post-transcriptional regulators, which have emerged as prospective players in neuropsychiatric disorders since they play a role in brain development, synapse formation, and the fine-tuning of genes underlying synaptic and memory formation. Here, we review the current literature following a systematic search up until August 2016. The keywords used were \"ADHD\", \"attention deficit hyperactivity disorder\", \"attention hyperactivity\" in combination with \"miRNA\" or \"microRNA\". A total of 9 studies out of 34 met inclusion criteria. The results provide preliminary information, shedding light on two important aspects. First, it depicts that miRNAs modulate expression of genes (BDNF, DAT1, HTR2C, HTR1B, SNAP-25) linked to ADHD aetiology. Dysregulation of miRNAs affects regulatory mechanisms of aforementioned genes, which may affect neurodevelopmental processes leading to alterations. Secondly, altered peripheral miRNA levels are observed in both ADHD animal model and humans, suggesting a notion of utilizing circulatory miRNA in disease diagnosis. Therefore, deciphering the role of miRNAs in ADHD seems a promising step in understanding its aetiology.", "author" : [ { "dropping-particle" : "", "family" : "Srivastav", "given" : "Saurabh", "non-dropping-particle" : "", "parse-names" : false, "suffix" : "" }, { "dropping-particle" : "", "family" : "Walitza", "given" : "Susanne", "non-dropping-particle" : "", "parse-names" : false, "suffix" : "" }, { "dropping-particle" : "", "family" : "Gr\u00fcnblatt", "given" : "Edna", "non-dropping-particle" : "", "parse-names" : false, "suffix" : "" } ], "container-title" : "ADHD Attention Deficit and Hyperactivity Disorders", "id" : "ITEM-1", "issued" : { "date-parts" : [ [ "2017" ] ] }, "page" : "1-15", "title" : "Emerging role of miRNA in attention deficit hyperactivity disorder: a systematic review", "type" : "article-journal" }, "uris" : [ "http://www.mendeley.com/documents/?uuid=b9d3cf34-4998-462f-a191-23291ffc9e01" ] } ], "mendeley" : { "formattedCitation" : "(221)", "plainTextFormattedCitation" : "(221)", "previouslyFormattedCitation" : "(221)" }, "properties" : { "noteIndex" : 22 }, "schema" : "https://github.com/citation-style-language/schema/raw/master/csl-citation.json" }</w:instrText>
      </w:r>
      <w:r w:rsidR="00BC3BBB" w:rsidRPr="0057704D">
        <w:rPr>
          <w:rFonts w:ascii="Arial" w:hAnsi="Arial" w:cs="Arial"/>
          <w:sz w:val="22"/>
          <w:szCs w:val="22"/>
          <w:shd w:val="clear" w:color="auto" w:fill="FFFFFF"/>
        </w:rPr>
        <w:fldChar w:fldCharType="separate"/>
      </w:r>
      <w:r w:rsidR="00BF1F00" w:rsidRPr="0057704D">
        <w:rPr>
          <w:rFonts w:ascii="Arial" w:hAnsi="Arial" w:cs="Arial"/>
          <w:noProof/>
          <w:sz w:val="22"/>
          <w:szCs w:val="22"/>
          <w:shd w:val="clear" w:color="auto" w:fill="FFFFFF"/>
        </w:rPr>
        <w:t>(221)</w:t>
      </w:r>
      <w:r w:rsidR="00BC3BBB" w:rsidRPr="0057704D">
        <w:rPr>
          <w:rFonts w:ascii="Arial" w:hAnsi="Arial" w:cs="Arial"/>
          <w:sz w:val="22"/>
          <w:szCs w:val="22"/>
          <w:shd w:val="clear" w:color="auto" w:fill="FFFFFF"/>
        </w:rPr>
        <w:fldChar w:fldCharType="end"/>
      </w:r>
      <w:r w:rsidRPr="0057704D">
        <w:rPr>
          <w:rFonts w:ascii="Arial" w:hAnsi="Arial" w:cs="Arial"/>
          <w:sz w:val="22"/>
          <w:szCs w:val="22"/>
          <w:shd w:val="clear" w:color="auto" w:fill="FFFFFF"/>
        </w:rPr>
        <w:t xml:space="preserve">. </w:t>
      </w:r>
      <w:r w:rsidRPr="0057704D">
        <w:rPr>
          <w:rFonts w:ascii="Arial" w:hAnsi="Arial" w:cs="Arial"/>
          <w:sz w:val="22"/>
          <w:szCs w:val="22"/>
        </w:rPr>
        <w:t xml:space="preserve">Üstelik beyin bilinen miRNA'nın yaklaşık% 70'ini içermektedir </w:t>
      </w:r>
      <w:r w:rsidR="00BC3BBB" w:rsidRPr="0057704D">
        <w:rPr>
          <w:rFonts w:ascii="Arial" w:hAnsi="Arial" w:cs="Arial"/>
          <w:sz w:val="22"/>
          <w:szCs w:val="22"/>
        </w:rPr>
        <w:fldChar w:fldCharType="begin" w:fldLock="1"/>
      </w:r>
      <w:r w:rsidRPr="0057704D">
        <w:rPr>
          <w:rFonts w:ascii="Arial" w:hAnsi="Arial" w:cs="Arial"/>
          <w:sz w:val="22"/>
          <w:szCs w:val="22"/>
        </w:rPr>
        <w:instrText>ADDIN CSL_CITATION { "citationItems" : [ { "id" : "ITEM-1", "itemData" : { "DOI" : "10.1016/j.neuron.2009.10.020", "ISBN" : "1097-4199 (Electronic)", "ISSN" : "08966273", "PMID" : "19914179", "abstract" : "MicroRNAs (miRNAs) are endogenously expressed noncoding RNAs that regulate mRNA expression. In vertebrates, more distinct miRNAs are expressed in the brain than in any other tissue, where they are hypothesized to function in neural development. Recent reports describing the effects of specific miRNAs during development, and studies employing miRNA depletion as neural commitment proceeds in the embryo, support a requisite role for miRNAs in cell-fate decisions and provide clues to their function in other aspects of nervous system development. \u00a9 2009 Elsevier Inc. All rights reserved.", "author" : [ { "dropping-particle" : "", "family" : "Fineberg", "given" : "Sarah K.", "non-dropping-particle" : "", "parse-names" : false, "suffix" : "" }, { "dropping-particle" : "", "family" : "Kosik", "given" : "Kenneth S.", "non-dropping-particle" : "", "parse-names" : false, "suffix" : "" }, { "dropping-particle" : "", "family" : "Davidson", "given" : "Beverly L.", "non-dropping-particle" : "", "parse-names" : false, "suffix" : "" } ], "container-title" : "Neuron", "id" : "ITEM-1", "issue" : "3", "issued" : { "date-parts" : [ [ "2009" ] ] }, "page" : "303-309", "title" : "MicroRNAs Potentiate Neural Development", "type" : "article-journal", "volume" : "64" }, "uris" : [ "http://www.mendeley.com/documents/?uuid=59cda2e2-93b7-4059-a8f1-fd4c957bc8ce" ] } ], "mendeley" : { "formattedCitation" : "(222)", "plainTextFormattedCitation" : "(222)", "previouslyFormattedCitation" : "(222)" }, "properties" : { "noteIndex" : 22 }, "schema" : "https://github.com/citation-style-language/schema/raw/master/csl-citation.json" }</w:instrText>
      </w:r>
      <w:r w:rsidR="00BC3BBB" w:rsidRPr="0057704D">
        <w:rPr>
          <w:rFonts w:ascii="Arial" w:hAnsi="Arial" w:cs="Arial"/>
          <w:sz w:val="22"/>
          <w:szCs w:val="22"/>
        </w:rPr>
        <w:fldChar w:fldCharType="separate"/>
      </w:r>
      <w:r w:rsidRPr="0057704D">
        <w:rPr>
          <w:rFonts w:ascii="Arial" w:hAnsi="Arial" w:cs="Arial"/>
          <w:noProof/>
          <w:sz w:val="22"/>
          <w:szCs w:val="22"/>
        </w:rPr>
        <w:t>(222)</w:t>
      </w:r>
      <w:r w:rsidR="00BC3BBB" w:rsidRPr="0057704D">
        <w:rPr>
          <w:rFonts w:ascii="Arial" w:hAnsi="Arial" w:cs="Arial"/>
          <w:sz w:val="22"/>
          <w:szCs w:val="22"/>
        </w:rPr>
        <w:fldChar w:fldCharType="end"/>
      </w:r>
      <w:r w:rsidRPr="0057704D">
        <w:rPr>
          <w:rFonts w:ascii="Arial" w:hAnsi="Arial" w:cs="Arial"/>
          <w:sz w:val="22"/>
          <w:szCs w:val="22"/>
        </w:rPr>
        <w:t>.</w:t>
      </w:r>
      <w:r w:rsidRPr="0057704D">
        <w:rPr>
          <w:rFonts w:ascii="Arial" w:hAnsi="Arial" w:cs="Arial"/>
          <w:sz w:val="22"/>
          <w:szCs w:val="22"/>
          <w:shd w:val="clear" w:color="auto" w:fill="F7FBFE"/>
        </w:rPr>
        <w:t xml:space="preserve"> </w:t>
      </w:r>
      <w:r w:rsidRPr="0057704D">
        <w:rPr>
          <w:rStyle w:val="externalref"/>
          <w:rFonts w:ascii="Arial" w:hAnsi="Arial" w:cs="Arial"/>
          <w:sz w:val="22"/>
          <w:szCs w:val="22"/>
        </w:rPr>
        <w:t xml:space="preserve">Yüzlerce hedef transkriptin stabilitesinin ve translasyonunun modülasyonunu içeren ve böylece tüm gen ağlarını etkileyen miRNA'ların eşsiz eylem şekli, onları nöropsikiyatrik bileşenleri içeren karmaşık nörolojik bozukluklara ait çalışmalar için tercih edilen adaylar haline getirmektedir </w:t>
      </w:r>
      <w:r w:rsidR="00BC3BBB" w:rsidRPr="0057704D">
        <w:rPr>
          <w:rStyle w:val="externalref"/>
          <w:rFonts w:ascii="Arial" w:hAnsi="Arial" w:cs="Arial"/>
          <w:sz w:val="22"/>
          <w:szCs w:val="22"/>
        </w:rPr>
        <w:fldChar w:fldCharType="begin" w:fldLock="1"/>
      </w:r>
      <w:r w:rsidRPr="0057704D">
        <w:rPr>
          <w:rStyle w:val="externalref"/>
          <w:rFonts w:ascii="Arial" w:hAnsi="Arial" w:cs="Arial"/>
          <w:sz w:val="22"/>
          <w:szCs w:val="22"/>
        </w:rPr>
        <w:instrText>ADDIN CSL_CITATION { "citationItems" : [ { "id" : "ITEM-1", "itemData" : { "DOI" : "10.1517/13543784.2013.749237", "ISSN" : "1744-7658", "PMID" : "23253113", "abstract" : "INTRODUCTION Mood and anxiety disorders are among the major causes of disability worldwide. Despite clear need for better therapies, efforts to develop novel drugs have been relatively unsuccessful. One major reason is lack of translation into neuropsychopharmacology of the impressive recent array of knowledge accrued by clinical and preclinical researches on the brain. Here focus is on epigenetics mechanisms, including microRNAs, which seem particularly promising for the identification of new targets for alternative pharmacological approaches. AREAS COVERED First, the current knowledge about epigenetic mechanisms, including DNA methylation, posttranslational modification of histone proteins, focusing on histone methylation and acetylation, and posttranscriptional modulation of gene expression by microRNAs is described. Then evidence showing involvement of epigenetics and microRNAs in the pathophysiology of mood and anxiety disorders as well as evidence showing that some of the currently employed antidepressants and mood stabilizers also affect epigenetic and microRNA mechanisms are reviewed. Finally current evidence and novel approaches in favor of drugs regulating epigenetic and microRNA mechanisms as potential therapeutics for these disorders are discussed. EXPERT OPINION Although still in its infancy, research investigating the effects of pharmacological modulation of epigenetic and microRNA mechanisms in neuropsychiatric disorders continues to provide encouraging findings, suggesting new avenues for treatment of mood and anxiety disorders.", "author" : [ { "dropping-particle" : "", "family" : "Tardito", "given" : "Daniela", "non-dropping-particle" : "", "parse-names" : false, "suffix" : "" }, { "dropping-particle" : "", "family" : "Mallei", "given" : "Alessandra", "non-dropping-particle" : "", "parse-names" : false, "suffix" : "" }, { "dropping-particle" : "", "family" : "Popoli", "given" : "Maurizio", "non-dropping-particle" : "", "parse-names" : false, "suffix" : "" } ], "container-title" : "Expert opinion on investigational drugs", "id" : "ITEM-1", "issue" : "2", "issued" : { "date-parts" : [ [ "2013", "2", "19" ] ] }, "page" : "217-33", "title" : "Lost in translation. New unexplored avenues for neuropsychopharmacology: epigenetics and microRNAs.", "type" : "article-journal", "volume" : "22" }, "uris" : [ "http://www.mendeley.com/documents/?uuid=c8cca973-b78b-31f9-ac27-8128f6c20011" ] } ], "mendeley" : { "formattedCitation" : "(223)", "plainTextFormattedCitation" : "(223)", "previouslyFormattedCitation" : "(223)" }, "properties" : { "noteIndex" : 22 }, "schema" : "https://github.com/citation-style-language/schema/raw/master/csl-citation.json" }</w:instrText>
      </w:r>
      <w:r w:rsidR="00BC3BBB" w:rsidRPr="0057704D">
        <w:rPr>
          <w:rStyle w:val="externalref"/>
          <w:rFonts w:ascii="Arial" w:hAnsi="Arial" w:cs="Arial"/>
          <w:sz w:val="22"/>
          <w:szCs w:val="22"/>
        </w:rPr>
        <w:fldChar w:fldCharType="separate"/>
      </w:r>
      <w:r w:rsidRPr="0057704D">
        <w:rPr>
          <w:rStyle w:val="externalref"/>
          <w:rFonts w:ascii="Arial" w:hAnsi="Arial" w:cs="Arial"/>
          <w:noProof/>
          <w:sz w:val="22"/>
          <w:szCs w:val="22"/>
        </w:rPr>
        <w:t>(223)</w:t>
      </w:r>
      <w:r w:rsidR="00BC3BBB" w:rsidRPr="0057704D">
        <w:rPr>
          <w:rStyle w:val="externalref"/>
          <w:rFonts w:ascii="Arial" w:hAnsi="Arial" w:cs="Arial"/>
          <w:sz w:val="22"/>
          <w:szCs w:val="22"/>
        </w:rPr>
        <w:fldChar w:fldCharType="end"/>
      </w:r>
      <w:r w:rsidRPr="0057704D">
        <w:rPr>
          <w:rStyle w:val="externalref"/>
          <w:rFonts w:ascii="Arial" w:hAnsi="Arial" w:cs="Arial"/>
          <w:sz w:val="22"/>
          <w:szCs w:val="22"/>
        </w:rPr>
        <w:t xml:space="preserve">. </w:t>
      </w:r>
      <w:r w:rsidRPr="0057704D">
        <w:rPr>
          <w:rFonts w:ascii="Arial" w:hAnsi="Arial" w:cs="Arial"/>
          <w:sz w:val="22"/>
          <w:szCs w:val="22"/>
        </w:rPr>
        <w:t xml:space="preserve">Daha önce de </w:t>
      </w:r>
      <w:r w:rsidR="00C6481A">
        <w:rPr>
          <w:rFonts w:ascii="Arial" w:hAnsi="Arial" w:cs="Arial"/>
          <w:sz w:val="22"/>
          <w:szCs w:val="22"/>
        </w:rPr>
        <w:t>belirtildiği</w:t>
      </w:r>
      <w:r w:rsidRPr="0057704D">
        <w:rPr>
          <w:rFonts w:ascii="Arial" w:hAnsi="Arial" w:cs="Arial"/>
          <w:sz w:val="22"/>
          <w:szCs w:val="22"/>
        </w:rPr>
        <w:t xml:space="preserve"> gibi DEHB için etiyolojide yer alması muhtemel birçok aday geni vardır, fakat tek başına bu genlerin her birinin sadece küçük etkilere sahip olduğu ifade edilmetedir </w:t>
      </w:r>
      <w:r w:rsidR="00BC3BBB" w:rsidRPr="0057704D">
        <w:rPr>
          <w:rFonts w:ascii="Arial" w:hAnsi="Arial" w:cs="Arial"/>
          <w:sz w:val="22"/>
          <w:szCs w:val="22"/>
        </w:rPr>
        <w:fldChar w:fldCharType="begin" w:fldLock="1"/>
      </w:r>
      <w:r w:rsidR="0037573A" w:rsidRPr="0057704D">
        <w:rPr>
          <w:rFonts w:ascii="Arial" w:hAnsi="Arial" w:cs="Arial"/>
          <w:sz w:val="22"/>
          <w:szCs w:val="22"/>
        </w:rPr>
        <w:instrText>ADDIN CSL_CITATION { "citationItems" : [ { "id" : "ITEM-1", "itemData" : { "DOI" : "10.1007/s12402-017-0232-y", "ISSN" : "18666647", "PMID" : "28493018", "abstract" : "Attention deficit hyperactivity disorder (ADHD) is a neuropsychiatric disorder whose aetiology still remains elusive. Nevertheless, evidence supports a high genetic contribution that interacts with environmental factors, also known to modulate epigenetic processes. These epigenetic modulators are a class of non-coding RNAs, microRNAs (miRNAs), known as post-transcriptional regulators, which have emerged as prospective players in neuropsychiatric disorders since they play a role in brain development, synapse formation, and the fine-tuning of genes underlying synaptic and memory formation. Here, we review the current literature following a systematic search up until August 2016. The keywords used were \"ADHD\", \"attention deficit hyperactivity disorder\", \"attention hyperactivity\" in combination with \"miRNA\" or \"microRNA\". A total of 9 studies out of 34 met inclusion criteria. The results provide preliminary information, shedding light on two important aspects. First, it depicts that miRNAs modulate expression of genes (BDNF, DAT1, HTR2C, HTR1B, SNAP-25) linked to ADHD aetiology. Dysregulation of miRNAs affects regulatory mechanisms of aforementioned genes, which may affect neurodevelopmental processes leading to alterations. Secondly, altered peripheral miRNA levels are observed in both ADHD animal model and humans, suggesting a notion of utilizing circulatory miRNA in disease diagnosis. Therefore, deciphering the role of miRNAs in ADHD seems a promising step in understanding its aetiology.", "author" : [ { "dropping-particle" : "", "family" : "Srivastav", "given" : "Saurabh", "non-dropping-particle" : "", "parse-names" : false, "suffix" : "" }, { "dropping-particle" : "", "family" : "Walitza", "given" : "Susanne", "non-dropping-particle" : "", "parse-names" : false, "suffix" : "" }, { "dropping-particle" : "", "family" : "Gr\u00fcnblatt", "given" : "Edna", "non-dropping-particle" : "", "parse-names" : false, "suffix" : "" } ], "container-title" : "ADHD Attention Deficit and Hyperactivity Disorders", "id" : "ITEM-1", "issued" : { "date-parts" : [ [ "2017" ] ] }, "page" : "1-15", "title" : "Emerging role of miRNA in attention deficit hyperactivity disorder: a systematic review", "type" : "article-journal" }, "uris" : [ "http://www.mendeley.com/documents/?uuid=b9d3cf34-4998-462f-a191-23291ffc9e01" ] } ], "mendeley" : { "formattedCitation" : "(221)", "plainTextFormattedCitation" : "(221)", "previouslyFormattedCitation" : "(221)" }, "properties" : { "noteIndex" : 22 }, "schema" : "https://github.com/citation-style-language/schema/raw/master/csl-citation.json" }</w:instrText>
      </w:r>
      <w:r w:rsidR="00BC3BBB" w:rsidRPr="0057704D">
        <w:rPr>
          <w:rFonts w:ascii="Arial" w:hAnsi="Arial" w:cs="Arial"/>
          <w:sz w:val="22"/>
          <w:szCs w:val="22"/>
        </w:rPr>
        <w:fldChar w:fldCharType="separate"/>
      </w:r>
      <w:r w:rsidR="00BF1F00" w:rsidRPr="0057704D">
        <w:rPr>
          <w:rFonts w:ascii="Arial" w:hAnsi="Arial" w:cs="Arial"/>
          <w:noProof/>
          <w:sz w:val="22"/>
          <w:szCs w:val="22"/>
        </w:rPr>
        <w:t>(221)</w:t>
      </w:r>
      <w:r w:rsidR="00BC3BBB" w:rsidRPr="0057704D">
        <w:rPr>
          <w:rFonts w:ascii="Arial" w:hAnsi="Arial" w:cs="Arial"/>
          <w:sz w:val="22"/>
          <w:szCs w:val="22"/>
        </w:rPr>
        <w:fldChar w:fldCharType="end"/>
      </w:r>
      <w:r w:rsidRPr="0057704D">
        <w:rPr>
          <w:rFonts w:ascii="Arial" w:hAnsi="Arial" w:cs="Arial"/>
          <w:sz w:val="22"/>
          <w:szCs w:val="22"/>
        </w:rPr>
        <w:t>. Yakın zamanda elde edilen</w:t>
      </w:r>
      <w:r w:rsidR="009D44E2">
        <w:rPr>
          <w:rFonts w:ascii="Arial" w:hAnsi="Arial" w:cs="Arial"/>
          <w:sz w:val="22"/>
          <w:szCs w:val="22"/>
        </w:rPr>
        <w:t xml:space="preserve"> </w:t>
      </w:r>
      <w:r w:rsidRPr="0057704D">
        <w:rPr>
          <w:rFonts w:ascii="Arial" w:hAnsi="Arial" w:cs="Arial"/>
          <w:sz w:val="22"/>
          <w:szCs w:val="22"/>
        </w:rPr>
        <w:t>bulgular</w:t>
      </w:r>
      <w:r w:rsidR="009D44E2">
        <w:rPr>
          <w:rFonts w:ascii="Arial" w:hAnsi="Arial" w:cs="Arial"/>
          <w:sz w:val="22"/>
          <w:szCs w:val="22"/>
        </w:rPr>
        <w:t xml:space="preserve"> </w:t>
      </w:r>
      <w:r w:rsidR="009D44E2" w:rsidRPr="008B58D5">
        <w:rPr>
          <w:rFonts w:ascii="Arial" w:hAnsi="Arial" w:cs="Arial"/>
          <w:sz w:val="22"/>
          <w:szCs w:val="22"/>
        </w:rPr>
        <w:t>miRNA'ların</w:t>
      </w:r>
      <w:r w:rsidR="009D44E2">
        <w:rPr>
          <w:rFonts w:ascii="Arial" w:hAnsi="Arial" w:cs="Arial"/>
          <w:sz w:val="22"/>
          <w:szCs w:val="22"/>
        </w:rPr>
        <w:t>,</w:t>
      </w:r>
      <w:r w:rsidRPr="0057704D">
        <w:rPr>
          <w:rFonts w:ascii="Arial" w:hAnsi="Arial" w:cs="Arial"/>
          <w:sz w:val="22"/>
          <w:szCs w:val="22"/>
        </w:rPr>
        <w:t xml:space="preserve"> şizforeni </w:t>
      </w:r>
      <w:r w:rsidR="00BC3BBB" w:rsidRPr="0057704D">
        <w:rPr>
          <w:rFonts w:ascii="Arial" w:hAnsi="Arial" w:cs="Arial"/>
          <w:sz w:val="22"/>
          <w:szCs w:val="22"/>
        </w:rPr>
        <w:fldChar w:fldCharType="begin" w:fldLock="1"/>
      </w:r>
      <w:r w:rsidRPr="0057704D">
        <w:rPr>
          <w:rFonts w:ascii="Arial" w:hAnsi="Arial" w:cs="Arial"/>
          <w:sz w:val="22"/>
          <w:szCs w:val="22"/>
        </w:rPr>
        <w:instrText>ADDIN CSL_CITATION { "citationItems" : [ { "id" : "ITEM-1", "itemData" : { "DOI" : "10.1038/tp.2015.211", "ISBN" : "2158-3188 (Electronic) 2158-3188 (Linking)", "ISSN" : "2158-3188", "PMID" : "26836412", "abstract" : "Evidence suggests that microRNA-137 (miR-137) is involved in the genetic basis of schizophrenia. Risk variants within the miR-137 host gene (MIR137HG) influence structural and functional brain-imaging measures, and miR-137 itself is predicted to regulate hundreds of genes. We evaluated the influence of a MIR137HG risk variant (rs1625579) in combination with variants in miR-137-regulated genes TCF4, PTGS2, MAPK1 and MAPK3 on gray matter concentration (GMC). These genes were selected based on our previous work assessing schizophrenia risk within possible miR-137-regulated gene sets using the same cohort of subjects. A genetic risk score (GRS) was determined based on genotypes of these four schizophrenia risk-associated genes in 221 Caucasian subjects (89 schizophrenia patients and 132 controls). The effects of the rs1625579 genotype with the GRS of miR-137-regulated genes in a three-way interaction with diagnosis on GMC patterns were assessed using a multivariate analysis. We found that schizophrenia subjects homozygous for the MIR137HG risk allele show significant decreases in occipital, parietal and temporal lobe GMC with increasing miR-137-regulated GRS, whereas those carrying the protective minor allele show significant increases in GMC with GRS. No correlations of GMC and GRS were found in control subjects. Variants within or upstream of genes regulated by miR-137 in combination with the MIR137HG risk variant may influence GMC in schizophrenia-related regions in patients. Given that the genes evaluated here are involved in protein kinase A signaling, dysregulation of this pathway through alterations in miR-137 biogenesis may underlie the gray matter loss seen in the disease.", "author" : [ { "dropping-particle" : "", "family" : "Wright", "given" : "C", "non-dropping-particle" : "", "parse-names" : false, "suffix" : "" }, { "dropping-particle" : "", "family" : "Gupta", "given" : "C N", "non-dropping-particle" : "", "parse-names" : false, "suffix" : "" }, { "dropping-particle" : "", "family" : "Chen", "given" : "J", "non-dropping-particle" : "", "parse-names" : false, "suffix" : "" }, { "dropping-particle" : "", "family" : "Patel", "given" : "V", "non-dropping-particle" : "", "parse-names" : false, "suffix" : "" }, { "dropping-particle" : "", "family" : "Calhoun", "given" : "V D", "non-dropping-particle" : "", "parse-names" : false, "suffix" : "" }, { "dropping-particle" : "", "family" : "Ehrlich", "given" : "S", "non-dropping-particle" : "", "parse-names" : false, "suffix" : "" }, { "dropping-particle" : "", "family" : "Wang", "given" : "L", "non-dropping-particle" : "", "parse-names" : false, "suffix" : "" }, { "dropping-particle" : "", "family" : "Bustillo", "given" : "J R", "non-dropping-particle" : "", "parse-names" : false, "suffix" : "" }, { "dropping-particle" : "", "family" : "Perrone-Bizzozero", "given" : "N I", "non-dropping-particle" : "", "parse-names" : false, "suffix" : "" }, { "dropping-particle" : "", "family" : "Turner", "given" : "J A", "non-dropping-particle" : "", "parse-names" : false, "suffix" : "" } ], "container-title" : "Translational Psychiatry", "id" : "ITEM-1", "issue" : "2", "issued" : { "date-parts" : [ [ "2016" ] ] }, "page" : "e724", "title" : "Polymorphisms in MIR137HG and microRNA-137-regulated genes influence gray matter structure in schizophrenia", "type" : "article-journal", "volume" : "6" }, "uris" : [ "http://www.mendeley.com/documents/?uuid=39caf452-ce2d-4162-bacd-e15d52b17e0e" ] }, { "id" : "ITEM-2", "itemData" : { "DOI" : "10.1073/pnas.1113793109", "ISBN" : "1091-6490 (Electronic)\\r0027-8424 (Linking)", "ISSN" : "0027-8424", "PMID" : "22315408", "abstract" : "Schizophrenia is characterized by affective, cognitive, neuromorphological, and molecular abnormalities that may have a neurodevelopmental origin. MicroRNAs (miRNAs) are small noncoding RNA sequences critical to neurodevelopment and adult neuronal processes by coordinating the activity of multiple genes within biological networks. We examined the expression of 854 miRNAs in prefrontal cortical tissue from 100 control, schizophrenic, and bipolar subjects. The cyclic AMP-responsive element binding- and NMDA-regulated microRNA miR-132 was significantly down-regulated in both the schizophrenic discovery cohort and a second, independent set of schizophrenic subjects. Analysis of miR-132 target gene expression in schizophrenia gene-expression microarrays identified 26 genes up-regulated in schizophrenia subjects. Consistent with NMDA-mediated hypofunction observed in schizophrenic subjects, administration of an NMDA antagonist to adult mice results in miR-132 down-regulation in the prefrontal cortex. Furthermore, miR-132 expression in the murine prefrontal cortex exhibits significant developmental regulation and overlaps with critical neurodevelopmental processes during adolescence. Adult prefrontal expression of miR-132 can be down-regulated by pharmacologic inhibition of NMDA receptor signaling during a brief postnatal period. Several key genes, including DNMT3A, GATA2, and DPYSL3, are regulated by miR-132 and exhibited altered expression either during normal neurodevelopment or in tissue from adult schizophrenic subjects. Our data suggest miR-132 dysregulation and subsequent abnormal expression of miR-132 target genes contribute to the neurodevelopmental and neuromorphological pathologies present in schizophrenia.", "author" : [ { "dropping-particle" : "", "family" : "Miller", "given" : "B. H.", "non-dropping-particle" : "", "parse-names" : false, "suffix" : "" }, { "dropping-particle" : "", "family" : "Zeier", "given" : "Z.", "non-dropping-particle" : "", "parse-names" : false, "suffix" : "" }, { "dropping-particle" : "", "family" : "Xi", "given" : "L.", "non-dropping-particle" : "", "parse-names" : false, "suffix" : "" }, { "dropping-particle" : "", "family" : "Lanz", "given" : "T. A.", "non-dropping-particle" : "", "parse-names" : false, "suffix" : "" }, { "dropping-particle" : "", "family" : "Deng", "given" : "S.", "non-dropping-particle" : "", "parse-names" : false, "suffix" : "" }, { "dropping-particle" : "", "family" : "Strathmann", "given" : "J.", "non-dropping-particle" : "", "parse-names" : false, "suffix" : "" }, { "dropping-particle" : "", "family" : "Willoughby", "given" : "D.", "non-dropping-particle" : "", "parse-names" : false, "suffix" : "" }, { "dropping-particle" : "", "family" : "Kenny", "given" : "P. J.", "non-dropping-particle" : "", "parse-names" : false, "suffix" : "" }, { "dropping-particle" : "", "family" : "Elsworth", "given" : "J. D.", "non-dropping-particle" : "", "parse-names" : false, "suffix" : "" }, { "dropping-particle" : "", "family" : "Lawrence", "given" : "M. S.", "non-dropping-particle" : "", "parse-names" : false, "suffix" : "" }, { "dropping-particle" : "", "family" : "Roth", "given" : "R. H.", "non-dropping-particle" : "", "parse-names" : false, "suffix" : "" }, { "dropping-particle" : "", "family" : "Edbauer", "given" : "D.", "non-dropping-particle" : "", "parse-names" : false, "suffix" : "" }, { "dropping-particle" : "", "family" : "Kleiman", "given" : "R. J.", "non-dropping-particle" : "", "parse-names" : false, "suffix" : "" }, { "dropping-particle" : "", "family" : "Wahlestedt", "given" : "C.", "non-dropping-particle" : "", "parse-names" : false, "suffix" : "" } ], "container-title" : "Proceedings of the National Academy of Sciences", "id" : "ITEM-2", "issue" : "8", "issued" : { "date-parts" : [ [ "2012" ] ] }, "page" : "3125-3130", "title" : "MicroRNA-132 dysregulation in schizophrenia has implications for both neurodevelopment and adult brain function", "type" : "article-journal", "volume" : "109" }, "uris" : [ "http://www.mendeley.com/documents/?uuid=40c681e3-dc63-4dcb-a848-7cef40426a19" ] }, { "id" : "ITEM-3", "itemData" : { "DOI" : "10.1016/j.biopsych.2010.09.030", "ISBN" : "1873-2402 (Electronic)\\r0006-3223 (Linking)", "ISSN" : "00063223", "PMID" : "21111402", "abstract" : "Background MicroRNA (miRNA) are capable of regulating multitudes of target genes and are essential factors in mediating healthy neurodevelopment. We hypothesize that abnormal miRNA levels contribute to the complex global changes in gene expression that underlie the pathophysiology of schizophrenia. Methods With a commercial bead array platform, we investigated miRNA expression in 74 samples of postmortem dorsolateral prefrontal cortex (Brodmann Area 46) (n = 37 matched pairs schizophrenia/schizoaffective disorder and control subjects). A subset of differentially expressed miRNA and genes in the miRNA biogenesis pathway was also analyzed with quantitative reverse transcription-polymerase chain reaction. Gene targets of miRNAs demonstrating significantly altered expression were predicted, and pathways analysis was performed. Results After correction for multiple testing, microarray analysis identified differential expression of 28 miRNA in the schizophrenia group. Significantly, 89% of these molecules were elevated in accordance with earlier work in other brain regions that showed a broad increase in miRNA expression in schizophrenia. These observations were supported by quantitative reverse transcription-polymerase chain reaction, for miR-328, miR-17-5p, miR-134, miR-652, miR-382, and miR-107 and were consistent with a schizophrenia-associated increase in miRNA processing through elevated Dicer expression. Target and pathways analysis provided insight into the potential cellular effects, with particular enrichment of miRNA targets in axon guidance and long-term potentiation. Conclusions These results suggest that schizophrenia is associated with altered miRNA biogenesis and expression, which might have important implications in the complex pathophysiology of the disorder.", "author" : [ { "dropping-particle" : "", "family" : "Santarelli", "given" : "Danielle M.", "non-dropping-particle" : "", "parse-names" : false, "suffix" : "" }, { "dropping-particle" : "", "family" : "Beveridge", "given" : "Natalie J.", "non-dropping-particle" : "", "parse-names" : false, "suffix" : "" }, { "dropping-particle" : "", "family" : "Tooney", "given" : "Paul A.", "non-dropping-particle" : "", "parse-names" : false, "suffix" : "" }, { "dropping-particle" : "", "family" : "Cairns", "given" : "Murray J.", "non-dropping-particle" : "", "parse-names" : false, "suffix" : "" } ], "container-title" : "Biological Psychiatry", "id" : "ITEM-3", "issue" : "2", "issued" : { "date-parts" : [ [ "2011" ] ] }, "page" : "180-187", "title" : "Upregulation of dicer and MicroRNA expression in the dorsolateral prefrontal cortex Brodmann area 46 in schizophrenia", "type" : "article-journal", "volume" : "69" }, "uris" : [ "http://www.mendeley.com/documents/?uuid=391afb93-25a7-4658-b154-e58b68203082" ] }, { "id" : "ITEM-4", "itemData" : { "DOI" : "10.1038/mp.2009.84", "ISSN" : "1476-5578", "PMID" : "19721432", "abstract" : "MicroRNA expression profiling and quantitative reverse transcription-PCR analysis of the superior temporal gyrus and the dorsolateral prefrontal cortex revealed a significant schizophrenia-associated increase in global microRNA expression. This change was associated with an elevation of primary microRNA processing and corresponded with an increase in the microprocessor component DGCR8. The biological implications for this extensive increase in gene silencing are profound, and were exemplified by members of the miR-15 family and other related microRNA, which were significantly upregulated in both brain regions. This functionally convergent influence is overrepresented in pathways involved in synaptic plasticity and includes many genes and pathways associated with schizophrenia, some of which were substantiated in vitro by reporter gene assay. Given the magnitude of microRNA changes and their wide sphere of influence, this phenomenon could represent an important dimension in the pathogenesis of schizophrenia.Molecular Psychiatry advance online publication, 1 September 2009; doi:10.1038/mp.2009.84.", "author" : [ { "dropping-particle" : "", "family" : "Beveridge", "given" : "N J", "non-dropping-particle" : "", "parse-names" : false, "suffix" : "" }, { "dropping-particle" : "", "family" : "Gardiner", "given" : "E", "non-dropping-particle" : "", "parse-names" : false, "suffix" : "" }, { "dropping-particle" : "", "family" : "Carroll", "given" : "a P", "non-dropping-particle" : "", "parse-names" : false, "suffix" : "" }, { "dropping-particle" : "", "family" : "Tooney", "given" : "P a", "non-dropping-particle" : "", "parse-names" : false, "suffix" : "" }, { "dropping-particle" : "", "family" : "Cairns", "given" : "M J", "non-dropping-particle" : "", "parse-names" : false, "suffix" : "" } ], "container-title" : "Molecular psychiatry", "id" : "ITEM-4", "issued" : { "date-parts" : [ [ "2009" ] ] }, "page" : "1176-1189", "title" : "Schizophrenia is associated with an increase in cortical microRNA biogenesis.", "type" : "article-journal" }, "uris" : [ "http://www.mendeley.com/documents/?uuid=c5c56e60-13f2-4581-be7c-41d3d480fdb5" ] }, { "id" : "ITEM-5", "itemData" : { "DOI" : "10.1186/gb-2007-8-2-r27", "ISBN" : "1474-760X", "ISSN" : "14656906", "PMID" : "17326821", "abstract" : "BACKGROUND: microRNAs (miRNAs) are small, noncoding RNA molecules that are now thought to regulate the expression of many mRNAs. They have been implicated in the etiology of a variety of complex diseases, including Tourette's syndrome, Fragile x syndrome, and several types of cancer. RESULTS: We hypothesized that schizophrenia might be associated with altered miRNA profiles. To investigate this possibility we compared the expression of 264 human miRNAs from postmortem prefrontal cortex tissue of individuals with schizophrenia (n = 13) or schizoaffective disorder (n = 2) to tissue of 21 psychiatrically unaffected individuals using a custom miRNA microarray. Allowing a 5% false discovery rate, we found that 16 miRNAs were differentially expressed in prefrontal cortex of patient subjects, with 15 expressed at lower levels (fold change 0.63 to 0.89) and 1 at a higher level (fold change 1.77) than in the psychiatrically unaffected comparison subjects. The expression levels of 12 selected miRNAs were also determined by quantitative RT-PCR in our lab. For the eight miRNAs distinguished by being expressed at lower microarray levels in schizophrenia samples versus comparison samples, seven were also expressed at lower levels with quantitative RT-PCR. CONCLUSION: This study is the first to find altered miRNA profiles in postmortem prefrontal cortex from schizophrenia patients.", "author" : [ { "dropping-particle" : "", "family" : "Perkins", "given" : "Diana O", "non-dropping-particle" : "", "parse-names" : false, "suffix" : "" }, { "dropping-particle" : "", "family" : "Jeffries", "given" : "Clark D", "non-dropping-particle" : "", "parse-names" : false, "suffix" : "" }, { "dropping-particle" : "", "family" : "Jarskog", "given" : "L Fredrik", "non-dropping-particle" : "", "parse-names" : false, "suffix" : "" }, { "dropping-particle" : "", "family" : "Thomson", "given" : "J Michael", "non-dropping-particle" : "", "parse-names" : false, "suffix" : "" }, { "dropping-particle" : "", "family" : "Woods", "given" : "Keith", "non-dropping-particle" : "", "parse-names" : false, "suffix" : "" }, { "dropping-particle" : "", "family" : "Newman", "given" : "Martin A", "non-dropping-particle" : "", "parse-names" : false, "suffix" : "" }, { "dropping-particle" : "", "family" : "Parker", "given" : "Joel S", "non-dropping-particle" : "", "parse-names" : false, "suffix" : "" }, { "dropping-particle" : "", "family" : "Jin", "given" : "Jianping", "non-dropping-particle" : "", "parse-names" : false, "suffix" : "" }, { "dropping-particle" : "", "family" : "Hammond", "given" : "Scott M", "non-dropping-particle" : "", "parse-names" : false, "suffix" : "" } ], "container-title" : "Genome Biology", "id" : "ITEM-5", "issue" : "2", "issued" : { "date-parts" : [ [ "2007" ] ] }, "page" : "R27", "title" : "microRNA expression in the prefrontal cortex of individuals with schizophrenia and schizoaffective disorder", "type" : "article-journal", "volume" : "8" }, "uris" : [ "http://www.mendeley.com/documents/?uuid=063456da-eedc-4f42-b5d7-9ce29472f045" ] } ], "mendeley" : { "formattedCitation" : "(224\u2013228)", "plainTextFormattedCitation" : "(224\u2013228)", "previouslyFormattedCitation" : "(224\u2013228)" }, "properties" : { "noteIndex" : 22 }, "schema" : "https://github.com/citation-style-language/schema/raw/master/csl-citation.json" }</w:instrText>
      </w:r>
      <w:r w:rsidR="00BC3BBB" w:rsidRPr="0057704D">
        <w:rPr>
          <w:rFonts w:ascii="Arial" w:hAnsi="Arial" w:cs="Arial"/>
          <w:sz w:val="22"/>
          <w:szCs w:val="22"/>
        </w:rPr>
        <w:fldChar w:fldCharType="separate"/>
      </w:r>
      <w:r w:rsidRPr="0057704D">
        <w:rPr>
          <w:rFonts w:ascii="Arial" w:hAnsi="Arial" w:cs="Arial"/>
          <w:noProof/>
          <w:sz w:val="22"/>
          <w:szCs w:val="22"/>
        </w:rPr>
        <w:t>(224–228)</w:t>
      </w:r>
      <w:r w:rsidR="00BC3BBB" w:rsidRPr="0057704D">
        <w:rPr>
          <w:rFonts w:ascii="Arial" w:hAnsi="Arial" w:cs="Arial"/>
          <w:sz w:val="22"/>
          <w:szCs w:val="22"/>
        </w:rPr>
        <w:fldChar w:fldCharType="end"/>
      </w:r>
      <w:r w:rsidRPr="0057704D">
        <w:rPr>
          <w:rFonts w:ascii="Arial" w:hAnsi="Arial" w:cs="Arial"/>
          <w:sz w:val="22"/>
          <w:szCs w:val="22"/>
        </w:rPr>
        <w:t xml:space="preserve">, otizm spektrum bozukluğu </w:t>
      </w:r>
      <w:r w:rsidR="00BC3BBB" w:rsidRPr="0057704D">
        <w:rPr>
          <w:rFonts w:ascii="Arial" w:hAnsi="Arial" w:cs="Arial"/>
          <w:sz w:val="22"/>
          <w:szCs w:val="22"/>
        </w:rPr>
        <w:fldChar w:fldCharType="begin" w:fldLock="1"/>
      </w:r>
      <w:r w:rsidRPr="0057704D">
        <w:rPr>
          <w:rFonts w:ascii="Arial" w:hAnsi="Arial" w:cs="Arial"/>
          <w:sz w:val="22"/>
          <w:szCs w:val="22"/>
        </w:rPr>
        <w:instrText>ADDIN CSL_CITATION { "citationItems" : [ { "id" : "ITEM-1", "itemData" : { "DOI" : "10.1038/nn.4373", "ISBN" : "1546-1726 (Electronic)\\r1097-6256 (Linking)", "ISSN" : "1097-6256", "PMID" : "27571009", "abstract" : "Genetic variants conferring risk for autism spectrum disorder (ASD) have been identified, but the role of post-transcriptional mechanisms in ASD is not well understood. We performed genome-wide microRNA (miRNA) expression profiling in post-mortem brains from individuals with ASD and controls and identified miRNAs and co-regulated modules that were perturbed in ASD. Putative targets of these ASD-affected miRNAs were enriched for genes that have been implicated in ASD risk. We confirmed regulatory relationships between several miRNAs and their putative target mRNAs in primary human neural progenitors. These include hsa-miR-21-3p, a miRNA of unknown CNS function that is upregulated in ASD and that targets neuronal genes downregulated in ASD, and hsa_can_1002-m, a previously unknown, primate-specific miRNA that is downregulated in ASD and that regulates the epidermal growth factor receptor and fibroblast growth factor receptor signaling pathways involved in neural development and immune function. Our findings support a role for miRNA dysregulation in ASD pathophysiology and provide a rich data set and framework for future analyses of miRNAs in neuropsychiatric diseases.", "author" : [ { "dropping-particle" : "", "family" : "Wu", "given" : "Ye E", "non-dropping-particle" : "", "parse-names" : false, "suffix" : "" }, { "dropping-particle" : "", "family" : "Parikshak", "given" : "Neelroop N", "non-dropping-particle" : "", "parse-names" : false, "suffix" : "" }, { "dropping-particle" : "", "family" : "Belgard", "given" : "T Grant", "non-dropping-particle" : "", "parse-names" : false, "suffix" : "" }, { "dropping-particle" : "", "family" : "Geschwind", "given" : "Daniel H", "non-dropping-particle" : "", "parse-names" : false, "suffix" : "" } ], "container-title" : "Nature Neuroscience", "id" : "ITEM-1", "issue" : "11", "issued" : { "date-parts" : [ [ "2016" ] ] }, "page" : "1463-1476", "title" : "Genome-wide, integrative analysis implicates microRNA dysregulation in autism spectrum disorder", "type" : "article-journal", "volume" : "19" }, "uris" : [ "http://www.mendeley.com/documents/?uuid=fe5d3ce7-c578-42c5-9cb2-e81462969afd" ] }, { "id" : "ITEM-2", "itemData" : { "abstract" : "Autism spectrum disorder (ASD) is a neurodevelopmental disorder characterized by a wide spectrum of deficits in social interaction, communication, and behavior. There is a significant genetic component to ASD, yet no single gene variant accounts for &gt; 1% of incidence. Posttranscriptional mechanisms such as microRNAs (miRNAs) regulate gene expression without altering the genetic code. They are abundant in the developing brain and are dysregulated in children with ASD. Patterns of miRNA expression are altered in the brain, blood, saliva, and olfactory precursor cells of ASD subjects. The ability of miRNAs to regulate broad molecular pathways in response to environmental stimuli makes them an intriguing player in ASD, a disorder characterized by genetic predisposition with ill-defined environmental triggers. In addition, the availability and extracellular stability of miRNAs make them an ideal candidate for biomarker discovery. Here, we discuss 27 miRNAs with overlap across ASD studies, including 3 miRNAs identified in 3 or more studies (miR-23a, miR-146a, and miR-106b). Together, these 27 miRNAs have 1245 high-confidence mRNA targets, a significant number of which are expressed in the brain. Furthermore, these mRNA targets demonstrate over-representation of autism-related genes with enrichment of neurotrophic signaling molecules. Brain-derived neurotrophic factor, a molecule involved in hippocampal neurogenesis and altered in ASD, is targeted by 6 of the 27 miRNAs of interest. This neurotrophic pathway represents one intriguing mechanism by which perturbations in miRNA signaling might influence central nervous system development in children with ASD. Copyright \u00a9 2016 Hicks and Middleton.", "author" : [ { "dropping-particle" : "", "family" : "S.D.", "given" : "Hicks", "non-dropping-particle" : "", "parse-names" : false, "suffix" : "" } ], "container-title" : "Frontiers in Psychiatry", "id" : "ITEM-2", "issue" : "NOV", "issued" : { "date-parts" : [ [ "2016" ] ] }, "page" : "no pagination", "title" : "A comparative review of microRNA expression patterns in autism spectrum disorder", "type" : "article-journal", "volume" : "7" }, "uris" : [ "http://www.mendeley.com/documents/?uuid=7b94335b-6a9c-44cd-94e6-bcea15eaec8a" ] }, { "id" : "ITEM-3", "itemData" : { "DOI" : "10.1007/s10048-008-0133-5", "ISBN" : "1364-6753", "ISSN" : "13646745", "PMID" : "18563458", "abstract" : "microRNAs (miRNAs) are approximately 21 nt transcripts capable of regulating the expression of many mRNAs and are abundant in the brain. miRNAs have a role in several complex diseases including cancer as well as some neurological diseases such as Tourette's syndrome and Fragile x syndrome. As a genetically complex disease, dysregulation of miRNA expression might be a feature of autism spectrum disorders (ASDs). Using multiplex quantitative polymerase chain reaction (PCR), we compared the expression of 466 human miRNAs from postmortem cerebellar cortex tissue of individuals with ASD (n = 13) and a control set of non-autistic cerebellar samples (n = 13). While most miRNAs levels showed little variation across all samples suggesting that autism does not induce global dysfunction of miRNA expression, some miRNAs among the autistic samples were expressed at significantly different levels compared to the mean control value. Twenty-eight miRNAs were expressed at significantly different levels compared to the non-autism control set in at least one of the autism samples. To validate the finding, we reversed the analysis and compared each non-autism control to a single mean value for each miRNA across all autism cases. In this analysis, the number of dysregulated miRNAs fell from 28 to 9 miRNAs. Among the predicted targets of dysregulated miRNAs are genes that are known genetic causes of autism such Neurexin and SHANK3. This study finds that altered miRNA expression levels are observed in postmortem cerebellar cortex from autism patients, a finding which suggests that dysregulation of miRNAs may contribute to autism spectrum phenotype.", "author" : [ { "dropping-particle" : "", "family" : "Abu-Elneel", "given" : "Kawther", "non-dropping-particle" : "", "parse-names" : false, "suffix" : "" }, { "dropping-particle" : "", "family" : "Liu", "given" : "Tsunglin", "non-dropping-particle" : "", "parse-names" : false, "suffix" : "" }, { "dropping-particle" : "", "family" : "Gazzaniga", "given" : "Francesca S.", "non-dropping-particle" : "", "parse-names" : false, "suffix" : "" }, { "dropping-particle" : "", "family" : "Nishimura", "given" : "Yuhei", "non-dropping-particle" : "", "parse-names" : false, "suffix" : "" }, { "dropping-particle" : "", "family" : "Wall", "given" : "Dennis P.", "non-dropping-particle" : "", "parse-names" : false, "suffix" : "" }, { "dropping-particle" : "", "family" : "Geschwind", "given" : "Daniel H.", "non-dropping-particle" : "", "parse-names" : false, "suffix" : "" }, { "dropping-particle" : "", "family" : "Lao", "given" : "Kaiqin", "non-dropping-particle" : "", "parse-names" : false, "suffix" : "" }, { "dropping-particle" : "", "family" : "Kosik", "given" : "Kenneth S.", "non-dropping-particle" : "", "parse-names" : false, "suffix" : "" } ], "container-title" : "Neurogenetics", "id" : "ITEM-3", "issue" : "3", "issued" : { "date-parts" : [ [ "2008" ] ] }, "page" : "153-161", "title" : "Heterogeneous dysregulation of microRNAs across the autism spectrum", "type" : "article-journal", "volume" : "9" }, "uris" : [ "http://www.mendeley.com/documents/?uuid=ca07a457-3f57-4c2f-bc62-da97bbc8d4c5" ] } ], "mendeley" : { "formattedCitation" : "(229\u2013231)", "plainTextFormattedCitation" : "(229\u2013231)", "previouslyFormattedCitation" : "(229\u2013231)" }, "properties" : { "noteIndex" : 22 }, "schema" : "https://github.com/citation-style-language/schema/raw/master/csl-citation.json" }</w:instrText>
      </w:r>
      <w:r w:rsidR="00BC3BBB" w:rsidRPr="0057704D">
        <w:rPr>
          <w:rFonts w:ascii="Arial" w:hAnsi="Arial" w:cs="Arial"/>
          <w:sz w:val="22"/>
          <w:szCs w:val="22"/>
        </w:rPr>
        <w:fldChar w:fldCharType="separate"/>
      </w:r>
      <w:r w:rsidRPr="0057704D">
        <w:rPr>
          <w:rFonts w:ascii="Arial" w:hAnsi="Arial" w:cs="Arial"/>
          <w:noProof/>
          <w:sz w:val="22"/>
          <w:szCs w:val="22"/>
        </w:rPr>
        <w:t>(229–231)</w:t>
      </w:r>
      <w:r w:rsidR="00BC3BBB" w:rsidRPr="0057704D">
        <w:rPr>
          <w:rFonts w:ascii="Arial" w:hAnsi="Arial" w:cs="Arial"/>
          <w:sz w:val="22"/>
          <w:szCs w:val="22"/>
        </w:rPr>
        <w:fldChar w:fldCharType="end"/>
      </w:r>
      <w:r w:rsidRPr="0057704D">
        <w:rPr>
          <w:rFonts w:ascii="Arial" w:hAnsi="Arial" w:cs="Arial"/>
          <w:sz w:val="22"/>
          <w:szCs w:val="22"/>
        </w:rPr>
        <w:t xml:space="preserve">, bipolar bozukluk </w:t>
      </w:r>
      <w:r w:rsidR="00BC3BBB" w:rsidRPr="0057704D">
        <w:rPr>
          <w:rFonts w:ascii="Arial" w:hAnsi="Arial" w:cs="Arial"/>
          <w:sz w:val="22"/>
          <w:szCs w:val="22"/>
        </w:rPr>
        <w:fldChar w:fldCharType="begin" w:fldLock="1"/>
      </w:r>
      <w:r w:rsidR="0037573A" w:rsidRPr="0057704D">
        <w:rPr>
          <w:rFonts w:ascii="Arial" w:hAnsi="Arial" w:cs="Arial"/>
          <w:sz w:val="22"/>
          <w:szCs w:val="22"/>
        </w:rPr>
        <w:instrText>ADDIN CSL_CITATION { "citationItems" : [ { "id" : "ITEM-1", "itemData" : { "DOI" : "10.1038/tp.2015.159", "ISSN" : "2158-3188", "PMID" : "26556287", "abstract" : "Bipolar disorder (BD) is a severe and highly heritable neuropsychiatric disorder with a lifetime prevalence of 1%. Molecular genetic studies have identified the first BD susceptibility genes. However, the disease pathways remain largely unknown. Accumulating evidence suggests that microRNAs, a class of small noncoding RNAs, contribute to basic mechanisms underlying brain development and plasticity, suggesting their possible involvement in the pathogenesis of several psychiatric disorders, including BD. In the present study, gene-based analyses were performed for all known autosomal microRNAs using the largest genome-wide association data set of BD to date (9747 patients and 14 278 controls). Associated and brain-expressed microRNAs were then investigated in target gene and pathway analyses. Functional analyses of miR-499 and miR-708 were performed in rat hippocampal neurons. Ninety-eight of the six hundred nine investigated microRNAs showed nominally significant P-values, suggesting that BD-associated microRNAs might be enriched within known microRNA loci. After correction for multiple testing, nine microRNAs showed a significant association with BD. The most promising were miR-499, miR-708 and miR-1908. Target gene and pathway analyses revealed 18 significant canonical pathways, including brain development and neuron projection. For miR-499, four Bonferroni-corrected significant target genes were identified, including the genome-wide risk gene for psychiatric disorder CACNB2. First results of functional analyses in rat hippocampal neurons neither revealed nor excluded a major contribution of miR-499 or miR-708 to dendritic spine morphogenesis. The present results suggest that research is warranted to elucidate the precise involvement of microRNAs and their downstream pathways in BD.", "author" : [ { "dropping-particle" : "", "family" : "Forstner", "given" : "A J", "non-dropping-particle" : "", "parse-names" : false, "suffix" : "" }, { "dropping-particle" : "", "family" : "Hofmann", "given" : "A", "non-dropping-particle" : "", "parse-names" : false, "suffix" : "" }, { "dropping-particle" : "", "family" : "Maaser", "given" : "A", "non-dropping-particle" : "", "parse-names" : false, "suffix" : "" }, { "dropping-particle" : "", "family" : "Sumer", "given" : "S", "non-dropping-particle" : "", "parse-names" : false, "suffix" : "" }, { "dropping-particle" : "", "family" : "Khudayberdiev", "given" : "S", "non-dropping-particle" : "", "parse-names" : false, "suffix" : "" }, { "dropping-particle" : "", "family" : "M\u00fchleisen", "given" : "T W", "non-dropping-particle" : "", "parse-names" : false, "suffix" : "" }, { "dropping-particle" : "", "family" : "Leber", "given" : "M", "non-dropping-particle" : "", "parse-names" : false, "suffix" : "" }, { "dropping-particle" : "", "family" : "Schulze", "given" : "T G", "non-dropping-particle" : "", "parse-names" : false, "suffix" : "" }, { "dropping-particle" : "", "family" : "Strohmaier", "given" : "J", "non-dropping-particle" : "", "parse-names" : false, "suffix" : "" }, { "dropping-particle" : "", "family" : "Degenhardt", "given" : "F", "non-dropping-particle" : "", "parse-names" : false, "suffix" : "" }, { "dropping-particle" : "", "family" : "Treutlein", "given" : "J", "non-dropping-particle" : "", "parse-names" : false, "suffix" : "" }, { "dropping-particle" : "", "family" : "Mattheisen", "given" : "M", "non-dropping-particle" : "", "parse-names" : false, "suffix" : "" }, { "dropping-particle" : "", "family" : "Schumacher", "given" : "J", "non-dropping-particle" : "", "parse-names" : false, "suffix" : "" }, { "dropping-particle" : "", "family" : "Breuer", "given" : "R", "non-dropping-particle" : "", "parse-names" : false, "suffix" : "" }, { "dropping-particle" : "", "family" : "Meier", "given" : "S", "non-dropping-particle" : "", "parse-names" : false, "suffix" : "" }, { "dropping-particle" : "", "family" : "Herms", "given" : "S", "non-dropping-particle" : "", "parse-names" : false, "suffix" : "" }, { "dropping-particle" : "", "family" : "Hoffmann", "given" : "P", "non-dropping-particle" : "", "parse-names" : false, "suffix" : "" }, { "dropping-particle" : "", "family" : "Lacour", "given" : "A", "non-dropping-particle" : "", "parse-names" : false, "suffix" : "" }, { "dropping-particle" : "", "family" : "Witt", "given" : "S H", "non-dropping-particle" : "", "parse-names" : false, "suffix" : "" }, { "dropping-particle" : "", "family" : "Reif", "given" : "A", "non-dropping-particle" : "", "parse-names" : false, "suffix" : "" }, { "dropping-particle" : "", "family" : "M\u00fcller-Myhsok", "given" : "B", "non-dropping-particle" : "", "parse-names" : false, "suffix" : "" }, { "dropping-particle" : "", "family" : "Lucae", "given" : "S", "non-dropping-particle" : "", "parse-names" : false, "suffix" : "" }, { "dropping-particle" : "", "family" : "Maier", "given" : "W", "non-dropping-particle" : "", "parse-names" : false, "suffix" : "" }, { "dropping-particle" : "", "family" : "Schwarz", "given" : "M", "non-dropping-particle" : "", "parse-names" : false, "suffix" : "" }, { "dropping-particle" : "", "family" : "Vedder", "given" : "H", "non-dropping-particle" : "", "parse-names" : false, "suffix" : "" }, { "dropping-particle" : "", "family" : "Kammerer-Ciernioch", "given" : "J", "non-dropping-particle" : "", "parse-names" : false, "suffix" : "" }, { "dropping-particle" : "", "family" : "Pfennig", "given" : "A", "non-dropping-particle" : "", "parse-names" : false, "suffix" : "" }, { "dropping-particle" : "", "family" : "Bauer", "given" : "M", "non-dropping-particle" : "", "parse-names" : false, "suffix" : "" }, { "dropping-particle" : "", "family" : "Hautzinger", "given" : "M", "non-dropping-particle" : "", "parse-names" : false, "suffix" : "" }, { "dropping-particle" : "", "family" : "Moebus", "given" : "S", "non-dropping-particle" : "", "parse-names" : false, "suffix" : "" }, { "dropping-particle" : "", "family" : "Priebe", "given" : "L", "non-dropping-particle" : "", "parse-names" : false, "suffix" : "" }, { "dropping-particle" : "", "family" : "Sivalingam", "given" : "S", "non-dropping-particle" : "", "parse-names" : false, "suffix" : "" }, { "dropping-particle" : "", "family" : "Verhaert", "given" : "A", "non-dropping-particle" : "", "parse-names" : false, "suffix" : "" }, { "dropping-particle" : "", "family" : "Schulz", "given" : "H", "non-dropping-particle" : "", "parse-names" : false, "suffix" : "" }, { "dropping-particle" : "", "family" : "Czerski", "given" : "P M", "non-dropping-particle" : "", "parse-names" : false, "suffix" : "" }, { "dropping-particle" : "", "family" : "Hauser", "given" : "J", "non-dropping-particle" : "", "parse-names" : false, "suffix" : "" }, { "dropping-particle" : "", "family" : "Lissowska", "given" : "J", "non-dropping-particle" : "", "parse-names" : false, "suffix" : "" }, { "dropping-particle" : "", "family" : "Szeszenia-Dabrowska", "given" : "N", "non-dropping-particle" : "", "parse-names" : false, "suffix" : "" }, { "dropping-particle" : "", "family" : "Brennan", "given" : "P", "non-dropping-particle" : "", "parse-names" : false, "suffix" : "" }, { "dropping-particle" : "", "family" : "McKay", "given" : "J D", "non-dropping-particle" : "", "parse-names" : false, "suffix" : "" }, { "dropping-particle" : "", "family" : "Wright", "given" : "A", "non-dropping-particle" : "", "parse-names" : false, "suffix" : "" }, { "dropping-particle" : "", "family" : "Mitchell", "given" : "P B", "non-dropping-particle" : "", "parse-names" : false, "suffix" : "" }, { "dropping-particle" : "", "family" : "Fullerton", "given" : "J M", "non-dropping-particle" : "", "parse-names" : false, "suffix" : "" }, { "dropping-particle" : "", "family" : "Schofield", "given" : "P R", "non-dropping-particle" : "", "parse-names" : false, "suffix" : "" }, { "dropping-particle" : "", "family" : "Montgomery", "given" : "G W", "non-dropping-particle" : "", "parse-names" : false, "suffix" : "" }, { "dropping-particle" : "", "family" : "Medland", "given" : "S E", "non-dropping-particle" : "", "parse-names" : false, "suffix" : "" }, { "dropping-particle" : "", "family" : "Gordon", "given" : "S D", "non-dropping-particle" : "", "parse-names" : false, "suffix" : "" }, { "dropping-particle" : "", "family" : "Martin", "given" : "N G", "non-dropping-particle" : "", "parse-names" : false, "suffix" : "" }, { "dropping-particle" : "", "family" : "Krasnov", "given" : "V", "non-dropping-particle" : "", "parse-names" : false, "suffix" : "" }, { "dropping-particle" : "", "family" : "Chuchalin", "given" : "A", "non-dropping-particle" : "", "parse-names" : false, "suffix" : "" }, { "dropping-particle" : "", "family" : "Babadjanova", "given" : "G", "non-dropping-particle" : "", "parse-names" : false, "suffix" : "" }, { "dropping-particle" : "", "family" : "Pantelejeva", "given" : "G", "non-dropping-particle" : "", "parse-names" : false, "suffix" : "" }, { "dropping-particle" : "", "family" : "Abramova", "given" : "L I", "non-dropping-particle" : "", "parse-names" : false, "suffix" : "" }, { "dropping-particle" : "", "family" : "Tiganov", "given" : "A S", "non-dropping-particle" : "", "parse-names" : false, "suffix" : "" }, { "dropping-particle" : "", "family" : "Polonikov", "given" : "A", "non-dropping-particle" : "", "parse-names" : false, "suffix" : "" }, { "dropping-particle" : "", "family" : "Khusnutdinova", "given" : "E", "non-dropping-particle" : "", "parse-names" : false, "suffix" : "" }, { "dropping-particle" : "", "family" : "Alda", "given" : "M", "non-dropping-particle" : "", "parse-names" : false, "suffix" : "" }, { "dropping-particle" : "", "family" : "Cruceanu", "given" : "C", "non-dropping-particle" : "", "parse-names" : false, "suffix" : "" }, { "dropping-particle" : "", "family" : "Rouleau", "given" : "G A", "non-dropping-particle" : "", "parse-names" : false, "suffix" : "" }, { "dropping-particle" : "", "family" : "Turecki", "given" : "G", "non-dropping-particle" : "", "parse-names" : false, "suffix" : "" }, { "dropping-particle" : "", "family" : "Laprise", "given" : "C", "non-dropping-particle" : "", "parse-names" : false, "suffix" : "" }, { "dropping-particle" : "", "family" : "Rivas", "given" : "F", "non-dropping-particle" : "", "parse-names" : false, "suffix" : "" }, { "dropping-particle" : "", "family" : "Mayoral", "given" : "F", "non-dropping-particle" : "", "parse-names" : false, "suffix" : "" }, { "dropping-particle" : "", "family" : "Kogevinas", "given" : "M", "non-dropping-particle" : "", "parse-names" : false, "suffix" : "" }, { "dropping-particle" : "", "family" : "Grigoroiu-Serbanescu", "given" : "M", "non-dropping-particle" : "", "parse-names" : false, "suffix" : "" }, { "dropping-particle" : "", "family" : "Propping", "given" : "P", "non-dropping-particle" : "", "parse-names" : false, "suffix" : "" }, { "dropping-particle" : "", "family" : "Becker", "given" : "T", "non-dropping-particle" : "", "parse-names" : false, "suffix" : "" }, { "dropping-particle" : "", "family" : "Rietschel", "given" : "M", "non-dropping-particle" : "", "parse-names" : false, "suffix" : "" }, { "dropping-particle" : "", "family" : "Cichon", "given" : "S", "non-dropping-particle" : "", "parse-names" : false, "suffix" : "" }, { "dropping-particle" : "", "family" : "Schratt", "given" : "G", "non-dropping-particle" : "", "parse-names" : false, "suffix" : "" }, { "dropping-particle" : "", "family" : "N\u00f6then", "given" : "M M", "non-dropping-particle" : "", "parse-names" : false, "suffix" : "" } ], "container-title" : "Translational psychiatry", "id" : "ITEM-1", "issue" : "11", "issued" : { "date-parts" : [ [ "2015" ] ] }, "page" : "e678", "title" : "Genome-wide analysis implicates microRNAs and their target genes in the development of bipolar disorder", "type" : "article-journal", "volume" : "5" }, "uris" : [ "http://www.mendeley.com/documents/?uuid=8f22a8b6-0cb4-4131-8174-5a44bdd11d15" ] }, { "id" : "ITEM-2", "itemData" : { "DOI" : "10.1038/mp.2014.176", "ISSN" : "1359-4184", "author" : [ { "dropping-particle" : "", "family" : "Bavamian", "given" : "S", "non-dropping-particle" : "", "parse-names" : false, "suffix" : "" }, { "dropping-particle" : "", "family" : "Mellios", "given" : "N", "non-dropping-particle" : "", "parse-names" : false, "suffix" : "" }, { "dropping-particle" : "", "family" : "Lalonde", "given" : "J", "non-dropping-particle" : "", "parse-names" : false, "suffix" : "" }, { "dropping-particle" : "", "family" : "Fass", "given" : "D M", "non-dropping-particle" : "", "parse-names" : false, "suffix" : "" }, { "dropping-particle" : "", "family" : "Wang", "given" : "J", "non-dropping-particle" : "", "parse-names" : false, "suffix" : "" }, { "dropping-particle" : "", "family" : "Sheridan", "given" : "S D", "non-dropping-particle" : "", "parse-names" : false, "suffix" : "" }, { "dropping-particle" : "", "family" : "Madison", "given" : "J M", "non-dropping-particle" : "", "parse-names" : false, "suffix" : "" }, { "dropping-particle" : "", "family" : "Zhou", "given" : "Fen", "non-dropping-particle" : "", "parse-names" : false, "suffix" : "" }, { "dropping-particle" : "", "family" : "Rueckert", "given" : "E H", "non-dropping-particle" : "", "parse-names" : false, "suffix" : "" } ], "container-title" : "Nature", "id" : "ITEM-2", "issue" : "November 2013", "issued" : { "date-parts" : [ [ "2015" ] ] }, "page" : "1-12", "title" : "Dysregulation of miR-34a links neuronal development to genetic risk factors for bipolar disorder", "type" : "article-journal" }, "uris" : [ "http://www.mendeley.com/documents/?uuid=307f2bc7-9880-428f-95fc-de6116e3d236" ] } ], "mendeley" : { "formattedCitation" : "(232, 233)", "plainTextFormattedCitation" : "(232, 233)", "previouslyFormattedCitation" : "(232, 233)" }, "properties" : { "noteIndex" : 22 }, "schema" : "https://github.com/citation-style-language/schema/raw/master/csl-citation.json" }</w:instrText>
      </w:r>
      <w:r w:rsidR="00BC3BBB" w:rsidRPr="0057704D">
        <w:rPr>
          <w:rFonts w:ascii="Arial" w:hAnsi="Arial" w:cs="Arial"/>
          <w:sz w:val="22"/>
          <w:szCs w:val="22"/>
        </w:rPr>
        <w:fldChar w:fldCharType="separate"/>
      </w:r>
      <w:r w:rsidR="00BF1F00" w:rsidRPr="0057704D">
        <w:rPr>
          <w:rFonts w:ascii="Arial" w:hAnsi="Arial" w:cs="Arial"/>
          <w:noProof/>
          <w:sz w:val="22"/>
          <w:szCs w:val="22"/>
        </w:rPr>
        <w:t>(232, 233)</w:t>
      </w:r>
      <w:r w:rsidR="00BC3BBB" w:rsidRPr="0057704D">
        <w:rPr>
          <w:rFonts w:ascii="Arial" w:hAnsi="Arial" w:cs="Arial"/>
          <w:sz w:val="22"/>
          <w:szCs w:val="22"/>
        </w:rPr>
        <w:fldChar w:fldCharType="end"/>
      </w:r>
      <w:r w:rsidRPr="0057704D">
        <w:rPr>
          <w:rFonts w:ascii="Arial" w:hAnsi="Arial" w:cs="Arial"/>
          <w:sz w:val="22"/>
          <w:szCs w:val="22"/>
        </w:rPr>
        <w:t xml:space="preserve">,  major depresif bozukluk </w:t>
      </w:r>
      <w:r w:rsidR="00BC3BBB" w:rsidRPr="0057704D">
        <w:rPr>
          <w:rFonts w:ascii="Arial" w:hAnsi="Arial" w:cs="Arial"/>
          <w:sz w:val="22"/>
          <w:szCs w:val="22"/>
        </w:rPr>
        <w:fldChar w:fldCharType="begin" w:fldLock="1"/>
      </w:r>
      <w:r w:rsidR="0037573A" w:rsidRPr="0057704D">
        <w:rPr>
          <w:rFonts w:ascii="Arial" w:hAnsi="Arial" w:cs="Arial"/>
          <w:sz w:val="22"/>
          <w:szCs w:val="22"/>
        </w:rPr>
        <w:instrText>ADDIN CSL_CITATION { "citationItems" : [ { "id" : "ITEM-1", "itemData" : { "DOI" : "10.1038/tp.2016.131", "ISSN" : "2158-3188", "PMID" : "27483380", "abstract" : "There is a growing emphasis in the field of psychiatry on the need to identify candidate biomarkers to aid in diagnosis and clinical management of depression, particularly with respect to predicting response to specific therapeutic strategies. MicroRNAs are small nucleotide sequences with the ability to regulate gene expression at the transcriptomic level and emerging evidence from a range of studies has highlighted their biomarker potential. Here we compared healthy controls (n=20) with patients diagnosed with major depression (n=40) and who were treatment-resistant to identify peripheral microRNA biomarkers, which could be used for diagnosis and to predict response to electroconvulsive therapy (ECT) and ketamine (KET) infusions, treatments that have previously shown to be effective in treatment-resistant depression (TRD). At baseline and after treatment, blood samples were taken and symptom severity scores rated using the Hamilton Depression Rating Scale (HDRS). Samples were analyzed for microRNA expression using microarray and validated using quantitative PCR. As expected, both treatments reduced HDRS scores. Compared with controls, the baseline expression of the microRNA let-7b was less by ~40% in TRD patients compared with controls. The baseline expression of let-7c was also lower by ~50% in TRD patients who received ECT. Bioinformatic analysis revealed that let-7b and let-7c regulates the expression of 27 genes in the PI3k-Akt-mTOR signaling pathway, which has previously been reported to be dysfunctional in depression. The expression of miR-16, miR-182, miR-451 and miR-223 were similar to that in controls. Baseline microRNA expression could not predict treatment response and microRNAs were unaffected by treatment. Taken together, we have identified let-7b and let-7c as candidate biomarkers of major depression.", "author" : [ { "dropping-particle" : "", "family" : "Gururajan", "given" : "A", "non-dropping-particle" : "", "parse-names" : false, "suffix" : "" }, { "dropping-particle" : "", "family" : "Naughton", "given" : "M E", "non-dropping-particle" : "", "parse-names" : false, "suffix" : "" }, { "dropping-particle" : "", "family" : "Scott", "given" : "K A", "non-dropping-particle" : "", "parse-names" : false, "suffix" : "" }, { "dropping-particle" : "", "family" : "O'Connor", "given" : "R M", "non-dropping-particle" : "", "parse-names" : false, "suffix" : "" }, { "dropping-particle" : "", "family" : "Moloney", "given" : "G", "non-dropping-particle" : "", "parse-names" : false, "suffix" : "" }, { "dropping-particle" : "", "family" : "Clarke", "given" : "G", "non-dropping-particle" : "", "parse-names" : false, "suffix" : "" }, { "dropping-particle" : "", "family" : "Dowling", "given" : "J", "non-dropping-particle" : "", "parse-names" : false, "suffix" : "" }, { "dropping-particle" : "", "family" : "Walsh", "given" : "A", "non-dropping-particle" : "", "parse-names" : false, "suffix" : "" }, { "dropping-particle" : "", "family" : "Ismail", "given" : "F", "non-dropping-particle" : "", "parse-names" : false, "suffix" : "" }, { "dropping-particle" : "", "family" : "Shorten", "given" : "G", "non-dropping-particle" : "", "parse-names" : false, "suffix" : "" }, { "dropping-particle" : "", "family" : "Scott", "given" : "L", "non-dropping-particle" : "", "parse-names" : false, "suffix" : "" }, { "dropping-particle" : "", "family" : "McLoughlin", "given" : "D M", "non-dropping-particle" : "", "parse-names" : false, "suffix" : "" }, { "dropping-particle" : "", "family" : "Cryan", "given" : "J F", "non-dropping-particle" : "", "parse-names" : false, "suffix" : "" }, { "dropping-particle" : "", "family" : "Dinan", "given" : "T G", "non-dropping-particle" : "", "parse-names" : false, "suffix" : "" } ], "container-title" : "Translational psychiatry", "id" : "ITEM-1", "issue" : "8", "issued" : { "date-parts" : [ [ "2016" ] ] }, "page" : "e862", "title" : "MicroRNAs as biomarkers for major depression: a role for let-7b and let-7c.", "type" : "article-journal", "volume" : "6" }, "uris" : [ "http://www.mendeley.com/documents/?uuid=2819b1a3-ab4e-4222-bfc5-90f3cebe07c3" ] }, { "id" : "ITEM-2", "itemData" : { "DOI" : "10.1016/j.jpsychires.2014.08.007 [doi]", "ISSN" : "1879-1379; 0022-3956", "abstract" : "Currently, diagnosis and treatment of major depressive disorder (MDD) are based on the patients' description of symptoms, mental status examinations, and clinical behavioral observations, which increases the chance of misdiagnosis. There is a serious need to find a practical biomarker for the proper diagnosis of MDD. This study aimed to explore the possibility of microRNA (miRNA) in peripheral blood mononuclear cells (PBMCs) as specific blood-based biomarker for MDD patients. By using an Affymetrix array that covers 723 human miRNAs, we identified 26 miRNAs with significant changes in expression in PBMCs of MDD patients. Real-time quantitative reverse transcription polymerase chain reaction (qRT-PCR) analysis in a larger cohort of 81 MDD patients and 46 healthy controls confirmed that the expression levels of 5 miRNAs (miRNA-26b, miRNA-1972, miRNA-4485, miRNA-4498, and miRNA-4743) were up-regulated. By receiver operating characteristic (ROC) curve analysis, the combining area under the ROC curve (AUC) of these five miRNAs was 0.636 [95% confidence interval (CI): 0.58-0.90]. MiRNA target gene prediction and functional annotation analysis showed that there was a significant enrichment in several pathways associated with nervous system and brain functions, supporting the hypothesis that differentially-regulated miRNAs may be involved in mechanism underlying development of MDD. We conclude that altered expression of miRNAs in PMBCs might be involved in multiple stages of MDD pathogenesis, and thus might be able to serve as specific biomarker for diagnosis of MDD.", "author" : [ { "dropping-particle" : "", "family" : "Fan", "given" : "H M", "non-dropping-particle" : "", "parse-names" : false, "suffix" : "" }, { "dropping-particle" : "", "family" : "Sun", "given" : "X Y", "non-dropping-particle" : "", "parse-names" : false, "suffix" : "" }, { "dropping-particle" : "", "family" : "Guo", "given" : "W", "non-dropping-particle" : "", "parse-names" : false, "suffix" : "" }, { "dropping-particle" : "", "family" : "Zhong", "given" : "A F", "non-dropping-particle" : "", "parse-names" : false, "suffix" : "" }, { "dropping-particle" : "", "family" : "Niu", "given" : "W", "non-dropping-particle" : "", "parse-names" : false, "suffix" : "" }, { "dropping-particle" : "", "family" : "Zhao", "given" : "L", "non-dropping-particle" : "", "parse-names" : false, "suffix" : "" }, { "dropping-particle" : "", "family" : "Dai", "given" : "Y H", "non-dropping-particle" : "", "parse-names" : false, "suffix" : "" }, { "dropping-particle" : "", "family" : "Guo", "given" : "Z M", "non-dropping-particle" : "", "parse-names" : false, "suffix" : "" }, { "dropping-particle" : "", "family" : "Zhang", "given" : "L Y", "non-dropping-particle" : "", "parse-names" : false, "suffix" : "" }, { "dropping-particle" : "", "family" : "Lu", "given" : "J", "non-dropping-particle" : "", "parse-names" : false, "suffix" : "" } ], "container-title" : "Journal of psychiatric research", "id" : "ITEM-2", "issued" : { "date-parts" : [ [ "2014" ] ] }, "page" : "45-52", "title" : "Differential expression of microRNA in peripheral blood mononuclear cells as specific biomarker for major depressive disorder patients", "type" : "article-journal", "volume" : "59" }, "uris" : [ "http://www.mendeley.com/documents/?uuid=87ef694e-01e8-47e6-8e6a-e535be72449a" ] } ], "mendeley" : { "formattedCitation" : "(234, 235)", "plainTextFormattedCitation" : "(234, 235)", "previouslyFormattedCitation" : "(234, 235)" }, "properties" : { "noteIndex" : 22 }, "schema" : "https://github.com/citation-style-language/schema/raw/master/csl-citation.json" }</w:instrText>
      </w:r>
      <w:r w:rsidR="00BC3BBB" w:rsidRPr="0057704D">
        <w:rPr>
          <w:rFonts w:ascii="Arial" w:hAnsi="Arial" w:cs="Arial"/>
          <w:sz w:val="22"/>
          <w:szCs w:val="22"/>
        </w:rPr>
        <w:fldChar w:fldCharType="separate"/>
      </w:r>
      <w:r w:rsidR="00BF1F00" w:rsidRPr="0057704D">
        <w:rPr>
          <w:rFonts w:ascii="Arial" w:hAnsi="Arial" w:cs="Arial"/>
          <w:noProof/>
          <w:sz w:val="22"/>
          <w:szCs w:val="22"/>
        </w:rPr>
        <w:t>(234, 235)</w:t>
      </w:r>
      <w:r w:rsidR="00BC3BBB" w:rsidRPr="0057704D">
        <w:rPr>
          <w:rFonts w:ascii="Arial" w:hAnsi="Arial" w:cs="Arial"/>
          <w:sz w:val="22"/>
          <w:szCs w:val="22"/>
        </w:rPr>
        <w:fldChar w:fldCharType="end"/>
      </w:r>
      <w:r w:rsidRPr="0057704D">
        <w:rPr>
          <w:rFonts w:ascii="Arial" w:hAnsi="Arial" w:cs="Arial"/>
          <w:sz w:val="22"/>
          <w:szCs w:val="22"/>
        </w:rPr>
        <w:t xml:space="preserve">, obsesif kompulsif bozukluk </w:t>
      </w:r>
      <w:r w:rsidR="00BC3BBB" w:rsidRPr="0057704D">
        <w:rPr>
          <w:rFonts w:ascii="Arial" w:hAnsi="Arial" w:cs="Arial"/>
          <w:sz w:val="22"/>
          <w:szCs w:val="22"/>
        </w:rPr>
        <w:fldChar w:fldCharType="begin" w:fldLock="1"/>
      </w:r>
      <w:r w:rsidRPr="0057704D">
        <w:rPr>
          <w:rFonts w:ascii="Arial" w:hAnsi="Arial" w:cs="Arial"/>
          <w:sz w:val="22"/>
          <w:szCs w:val="22"/>
        </w:rPr>
        <w:instrText>ADDIN CSL_CITATION { "citationItems" : [ { "id" : "ITEM-1", "itemData" : { "DOI" : "10.2147/NDT.S81884", "ISSN" : "11782021", "PMID" : "26203251", "abstract" : "AIM: Obsessive-compulsive disorder (OCD) is a disorder characterized by the presence of obsessions and/or compulsions. Although disorder etiology and pathogenesis remains unknown, several theories about OCD development have been proposed, and many researchers believe that it is caused by both genetic and environmental factors. In the current study, our aim was to investigate miRNA levels in OCD.\\n\\nMETHODS: In the current study, we evaluated miR18a-5p, miR22-3p, miR24-3p, miR106b-5p, miR107, miR125b-5p, and miR155a-5p levels in child and adolescent OCD patients. The research sample consisted of a group of 23 OCD patients and 40 healthy volunteer controls.\\n\\nRESULTS: There was no significant difference in age and sex between the two groups (P&gt;0.05). The levels of miR22-3p, miR24-3p, miR106b-5p, miR125b-5p, and miR155a-5p were significantly increased in the OCD subjects (P\u22640.05). There were no statistically significant differences in miR18a-5p or miR107 levels between groups (P\u22650.05).\\n\\nCONCLUSION: There could be a close relationship between levels of circulating miRNAs and OCD. If we could understand how the signaling pathways arranged by miRNAs impact on central nervous system development, function, and pathology, this understanding could improve our knowledge about OCD etiology and treatment.", "author" : [ { "dropping-particle" : "", "family" : "Kandemir", "given" : "Hasan", "non-dropping-particle" : "", "parse-names" : false, "suffix" : "" }, { "dropping-particle" : "", "family" : "Erdal", "given" : "Mehmet Emin", "non-dropping-particle" : "", "parse-names" : false, "suffix" : "" }, { "dropping-particle" : "", "family" : "Selek", "given" : "Salih", "non-dropping-particle" : "", "parse-names" : false, "suffix" : "" }, { "dropping-particle" : "", "family" : "Ay", "given" : "\u00d6zlem \u0130zci", "non-dropping-particle" : "", "parse-names" : false, "suffix" : "" }, { "dropping-particle" : "", "family" : "Karababa", "given" : "\u0130brahim Fatih", "non-dropping-particle" : "", "parse-names" : false, "suffix" : "" }, { "dropping-particle" : "", "family" : "Ay", "given" : "Mustafa Ertan", "non-dropping-particle" : "", "parse-names" : false, "suffix" : "" }, { "dropping-particle" : "", "family" : "Kandemir", "given" : "Sultan Basmac\u0131", "non-dropping-particle" : "", "parse-names" : false, "suffix" : "" }, { "dropping-particle" : "", "family" : "Y\u0131lmaz", "given" : "\u015eenay G\u00f6r\u00fcc\u00fc", "non-dropping-particle" : "", "parse-names" : false, "suffix" : "" }, { "dropping-particle" : "", "family" : "Ekinci", "given" : "Suat", "non-dropping-particle" : "", "parse-names" : false, "suffix" : "" }, { "dropping-particle" : "", "family" : "Ta\u015fdelen", "given" : "Bahar", "non-dropping-particle" : "", "parse-names" : false, "suffix" : "" }, { "dropping-particle" : "", "family" : "Bayazit", "given" : "H\u00fcseyin", "non-dropping-particle" : "", "parse-names" : false, "suffix" : "" } ], "container-title" : "Neuropsychiatric Disease and Treatment", "id" : "ITEM-1", "issued" : { "date-parts" : [ [ "2015" ] ] }, "page" : "1695-16701", "title" : "Microribonucleic acid dysregulations in children and adolescents with obsessive\u2013compulsive disorder", "type" : "article-journal", "volume" : "11" }, "uris" : [ "http://www.mendeley.com/documents/?uuid=9f3b3232-95a3-4804-a42f-c97a890e9a2c" ] } ], "mendeley" : { "formattedCitation" : "(236)", "plainTextFormattedCitation" : "(236)", "previouslyFormattedCitation" : "(236)" }, "properties" : { "noteIndex" : 22 }, "schema" : "https://github.com/citation-style-language/schema/raw/master/csl-citation.json" }</w:instrText>
      </w:r>
      <w:r w:rsidR="00BC3BBB" w:rsidRPr="0057704D">
        <w:rPr>
          <w:rFonts w:ascii="Arial" w:hAnsi="Arial" w:cs="Arial"/>
          <w:sz w:val="22"/>
          <w:szCs w:val="22"/>
        </w:rPr>
        <w:fldChar w:fldCharType="separate"/>
      </w:r>
      <w:r w:rsidRPr="0057704D">
        <w:rPr>
          <w:rFonts w:ascii="Arial" w:hAnsi="Arial" w:cs="Arial"/>
          <w:noProof/>
          <w:sz w:val="22"/>
          <w:szCs w:val="22"/>
        </w:rPr>
        <w:t>(236)</w:t>
      </w:r>
      <w:r w:rsidR="00BC3BBB" w:rsidRPr="0057704D">
        <w:rPr>
          <w:rFonts w:ascii="Arial" w:hAnsi="Arial" w:cs="Arial"/>
          <w:sz w:val="22"/>
          <w:szCs w:val="22"/>
        </w:rPr>
        <w:fldChar w:fldCharType="end"/>
      </w:r>
      <w:r w:rsidRPr="0057704D">
        <w:rPr>
          <w:rFonts w:ascii="Arial" w:hAnsi="Arial" w:cs="Arial"/>
          <w:sz w:val="22"/>
          <w:szCs w:val="22"/>
        </w:rPr>
        <w:t xml:space="preserve"> vb. </w:t>
      </w:r>
      <w:r w:rsidR="00E52AAF" w:rsidRPr="008B58D5">
        <w:rPr>
          <w:rFonts w:ascii="Arial" w:hAnsi="Arial" w:cs="Arial"/>
          <w:sz w:val="22"/>
          <w:szCs w:val="22"/>
        </w:rPr>
        <w:t>diğer psikiyatrik bozukluklarda</w:t>
      </w:r>
      <w:r w:rsidR="00E52AAF">
        <w:rPr>
          <w:rFonts w:ascii="Arial" w:hAnsi="Arial" w:cs="Arial"/>
          <w:sz w:val="22"/>
          <w:szCs w:val="22"/>
        </w:rPr>
        <w:t xml:space="preserve"> da</w:t>
      </w:r>
      <w:r w:rsidR="00E52AAF" w:rsidRPr="008B58D5">
        <w:rPr>
          <w:rFonts w:ascii="Arial" w:hAnsi="Arial" w:cs="Arial"/>
          <w:sz w:val="22"/>
          <w:szCs w:val="22"/>
        </w:rPr>
        <w:t xml:space="preserve"> olduğu gibi DEHB</w:t>
      </w:r>
      <w:r w:rsidR="00E52AAF">
        <w:rPr>
          <w:rFonts w:ascii="Arial" w:hAnsi="Arial" w:cs="Arial"/>
          <w:sz w:val="22"/>
          <w:szCs w:val="22"/>
        </w:rPr>
        <w:t xml:space="preserve"> etyolojisinde</w:t>
      </w:r>
      <w:r w:rsidR="00E52AAF" w:rsidRPr="008B58D5">
        <w:rPr>
          <w:rFonts w:ascii="Arial" w:hAnsi="Arial" w:cs="Arial"/>
          <w:sz w:val="22"/>
          <w:szCs w:val="22"/>
        </w:rPr>
        <w:t xml:space="preserve"> ortaya </w:t>
      </w:r>
      <w:r w:rsidR="00E52AAF">
        <w:rPr>
          <w:rFonts w:ascii="Arial" w:hAnsi="Arial" w:cs="Arial"/>
          <w:sz w:val="22"/>
          <w:szCs w:val="22"/>
        </w:rPr>
        <w:t xml:space="preserve">konulan </w:t>
      </w:r>
      <w:r w:rsidR="00E52AAF" w:rsidRPr="008B58D5">
        <w:rPr>
          <w:rFonts w:ascii="Arial" w:hAnsi="Arial" w:cs="Arial"/>
          <w:sz w:val="22"/>
          <w:szCs w:val="22"/>
        </w:rPr>
        <w:t>rol</w:t>
      </w:r>
      <w:r w:rsidR="00E52AAF">
        <w:rPr>
          <w:rFonts w:ascii="Arial" w:hAnsi="Arial" w:cs="Arial"/>
          <w:sz w:val="22"/>
          <w:szCs w:val="22"/>
        </w:rPr>
        <w:t>lerine işaret etmektedir</w:t>
      </w:r>
      <w:r w:rsidR="00E52AAF" w:rsidRPr="008B58D5">
        <w:rPr>
          <w:rFonts w:ascii="Arial" w:hAnsi="Arial" w:cs="Arial"/>
          <w:sz w:val="22"/>
          <w:szCs w:val="22"/>
        </w:rPr>
        <w:t xml:space="preserve">. </w:t>
      </w:r>
      <w:r w:rsidR="00BC3BBB" w:rsidRPr="0057704D">
        <w:rPr>
          <w:rFonts w:ascii="Arial" w:hAnsi="Arial" w:cs="Arial"/>
          <w:sz w:val="22"/>
          <w:szCs w:val="22"/>
        </w:rPr>
        <w:fldChar w:fldCharType="begin" w:fldLock="1"/>
      </w:r>
      <w:r w:rsidR="0037573A" w:rsidRPr="0057704D">
        <w:rPr>
          <w:rFonts w:ascii="Arial" w:hAnsi="Arial" w:cs="Arial"/>
          <w:sz w:val="22"/>
          <w:szCs w:val="22"/>
        </w:rPr>
        <w:instrText>ADDIN CSL_CITATION { "citationItems" : [ { "id" : "ITEM-1", "itemData" : { "PMID" : "2014562316", "abstract" : "Attention-deficit/hyperactivity disorder (ADHD) is one of the most prevalent childhood disorders, although disorders etiology and pathogenesis remains unknown, several theories about ADHD development have been proposed and many researchers believe that it is caused by both genetic and environmental factors. In this study we evaluated miR18a-5p, miR22-3p, miR24-3p, miR106b-5p, miR107, miR125b-5p and miR155a-5p levels in child and adolescent ADHD patients. The research sample consisted a group of 52 ADHD patients, and 52 healthy volunteer controls. There was no significant difference in age and sex between the two groups (p&gt; 0.05). miRNA 18a-5p, 22-3p, 24-3p, 106b-5p and 107 levels were statistically significantly decreased in ADHD patients(p&lt; 0.05). miRNA 155a-5p levels were increased in patients group (p&lt; 0.05). The positive predictive value (PPV) and negative predictive value of miR107 was estimated for the cutoff point of 0.4480. PPV was 70% and NPV was 86.5% for the taken cut off point. There could be a close relationship between levels of circulating miRNAs and ADHD. If we could understand how the signaling pathways arranged by miRNAs, impact on CNS development, function and pathology this can improve our knowledge about ADHD etiology and treatment. 2014 Elsevier Ireland Ltd.", "author" : [ { "dropping-particle" : "", "family" : "Kandemir", "given" : "H", "non-dropping-particle" : "", "parse-names" : false, "suffix" : "" }, { "dropping-particle" : "", "family" : "Erdal", "given" : "M E", "non-dropping-particle" : "", "parse-names" : false, "suffix" : "" }, { "dropping-particle" : "", "family" : "Selek", "given" : "S", "non-dropping-particle" : "", "parse-names" : false, "suffix" : "" }, { "dropping-particle" : "", "family" : "Ay", "given" : "O I", "non-dropping-particle" : "", "parse-names" : false, "suffix" : "" }, { "dropping-particle" : "", "family" : "Karababa", "given" : "T F", "non-dropping-particle" : "", "parse-names" : false, "suffix" : "" }, { "dropping-particle" : "", "family" : "Kandemir", "given" : "S B", "non-dropping-particle" : "", "parse-names" : false, "suffix" : "" }, { "dropping-particle" : "", "family" : "Ay", "given" : "M E", "non-dropping-particle" : "", "parse-names" : false, "suffix" : "" }, { "dropping-particle" : "", "family" : "Yilmaz", "given" : "T G", "non-dropping-particle" : "", "parse-names" : false, "suffix" : "" }, { "dropping-particle" : "", "family" : "Bayazit", "given" : "H", "non-dropping-particle" : "", "parse-names" : false, "suffix" : "" }, { "dropping-particle" : "", "family" : "Tasdelen", "given" : "B", "non-dropping-particle" : "", "parse-names" : false, "suffix" : "" } ], "container-title" : "Neuroscience Letters", "id" : "ITEM-1", "issued" : { "date-parts" : [ [ "2014" ] ] }, "page" : "158-162", "title" : "Evaluation of several micro RNA (miRNA) levels in children and adolescents with attention deficit hyperactivity disorder", "type" : "article-journal", "volume" : "580" }, "uris" : [ "http://www.mendeley.com/documents/?uuid=69499660-946a-47ee-b34e-132295ad0567" ] }, { "id" : "ITEM-2", "itemData" : { "DOI" : "10.1016/j.jpsychires.2016.06.007", "ISSN" : "18791379", "PMID" : "27380186", "abstract" : "The aim of this meta-analysis is to assess the associations between two most widely investigated polymorphisms (rs3746544 and rs1051312) in the 3???UTR of the SNAP-25 gene and susceptibility of ADHD. Two investigators selected related studies and assessed methodological quality independently. Six studies were included in this meta-analysis for a total of 715 cases and 655 controls. There is no apparent association between rs3746544 polymorphisms and risk of ADHD. However, subgroup analysis based on ethnicity demonstrated a strong association between rs3746544 polymorphism and ADHD in the subset of Asian participants, but not among Caucasians. Compared to the T allele, the allele G was associated with a significantly decreased risk of developing ADHD in the Asian population (odds ratio (OR)??=??0.70, 95% confidence interval (CI)??=??0.52???0.95, p??=??0.02). The association between the TT genotype and ADHD risk was also significantly increased as compared to G/T (OR??=??1.56, 95% CI??=??1.00???2.44, p??=??0.05) and the dominant genetic model (GG??+??GT vs. TT: OR??=??1.51, 95% CI??=??1.07???2.13, p??=??0.02). For the rs1051312 SNP, being homozygous for the minor allele (C/C) was associated with a 3.66 higher odds of ADHD as compared to cases homozygous for the major allele (T/T) (95% CI??=??1.64???8.13, p??=??0.001), and 3.57 higher odds as compared to heterozygous (C/T) carriers (95% CI??=??2.01???12.90, p??&lt;??0.001). Our results suggest that the polymorphisms rs3746544 and rs1051312 may increase the odds of developing ADHD. Additional studies are needed to confirm these findings.", "author" : [ { "dropping-particle" : "", "family" : "Ye", "given" : "Chuanzhong", "non-dropping-particle" : "", "parse-names" : false, "suffix" : "" }, { "dropping-particle" : "", "family" : "Hu", "given" : "Zhijian", "non-dropping-particle" : "", "parse-names" : false, "suffix" : "" }, { "dropping-particle" : "", "family" : "Wu", "given" : "Evan", "non-dropping-particle" : "", "parse-names" : false, "suffix" : "" }, { "dropping-particle" : "", "family" : "Yang", "given" : "Xiaolu", "non-dropping-particle" : "", "parse-names" : false, "suffix" : "" }, { "dropping-particle" : "", "family" : "Buford", "given" : "Ushimbra J.", "non-dropping-particle" : "", "parse-names" : false, "suffix" : "" }, { "dropping-particle" : "", "family" : "Guo", "given" : "Zhihong", "non-dropping-particle" : "", "parse-names" : false, "suffix" : "" }, { "dropping-particle" : "V.", "family" : "Saveanu", "given" : "Radu", "non-dropping-particle" : "", "parse-names" : false, "suffix" : "" } ], "container-title" : "Journal of Psychiatric Research", "id" : "ITEM-2", "issued" : { "date-parts" : [ [ "2016" ] ] }, "page" : "56-62", "title" : "Two SNAP-25 genetic variants in the binding site of multiple microRNAs and susceptibility of ADHD: A meta-analysis", "type" : "article-journal", "volume" : "81" }, "uris" : [ "http://www.mendeley.com/documents/?uuid=a9e22b73-5fe7-4859-aafc-cf86bc09032b" ] }, { "id" : "ITEM-3", "itemData" : { "DOI" : "10.1038/tp.2016.151", "ISSN" : "2158-3188", "PMID" : "27576168", "abstract" : "Attention deficit and hyperactivity disorder (ADHD) is a prevalent neurodevelopmental disorder characterized by impairment to sustain attention and inability to control impulses and activity level. The etiology of ADHD is complex, with an estimated heritability of 70-80%. Under the hypothesis that alterations in the processing or target binding of microRNAs (miRNAs) may result in functional alterations predisposing to ADHD, we explored whether common polymorphisms potentially affecting miRNA-mediated regulation are involved in this psychiatric disorder. We performed a comprehensive association study focused on 134 miRNAs in 754 ADHD subjects and 766 controls and found association between the miR-34b/c locus and ADHD. Subsequently, we provided preliminary evidence for overexpression of the miR-34c-3p mature form in peripheral blood mononuclear cells of ADHD subjects. Next, we tested the effect on gene expression of single-nucleotide polymorphisms within the ADHD-associated region and found that rs4938923 in the promoter of the pri-miR-34b/c tags cis expression quantitative trait loci for both miR-34b and miR-34c and has an impact on the expression levels of 681 transcripts in trans, including genes previously associated with ADHD. This gene set was enriched for miR-34b/c binding sites, functional categories related to the central nervous system, such as axon guidance or neuron differentiation, and serotonin biosynthesis and signaling canonical pathways. Our results provide preliminary evidence for the contribution to ADHD of a functional variant in the pri-miR-34b/c promoter, possibly through dysregulation of the expression of mature forms of miR-34b and miR-34c and some target genes. These data highlight the importance of abnormal miRNA function as a potential epigenetic mechanism contributing to ADHD.", "author" : [ { "dropping-particle" : "", "family" : "Garcia-Mart\u00ednez", "given" : "I", "non-dropping-particle" : "", "parse-names" : false, "suffix" : "" }, { "dropping-particle" : "", "family" : "S\u00e1nchez-Mora", "given" : "C", "non-dropping-particle" : "", "parse-names" : false, "suffix" : "" }, { "dropping-particle" : "", "family" : "Pagerols", "given" : "M", "non-dropping-particle" : "", "parse-names" : false, "suffix" : "" }, { "dropping-particle" : "", "family" : "Richarte", "given" : "V", "non-dropping-particle" : "", "parse-names" : false, "suffix" : "" }, { "dropping-particle" : "", "family" : "Corrales", "given" : "M", "non-dropping-particle" : "", "parse-names" : false, "suffix" : "" }, { "dropping-particle" : "", "family" : "Fadeuilhe", "given" : "C", "non-dropping-particle" : "", "parse-names" : false, "suffix" : "" }, { "dropping-particle" : "", "family" : "Cormand", "given" : "B", "non-dropping-particle" : "", "parse-names" : false, "suffix" : "" }, { "dropping-particle" : "", "family" : "Casas", "given" : "M", "non-dropping-particle" : "", "parse-names" : false, "suffix" : "" }, { "dropping-particle" : "", "family" : "Ramos-Quiroga", "given" : "J A", "non-dropping-particle" : "", "parse-names" : false, "suffix" : "" }, { "dropping-particle" : "", "family" : "Ribas\u00e9s", "given" : "M", "non-dropping-particle" : "", "parse-names" : false, "suffix" : "" } ], "container-title" : "Translational Psychiatry", "id" : "ITEM-3", "issue" : "8", "issued" : { "date-parts" : [ [ "2016" ] ] }, "page" : "e879", "title" : "Preliminary evidence for association of genetic variants in pri-miR-34b/c and abnormal miR-34c expression with attention deficit and hyperactivity disorder", "type" : "article-journal", "volume" : "6" }, "uris" : [ "http://www.mendeley.com/documents/?uuid=9009fcc4-f549-4ed2-acf6-4636d8dc179a" ] } ], "mendeley" : { "formattedCitation" : "(17, 237, 238)", "plainTextFormattedCitation" : "(17, 237, 238)", "previouslyFormattedCitation" : "(17, 237, 238)" }, "properties" : { "noteIndex" : 22 }, "schema" : "https://github.com/citation-style-language/schema/raw/master/csl-citation.json" }</w:instrText>
      </w:r>
      <w:r w:rsidR="00BC3BBB" w:rsidRPr="0057704D">
        <w:rPr>
          <w:rFonts w:ascii="Arial" w:hAnsi="Arial" w:cs="Arial"/>
          <w:sz w:val="22"/>
          <w:szCs w:val="22"/>
        </w:rPr>
        <w:fldChar w:fldCharType="separate"/>
      </w:r>
      <w:r w:rsidR="00BF1F00" w:rsidRPr="0057704D">
        <w:rPr>
          <w:rFonts w:ascii="Arial" w:hAnsi="Arial" w:cs="Arial"/>
          <w:noProof/>
          <w:sz w:val="22"/>
          <w:szCs w:val="22"/>
        </w:rPr>
        <w:t>(17, 237, 238)</w:t>
      </w:r>
      <w:r w:rsidR="00BC3BBB" w:rsidRPr="0057704D">
        <w:rPr>
          <w:rFonts w:ascii="Arial" w:hAnsi="Arial" w:cs="Arial"/>
          <w:sz w:val="22"/>
          <w:szCs w:val="22"/>
        </w:rPr>
        <w:fldChar w:fldCharType="end"/>
      </w:r>
      <w:r w:rsidRPr="0057704D">
        <w:rPr>
          <w:rFonts w:ascii="Arial" w:hAnsi="Arial" w:cs="Arial"/>
          <w:sz w:val="22"/>
          <w:szCs w:val="22"/>
        </w:rPr>
        <w:t>.</w:t>
      </w:r>
      <w:r w:rsidR="00E52AAF">
        <w:rPr>
          <w:rFonts w:ascii="Arial" w:hAnsi="Arial" w:cs="Arial"/>
          <w:sz w:val="22"/>
          <w:szCs w:val="22"/>
        </w:rPr>
        <w:t xml:space="preserve"> Bununla birlikte DEHB’de miRNA çalışmaları oldukça yeni bir alandır ve yazında az sayıda çalışma bulunmaktadır.  </w:t>
      </w:r>
      <w:r w:rsidRPr="0057704D">
        <w:rPr>
          <w:rFonts w:ascii="Arial" w:hAnsi="Arial" w:cs="Arial"/>
          <w:sz w:val="22"/>
          <w:szCs w:val="22"/>
        </w:rPr>
        <w:t xml:space="preserve"> </w:t>
      </w:r>
    </w:p>
    <w:p w:rsidR="00EC4DCF" w:rsidRPr="0057704D" w:rsidRDefault="00EC4DCF" w:rsidP="00EC4DCF">
      <w:pPr>
        <w:pStyle w:val="HTMLncedenBiimlendirilmi"/>
        <w:shd w:val="clear" w:color="auto" w:fill="FFFFFF"/>
        <w:spacing w:line="360" w:lineRule="auto"/>
        <w:jc w:val="both"/>
        <w:rPr>
          <w:rFonts w:ascii="Arial" w:hAnsi="Arial" w:cs="Arial"/>
          <w:sz w:val="22"/>
          <w:szCs w:val="22"/>
          <w:lang w:val="en-US" w:eastAsia="en-US"/>
        </w:rPr>
      </w:pPr>
    </w:p>
    <w:p w:rsidR="00C60153" w:rsidRPr="002B6AFD" w:rsidRDefault="00C60153" w:rsidP="00C60153">
      <w:pPr>
        <w:rPr>
          <w:rStyle w:val="Kpr"/>
          <w:rFonts w:ascii="Arial" w:eastAsiaTheme="majorEastAsia" w:hAnsi="Arial" w:cs="Arial"/>
          <w:color w:val="auto"/>
          <w:sz w:val="22"/>
          <w:szCs w:val="22"/>
        </w:rPr>
      </w:pPr>
      <w:r>
        <w:rPr>
          <w:noProof/>
        </w:rPr>
        <w:lastRenderedPageBreak/>
        <w:drawing>
          <wp:inline distT="0" distB="0" distL="0" distR="0">
            <wp:extent cx="5247861" cy="3509565"/>
            <wp:effectExtent l="0" t="0" r="0" b="0"/>
            <wp:docPr id="1" name="Picture 2" descr="111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 (2).PNG"/>
                    <pic:cNvPicPr/>
                  </pic:nvPicPr>
                  <pic:blipFill>
                    <a:blip r:embed="rId12" cstate="print"/>
                    <a:stretch>
                      <a:fillRect/>
                    </a:stretch>
                  </pic:blipFill>
                  <pic:spPr>
                    <a:xfrm>
                      <a:off x="0" y="0"/>
                      <a:ext cx="5247082" cy="3509044"/>
                    </a:xfrm>
                    <a:prstGeom prst="rect">
                      <a:avLst/>
                    </a:prstGeom>
                  </pic:spPr>
                </pic:pic>
              </a:graphicData>
            </a:graphic>
          </wp:inline>
        </w:drawing>
      </w:r>
      <w:r>
        <w:br/>
      </w:r>
      <w:r w:rsidRPr="002B6AFD">
        <w:rPr>
          <w:rFonts w:ascii="Arial" w:hAnsi="Arial" w:cs="Arial"/>
          <w:color w:val="212121"/>
          <w:sz w:val="22"/>
          <w:szCs w:val="22"/>
          <w:shd w:val="clear" w:color="auto" w:fill="FFFFFF"/>
        </w:rPr>
        <w:t xml:space="preserve">Şekil 1 - miRNA biyogenezi ve fonksiyonu  </w:t>
      </w:r>
      <w:hyperlink r:id="rId13" w:history="1">
        <w:r w:rsidRPr="002B6AFD">
          <w:rPr>
            <w:rStyle w:val="Kpr"/>
            <w:rFonts w:ascii="Arial" w:eastAsiaTheme="majorEastAsia" w:hAnsi="Arial" w:cs="Arial"/>
            <w:color w:val="auto"/>
            <w:sz w:val="22"/>
            <w:szCs w:val="22"/>
          </w:rPr>
          <w:t>Srivastav S</w:t>
        </w:r>
      </w:hyperlink>
      <w:r w:rsidRPr="002B6AFD">
        <w:rPr>
          <w:rStyle w:val="Kpr"/>
          <w:rFonts w:ascii="Arial" w:eastAsiaTheme="majorEastAsia" w:hAnsi="Arial" w:cs="Arial"/>
          <w:color w:val="auto"/>
          <w:sz w:val="22"/>
          <w:szCs w:val="22"/>
        </w:rPr>
        <w:t xml:space="preserve"> ve ark 2017’den alınmıştır. </w:t>
      </w:r>
      <w:r w:rsidR="00BC3BBB" w:rsidRPr="002B6AFD">
        <w:rPr>
          <w:rStyle w:val="Kpr"/>
          <w:rFonts w:ascii="Arial" w:eastAsiaTheme="majorEastAsia" w:hAnsi="Arial" w:cs="Arial"/>
          <w:color w:val="auto"/>
          <w:sz w:val="22"/>
          <w:szCs w:val="22"/>
        </w:rPr>
        <w:fldChar w:fldCharType="begin" w:fldLock="1"/>
      </w:r>
      <w:r w:rsidR="0037573A">
        <w:rPr>
          <w:rStyle w:val="Kpr"/>
          <w:rFonts w:ascii="Arial" w:eastAsiaTheme="majorEastAsia" w:hAnsi="Arial" w:cs="Arial"/>
          <w:color w:val="auto"/>
          <w:sz w:val="22"/>
          <w:szCs w:val="22"/>
        </w:rPr>
        <w:instrText>ADDIN CSL_CITATION { "citationItems" : [ { "id" : "ITEM-1", "itemData" : { "DOI" : "10.1007/s12402-017-0232-y", "ISSN" : "18666647", "PMID" : "28493018", "abstract" : "Attention deficit hyperactivity disorder (ADHD) is a neuropsychiatric disorder whose aetiology still remains elusive. Nevertheless, evidence supports a high genetic contribution that interacts with environmental factors, also known to modulate epigenetic processes. These epigenetic modulators are a class of non-coding RNAs, microRNAs (miRNAs), known as post-transcriptional regulators, which have emerged as prospective players in neuropsychiatric disorders since they play a role in brain development, synapse formation, and the fine-tuning of genes underlying synaptic and memory formation. Here, we review the current literature following a systematic search up until August 2016. The keywords used were \"ADHD\", \"attention deficit hyperactivity disorder\", \"attention hyperactivity\" in combination with \"miRNA\" or \"microRNA\". A total of 9 studies out of 34 met inclusion criteria. The results provide preliminary information, shedding light on two important aspects. First, it depicts that miRNAs modulate expression of genes (BDNF, DAT1, HTR2C, HTR1B, SNAP-25) linked to ADHD aetiology. Dysregulation of miRNAs affects regulatory mechanisms of aforementioned genes, which may affect neurodevelopmental processes leading to alterations. Secondly, altered peripheral miRNA levels are observed in both ADHD animal model and humans, suggesting a notion of utilizing circulatory miRNA in disease diagnosis. Therefore, deciphering the role of miRNAs in ADHD seems a promising step in understanding its aetiology.", "author" : [ { "dropping-particle" : "", "family" : "Srivastav", "given" : "Saurabh", "non-dropping-particle" : "", "parse-names" : false, "suffix" : "" }, { "dropping-particle" : "", "family" : "Walitza", "given" : "Susanne", "non-dropping-particle" : "", "parse-names" : false, "suffix" : "" }, { "dropping-particle" : "", "family" : "Gr\u00fcnblatt", "given" : "Edna", "non-dropping-particle" : "", "parse-names" : false, "suffix" : "" } ], "container-title" : "ADHD Attention Deficit and Hyperactivity Disorders", "id" : "ITEM-1", "issued" : { "date-parts" : [ [ "2017" ] ] }, "page" : "1-15", "title" : "Emerging role of miRNA in attention deficit hyperactivity disorder: a systematic review", "type" : "article-journal" }, "uris" : [ "http://www.mendeley.com/documents/?uuid=b9d3cf34-4998-462f-a191-23291ffc9e01" ] } ], "mendeley" : { "formattedCitation" : "(221)", "plainTextFormattedCitation" : "(221)", "previouslyFormattedCitation" : "(221)" }, "properties" : { "noteIndex" : 22 }, "schema" : "https://github.com/citation-style-language/schema/raw/master/csl-citation.json" }</w:instrText>
      </w:r>
      <w:r w:rsidR="00BC3BBB" w:rsidRPr="002B6AFD">
        <w:rPr>
          <w:rStyle w:val="Kpr"/>
          <w:rFonts w:ascii="Arial" w:eastAsiaTheme="majorEastAsia" w:hAnsi="Arial" w:cs="Arial"/>
          <w:color w:val="auto"/>
          <w:sz w:val="22"/>
          <w:szCs w:val="22"/>
        </w:rPr>
        <w:fldChar w:fldCharType="separate"/>
      </w:r>
      <w:r w:rsidR="00BF1F00" w:rsidRPr="00BF1F00">
        <w:rPr>
          <w:rStyle w:val="Kpr"/>
          <w:rFonts w:ascii="Arial" w:eastAsiaTheme="majorEastAsia" w:hAnsi="Arial" w:cs="Arial"/>
          <w:noProof/>
          <w:color w:val="auto"/>
          <w:sz w:val="22"/>
          <w:szCs w:val="22"/>
          <w:u w:val="none"/>
        </w:rPr>
        <w:t>(221)</w:t>
      </w:r>
      <w:r w:rsidR="00BC3BBB" w:rsidRPr="002B6AFD">
        <w:rPr>
          <w:rStyle w:val="Kpr"/>
          <w:rFonts w:ascii="Arial" w:eastAsiaTheme="majorEastAsia" w:hAnsi="Arial" w:cs="Arial"/>
          <w:color w:val="auto"/>
          <w:sz w:val="22"/>
          <w:szCs w:val="22"/>
        </w:rPr>
        <w:fldChar w:fldCharType="end"/>
      </w:r>
    </w:p>
    <w:p w:rsidR="00EC4DCF" w:rsidRPr="002B6AFD" w:rsidRDefault="00EC4DCF" w:rsidP="00C60153">
      <w:pPr>
        <w:rPr>
          <w:rFonts w:ascii="Arial" w:hAnsi="Arial" w:cs="Arial"/>
          <w:color w:val="212121"/>
          <w:sz w:val="22"/>
          <w:szCs w:val="22"/>
          <w:shd w:val="clear" w:color="auto" w:fill="FFFFFF"/>
        </w:rPr>
      </w:pPr>
    </w:p>
    <w:p w:rsidR="00C60153" w:rsidRPr="004E1C8C" w:rsidRDefault="00C60153" w:rsidP="004E1C8C">
      <w:pPr>
        <w:pStyle w:val="HTMLncedenBiimlendirilmi"/>
        <w:shd w:val="clear" w:color="auto" w:fill="FFFFFF"/>
        <w:spacing w:line="360" w:lineRule="auto"/>
        <w:jc w:val="both"/>
        <w:rPr>
          <w:rFonts w:ascii="Arial" w:hAnsi="Arial" w:cs="Arial"/>
          <w:sz w:val="22"/>
          <w:szCs w:val="22"/>
        </w:rPr>
      </w:pPr>
      <w:r>
        <w:rPr>
          <w:rFonts w:ascii="Arial" w:hAnsi="Arial" w:cs="Arial"/>
          <w:sz w:val="22"/>
          <w:szCs w:val="22"/>
        </w:rPr>
        <w:tab/>
        <w:t xml:space="preserve">DEHB alanında miRNA çalışmaları oldukça yeni bir çalışma konusudur. 2017 yılında yayımlanan  bir gözden geçirme çalışması, 1999-2016 Ağustos tarihleri arasında yayımlanmış çalışmaları gözden geçirmis ve hayvan ve insan çalışmaları dahil, DEHB ve miRNA arasındaki ilişkiyi inceleyen ve içleme kriterlerini karşılayan 9 adet çalışmanın verilerini derlemiştir. </w:t>
      </w:r>
      <w:r w:rsidR="00BC3BBB">
        <w:rPr>
          <w:rFonts w:ascii="Arial" w:hAnsi="Arial" w:cs="Arial"/>
          <w:sz w:val="22"/>
          <w:szCs w:val="22"/>
        </w:rPr>
        <w:fldChar w:fldCharType="begin" w:fldLock="1"/>
      </w:r>
      <w:r w:rsidR="0037573A">
        <w:rPr>
          <w:rFonts w:ascii="Arial" w:hAnsi="Arial" w:cs="Arial"/>
          <w:sz w:val="22"/>
          <w:szCs w:val="22"/>
        </w:rPr>
        <w:instrText>ADDIN CSL_CITATION { "citationItems" : [ { "id" : "ITEM-1", "itemData" : { "DOI" : "10.1007/s12402-017-0232-y", "ISSN" : "18666647", "PMID" : "28493018", "abstract" : "Attention deficit hyperactivity disorder (ADHD) is a neuropsychiatric disorder whose aetiology still remains elusive. Nevertheless, evidence supports a high genetic contribution that interacts with environmental factors, also known to modulate epigenetic processes. These epigenetic modulators are a class of non-coding RNAs, microRNAs (miRNAs), known as post-transcriptional regulators, which have emerged as prospective players in neuropsychiatric disorders since they play a role in brain development, synapse formation, and the fine-tuning of genes underlying synaptic and memory formation. Here, we review the current literature following a systematic search up until August 2016. The keywords used were \"ADHD\", \"attention deficit hyperactivity disorder\", \"attention hyperactivity\" in combination with \"miRNA\" or \"microRNA\". A total of 9 studies out of 34 met inclusion criteria. The results provide preliminary information, shedding light on two important aspects. First, it depicts that miRNAs modulate expression of genes (BDNF, DAT1, HTR2C, HTR1B, SNAP-25) linked to ADHD aetiology. Dysregulation of miRNAs affects regulatory mechanisms of aforementioned genes, which may affect neurodevelopmental processes leading to alterations. Secondly, altered peripheral miRNA levels are observed in both ADHD animal model and humans, suggesting a notion of utilizing circulatory miRNA in disease diagnosis. Therefore, deciphering the role of miRNAs in ADHD seems a promising step in understanding its aetiology.", "author" : [ { "dropping-particle" : "", "family" : "Srivastav", "given" : "Saurabh", "non-dropping-particle" : "", "parse-names" : false, "suffix" : "" }, { "dropping-particle" : "", "family" : "Walitza", "given" : "Susanne", "non-dropping-particle" : "", "parse-names" : false, "suffix" : "" }, { "dropping-particle" : "", "family" : "Gr\u00fcnblatt", "given" : "Edna", "non-dropping-particle" : "", "parse-names" : false, "suffix" : "" } ], "container-title" : "ADHD Attention Deficit and Hyperactivity Disorders", "id" : "ITEM-1", "issued" : { "date-parts" : [ [ "2017" ] ] }, "page" : "1-15", "title" : "Emerging role of miRNA in attention deficit hyperactivity disorder: a systematic review", "type" : "article-journal" }, "uris" : [ "http://www.mendeley.com/documents/?uuid=b9d3cf34-4998-462f-a191-23291ffc9e01" ] } ], "mendeley" : { "formattedCitation" : "(221)", "plainTextFormattedCitation" : "(221)", "previouslyFormattedCitation" : "(221)" }, "properties" : { "noteIndex" : 23 }, "schema" : "https://github.com/citation-style-language/schema/raw/master/csl-citation.json" }</w:instrText>
      </w:r>
      <w:r w:rsidR="00BC3BBB">
        <w:rPr>
          <w:rFonts w:ascii="Arial" w:hAnsi="Arial" w:cs="Arial"/>
          <w:sz w:val="22"/>
          <w:szCs w:val="22"/>
        </w:rPr>
        <w:fldChar w:fldCharType="separate"/>
      </w:r>
      <w:r w:rsidR="00BF1F00" w:rsidRPr="00BF1F00">
        <w:rPr>
          <w:rFonts w:ascii="Arial" w:hAnsi="Arial" w:cs="Arial"/>
          <w:noProof/>
          <w:sz w:val="22"/>
          <w:szCs w:val="22"/>
        </w:rPr>
        <w:t>(221)</w:t>
      </w:r>
      <w:r w:rsidR="00BC3BBB">
        <w:rPr>
          <w:rFonts w:ascii="Arial" w:hAnsi="Arial" w:cs="Arial"/>
          <w:sz w:val="22"/>
          <w:szCs w:val="22"/>
        </w:rPr>
        <w:fldChar w:fldCharType="end"/>
      </w:r>
      <w:r>
        <w:rPr>
          <w:rFonts w:ascii="Arial" w:hAnsi="Arial" w:cs="Arial"/>
          <w:sz w:val="22"/>
          <w:szCs w:val="22"/>
        </w:rPr>
        <w:t xml:space="preserve">. Bu çalışmada, DEHB’de hem hayvan modellerinde hem de insan çalışmalarında periferal miRNA düzeylerinde kontrollere göre farklılık bulunduğu ve bunun tanısal amaçla kullanılabileceği düşüncesinin </w:t>
      </w:r>
      <w:r w:rsidRPr="004E1C8C">
        <w:rPr>
          <w:rFonts w:ascii="Arial" w:hAnsi="Arial" w:cs="Arial"/>
          <w:sz w:val="22"/>
          <w:szCs w:val="22"/>
        </w:rPr>
        <w:t xml:space="preserve">ortaya çıktığı rapor edilmiştir. Bunun yanı sıra, miRNA ilişkili bozulmaların, DEHB ile ilişkisi bilinen bazı genlerin düzenlenme mekanizmlarında aksamalara neden olabileceği belirtilmiş, dolayısı ile miRNA’ların DEHB etiyolojisinde önemli bir role sahip olabileceğinin altı çizilmiştir. Ayrıca şu ana dek yapılan çalışmaların sayısının azlığı ve veriler arasında örtüşme olmadığından meta-analiz yapılamadığı eklenmiştir </w:t>
      </w:r>
      <w:r w:rsidR="00BC3BBB" w:rsidRPr="004E1C8C">
        <w:rPr>
          <w:rFonts w:ascii="Arial" w:hAnsi="Arial" w:cs="Arial"/>
          <w:sz w:val="22"/>
          <w:szCs w:val="22"/>
        </w:rPr>
        <w:fldChar w:fldCharType="begin" w:fldLock="1"/>
      </w:r>
      <w:r w:rsidR="0037573A">
        <w:rPr>
          <w:rFonts w:ascii="Arial" w:hAnsi="Arial" w:cs="Arial"/>
          <w:sz w:val="22"/>
          <w:szCs w:val="22"/>
        </w:rPr>
        <w:instrText>ADDIN CSL_CITATION { "citationItems" : [ { "id" : "ITEM-1", "itemData" : { "DOI" : "10.1007/s12402-017-0232-y", "ISSN" : "18666647", "PMID" : "28493018", "abstract" : "Attention deficit hyperactivity disorder (ADHD) is a neuropsychiatric disorder whose aetiology still remains elusive. Nevertheless, evidence supports a high genetic contribution that interacts with environmental factors, also known to modulate epigenetic processes. These epigenetic modulators are a class of non-coding RNAs, microRNAs (miRNAs), known as post-transcriptional regulators, which have emerged as prospective players in neuropsychiatric disorders since they play a role in brain development, synapse formation, and the fine-tuning of genes underlying synaptic and memory formation. Here, we review the current literature following a systematic search up until August 2016. The keywords used were \"ADHD\", \"attention deficit hyperactivity disorder\", \"attention hyperactivity\" in combination with \"miRNA\" or \"microRNA\". A total of 9 studies out of 34 met inclusion criteria. The results provide preliminary information, shedding light on two important aspects. First, it depicts that miRNAs modulate expression of genes (BDNF, DAT1, HTR2C, HTR1B, SNAP-25) linked to ADHD aetiology. Dysregulation of miRNAs affects regulatory mechanisms of aforementioned genes, which may affect neurodevelopmental processes leading to alterations. Secondly, altered peripheral miRNA levels are observed in both ADHD animal model and humans, suggesting a notion of utilizing circulatory miRNA in disease diagnosis. Therefore, deciphering the role of miRNAs in ADHD seems a promising step in understanding its aetiology.", "author" : [ { "dropping-particle" : "", "family" : "Srivastav", "given" : "Saurabh", "non-dropping-particle" : "", "parse-names" : false, "suffix" : "" }, { "dropping-particle" : "", "family" : "Walitza", "given" : "Susanne", "non-dropping-particle" : "", "parse-names" : false, "suffix" : "" }, { "dropping-particle" : "", "family" : "Gr\u00fcnblatt", "given" : "Edna", "non-dropping-particle" : "", "parse-names" : false, "suffix" : "" } ], "container-title" : "ADHD Attention Deficit and Hyperactivity Disorders", "id" : "ITEM-1", "issued" : { "date-parts" : [ [ "2017" ] ] }, "page" : "1-15", "title" : "Emerging role of miRNA in attention deficit hyperactivity disorder: a systematic review", "type" : "article-journal" }, "uris" : [ "http://www.mendeley.com/documents/?uuid=b9d3cf34-4998-462f-a191-23291ffc9e01" ] } ], "mendeley" : { "formattedCitation" : "(221)", "plainTextFormattedCitation" : "(221)", "previouslyFormattedCitation" : "(221)" }, "properties" : { "noteIndex" : 23 }, "schema" : "https://github.com/citation-style-language/schema/raw/master/csl-citation.json" }</w:instrText>
      </w:r>
      <w:r w:rsidR="00BC3BBB" w:rsidRPr="004E1C8C">
        <w:rPr>
          <w:rFonts w:ascii="Arial" w:hAnsi="Arial" w:cs="Arial"/>
          <w:sz w:val="22"/>
          <w:szCs w:val="22"/>
        </w:rPr>
        <w:fldChar w:fldCharType="separate"/>
      </w:r>
      <w:r w:rsidR="00BF1F00" w:rsidRPr="00BF1F00">
        <w:rPr>
          <w:rFonts w:ascii="Arial" w:hAnsi="Arial" w:cs="Arial"/>
          <w:noProof/>
          <w:sz w:val="22"/>
          <w:szCs w:val="22"/>
        </w:rPr>
        <w:t>(221)</w:t>
      </w:r>
      <w:r w:rsidR="00BC3BBB" w:rsidRPr="004E1C8C">
        <w:rPr>
          <w:rFonts w:ascii="Arial" w:hAnsi="Arial" w:cs="Arial"/>
          <w:sz w:val="22"/>
          <w:szCs w:val="22"/>
        </w:rPr>
        <w:fldChar w:fldCharType="end"/>
      </w:r>
      <w:r w:rsidRPr="004E1C8C">
        <w:rPr>
          <w:rFonts w:ascii="Arial" w:hAnsi="Arial" w:cs="Arial"/>
          <w:sz w:val="22"/>
          <w:szCs w:val="22"/>
        </w:rPr>
        <w:t xml:space="preserve">. İnsan çalışmalarında DEHB’li bireylerin periferik kan örneklerinde miR-18a-5p, miR-22-3p, miR-24-3p ve miR-106b-5p, miR-107 düzeylerinin azaldığı, miR-155-5p’nin arttığı </w:t>
      </w:r>
      <w:r w:rsidR="00BC3BBB" w:rsidRPr="004E1C8C">
        <w:rPr>
          <w:rFonts w:ascii="Arial" w:hAnsi="Arial" w:cs="Arial"/>
          <w:sz w:val="22"/>
          <w:szCs w:val="22"/>
        </w:rPr>
        <w:fldChar w:fldCharType="begin" w:fldLock="1"/>
      </w:r>
      <w:r w:rsidRPr="004E1C8C">
        <w:rPr>
          <w:rFonts w:ascii="Arial" w:hAnsi="Arial" w:cs="Arial"/>
          <w:sz w:val="22"/>
          <w:szCs w:val="22"/>
        </w:rPr>
        <w:instrText>ADDIN CSL_CITATION { "citationItems" : [ { "id" : "ITEM-1", "itemData" : { "PMID" : "2014562316", "abstract" : "Attention-deficit/hyperactivity disorder (ADHD) is one of the most prevalent childhood disorders, although disorders etiology and pathogenesis remains unknown, several theories about ADHD development have been proposed and many researchers believe that it is caused by both genetic and environmental factors. In this study we evaluated miR18a-5p, miR22-3p, miR24-3p, miR106b-5p, miR107, miR125b-5p and miR155a-5p levels in child and adolescent ADHD patients. The research sample consisted a group of 52 ADHD patients, and 52 healthy volunteer controls. There was no significant difference in age and sex between the two groups (p&gt; 0.05). miRNA 18a-5p, 22-3p, 24-3p, 106b-5p and 107 levels were statistically significantly decreased in ADHD patients(p&lt; 0.05). miRNA 155a-5p levels were increased in patients group (p&lt; 0.05). The positive predictive value (PPV) and negative predictive value of miR107 was estimated for the cutoff point of 0.4480. PPV was 70% and NPV was 86.5% for the taken cut off point. There could be a close relationship between levels of circulating miRNAs and ADHD. If we could understand how the signaling pathways arranged by miRNAs, impact on CNS development, function and pathology this can improve our knowledge about ADHD etiology and treatment. 2014 Elsevier Ireland Ltd.", "author" : [ { "dropping-particle" : "", "family" : "Kandemir", "given" : "H", "non-dropping-particle" : "", "parse-names" : false, "suffix" : "" }, { "dropping-particle" : "", "family" : "Erdal", "given" : "M E", "non-dropping-particle" : "", "parse-names" : false, "suffix" : "" }, { "dropping-particle" : "", "family" : "Selek", "given" : "S", "non-dropping-particle" : "", "parse-names" : false, "suffix" : "" }, { "dropping-particle" : "", "family" : "Ay", "given" : "O I", "non-dropping-particle" : "", "parse-names" : false, "suffix" : "" }, { "dropping-particle" : "", "family" : "Karababa", "given" : "T F", "non-dropping-particle" : "", "parse-names" : false, "suffix" : "" }, { "dropping-particle" : "", "family" : "Kandemir", "given" : "S B", "non-dropping-particle" : "", "parse-names" : false, "suffix" : "" }, { "dropping-particle" : "", "family" : "Ay", "given" : "M E", "non-dropping-particle" : "", "parse-names" : false, "suffix" : "" }, { "dropping-particle" : "", "family" : "Yilmaz", "given" : "T G", "non-dropping-particle" : "", "parse-names" : false, "suffix" : "" }, { "dropping-particle" : "", "family" : "Bayazit", "given" : "H", "non-dropping-particle" : "", "parse-names" : false, "suffix" : "" }, { "dropping-particle" : "", "family" : "Tasdelen", "given" : "B", "non-dropping-particle" : "", "parse-names" : false, "suffix" : "" } ], "container-title" : "Neuroscience Letters", "id" : "ITEM-1", "issued" : { "date-parts" : [ [ "2014" ] ] }, "page" : "158-162", "title" : "Evaluation of several micro RNA (miRNA) levels in children and adolescents with attention deficit hyperactivity disorder", "type" : "article-journal", "volume" : "580" }, "uris" : [ "http://www.mendeley.com/documents/?uuid=69499660-946a-47ee-b34e-132295ad0567" ] } ], "mendeley" : { "formattedCitation" : "(17)", "plainTextFormattedCitation" : "(17)", "previouslyFormattedCitation" : "(17)" }, "properties" : { "noteIndex" : 23 }, "schema" : "https://github.com/citation-style-language/schema/raw/master/csl-citation.json" }</w:instrText>
      </w:r>
      <w:r w:rsidR="00BC3BBB" w:rsidRPr="004E1C8C">
        <w:rPr>
          <w:rFonts w:ascii="Arial" w:hAnsi="Arial" w:cs="Arial"/>
          <w:sz w:val="22"/>
          <w:szCs w:val="22"/>
        </w:rPr>
        <w:fldChar w:fldCharType="separate"/>
      </w:r>
      <w:r w:rsidRPr="004E1C8C">
        <w:rPr>
          <w:rFonts w:ascii="Arial" w:hAnsi="Arial" w:cs="Arial"/>
          <w:noProof/>
          <w:sz w:val="22"/>
          <w:szCs w:val="22"/>
        </w:rPr>
        <w:t>(17)</w:t>
      </w:r>
      <w:r w:rsidR="00BC3BBB" w:rsidRPr="004E1C8C">
        <w:rPr>
          <w:rFonts w:ascii="Arial" w:hAnsi="Arial" w:cs="Arial"/>
          <w:sz w:val="22"/>
          <w:szCs w:val="22"/>
        </w:rPr>
        <w:fldChar w:fldCharType="end"/>
      </w:r>
      <w:r w:rsidRPr="004E1C8C">
        <w:rPr>
          <w:rFonts w:ascii="Arial" w:hAnsi="Arial" w:cs="Arial"/>
          <w:sz w:val="22"/>
          <w:szCs w:val="22"/>
        </w:rPr>
        <w:t xml:space="preserve">, periferik kan mononükleer hücreleride miR-34b-3p ve miR-34c-3p ekspresyonunun arttığı saptanmış </w:t>
      </w:r>
      <w:r w:rsidR="00BC3BBB" w:rsidRPr="004E1C8C">
        <w:rPr>
          <w:rFonts w:ascii="Arial" w:hAnsi="Arial" w:cs="Arial"/>
          <w:sz w:val="22"/>
          <w:szCs w:val="22"/>
        </w:rPr>
        <w:fldChar w:fldCharType="begin" w:fldLock="1"/>
      </w:r>
      <w:r w:rsidRPr="004E1C8C">
        <w:rPr>
          <w:rFonts w:ascii="Arial" w:hAnsi="Arial" w:cs="Arial"/>
          <w:sz w:val="22"/>
          <w:szCs w:val="22"/>
        </w:rPr>
        <w:instrText>ADDIN CSL_CITATION { "citationItems" : [ { "id" : "ITEM-1", "itemData" : { "DOI" : "10.1038/tp.2016.151", "ISSN" : "2158-3188", "PMID" : "27576168", "abstract" : "Attention deficit and hyperactivity disorder (ADHD) is a prevalent neurodevelopmental disorder characterized by impairment to sustain attention and inability to control impulses and activity level. The etiology of ADHD is complex, with an estimated heritability of 70-80%. Under the hypothesis that alterations in the processing or target binding of microRNAs (miRNAs) may result in functional alterations predisposing to ADHD, we explored whether common polymorphisms potentially affecting miRNA-mediated regulation are involved in this psychiatric disorder. We performed a comprehensive association study focused on 134 miRNAs in 754 ADHD subjects and 766 controls and found association between the miR-34b/c locus and ADHD. Subsequently, we provided preliminary evidence for overexpression of the miR-34c-3p mature form in peripheral blood mononuclear cells of ADHD subjects. Next, we tested the effect on gene expression of single-nucleotide polymorphisms within the ADHD-associated region and found that rs4938923 in the promoter of the pri-miR-34b/c tags cis expression quantitative trait loci for both miR-34b and miR-34c and has an impact on the expression levels of 681 transcripts in trans, including genes previously associated with ADHD. This gene set was enriched for miR-34b/c binding sites, functional categories related to the central nervous system, such as axon guidance or neuron differentiation, and serotonin biosynthesis and signaling canonical pathways. Our results provide preliminary evidence for the contribution to ADHD of a functional variant in the pri-miR-34b/c promoter, possibly through dysregulation of the expression of mature forms of miR-34b and miR-34c and some target genes. These data highlight the importance of abnormal miRNA function as a potential epigenetic mechanism contributing to ADHD.", "author" : [ { "dropping-particle" : "", "family" : "Garcia-Mart\u00ednez", "given" : "I", "non-dropping-particle" : "", "parse-names" : false, "suffix" : "" }, { "dropping-particle" : "", "family" : "S\u00e1nchez-Mora", "given" : "C", "non-dropping-particle" : "", "parse-names" : false, "suffix" : "" }, { "dropping-particle" : "", "family" : "Pagerols", "given" : "M", "non-dropping-particle" : "", "parse-names" : false, "suffix" : "" }, { "dropping-particle" : "", "family" : "Richarte", "given" : "V", "non-dropping-particle" : "", "parse-names" : false, "suffix" : "" }, { "dropping-particle" : "", "family" : "Corrales", "given" : "M", "non-dropping-particle" : "", "parse-names" : false, "suffix" : "" }, { "dropping-particle" : "", "family" : "Fadeuilhe", "given" : "C", "non-dropping-particle" : "", "parse-names" : false, "suffix" : "" }, { "dropping-particle" : "", "family" : "Cormand", "given" : "B", "non-dropping-particle" : "", "parse-names" : false, "suffix" : "" }, { "dropping-particle" : "", "family" : "Casas", "given" : "M", "non-dropping-particle" : "", "parse-names" : false, "suffix" : "" }, { "dropping-particle" : "", "family" : "Ramos-Quiroga", "given" : "J A", "non-dropping-particle" : "", "parse-names" : false, "suffix" : "" }, { "dropping-particle" : "", "family" : "Ribas\u00e9s", "given" : "M", "non-dropping-particle" : "", "parse-names" : false, "suffix" : "" } ], "container-title" : "Translational Psychiatry", "id" : "ITEM-1", "issue" : "8", "issued" : { "date-parts" : [ [ "2016" ] ] }, "page" : "e879", "title" : "Preliminary evidence for association of genetic variants in pri-miR-34b/c and abnormal miR-34c expression with attention deficit and hyperactivity disorder", "type" : "article-journal", "volume" : "6" }, "uris" : [ "http://www.mendeley.com/documents/?uuid=9009fcc4-f549-4ed2-acf6-4636d8dc179a" ] } ], "mendeley" : { "formattedCitation" : "(238)", "plainTextFormattedCitation" : "(238)", "previouslyFormattedCitation" : "(238)" }, "properties" : { "noteIndex" : 23 }, "schema" : "https://github.com/citation-style-language/schema/raw/master/csl-citation.json" }</w:instrText>
      </w:r>
      <w:r w:rsidR="00BC3BBB" w:rsidRPr="004E1C8C">
        <w:rPr>
          <w:rFonts w:ascii="Arial" w:hAnsi="Arial" w:cs="Arial"/>
          <w:sz w:val="22"/>
          <w:szCs w:val="22"/>
        </w:rPr>
        <w:fldChar w:fldCharType="separate"/>
      </w:r>
      <w:r w:rsidRPr="004E1C8C">
        <w:rPr>
          <w:rFonts w:ascii="Arial" w:hAnsi="Arial" w:cs="Arial"/>
          <w:noProof/>
          <w:sz w:val="22"/>
          <w:szCs w:val="22"/>
        </w:rPr>
        <w:t>(238)</w:t>
      </w:r>
      <w:r w:rsidR="00BC3BBB" w:rsidRPr="004E1C8C">
        <w:rPr>
          <w:rFonts w:ascii="Arial" w:hAnsi="Arial" w:cs="Arial"/>
          <w:sz w:val="22"/>
          <w:szCs w:val="22"/>
        </w:rPr>
        <w:fldChar w:fldCharType="end"/>
      </w:r>
      <w:r w:rsidRPr="004E1C8C">
        <w:rPr>
          <w:rFonts w:ascii="Arial" w:hAnsi="Arial" w:cs="Arial"/>
          <w:sz w:val="22"/>
          <w:szCs w:val="22"/>
        </w:rPr>
        <w:t xml:space="preserve">, periferik kan lenfositlerinde miR-96i </w:t>
      </w:r>
      <w:r w:rsidR="00BC3BBB" w:rsidRPr="004E1C8C">
        <w:rPr>
          <w:rFonts w:ascii="Arial" w:hAnsi="Arial" w:cs="Arial"/>
          <w:sz w:val="22"/>
          <w:szCs w:val="22"/>
        </w:rPr>
        <w:fldChar w:fldCharType="begin" w:fldLock="1"/>
      </w:r>
      <w:r w:rsidRPr="004E1C8C">
        <w:rPr>
          <w:rFonts w:ascii="Arial" w:hAnsi="Arial" w:cs="Arial"/>
          <w:sz w:val="22"/>
          <w:szCs w:val="22"/>
        </w:rPr>
        <w:instrText>ADDIN CSL_CITATION { "citationItems" : [ { "id" : "ITEM-1", "itemData" : { "DOI" : "10.1016/j.euroneuro.2013.07.002", "ISBN" : "1873-7862 (Electronic)\\r0924-977X (Linking)", "ISSN" : "0924977X", "PMID" : "23906647", "abstract" : "Attention deficit-hyperactivity disorder (ADHD) is a neuropsychiatric disorder characterized by inappropriate and impaired levels of hyperactivity, impulsivity and inattention. Around 75% of adults with ADHD show comorbidity with other psychiatric disorders such as disruptive behavior disorders or substance use disorders (SUDs). Recently, there has been growing interest in studying the role of microRNAs (miRNAs) in the susceptibility to complex disorders. Interestingly, converging evidence suggests that single nucleotide polymorphisms (SNPs) within miRNAs or miRNA target sites may modulate the miRNA-mediated regulation of gene expression through the alteration of the miRNA maturation, structure or expression pattern as well as the silencing mechanisms of target genes. Genetic studies and animal models support the involvement of the serotonin receptor (HTR1B) in ADHD. We evaluated the contribution of one SNP in the miR-96 target site at HTR1B and eight tagSNPs within the genomic region containing this miRNA in 695 adults with ADHD (266 and 396 subjects with and without comorbid SUD, respectively), 403 subjects with SUD without life-time diagnosis of ADHD and 485 sex-matched controls from Spain. Single and multiple marker analyses revealed association between two SNPs located at the 3' region of miR-96 (rs2402959 and rs6965643) and ADHD without SUD. Our results provide preliminary evidence for the contribution of two sequence variants at the miR-183-96-182 cluster to ADHD without comorbid SUD, and emphasize the need to take comorbidities into account in genetic studies to minimize the effect of heterogeneity and to clarify these complex phenotypes.", "author" : [ { "dropping-particle" : "", "family" : "S\u00e1nchez-Mora", "given" : "Cristina", "non-dropping-particle" : "", "parse-names" : false, "suffix" : "" }, { "dropping-particle" : "", "family" : "Ramos-Quiroga", "given" : "Josep-Antoni", "non-dropping-particle" : "", "parse-names" : false, "suffix" : "" }, { "dropping-particle" : "", "family" : "Garcia-Mart\u00ednez", "given" : "Iris", "non-dropping-particle" : "", "parse-names" : false, "suffix" : "" }, { "dropping-particle" : "", "family" : "Fern\u00e0ndez-Castillo", "given" : "Noelia", "non-dropping-particle" : "", "parse-names" : false, "suffix" : "" }, { "dropping-particle" : "", "family" : "Bosch", "given" : "Rosa", "non-dropping-particle" : "", "parse-names" : false, "suffix" : "" }, { "dropping-particle" : "", "family" : "Richarte", "given" : "Vanesa", "non-dropping-particle" : "", "parse-names" : false, "suffix" : "" }, { "dropping-particle" : "", "family" : "Palomar", "given" : "Gloria", "non-dropping-particle" : "", "parse-names" : false, "suffix" : "" }, { "dropping-particle" : "", "family" : "Nogueira", "given" : "Mariana", "non-dropping-particle" : "", "parse-names" : false, "suffix" : "" }, { "dropping-particle" : "", "family" : "Corrales", "given" : "Montse", "non-dropping-particle" : "", "parse-names" : false, "suffix" : "" }, { "dropping-particle" : "", "family" : "Daigre", "given" : "Constanza", "non-dropping-particle" : "", "parse-names" : false, "suffix" : "" }, { "dropping-particle" : "", "family" : "Mart\u00ednez-Luna", "given" : "Nieves", "non-dropping-particle" : "", "parse-names" : false, "suffix" : "" }, { "dropping-particle" : "", "family" : "Grau-Lopez", "given" : "Lara", "non-dropping-particle" : "", "parse-names" : false, "suffix" : "" }, { "dropping-particle" : "", "family" : "Toma", "given" : "Claudio", "non-dropping-particle" : "", "parse-names" : false, "suffix" : "" }, { "dropping-particle" : "", "family" : "Cormand", "given" : "Bru", "non-dropping-particle" : "", "parse-names" : false, "suffix" : "" }, { "dropping-particle" : "", "family" : "Roncero", "given" : "Carlos", "non-dropping-particle" : "", "parse-names" : false, "suffix" : "" }, { "dropping-particle" : "", "family" : "Casas", "given" : "Miguel", "non-dropping-particle" : "", "parse-names" : false, "suffix" : "" }, { "dropping-particle" : "", "family" : "Ribas\u00e9s", "given" : "Marta", "non-dropping-particle" : "", "parse-names" : false, "suffix" : "" } ], "container-title" : "European Neuropsychopharmacology", "id" : "ITEM-1", "issue" : "11", "issued" : { "date-parts" : [ [ "2013" ] ] }, "page" : "1463-1473", "title" : "Evaluation of single nucleotide polymorphisms in the miR-183\u201396\u2013182 cluster in adulthood attention-deficit and hyperactivity disorder (ADHD) and substance use disorders (SUDs)", "type" : "article-journal", "volume" : "23" }, "uris" : [ "http://www.mendeley.com/documents/?uuid=4f35eaba-9b94-4ef3-b8eb-aa3b301fc598" ] } ], "mendeley" : { "formattedCitation" : "(239)", "plainTextFormattedCitation" : "(239)", "previouslyFormattedCitation" : "(239)" }, "properties" : { "noteIndex" : 23 }, "schema" : "https://github.com/citation-style-language/schema/raw/master/csl-citation.json" }</w:instrText>
      </w:r>
      <w:r w:rsidR="00BC3BBB" w:rsidRPr="004E1C8C">
        <w:rPr>
          <w:rFonts w:ascii="Arial" w:hAnsi="Arial" w:cs="Arial"/>
          <w:sz w:val="22"/>
          <w:szCs w:val="22"/>
        </w:rPr>
        <w:fldChar w:fldCharType="separate"/>
      </w:r>
      <w:r w:rsidRPr="004E1C8C">
        <w:rPr>
          <w:rFonts w:ascii="Arial" w:hAnsi="Arial" w:cs="Arial"/>
          <w:noProof/>
          <w:sz w:val="22"/>
          <w:szCs w:val="22"/>
        </w:rPr>
        <w:t>(239)</w:t>
      </w:r>
      <w:r w:rsidR="00BC3BBB" w:rsidRPr="004E1C8C">
        <w:rPr>
          <w:rFonts w:ascii="Arial" w:hAnsi="Arial" w:cs="Arial"/>
          <w:sz w:val="22"/>
          <w:szCs w:val="22"/>
        </w:rPr>
        <w:fldChar w:fldCharType="end"/>
      </w:r>
      <w:r w:rsidRPr="004E1C8C">
        <w:rPr>
          <w:rFonts w:ascii="Arial" w:hAnsi="Arial" w:cs="Arial"/>
          <w:sz w:val="22"/>
          <w:szCs w:val="22"/>
        </w:rPr>
        <w:t xml:space="preserve"> bukkal dokudan alınan örneklerde de miR-641 </w:t>
      </w:r>
      <w:r w:rsidR="00BC3BBB" w:rsidRPr="004E1C8C">
        <w:rPr>
          <w:rFonts w:ascii="Arial" w:hAnsi="Arial" w:cs="Arial"/>
          <w:sz w:val="22"/>
          <w:szCs w:val="22"/>
        </w:rPr>
        <w:fldChar w:fldCharType="begin" w:fldLock="1"/>
      </w:r>
      <w:r w:rsidRPr="004E1C8C">
        <w:rPr>
          <w:rFonts w:ascii="Arial" w:hAnsi="Arial" w:cs="Arial"/>
          <w:sz w:val="22"/>
          <w:szCs w:val="22"/>
        </w:rPr>
        <w:instrText>ADDIN CSL_CITATION { "citationItems" : [ { "id" : "ITEM-1", "itemData" : { "DOI" : "10.1371/journal.pone.0084207", "ISSN" : "1932-6203", "author" : [ { "dropping-particle" : "", "family" : "N\u00e9meth", "given" : "N\u00f3ra", "non-dropping-particle" : "", "parse-names" : false, "suffix" : "" }, { "dropping-particle" : "", "family" : "Kov\u00e1cs-Nagy", "given" : "R\u00e9ka", "non-dropping-particle" : "", "parse-names" : false, "suffix" : "" }, { "dropping-particle" : "", "family" : "Sz\u00e9kely", "given" : "Anna", "non-dropping-particle" : "", "parse-names" : false, "suffix" : "" }, { "dropping-particle" : "", "family" : "Sasv\u00e1ri-Sz\u00e9kely", "given" : "M\u00e1ria", "non-dropping-particle" : "", "parse-names" : false, "suffix" : "" }, { "dropping-particle" : "", "family" : "R\u00f3nai", "given" : "Zsolt", "non-dropping-particle" : "", "parse-names" : false, "suffix" : "" } ], "container-title" : "PLoS ONE", "editor" : [ { "dropping-particle" : "", "family" : "Reif", "given" : "Andreas", "non-dropping-particle" : "", "parse-names" : false, "suffix" : "" } ], "id" : "ITEM-1", "issue" : "12", "issued" : { "date-parts" : [ [ "2013", "12", "31" ] ] }, "page" : "e84207", "publisher" : "Public Library of Science", "title" : "Association of Impulsivity and Polymorphic MicroRNA-641 Target Sites in the SNAP-25 Gene", "type" : "article-journal", "volume" : "8" }, "uris" : [ "http://www.mendeley.com/documents/?uuid=7d17b7de-915d-37e1-ae3f-1a941ccefede" ] } ], "mendeley" : { "formattedCitation" : "(240)", "plainTextFormattedCitation" : "(240)", "previouslyFormattedCitation" : "(240)" }, "properties" : { "noteIndex" : 23 }, "schema" : "https://github.com/citation-style-language/schema/raw/master/csl-citation.json" }</w:instrText>
      </w:r>
      <w:r w:rsidR="00BC3BBB" w:rsidRPr="004E1C8C">
        <w:rPr>
          <w:rFonts w:ascii="Arial" w:hAnsi="Arial" w:cs="Arial"/>
          <w:sz w:val="22"/>
          <w:szCs w:val="22"/>
        </w:rPr>
        <w:fldChar w:fldCharType="separate"/>
      </w:r>
      <w:r w:rsidRPr="004E1C8C">
        <w:rPr>
          <w:rFonts w:ascii="Arial" w:hAnsi="Arial" w:cs="Arial"/>
          <w:noProof/>
          <w:sz w:val="22"/>
          <w:szCs w:val="22"/>
        </w:rPr>
        <w:t>(240)</w:t>
      </w:r>
      <w:r w:rsidR="00BC3BBB" w:rsidRPr="004E1C8C">
        <w:rPr>
          <w:rFonts w:ascii="Arial" w:hAnsi="Arial" w:cs="Arial"/>
          <w:sz w:val="22"/>
          <w:szCs w:val="22"/>
        </w:rPr>
        <w:fldChar w:fldCharType="end"/>
      </w:r>
      <w:r w:rsidRPr="004E1C8C">
        <w:rPr>
          <w:rFonts w:ascii="Arial" w:hAnsi="Arial" w:cs="Arial"/>
          <w:sz w:val="22"/>
          <w:szCs w:val="22"/>
        </w:rPr>
        <w:t xml:space="preserve">, miR-30b-5p, miR-1301 ve miR-6070’in </w:t>
      </w:r>
      <w:r w:rsidR="00BC3BBB" w:rsidRPr="004E1C8C">
        <w:rPr>
          <w:rFonts w:ascii="Arial" w:hAnsi="Arial" w:cs="Arial"/>
          <w:sz w:val="22"/>
          <w:szCs w:val="22"/>
        </w:rPr>
        <w:fldChar w:fldCharType="begin" w:fldLock="1"/>
      </w:r>
      <w:r w:rsidRPr="004E1C8C">
        <w:rPr>
          <w:rFonts w:ascii="Arial" w:hAnsi="Arial" w:cs="Arial"/>
          <w:sz w:val="22"/>
          <w:szCs w:val="22"/>
        </w:rPr>
        <w:instrText>ADDIN CSL_CITATION { "citationItems" : [ { "id" : "ITEM-1", "itemData" : { "DOI" : "10.1186/s12993-015-0066-8", "ISBN" : "1744-9081", "ISSN" : "1744-9081", "PMID" : "26058807", "abstract" : "BACKGROUND: ADHD and alcoholism are psychiatric diseases with pathophysiology related to dopamine system. DAT1 belongs to the SLC6 family of transporters and is involved in the regulation of extracellular dopamine levels. A 40 bp variable number tandem repeat (VNTR) polymorphism in the 3'-untranslated region of DAT1/SLC6A3 gene was previously reported to be associated with various phenotypes involving disturbed regulation of dopaminergic neurotransmission.\\n\\nMETHODS: A total of 1312 subjects were included and genotyped for 40 bp VNTR polymorphism of DAT1/SLC6A3 gene in this study (441 alcoholics, 400 non-alcoholic controls, 218 ADHD children and 253 non ADHD children). Using miRBase software, we have performed a computer analysis of VNTR part of DAT1 gene for presence of miRNA binding sites.\\n\\nRESULTS: We have found significant relationships between ADHD and the 40\u00a0bp VNTR polymorphisms of DAT1/SLC6A3 gene (P\u2009&lt;\u20090.01). The 9/9 genotype appeared to reduce the risk of ADHD about 0.4-fold (p\u2009&lt;\u20090.04). We also noted an occurrence of rare genotypes in ADHD (frequency different from controls at p\u2009&lt;\u20090.01). No association between alcoholism and genotype frequencies of 40\u00a0bp VNTR polymorphism of DAT1/SLC6A3 gene has been detected.\\n\\nCONCLUSIONS: We have found an association between 40\u00a0bp VNTR polymorphism of DAT1/SLC6A3 gene and ADHD in the Czech population; in a broad agreement with studies in other population samples. Furthermore, we detected rare genotypes 8/10, 7/10 and 10/11 present in ADHD boys only and identified miRNAs that should be looked at as potential novel targets in the research on ADHD.", "author" : [ { "dropping-particle" : "", "family" : "\u0160er\u00fd", "given" : "Omar", "non-dropping-particle" : "", "parse-names" : false, "suffix" : "" }, { "dropping-particle" : "", "family" : "Paclt", "given" : "Ivo", "non-dropping-particle" : "", "parse-names" : false, "suffix" : "" }, { "dropping-particle" : "", "family" : "Drt\u00edlkov\u00e1", "given" : "Ivana", "non-dropping-particle" : "", "parse-names" : false, "suffix" : "" }, { "dropping-particle" : "", "family" : "Theiner", "given" : "Pavel", "non-dropping-particle" : "", "parse-names" : false, "suffix" : "" }, { "dropping-particle" : "", "family" : "Kope\u010dkov\u00e1", "given" : "Marta", "non-dropping-particle" : "", "parse-names" : false, "suffix" : "" }, { "dropping-particle" : "", "family" : "Zvolsk\u00fd", "given" : "Petr", "non-dropping-particle" : "", "parse-names" : false, "suffix" : "" }, { "dropping-particle" : "", "family" : "Balcar", "given" : "Vladimir J.", "non-dropping-particle" : "", "parse-names" : false, "suffix" : "" } ], "container-title" : "Behavioral and Brain Functions", "id" : "ITEM-1", "issue" : "1", "issued" : { "date-parts" : [ [ "2015" ] ] }, "page" : "21", "title" : "A 40-bp VNTR polymorphism in the 3\u2032-untranslated region of DAT1/SLC6A3 is associated with ADHD but not with alcoholism", "type" : "article-journal", "volume" : "11" }, "uris" : [ "http://www.mendeley.com/documents/?uuid=d025ac44-b9f4-43fb-ab9f-f47169fee292" ] } ], "mendeley" : { "formattedCitation" : "(241)", "plainTextFormattedCitation" : "(241)", "previouslyFormattedCitation" : "(241)" }, "properties" : { "noteIndex" : 23 }, "schema" : "https://github.com/citation-style-language/schema/raw/master/csl-citation.json" }</w:instrText>
      </w:r>
      <w:r w:rsidR="00BC3BBB" w:rsidRPr="004E1C8C">
        <w:rPr>
          <w:rFonts w:ascii="Arial" w:hAnsi="Arial" w:cs="Arial"/>
          <w:sz w:val="22"/>
          <w:szCs w:val="22"/>
        </w:rPr>
        <w:fldChar w:fldCharType="separate"/>
      </w:r>
      <w:r w:rsidRPr="004E1C8C">
        <w:rPr>
          <w:rFonts w:ascii="Arial" w:hAnsi="Arial" w:cs="Arial"/>
          <w:noProof/>
          <w:sz w:val="22"/>
          <w:szCs w:val="22"/>
        </w:rPr>
        <w:t>(241)</w:t>
      </w:r>
      <w:r w:rsidR="00BC3BBB" w:rsidRPr="004E1C8C">
        <w:rPr>
          <w:rFonts w:ascii="Arial" w:hAnsi="Arial" w:cs="Arial"/>
          <w:sz w:val="22"/>
          <w:szCs w:val="22"/>
        </w:rPr>
        <w:fldChar w:fldCharType="end"/>
      </w:r>
      <w:r w:rsidRPr="004E1C8C">
        <w:rPr>
          <w:rFonts w:ascii="Arial" w:hAnsi="Arial" w:cs="Arial"/>
          <w:sz w:val="22"/>
          <w:szCs w:val="22"/>
        </w:rPr>
        <w:t xml:space="preserve"> 3’UTR bağlanma bögelerinde polimorfizm olduğu </w:t>
      </w:r>
      <w:r w:rsidRPr="004E1C8C">
        <w:rPr>
          <w:rFonts w:ascii="Arial" w:hAnsi="Arial" w:cs="Arial"/>
          <w:sz w:val="22"/>
          <w:szCs w:val="22"/>
        </w:rPr>
        <w:lastRenderedPageBreak/>
        <w:t xml:space="preserve">ifade edilmiştir. DEHB hayvan modeli sıçanların beyin dokusunda miR-138-1, miR-296 ve miR-34c’nin azaldığı </w:t>
      </w:r>
      <w:r w:rsidR="00BC3BBB" w:rsidRPr="004E1C8C">
        <w:rPr>
          <w:rFonts w:ascii="Arial" w:hAnsi="Arial" w:cs="Arial"/>
          <w:sz w:val="22"/>
          <w:szCs w:val="22"/>
        </w:rPr>
        <w:fldChar w:fldCharType="begin" w:fldLock="1"/>
      </w:r>
      <w:r w:rsidRPr="004E1C8C">
        <w:rPr>
          <w:rFonts w:ascii="Arial" w:hAnsi="Arial" w:cs="Arial"/>
          <w:sz w:val="22"/>
          <w:szCs w:val="22"/>
        </w:rPr>
        <w:instrText>ADDIN CSL_CITATION { "citationItems" : [ { "id" : "ITEM-1", "itemData" : { "DOI" : "10.1007/s12035-015-9679-z", "ISSN" : "1559-1182", "PMID" : "26820676", "abstract" : "Attention deficit hyperactivity disorder (ADHD) is a child developmental and behavioral disorder which seriously hinders their education and development. To investigate the key regulators in the prefrontal cortex (PFC), the major affected areas of ADHD, microRNA (miR)-138,138*, 34c*, 296, and 494, were noted for their significant downregulation in ADHD model rats spontaneously hypertensive rats (SHRs) compared to Wistar Kyoto (WKY) rat control. Based on promoter sequence analysis and activity assay, glucocorticoid receptor (Nr3c1) was identified for the inhibition of the promoter activity of miR-138-1, 34c*, 296, and 494 genes and their transcription. In the PFC of ADHD model rats SHR, Nr3c1 expression was abnormally elevated and reversely correlated with the levels of miR-138-1, 34c, 296, and 494 expression. Luciferase report assays indicated that all miR-138, 138*, 34c*, 296, and 494 targeted the 3' untranslated region of transcription factor Bhlhb2 (Bhlhe40) messenger RNA (mRNA) in common and ectopic expression of miR-138,138*, 34c*, 296, and 494 further suppressed the expression of Bhlhb2 gene. Consistently, Bhlhb2 expression was significantly higher in PFC of ADHD model SHR than control. Overexpressed Bhlhb2 in vitro significantly suppressed PC12 cell differentiation, and silence of Bhlhb2 enhanced the growth of neurite axon and dendrite. To observe the roles of Bhlhb2 further in vivo, Bhlhb2 was silenced in the PFC of nine SHR rats. Interestingly, knockdown of Bhlhb2 significantly improved the hyperactivity behaviors in SHRs compared to control. These findings show that Nr3c1-Bhlhb2 axis dysregulation was involved in the development of attention deficit and hyperactivity.", "author" : [ { "dropping-particle" : "", "family" : "Wu", "given" : "Li Hui", "non-dropping-particle" : "", "parse-names" : false, "suffix" : "" }, { "dropping-particle" : "", "family" : "Cheng", "given" : "Wei", "non-dropping-particle" : "", "parse-names" : false, "suffix" : "" }, { "dropping-particle" : "", "family" : "Yu", "given" : "Mei", "non-dropping-particle" : "", "parse-names" : false, "suffix" : "" }, { "dropping-particle" : "", "family" : "He", "given" : "Bao Mei", "non-dropping-particle" : "", "parse-names" : false, "suffix" : "" }, { "dropping-particle" : "", "family" : "Sun", "given" : "Hui", "non-dropping-particle" : "", "parse-names" : false, "suffix" : "" }, { "dropping-particle" : "", "family" : "Chen", "given" : "Qi", "non-dropping-particle" : "", "parse-names" : false, "suffix" : "" }, { "dropping-particle" : "", "family" : "Dong", "given" : "Yi Wei", "non-dropping-particle" : "", "parse-names" : false, "suffix" : "" }, { "dropping-particle" : "", "family" : "Shao", "given" : "Xiao Ting", "non-dropping-particle" : "", "parse-names" : false, "suffix" : "" }, { "dropping-particle" : "", "family" : "Cai", "given" : "Qian Qian", "non-dropping-particle" : "", "parse-names" : false, "suffix" : "" }, { "dropping-particle" : "", "family" : "Peng", "given" : "Min", "non-dropping-particle" : "", "parse-names" : false, "suffix" : "" }, { "dropping-particle" : "", "family" : "Wu", "given" : "Xing Zhong", "non-dropping-particle" : "", "parse-names" : false, "suffix" : "" } ], "container-title" : "Molecular neurobiology", "id" : "ITEM-1", "issue" : "2", "issued" : { "date-parts" : [ [ "2017", "3", "28" ] ] }, "page" : "1196-1212", "title" : "Nr3C1-Bhlhb2 Axis Dysregulation Is Involved in the Development of Attention Deficit Hyperactivity.", "type" : "article-journal", "volume" : "54" }, "uris" : [ "http://www.mendeley.com/documents/?uuid=d896d854-87b4-324f-bab6-9853e088d8b4" ] } ], "mendeley" : { "formattedCitation" : "(242)", "plainTextFormattedCitation" : "(242)", "previouslyFormattedCitation" : "(242)" }, "properties" : { "noteIndex" : 23 }, "schema" : "https://github.com/citation-style-language/schema/raw/master/csl-citation.json" }</w:instrText>
      </w:r>
      <w:r w:rsidR="00BC3BBB" w:rsidRPr="004E1C8C">
        <w:rPr>
          <w:rFonts w:ascii="Arial" w:hAnsi="Arial" w:cs="Arial"/>
          <w:sz w:val="22"/>
          <w:szCs w:val="22"/>
        </w:rPr>
        <w:fldChar w:fldCharType="separate"/>
      </w:r>
      <w:r w:rsidRPr="004E1C8C">
        <w:rPr>
          <w:rFonts w:ascii="Arial" w:hAnsi="Arial" w:cs="Arial"/>
          <w:noProof/>
          <w:sz w:val="22"/>
          <w:szCs w:val="22"/>
        </w:rPr>
        <w:t>(242)</w:t>
      </w:r>
      <w:r w:rsidR="00BC3BBB" w:rsidRPr="004E1C8C">
        <w:rPr>
          <w:rFonts w:ascii="Arial" w:hAnsi="Arial" w:cs="Arial"/>
          <w:sz w:val="22"/>
          <w:szCs w:val="22"/>
        </w:rPr>
        <w:fldChar w:fldCharType="end"/>
      </w:r>
      <w:r w:rsidRPr="004E1C8C">
        <w:rPr>
          <w:rFonts w:ascii="Arial" w:hAnsi="Arial" w:cs="Arial"/>
          <w:sz w:val="22"/>
          <w:szCs w:val="22"/>
        </w:rPr>
        <w:t xml:space="preserve">, miR-let-7d’nin arttığı </w:t>
      </w:r>
      <w:r w:rsidR="00BC3BBB" w:rsidRPr="004E1C8C">
        <w:rPr>
          <w:rFonts w:ascii="Arial" w:hAnsi="Arial" w:cs="Arial"/>
          <w:sz w:val="22"/>
          <w:szCs w:val="22"/>
        </w:rPr>
        <w:fldChar w:fldCharType="begin" w:fldLock="1"/>
      </w:r>
      <w:r w:rsidRPr="004E1C8C">
        <w:rPr>
          <w:rFonts w:ascii="Arial" w:hAnsi="Arial" w:cs="Arial"/>
          <w:sz w:val="22"/>
          <w:szCs w:val="22"/>
        </w:rPr>
        <w:instrText>ADDIN CSL_CITATION { "citationItems" : [ { "id" : "ITEM-1", "itemData" : { "DOI" : "10.1111/j.1750-3639.2010.00410.x", "ISBN" : "1750-3639 (Electronic)\\n1015-6305 (Linking)", "ISSN" : "10156305", "PMID" : "20557304", "abstract" : "In this study we investigated the locomotor activity and non-selective attention in spontaneously hypertensive rats (SHR) with control Wistar-Kyoto (WKY) rats, which were employed as an attention deficit hyperactivity disorder (ADHD) model. In open-field test and l\u00e0t maze, SHR rats were found to be much more spontaneously active than WKY rats. As compared with WKY rats, a lower level of galectin-3 was observed in SHR brain prefrontal cortex (PFC), which was the major affected brain area of ADHD. Through miRNA microarray screening, rno-let-7d was noted to be solely upregulated in SHR PFC. Interestingly, rno-let-7d had a binding site at galectin-3 mRNA and was shown to regulate galectin-3 3' untranslated region (UTR) directly. Mutation of galectin-3 3'UTR by one nucleotide of the seed sequence prevented rno-let-7d regulation of the 3' UTR completely. Although rno-let-7d did not directly regulate tyrosine hydroxylase (TH) 3'UTR, the level of galectin-3 was important for cAMP response element binding protein, the major transcript factor for TH gene. Either overexpression or downexpression of galectin-3 could result in modulation of TH expression in both PC12H and PC12L cells. In conclusion, our data suggested a novel function of rno-let-7d in regulation of galectin-3 and in ADHD development. Rno-let-7d, which is increased in the PFC of SHR brain, negatively regulated galectin-3, which is coupled with TH expression regulation.", "author" : [ { "dropping-particle" : "", "family" : "Wu", "given" : "Lihui", "non-dropping-particle" : "", "parse-names" : false, "suffix" : "" }, { "dropping-particle" : "", "family" : "Zhao", "given" : "Qianlei", "non-dropping-particle" : "", "parse-names" : false, "suffix" : "" }, { "dropping-particle" : "", "family" : "Zhu", "given" : "Xuchao", "non-dropping-particle" : "", "parse-names" : false, "suffix" : "" }, { "dropping-particle" : "", "family" : "Peng", "given" : "Min", "non-dropping-particle" : "", "parse-names" : false, "suffix" : "" }, { "dropping-particle" : "", "family" : "Jia", "given" : "Chenyou", "non-dropping-particle" : "", "parse-names" : false, "suffix" : "" }, { "dropping-particle" : "", "family" : "Wu", "given" : "Wei", "non-dropping-particle" : "", "parse-names" : false, "suffix" : "" }, { "dropping-particle" : "", "family" : "Zheng", "given" : "Jing", "non-dropping-particle" : "", "parse-names" : false, "suffix" : "" }, { "dropping-particle" : "", "family" : "Wu", "given" : "Xing Zhong", "non-dropping-particle" : "", "parse-names" : false, "suffix" : "" } ], "container-title" : "Brain Pathology", "id" : "ITEM-1", "issue" : "6", "issued" : { "date-parts" : [ [ "2010" ] ] }, "page" : "1042-1054", "title" : "A novel function of MicroRNA Let-7d in regulation of galectin-3 expression in attention deficit hyperactivity disorder rat brain", "type" : "article-journal", "volume" : "20" }, "uris" : [ "http://www.mendeley.com/documents/?uuid=9dccdf57-e4be-4be3-8370-a11faa38d8bd" ] } ], "mendeley" : { "formattedCitation" : "(18)", "plainTextFormattedCitation" : "(18)", "previouslyFormattedCitation" : "(18)" }, "properties" : { "noteIndex" : 23 }, "schema" : "https://github.com/citation-style-language/schema/raw/master/csl-citation.json" }</w:instrText>
      </w:r>
      <w:r w:rsidR="00BC3BBB" w:rsidRPr="004E1C8C">
        <w:rPr>
          <w:rFonts w:ascii="Arial" w:hAnsi="Arial" w:cs="Arial"/>
          <w:sz w:val="22"/>
          <w:szCs w:val="22"/>
        </w:rPr>
        <w:fldChar w:fldCharType="separate"/>
      </w:r>
      <w:r w:rsidRPr="004E1C8C">
        <w:rPr>
          <w:rFonts w:ascii="Arial" w:hAnsi="Arial" w:cs="Arial"/>
          <w:noProof/>
          <w:sz w:val="22"/>
          <w:szCs w:val="22"/>
        </w:rPr>
        <w:t>(18)</w:t>
      </w:r>
      <w:r w:rsidR="00BC3BBB" w:rsidRPr="004E1C8C">
        <w:rPr>
          <w:rFonts w:ascii="Arial" w:hAnsi="Arial" w:cs="Arial"/>
          <w:sz w:val="22"/>
          <w:szCs w:val="22"/>
        </w:rPr>
        <w:fldChar w:fldCharType="end"/>
      </w:r>
      <w:r w:rsidRPr="004E1C8C">
        <w:rPr>
          <w:rFonts w:ascii="Arial" w:hAnsi="Arial" w:cs="Arial"/>
          <w:sz w:val="22"/>
          <w:szCs w:val="22"/>
        </w:rPr>
        <w:t xml:space="preserve"> saptanmıştır. </w:t>
      </w:r>
    </w:p>
    <w:p w:rsidR="00C60153" w:rsidRPr="004E1C8C" w:rsidRDefault="00C60153" w:rsidP="004E1C8C">
      <w:pPr>
        <w:spacing w:line="360" w:lineRule="auto"/>
        <w:ind w:firstLine="708"/>
        <w:jc w:val="both"/>
        <w:rPr>
          <w:rFonts w:ascii="Arial" w:hAnsi="Arial" w:cs="Arial"/>
          <w:sz w:val="22"/>
          <w:szCs w:val="22"/>
        </w:rPr>
      </w:pPr>
      <w:r w:rsidRPr="004E1C8C">
        <w:rPr>
          <w:rFonts w:ascii="Arial" w:hAnsi="Arial" w:cs="Arial"/>
          <w:sz w:val="22"/>
          <w:szCs w:val="22"/>
          <w:shd w:val="clear" w:color="auto" w:fill="FFFFFF"/>
        </w:rPr>
        <w:t xml:space="preserve">miR-107’nin yapılan çalışmalarda nörodejeneratif hastalıklar ve beyin hasarıyla ilişkisi olduğu saptanmıştır </w:t>
      </w:r>
      <w:r w:rsidR="00BC3BBB" w:rsidRPr="004E1C8C">
        <w:rPr>
          <w:rFonts w:ascii="Arial" w:hAnsi="Arial" w:cs="Arial"/>
          <w:sz w:val="22"/>
          <w:szCs w:val="22"/>
          <w:shd w:val="clear" w:color="auto" w:fill="FFFFFF"/>
        </w:rPr>
        <w:fldChar w:fldCharType="begin" w:fldLock="1"/>
      </w:r>
      <w:r w:rsidR="0037573A">
        <w:rPr>
          <w:rFonts w:ascii="Arial" w:hAnsi="Arial" w:cs="Arial"/>
          <w:sz w:val="22"/>
          <w:szCs w:val="22"/>
          <w:shd w:val="clear" w:color="auto" w:fill="FFFFFF"/>
        </w:rPr>
        <w:instrText>ADDIN CSL_CITATION { "citationItems" : [ { "id" : "ITEM-1", "itemData" : { "DOI" : "10.3233/JAD-2010-091603", "ISBN" : "0043201008", "ISSN" : "13872877", "PMID" : "20413881", "abstract" : "MiR-107 is a microRNA (miRNA) that we reported previously to have decreased expression in the temporal cortical gray matter early in the progression of Alzheimer's disease (AD). Here we study a new group of well-characterized human temporal cortex samples (N=19). MiR-107 expression was assessed, normalized to miR-124 and let-7a. Correlation was observed between decreased miR-107 expression and increased neuritic plaque counts (P&lt; 0.05) and neurofibrillary tangle counts (P&lt; 0.02) in adjacent brain tissue. Adjusted miR-107 and BACE1 mRNA levels tended to correlate negatively (trend with regression P&lt; 0.07). In sum, miR-107 expression tends to be lower relative to other miRNAs as AD progresses.", "author" : [ { "dropping-particle" : "", "family" : "Nelson", "given" : "Peter T.", "non-dropping-particle" : "", "parse-names" : false, "suffix" : "" }, { "dropping-particle" : "", "family" : "Wang", "given" : "Wang Xia", "non-dropping-particle" : "", "parse-names" : false, "suffix" : "" } ], "container-title" : "Journal of Alzheimer's Disease", "id" : "ITEM-1", "issue" : "1", "issued" : { "date-parts" : [ [ "2010" ] ] }, "page" : "75-79", "title" : "MiR-107 is reduced in Alzheimer's disease brain neocortex: Validation study", "type" : "article-journal", "volume" : "21" }, "uris" : [ "http://www.mendeley.com/documents/?uuid=0347743c-41ae-4968-a8c2-7aacbc05813c" ] }, { "id" : "ITEM-2", "itemData" : { "DOI" : "10.2353/ajpath.2010.091202", "ISBN" : "0002-9440", "ISSN" : "00029440", "PMID" : "20489155", "abstract" : "Granulin (GRN, or progranulin) is a protein involved in wound repair, inflammation, and neoplasia. GRN has also been directly implicated in frontotemporal dementia and may contribute to Alzheimer's disease pathogenesis. However, GRN regulation expression is poorly understood. A high-throughput experimental microRNA assay showed that GRN is the strongest target for miR-107 in human H4 neuroglioma cells. miR-107 has been implicated in Alzheimer's disease pathogenesis, and sequence elements in the open reading frame-rather than the 3' untranslated region-of GRN mRNA are recognized by miR-107 and are highly conserved among vertebrate species. To better understand the mechanism of this interaction, FLAG-tagged Argonaute constructs were used following miR-107 transfection. GRN mRNA interacts preferentially with Argonaute 2. In vitro and in vivo studies indicate that regulation of GRN by miR-107 may be functionally important. Glucose supplementation in cultured cells that leads to increased miR-107 levels also results in decreased GRN expression, including changes in cell compartmentation and decreased secretion of GRN protein. This effect was eliminated following miR-107 transfection. We also tested a mouse model where miR-107 has been shown to be down-regulated. In brain tissue subjacent to 1.0 mm depth controlled cortical impact, surviving hippocampal neurons show decreased miR-107 with augmentation of neuronal GRN expression. These findings indicate that miR-107 contributes to GRN expression regulation with implications for brain disorders.", "author" : [ { "dropping-particle" : "", "family" : "Wang", "given" : "Wang-Xia", "non-dropping-particle" : "", "parse-names" : false, "suffix" : "" }, { "dropping-particle" : "", "family" : "Wilfred", "given" : "Bernard R", "non-dropping-particle" : "", "parse-names" : false, "suffix" : "" }, { "dropping-particle" : "", "family" : "Madathil", "given" : "Sindhu K", "non-dropping-particle" : "", "parse-names" : false, "suffix" : "" }, { "dropping-particle" : "", "family" : "Tang", "given" : "Guiliang", "non-dropping-particle" : "", "parse-names" : false, "suffix" : "" }, { "dropping-particle" : "", "family" : "Hu", "given" : "Yanling", "non-dropping-particle" : "", "parse-names" : false, "suffix" : "" }, { "dropping-particle" : "", "family" : "Dimayuga", "given" : "James", "non-dropping-particle" : "", "parse-names" : false, "suffix" : "" }, { "dropping-particle" : "", "family" : "Stromberg", "given" : "Arnold J", "non-dropping-particle" : "", "parse-names" : false, "suffix" : "" }, { "dropping-particle" : "", "family" : "Huang", "given" : "Qingwei", "non-dropping-particle" : "", "parse-names" : false, "suffix" : "" }, { "dropping-particle" : "", "family" : "Saatman", "given" : "Kathryn E", "non-dropping-particle" : "", "parse-names" : false, "suffix" : "" }, { "dropping-particle" : "", "family" : "Nelson", "given" : "Peter T", "non-dropping-particle" : "", "parse-names" : false, "suffix" : "" } ], "container-title" : "The American journal of pathology", "id" : "ITEM-2", "issue" : "1", "issued" : { "date-parts" : [ [ "2010" ] ] }, "page" : "334-345", "title" : "miR-107 regulates granulin/progranulin with implications for traumatic brain injury and neurodegenerative disease.", "type" : "article-journal", "volume" : "177" }, "uris" : [ "http://www.mendeley.com/documents/?uuid=8bfc0815-671a-4c69-bd2c-d9a2c119ec18" ] } ], "mendeley" : { "formattedCitation" : "(243, 244)", "plainTextFormattedCitation" : "(243, 244)", "previouslyFormattedCitation" : "(243, 244)" }, "properties" : { "noteIndex" : 23 }, "schema" : "https://github.com/citation-style-language/schema/raw/master/csl-citation.json" }</w:instrText>
      </w:r>
      <w:r w:rsidR="00BC3BBB" w:rsidRPr="004E1C8C">
        <w:rPr>
          <w:rFonts w:ascii="Arial" w:hAnsi="Arial" w:cs="Arial"/>
          <w:sz w:val="22"/>
          <w:szCs w:val="22"/>
          <w:shd w:val="clear" w:color="auto" w:fill="FFFFFF"/>
        </w:rPr>
        <w:fldChar w:fldCharType="separate"/>
      </w:r>
      <w:r w:rsidR="00BF1F00" w:rsidRPr="00BF1F00">
        <w:rPr>
          <w:rFonts w:ascii="Arial" w:hAnsi="Arial" w:cs="Arial"/>
          <w:noProof/>
          <w:sz w:val="22"/>
          <w:szCs w:val="22"/>
          <w:shd w:val="clear" w:color="auto" w:fill="FFFFFF"/>
        </w:rPr>
        <w:t>(243, 244)</w:t>
      </w:r>
      <w:r w:rsidR="00BC3BBB" w:rsidRPr="004E1C8C">
        <w:rPr>
          <w:rFonts w:ascii="Arial" w:hAnsi="Arial" w:cs="Arial"/>
          <w:sz w:val="22"/>
          <w:szCs w:val="22"/>
          <w:shd w:val="clear" w:color="auto" w:fill="FFFFFF"/>
        </w:rPr>
        <w:fldChar w:fldCharType="end"/>
      </w:r>
      <w:r w:rsidRPr="004E1C8C">
        <w:rPr>
          <w:rFonts w:ascii="Arial" w:hAnsi="Arial" w:cs="Arial"/>
          <w:sz w:val="22"/>
          <w:szCs w:val="22"/>
          <w:shd w:val="clear" w:color="auto" w:fill="FFFFFF"/>
        </w:rPr>
        <w:t xml:space="preserve">. </w:t>
      </w:r>
      <w:r w:rsidRPr="004E1C8C">
        <w:rPr>
          <w:rFonts w:ascii="Arial" w:hAnsi="Arial" w:cs="Arial"/>
          <w:sz w:val="22"/>
          <w:szCs w:val="22"/>
        </w:rPr>
        <w:t xml:space="preserve">Kandemir ve ark. periferik kanda miR-107 düzeyinin DEHB’lilerde kontrol grubuna göre azaldığını, ve dolaşımda bulunan miR-107’nin aday biomarker olabileceğini ifade etmişlerdir </w:t>
      </w:r>
      <w:r w:rsidR="00BC3BBB" w:rsidRPr="004E1C8C">
        <w:rPr>
          <w:rFonts w:ascii="Arial" w:hAnsi="Arial" w:cs="Arial"/>
          <w:sz w:val="22"/>
          <w:szCs w:val="22"/>
        </w:rPr>
        <w:fldChar w:fldCharType="begin" w:fldLock="1"/>
      </w:r>
      <w:r w:rsidRPr="004E1C8C">
        <w:rPr>
          <w:rFonts w:ascii="Arial" w:hAnsi="Arial" w:cs="Arial"/>
          <w:sz w:val="22"/>
          <w:szCs w:val="22"/>
        </w:rPr>
        <w:instrText>ADDIN CSL_CITATION { "citationItems" : [ { "id" : "ITEM-1", "itemData" : { "PMID" : "2014562316", "abstract" : "Attention-deficit/hyperactivity disorder (ADHD) is one of the most prevalent childhood disorders, although disorders etiology and pathogenesis remains unknown, several theories about ADHD development have been proposed and many researchers believe that it is caused by both genetic and environmental factors. In this study we evaluated miR18a-5p, miR22-3p, miR24-3p, miR106b-5p, miR107, miR125b-5p and miR155a-5p levels in child and adolescent ADHD patients. The research sample consisted a group of 52 ADHD patients, and 52 healthy volunteer controls. There was no significant difference in age and sex between the two groups (p&gt; 0.05). miRNA 18a-5p, 22-3p, 24-3p, 106b-5p and 107 levels were statistically significantly decreased in ADHD patients(p&lt; 0.05). miRNA 155a-5p levels were increased in patients group (p&lt; 0.05). The positive predictive value (PPV) and negative predictive value of miR107 was estimated for the cutoff point of 0.4480. PPV was 70% and NPV was 86.5% for the taken cut off point. There could be a close relationship between levels of circulating miRNAs and ADHD. If we could understand how the signaling pathways arranged by miRNAs, impact on CNS development, function and pathology this can improve our knowledge about ADHD etiology and treatment. 2014 Elsevier Ireland Ltd.", "author" : [ { "dropping-particle" : "", "family" : "Kandemir", "given" : "H", "non-dropping-particle" : "", "parse-names" : false, "suffix" : "" }, { "dropping-particle" : "", "family" : "Erdal", "given" : "M E", "non-dropping-particle" : "", "parse-names" : false, "suffix" : "" }, { "dropping-particle" : "", "family" : "Selek", "given" : "S", "non-dropping-particle" : "", "parse-names" : false, "suffix" : "" }, { "dropping-particle" : "", "family" : "Ay", "given" : "O I", "non-dropping-particle" : "", "parse-names" : false, "suffix" : "" }, { "dropping-particle" : "", "family" : "Karababa", "given" : "T F", "non-dropping-particle" : "", "parse-names" : false, "suffix" : "" }, { "dropping-particle" : "", "family" : "Kandemir", "given" : "S B", "non-dropping-particle" : "", "parse-names" : false, "suffix" : "" }, { "dropping-particle" : "", "family" : "Ay", "given" : "M E", "non-dropping-particle" : "", "parse-names" : false, "suffix" : "" }, { "dropping-particle" : "", "family" : "Yilmaz", "given" : "T G", "non-dropping-particle" : "", "parse-names" : false, "suffix" : "" }, { "dropping-particle" : "", "family" : "Bayazit", "given" : "H", "non-dropping-particle" : "", "parse-names" : false, "suffix" : "" }, { "dropping-particle" : "", "family" : "Tasdelen", "given" : "B", "non-dropping-particle" : "", "parse-names" : false, "suffix" : "" } ], "container-title" : "Neuroscience Letters", "id" : "ITEM-1", "issued" : { "date-parts" : [ [ "2014" ] ] }, "page" : "158-162", "title" : "Evaluation of several micro RNA (miRNA) levels in children and adolescents with attention deficit hyperactivity disorder", "type" : "article-journal", "volume" : "580" }, "uris" : [ "http://www.mendeley.com/documents/?uuid=69499660-946a-47ee-b34e-132295ad0567" ] } ], "mendeley" : { "formattedCitation" : "(17)", "plainTextFormattedCitation" : "(17)", "previouslyFormattedCitation" : "(17)" }, "properties" : { "noteIndex" : 23 }, "schema" : "https://github.com/citation-style-language/schema/raw/master/csl-citation.json" }</w:instrText>
      </w:r>
      <w:r w:rsidR="00BC3BBB" w:rsidRPr="004E1C8C">
        <w:rPr>
          <w:rFonts w:ascii="Arial" w:hAnsi="Arial" w:cs="Arial"/>
          <w:sz w:val="22"/>
          <w:szCs w:val="22"/>
        </w:rPr>
        <w:fldChar w:fldCharType="separate"/>
      </w:r>
      <w:r w:rsidRPr="004E1C8C">
        <w:rPr>
          <w:rFonts w:ascii="Arial" w:hAnsi="Arial" w:cs="Arial"/>
          <w:noProof/>
          <w:sz w:val="22"/>
          <w:szCs w:val="22"/>
        </w:rPr>
        <w:t>(17)</w:t>
      </w:r>
      <w:r w:rsidR="00BC3BBB" w:rsidRPr="004E1C8C">
        <w:rPr>
          <w:rFonts w:ascii="Arial" w:hAnsi="Arial" w:cs="Arial"/>
          <w:sz w:val="22"/>
          <w:szCs w:val="22"/>
        </w:rPr>
        <w:fldChar w:fldCharType="end"/>
      </w:r>
      <w:r w:rsidRPr="004E1C8C">
        <w:rPr>
          <w:rFonts w:ascii="Arial" w:hAnsi="Arial" w:cs="Arial"/>
          <w:sz w:val="22"/>
          <w:szCs w:val="22"/>
        </w:rPr>
        <w:t xml:space="preserve">. Ancak bu bulgu henüz yeni çalışmalarla tekrarlanmamıştır (212). </w:t>
      </w:r>
    </w:p>
    <w:p w:rsidR="00C60153" w:rsidRPr="004E1C8C" w:rsidRDefault="00C60153" w:rsidP="004E1C8C">
      <w:pPr>
        <w:spacing w:line="360" w:lineRule="auto"/>
        <w:ind w:firstLine="708"/>
        <w:jc w:val="both"/>
        <w:rPr>
          <w:rFonts w:ascii="Arial" w:hAnsi="Arial" w:cs="Arial"/>
          <w:color w:val="4F81BD" w:themeColor="accent1"/>
          <w:sz w:val="22"/>
          <w:szCs w:val="22"/>
        </w:rPr>
      </w:pPr>
      <w:r w:rsidRPr="004E1C8C">
        <w:rPr>
          <w:rFonts w:ascii="Arial" w:hAnsi="Arial" w:cs="Arial"/>
          <w:sz w:val="22"/>
          <w:szCs w:val="22"/>
        </w:rPr>
        <w:t>Wu ve ark. DEHB modeli olan SHR beyinlerinin prefrontal korteksinde artmış miR-let-7d saptadıklarını, bunun da Tirozin Hidroksilaz (TH) geni</w:t>
      </w:r>
      <w:r w:rsidRPr="004E1C8C">
        <w:rPr>
          <w:rFonts w:ascii="Arial" w:hAnsi="Arial" w:cs="Arial"/>
          <w:color w:val="333333"/>
          <w:spacing w:val="2"/>
          <w:sz w:val="22"/>
          <w:szCs w:val="22"/>
          <w:shd w:val="clear" w:color="auto" w:fill="FCFCFC"/>
        </w:rPr>
        <w:t xml:space="preserve"> </w:t>
      </w:r>
      <w:r w:rsidRPr="004E1C8C">
        <w:rPr>
          <w:rFonts w:ascii="Arial" w:hAnsi="Arial" w:cs="Arial"/>
          <w:sz w:val="22"/>
          <w:szCs w:val="22"/>
        </w:rPr>
        <w:t xml:space="preserve">üzerinden DEHB oluşumuna katkıda bulunabileceğini ifade etmişlerdir </w:t>
      </w:r>
      <w:r w:rsidR="00BC3BBB" w:rsidRPr="004E1C8C">
        <w:rPr>
          <w:rFonts w:ascii="Arial" w:hAnsi="Arial" w:cs="Arial"/>
          <w:sz w:val="22"/>
          <w:szCs w:val="22"/>
        </w:rPr>
        <w:fldChar w:fldCharType="begin" w:fldLock="1"/>
      </w:r>
      <w:r w:rsidRPr="004E1C8C">
        <w:rPr>
          <w:rFonts w:ascii="Arial" w:hAnsi="Arial" w:cs="Arial"/>
          <w:sz w:val="22"/>
          <w:szCs w:val="22"/>
        </w:rPr>
        <w:instrText>ADDIN CSL_CITATION { "citationItems" : [ { "id" : "ITEM-1", "itemData" : { "DOI" : "10.1111/j.1750-3639.2010.00410.x", "ISBN" : "1750-3639 (Electronic)\\n1015-6305 (Linking)", "ISSN" : "10156305", "PMID" : "20557304", "abstract" : "In this study we investigated the locomotor activity and non-selective attention in spontaneously hypertensive rats (SHR) with control Wistar-Kyoto (WKY) rats, which were employed as an attention deficit hyperactivity disorder (ADHD) model. In open-field test and l\u00e0t maze, SHR rats were found to be much more spontaneously active than WKY rats. As compared with WKY rats, a lower level of galectin-3 was observed in SHR brain prefrontal cortex (PFC), which was the major affected brain area of ADHD. Through miRNA microarray screening, rno-let-7d was noted to be solely upregulated in SHR PFC. Interestingly, rno-let-7d had a binding site at galectin-3 mRNA and was shown to regulate galectin-3 3' untranslated region (UTR) directly. Mutation of galectin-3 3'UTR by one nucleotide of the seed sequence prevented rno-let-7d regulation of the 3' UTR completely. Although rno-let-7d did not directly regulate tyrosine hydroxylase (TH) 3'UTR, the level of galectin-3 was important for cAMP response element binding protein, the major transcript factor for TH gene. Either overexpression or downexpression of galectin-3 could result in modulation of TH expression in both PC12H and PC12L cells. In conclusion, our data suggested a novel function of rno-let-7d in regulation of galectin-3 and in ADHD development. Rno-let-7d, which is increased in the PFC of SHR brain, negatively regulated galectin-3, which is coupled with TH expression regulation.", "author" : [ { "dropping-particle" : "", "family" : "Wu", "given" : "Lihui", "non-dropping-particle" : "", "parse-names" : false, "suffix" : "" }, { "dropping-particle" : "", "family" : "Zhao", "given" : "Qianlei", "non-dropping-particle" : "", "parse-names" : false, "suffix" : "" }, { "dropping-particle" : "", "family" : "Zhu", "given" : "Xuchao", "non-dropping-particle" : "", "parse-names" : false, "suffix" : "" }, { "dropping-particle" : "", "family" : "Peng", "given" : "Min", "non-dropping-particle" : "", "parse-names" : false, "suffix" : "" }, { "dropping-particle" : "", "family" : "Jia", "given" : "Chenyou", "non-dropping-particle" : "", "parse-names" : false, "suffix" : "" }, { "dropping-particle" : "", "family" : "Wu", "given" : "Wei", "non-dropping-particle" : "", "parse-names" : false, "suffix" : "" }, { "dropping-particle" : "", "family" : "Zheng", "given" : "Jing", "non-dropping-particle" : "", "parse-names" : false, "suffix" : "" }, { "dropping-particle" : "", "family" : "Wu", "given" : "Xing Zhong", "non-dropping-particle" : "", "parse-names" : false, "suffix" : "" } ], "container-title" : "Brain Pathology", "id" : "ITEM-1", "issue" : "6", "issued" : { "date-parts" : [ [ "2010" ] ] }, "page" : "1042-1054", "title" : "A novel function of MicroRNA Let-7d in regulation of galectin-3 expression in attention deficit hyperactivity disorder rat brain", "type" : "article-journal", "volume" : "20" }, "uris" : [ "http://www.mendeley.com/documents/?uuid=9dccdf57-e4be-4be3-8370-a11faa38d8bd" ] } ], "mendeley" : { "formattedCitation" : "(18)", "plainTextFormattedCitation" : "(18)", "previouslyFormattedCitation" : "(18)" }, "properties" : { "noteIndex" : 23 }, "schema" : "https://github.com/citation-style-language/schema/raw/master/csl-citation.json" }</w:instrText>
      </w:r>
      <w:r w:rsidR="00BC3BBB" w:rsidRPr="004E1C8C">
        <w:rPr>
          <w:rFonts w:ascii="Arial" w:hAnsi="Arial" w:cs="Arial"/>
          <w:sz w:val="22"/>
          <w:szCs w:val="22"/>
        </w:rPr>
        <w:fldChar w:fldCharType="separate"/>
      </w:r>
      <w:r w:rsidRPr="004E1C8C">
        <w:rPr>
          <w:rFonts w:ascii="Arial" w:hAnsi="Arial" w:cs="Arial"/>
          <w:noProof/>
          <w:sz w:val="22"/>
          <w:szCs w:val="22"/>
        </w:rPr>
        <w:t>(18)</w:t>
      </w:r>
      <w:r w:rsidR="00BC3BBB" w:rsidRPr="004E1C8C">
        <w:rPr>
          <w:rFonts w:ascii="Arial" w:hAnsi="Arial" w:cs="Arial"/>
          <w:sz w:val="22"/>
          <w:szCs w:val="22"/>
        </w:rPr>
        <w:fldChar w:fldCharType="end"/>
      </w:r>
      <w:r w:rsidRPr="004E1C8C">
        <w:rPr>
          <w:rFonts w:ascii="Arial" w:hAnsi="Arial" w:cs="Arial"/>
          <w:sz w:val="22"/>
          <w:szCs w:val="22"/>
        </w:rPr>
        <w:t xml:space="preserve">. Çocuklardan oluşan örneklemle yaptıkları çalışmada periferik kanda DEHB olan grupta kontrole göre miR-let-7d düzeylerinin arttığını sptamışlardır </w:t>
      </w:r>
      <w:r w:rsidR="00BC3BBB" w:rsidRPr="004E1C8C">
        <w:rPr>
          <w:rFonts w:ascii="Arial" w:hAnsi="Arial" w:cs="Arial"/>
          <w:sz w:val="22"/>
          <w:szCs w:val="22"/>
        </w:rPr>
        <w:fldChar w:fldCharType="begin" w:fldLock="1"/>
      </w:r>
      <w:r w:rsidRPr="004E1C8C">
        <w:rPr>
          <w:rFonts w:ascii="Arial" w:hAnsi="Arial" w:cs="Arial"/>
          <w:sz w:val="22"/>
          <w:szCs w:val="22"/>
        </w:rPr>
        <w:instrText>ADDIN CSL_CITATION { "citationItems" : [ { "id" : "ITEM-1", "itemData" : { "DOI" : "10.1007/s12017-015-8345-y", "ISBN" : "1559-1174 (Electronic)\\r1535-1084 (Linking)", "ISSN" : "15591174", "PMID" : "25724585", "abstract" : "Up to date, there has been no molecular signature available in the clinical practice for attention-deficit/hyperactivity disorder (ADHD). To investigate circulating miRNA let-7d significance in ADHD, we investigated serum miRNA let-7d in 35 newly diagnosed ADHD subjects who were randomly selected from 406 patients out of 7450 children, paired with gender- and age-matched control through case-control study. We observed that circulating miRNA let-7d was significantly higher in ADHD subjects than in control (p &lt; 0.05). Higher circulation level of miRNA let-7d was significantly associated with ADHD (odds ratio 16.7; 95% confidence, p &lt; 0.05). Meanwhile, serum galectin-3 level was down-regulated in ADHD subjects and the subjects with low galectin-3 expression accounted for 66% in ADHD. The difference of the serum galectin-3 levels between ADHD and non-ADHD groups reached significance (p &lt; 0.05). In 1-year follow-up, a significantly higher rate of clinical improvement was noted in subjects with low level of circulating miRNA let-7d (p &lt; 0.05) than those with high level of circulating miRNA let-7d. Our data demonstrated that miRNA let-7d was elevated in the serum of ADHD subjects, which might be a novel, useful molecule signature for ADHD.", "author" : [ { "dropping-particle" : "", "family" : "Wu", "given" : "Li Hui", "non-dropping-particle" : "", "parse-names" : false, "suffix" : "" }, { "dropping-particle" : "", "family" : "Peng", "given" : "Min", "non-dropping-particle" : "", "parse-names" : false, "suffix" : "" }, { "dropping-particle" : "", "family" : "Yu", "given" : "Mei", "non-dropping-particle" : "", "parse-names" : false, "suffix" : "" }, { "dropping-particle" : "", "family" : "Zhao", "given" : "Qian Lei", "non-dropping-particle" : "", "parse-names" : false, "suffix" : "" }, { "dropping-particle" : "", "family" : "Li", "given" : "Chao", "non-dropping-particle" : "", "parse-names" : false, "suffix" : "" }, { "dropping-particle" : "", "family" : "Jin", "given" : "Yu Tong", "non-dropping-particle" : "", "parse-names" : false, "suffix" : "" }, { "dropping-particle" : "", "family" : "Jiang", "given" : "Yong", "non-dropping-particle" : "", "parse-names" : false, "suffix" : "" }, { "dropping-particle" : "", "family" : "Chen", "given" : "Zhong Yi", "non-dropping-particle" : "", "parse-names" : false, "suffix" : "" }, { "dropping-particle" : "", "family" : "Deng", "given" : "Nian Hui", "non-dropping-particle" : "", "parse-names" : false, "suffix" : "" }, { "dropping-particle" : "", "family" : "Sun", "given" : "Hui", "non-dropping-particle" : "", "parse-names" : false, "suffix" : "" }, { "dropping-particle" : "", "family" : "Wu", "given" : "Xing Zhong", "non-dropping-particle" : "", "parse-names" : false, "suffix" : "" } ], "container-title" : "NeuroMolecular Medicine", "id" : "ITEM-1", "issue" : "2", "issued" : { "date-parts" : [ [ "2015" ] ] }, "page" : "137-146", "title" : "Circulating MicroRNA Let-7d in Attention-Deficit/Hyperactivity Disorder", "type" : "article-journal", "volume" : "17" }, "uris" : [ "http://www.mendeley.com/documents/?uuid=0a6249bf-dfc5-475d-b684-5acbf56c30fd" ] } ], "mendeley" : { "formattedCitation" : "(19)", "plainTextFormattedCitation" : "(19)", "previouslyFormattedCitation" : "(19)" }, "properties" : { "noteIndex" : 23 }, "schema" : "https://github.com/citation-style-language/schema/raw/master/csl-citation.json" }</w:instrText>
      </w:r>
      <w:r w:rsidR="00BC3BBB" w:rsidRPr="004E1C8C">
        <w:rPr>
          <w:rFonts w:ascii="Arial" w:hAnsi="Arial" w:cs="Arial"/>
          <w:sz w:val="22"/>
          <w:szCs w:val="22"/>
        </w:rPr>
        <w:fldChar w:fldCharType="separate"/>
      </w:r>
      <w:r w:rsidRPr="004E1C8C">
        <w:rPr>
          <w:rFonts w:ascii="Arial" w:hAnsi="Arial" w:cs="Arial"/>
          <w:noProof/>
          <w:sz w:val="22"/>
          <w:szCs w:val="22"/>
        </w:rPr>
        <w:t>(19)</w:t>
      </w:r>
      <w:r w:rsidR="00BC3BBB" w:rsidRPr="004E1C8C">
        <w:rPr>
          <w:rFonts w:ascii="Arial" w:hAnsi="Arial" w:cs="Arial"/>
          <w:sz w:val="22"/>
          <w:szCs w:val="22"/>
        </w:rPr>
        <w:fldChar w:fldCharType="end"/>
      </w:r>
      <w:r w:rsidRPr="004E1C8C">
        <w:rPr>
          <w:rFonts w:ascii="Arial" w:hAnsi="Arial" w:cs="Arial"/>
          <w:color w:val="4F81BD" w:themeColor="accent1"/>
          <w:sz w:val="22"/>
          <w:szCs w:val="22"/>
        </w:rPr>
        <w:t xml:space="preserve">. </w:t>
      </w:r>
    </w:p>
    <w:p w:rsidR="000662C9" w:rsidRPr="004E1C8C" w:rsidRDefault="00C60153" w:rsidP="004E1C8C">
      <w:pPr>
        <w:pStyle w:val="HTMLncedenBiimlendirilmi"/>
        <w:spacing w:line="360" w:lineRule="auto"/>
        <w:jc w:val="both"/>
        <w:rPr>
          <w:rFonts w:ascii="Arial" w:hAnsi="Arial" w:cs="Arial"/>
          <w:color w:val="76923C" w:themeColor="accent3" w:themeShade="BF"/>
          <w:sz w:val="22"/>
          <w:szCs w:val="22"/>
        </w:rPr>
      </w:pPr>
      <w:r w:rsidRPr="004E1C8C">
        <w:rPr>
          <w:rFonts w:ascii="Arial" w:hAnsi="Arial" w:cs="Arial"/>
          <w:color w:val="212121"/>
          <w:sz w:val="22"/>
          <w:szCs w:val="22"/>
          <w:shd w:val="clear" w:color="auto" w:fill="FFFFFF"/>
        </w:rPr>
        <w:tab/>
      </w:r>
      <w:r w:rsidR="000662C9" w:rsidRPr="004E1C8C">
        <w:rPr>
          <w:rFonts w:ascii="Arial" w:hAnsi="Arial" w:cs="Arial"/>
          <w:color w:val="212121"/>
          <w:sz w:val="22"/>
          <w:szCs w:val="22"/>
          <w:shd w:val="clear" w:color="auto" w:fill="FFFFFF"/>
        </w:rPr>
        <w:t xml:space="preserve">Homer 1a, Homer ailesindeki en önemli iskele proteinlerinden biridir ve glutamaterjik eksitatör sinapsların </w:t>
      </w:r>
      <w:r w:rsidR="000662C9" w:rsidRPr="004E1C8C">
        <w:rPr>
          <w:rFonts w:ascii="Arial" w:hAnsi="Arial" w:cs="Arial"/>
          <w:sz w:val="22"/>
          <w:szCs w:val="22"/>
          <w:shd w:val="clear" w:color="auto" w:fill="FFFFFF"/>
        </w:rPr>
        <w:t>postsinaptik yoğunluğunda</w:t>
      </w:r>
      <w:r w:rsidR="000662C9" w:rsidRPr="004E1C8C">
        <w:rPr>
          <w:rFonts w:ascii="Arial" w:hAnsi="Arial" w:cs="Arial"/>
          <w:color w:val="212121"/>
          <w:sz w:val="22"/>
          <w:szCs w:val="22"/>
          <w:shd w:val="clear" w:color="auto" w:fill="FFFFFF"/>
        </w:rPr>
        <w:t xml:space="preserve"> bulunur </w:t>
      </w:r>
      <w:r w:rsidR="00BC3BBB" w:rsidRPr="004E1C8C">
        <w:rPr>
          <w:rFonts w:ascii="Arial" w:hAnsi="Arial" w:cs="Arial"/>
          <w:color w:val="212121"/>
          <w:sz w:val="22"/>
          <w:szCs w:val="22"/>
          <w:shd w:val="clear" w:color="auto" w:fill="FFFFFF"/>
        </w:rPr>
        <w:fldChar w:fldCharType="begin" w:fldLock="1"/>
      </w:r>
      <w:r w:rsidR="00BF1F00">
        <w:rPr>
          <w:rFonts w:ascii="Arial" w:hAnsi="Arial" w:cs="Arial"/>
          <w:color w:val="212121"/>
          <w:sz w:val="22"/>
          <w:szCs w:val="22"/>
          <w:shd w:val="clear" w:color="auto" w:fill="FFFFFF"/>
        </w:rPr>
        <w:instrText>ADDIN CSL_CITATION { "citationItems" : [ { "id" : "ITEM-1", "itemData" : { "DOI" : "10.1007/s11033-009-9596-1", "ISBN" : "1573-4978 (Electronic)\\r0301-4851 (Linking)", "ISSN" : "03014851", "PMID" : "19572212", "abstract" : "We have undertaken cDNA microarrays to identify differentially expressed genes in the prefrontal cortex (PFC) of spontaneously hypertensive-rat (SHR), a rodent model of attention deficit hyperactivity disorder (ADHD) versus control Wistar-Kyoto (WKY) rats. The analysis of the gene expression profiles indicated that 57 genes were up-regulated and 97 genes were down-regulated in the PFC of SHR. These predominately expressed genes included genes involved in neural development, immunity, transcription factor, monoamine neurotransmitter, metabolism, signal transduction, apoptosis and so on. Although more detailed analyses are necessary, it is anticipated that further study of genes identified will provide insights into their specific roles in the etiology of ADHD.", "author" : [ { "dropping-particle" : "", "family" : "Qiu", "given" : "Jie", "non-dropping-particle" : "", "parse-names" : false, "suffix" : "" }, { "dropping-particle" : "", "family" : "Hong", "given" : "Qin", "non-dropping-particle" : "", "parse-names" : false, "suffix" : "" }, { "dropping-particle" : "", "family" : "Chen", "given" : "Rong Hua", "non-dropping-particle" : "", "parse-names" : false, "suffix" : "" }, { "dropping-particle" : "", "family" : "Tong", "given" : "Mei Ling", "non-dropping-particle" : "", "parse-names" : false, "suffix" : "" }, { "dropping-particle" : "", "family" : "Zhang", "given" : "Min", "non-dropping-particle" : "", "parse-names" : false, "suffix" : "" }, { "dropping-particle" : "", "family" : "Fei", "given" : "Li", "non-dropping-particle" : "", "parse-names" : false, "suffix" : "" }, { "dropping-particle" : "", "family" : "Pan", "given" : "Xiao Qin", "non-dropping-particle" : "", "parse-names" : false, "suffix" : "" }, { "dropping-particle" : "", "family" : "Guo", "given" : "Mei", "non-dropping-particle" : "", "parse-names" : false, "suffix" : "" }, { "dropping-particle" : "", "family" : "Guo", "given" : "Xi Rong", "non-dropping-particle" : "", "parse-names" : false, "suffix" : "" }, { "dropping-particle" : "", "family" : "Chi", "given" : "Xia", "non-dropping-particle" : "", "parse-names" : false, "suffix" : "" } ], "container-title" : "Molecular Biology Reports", "id" : "ITEM-1", "issue" : "4", "issued" : { "date-parts" : [ [ "2010" ] ] }, "page" : "1733-1740", "title" : "Gene expression profiles in the prefrontal cortex of SHR rats by cDNA microarrays", "type" : "article-journal", "volume" : "37" }, "uris" : [ "http://www.mendeley.com/documents/?uuid=e1c934eb-c36d-4b94-81d7-5ccf5154a36c" ] } ], "mendeley" : { "formattedCitation" : "(245)", "plainTextFormattedCitation" : "(245)", "previouslyFormattedCitation" : "(245)" }, "properties" : { "noteIndex" : 23 }, "schema" : "https://github.com/citation-style-language/schema/raw/master/csl-citation.json" }</w:instrText>
      </w:r>
      <w:r w:rsidR="00BC3BBB" w:rsidRPr="004E1C8C">
        <w:rPr>
          <w:rFonts w:ascii="Arial" w:hAnsi="Arial" w:cs="Arial"/>
          <w:color w:val="212121"/>
          <w:sz w:val="22"/>
          <w:szCs w:val="22"/>
          <w:shd w:val="clear" w:color="auto" w:fill="FFFFFF"/>
        </w:rPr>
        <w:fldChar w:fldCharType="separate"/>
      </w:r>
      <w:r w:rsidR="000662C9" w:rsidRPr="004E1C8C">
        <w:rPr>
          <w:rFonts w:ascii="Arial" w:hAnsi="Arial" w:cs="Arial"/>
          <w:noProof/>
          <w:color w:val="212121"/>
          <w:sz w:val="22"/>
          <w:szCs w:val="22"/>
          <w:shd w:val="clear" w:color="auto" w:fill="FFFFFF"/>
        </w:rPr>
        <w:t>(245)</w:t>
      </w:r>
      <w:r w:rsidR="00BC3BBB" w:rsidRPr="004E1C8C">
        <w:rPr>
          <w:rFonts w:ascii="Arial" w:hAnsi="Arial" w:cs="Arial"/>
          <w:color w:val="212121"/>
          <w:sz w:val="22"/>
          <w:szCs w:val="22"/>
          <w:shd w:val="clear" w:color="auto" w:fill="FFFFFF"/>
        </w:rPr>
        <w:fldChar w:fldCharType="end"/>
      </w:r>
      <w:r w:rsidR="000662C9" w:rsidRPr="004E1C8C">
        <w:rPr>
          <w:rFonts w:ascii="Arial" w:hAnsi="Arial" w:cs="Arial"/>
          <w:color w:val="4F81BD" w:themeColor="accent1"/>
          <w:sz w:val="22"/>
          <w:szCs w:val="22"/>
        </w:rPr>
        <w:t xml:space="preserve">. </w:t>
      </w:r>
      <w:r w:rsidR="000662C9" w:rsidRPr="004E1C8C">
        <w:rPr>
          <w:rFonts w:ascii="Arial" w:hAnsi="Arial" w:cs="Arial"/>
          <w:color w:val="212121"/>
          <w:sz w:val="22"/>
          <w:szCs w:val="22"/>
          <w:shd w:val="clear" w:color="auto" w:fill="FFFFFF"/>
        </w:rPr>
        <w:t xml:space="preserve">Dopamin, norepinefrin ve glutamat sinyal yolaklarında rol aldığı bulunmuştur </w:t>
      </w:r>
      <w:r w:rsidR="00BC3BBB" w:rsidRPr="004E1C8C">
        <w:rPr>
          <w:rFonts w:ascii="Arial" w:hAnsi="Arial" w:cs="Arial"/>
          <w:color w:val="212121"/>
          <w:sz w:val="22"/>
          <w:szCs w:val="22"/>
          <w:shd w:val="clear" w:color="auto" w:fill="FFFFFF"/>
        </w:rPr>
        <w:fldChar w:fldCharType="begin" w:fldLock="1"/>
      </w:r>
      <w:r w:rsidR="0037573A">
        <w:rPr>
          <w:rFonts w:ascii="Arial" w:hAnsi="Arial" w:cs="Arial"/>
          <w:color w:val="212121"/>
          <w:sz w:val="22"/>
          <w:szCs w:val="22"/>
          <w:shd w:val="clear" w:color="auto" w:fill="FFFFFF"/>
        </w:rPr>
        <w:instrText>ADDIN CSL_CITATION { "citationItems" : [ { "id" : "ITEM-1", "itemData" : { "DOI" : "10.1016/j.pnpbp.2009.02.009", "ISBN" : "1878-4216 (Electronic)\\r0278-5846 (Linking)", "ISSN" : "02785846", "PMID" : "19243698", "abstract" : "The inducible gene Homer1a has been considered a candidate gene for schizophrenia. Drugs efficacious in schizophrenia and acting as dopamine receptor antagonists induce Homer1a expression, although the specific role of the different dopamine receptors in its induction is not completely known. In this study, we explored Homer1a expression induced by selective antagonists at dopamine receptors (SCH-23390, D1 receptor selective antagonist, 0.5??mg/kg; L-741,626, D2 receptor selective antagonist, 2??mg/kg; U-99194, D3 receptor selective antagonist, 5??mg/kg; L-745,870, D4 receptor selective antagonist, 3??mg/kg), haloperidol (0.8??mg/kg), and terguride (0.5??mg/kg), a partial agonist at D2 receptors. Moreover, we evaluated the expression of two Homer1a-related genes which play essential roles in synaptic plasticity: mGluR5 and Homer1b. Gene expression was analyzed in brain regions relevant for schizophrenia pathophysiology and therapy, namely the striatum, the cortex, and the hippocampus. In striatum, Homer1a was induced by D2 receptor antagonists and, with a different distribution, by SCH-23390. In the cortex, Homer1a was differentially induced by D1, D2, and D3 receptors antagonists, while haloperidol and terguride did not affect or reduced its expression. Homer1b expression was reduced by L-741,626, L-745,870, terguride, and haloperidol in the ventral caudate-putamen, in the nucleus accumbens and in the cortex, while SCH-23390 increased the expression in the core of the accumbens. mGluR5 expression was increased by SCH-23390 in the dorsomedial putamen, the core of the accumbens, and in some hippocampal subregions. A reduction of gene expression by terguride and an increase by L-745,870 was observed in the dorsomedial putamen. The changes in expression suggest that these gene transcripts are differentially regulated by antagonism at different dopamine receptors. ?? 2009 Elsevier Inc. All rights reserved.", "author" : [ { "dropping-particle" : "", "family" : "Iasevoli", "given" : "Felice", "non-dropping-particle" : "", "parse-names" : false, "suffix" : "" }, { "dropping-particle" : "", "family" : "Tomasetti", "given" : "Carmine", "non-dropping-particle" : "", "parse-names" : false, "suffix" : "" }, { "dropping-particle" : "", "family" : "Ambesi-Impiombato", "given" : "Alberto", "non-dropping-particle" : "", "parse-names" : false, "suffix" : "" }, { "dropping-particle" : "", "family" : "Muscettola", "given" : "Giovanni", "non-dropping-particle" : "", "parse-names" : false, "suffix" : "" }, { "dropping-particle" : "", "family" : "Bartolomeis", "given" : "Andrea", "non-dropping-particle" : "de", "parse-names" : false, "suffix" : "" } ], "container-title" : "Progress in Neuro-Psychopharmacology and Biological Psychiatry", "id" : "ITEM-1", "issue" : "5", "issued" : { "date-parts" : [ [ "2009" ] ] }, "page" : "813-821", "title" : "Dopamine receptor subtypes contribution to Homer1a induction: Insights into antipsychotic molecular action", "type" : "article-journal", "volume" : "33" }, "uris" : [ "http://www.mendeley.com/documents/?uuid=4b59a128-b27a-455e-9d16-0ae55a7816fc" ] }, { "id" : "ITEM-2", "itemData" : { "DOI" : "10.1007/s12035-012-8293-6", "ISBN" : "1559-1182", "ISSN" : "08937648", "PMID" : "22763587", "abstract" : "Dopamine and glutamate systems are both involved in cognitive, behavioral, and motor processes. Dysfunction of dopamine-glutamate interplay has been suggested in several psychotic diseases, above all in schizophrenia, for which there exists a need for novel medications. Intracellular calcium-dependent transduction pathways are key determinants of dopamine-glutamate interactions, which take place mainly, albeit not exclusively, in the postsynaptic density (PSD), a highly specialized postsynaptic ultrastructure. Stimulation of dopamine and glutamate receptors modulates the gene expression and the function of specific PSD proteins, the \"scaffolding\" proteins (Homer, Shank, and PSD95), belonging to a complex Ca(2+)-regulated network that integrates and converges dopamine and glutamate signaling to appropriate nuclear targets. Dysfunction of scaffolding proteins leads to severe impairment of Ca(2+)-dependent signaling, which may underlie the dopamine-glutamate aberrations putatively implicated in the pathogenesis of psychotic disorders. Antipsychotic therapy has been demonstrated to directly and indirectly affect the neuronal Ca(2+)-dependent pathways through the modulation of PSD scaffolding proteins, such as Homer, therefore influencing both dopaminergic and glutamatergic functions and enforcing Ca(2+)-mediated long-term synaptic changes. In this review, we will discuss the role of PSD scaffolding proteins in routing Ca(2+)-dependent signals to the nucleus. In particular, we will address the implication of PSD scaffolding proteins in the intracellular connections between dopamine and glutamate pathways, which involve both Ca(2+)-dependent and Ca(2+)-independent mechanisms. Finally, we will discuss how new strategies for the treatment of psychosis aim at developing antipsychotics that may impact both glutamate and dopamine signaling, and what should be the possible role of PSD scaffolding proteins.", "author" : [ { "dropping-particle" : "", "family" : "Bartolomeis", "given" : "Andrea", "non-dropping-particle" : "De", "parse-names" : false, "suffix" : "" }, { "dropping-particle" : "", "family" : "Tomasetti", "given" : "Carmine", "non-dropping-particle" : "", "parse-names" : false, "suffix" : "" } ], "container-title" : "Molecular Neurobiology", "id" : "ITEM-2", "issue" : "2", "issued" : { "date-parts" : [ [ "2012" ] ] }, "page" : "275-296", "title" : "Calcium-dependent networks in dopamine-glutamate interaction: The role of postsynaptic scaffolding proteins", "type" : "article-journal", "volume" : "46" }, "uris" : [ "http://www.mendeley.com/documents/?uuid=8a0d9dbe-1780-4028-a60c-6623daa0059e" ] } ], "mendeley" : { "formattedCitation" : "(246, 247)", "plainTextFormattedCitation" : "(246, 247)", "previouslyFormattedCitation" : "(246, 247)" }, "properties" : { "noteIndex" : 23 }, "schema" : "https://github.com/citation-style-language/schema/raw/master/csl-citation.json" }</w:instrText>
      </w:r>
      <w:r w:rsidR="00BC3BBB" w:rsidRPr="004E1C8C">
        <w:rPr>
          <w:rFonts w:ascii="Arial" w:hAnsi="Arial" w:cs="Arial"/>
          <w:color w:val="212121"/>
          <w:sz w:val="22"/>
          <w:szCs w:val="22"/>
          <w:shd w:val="clear" w:color="auto" w:fill="FFFFFF"/>
        </w:rPr>
        <w:fldChar w:fldCharType="separate"/>
      </w:r>
      <w:r w:rsidR="00BF1F00" w:rsidRPr="00BF1F00">
        <w:rPr>
          <w:rFonts w:ascii="Arial" w:hAnsi="Arial" w:cs="Arial"/>
          <w:noProof/>
          <w:color w:val="212121"/>
          <w:sz w:val="22"/>
          <w:szCs w:val="22"/>
          <w:shd w:val="clear" w:color="auto" w:fill="FFFFFF"/>
        </w:rPr>
        <w:t>(246, 247)</w:t>
      </w:r>
      <w:r w:rsidR="00BC3BBB" w:rsidRPr="004E1C8C">
        <w:rPr>
          <w:rFonts w:ascii="Arial" w:hAnsi="Arial" w:cs="Arial"/>
          <w:color w:val="212121"/>
          <w:sz w:val="22"/>
          <w:szCs w:val="22"/>
          <w:shd w:val="clear" w:color="auto" w:fill="FFFFFF"/>
        </w:rPr>
        <w:fldChar w:fldCharType="end"/>
      </w:r>
      <w:r w:rsidR="000662C9" w:rsidRPr="004E1C8C">
        <w:rPr>
          <w:rFonts w:ascii="Arial" w:hAnsi="Arial" w:cs="Arial"/>
          <w:color w:val="212121"/>
          <w:sz w:val="22"/>
          <w:szCs w:val="22"/>
          <w:shd w:val="clear" w:color="auto" w:fill="FFFFFF"/>
        </w:rPr>
        <w:t xml:space="preserve">. </w:t>
      </w:r>
      <w:r w:rsidR="000662C9" w:rsidRPr="004E1C8C">
        <w:rPr>
          <w:rFonts w:ascii="Arial" w:hAnsi="Arial" w:cs="Arial"/>
          <w:color w:val="212121"/>
          <w:sz w:val="22"/>
          <w:szCs w:val="22"/>
        </w:rPr>
        <w:t xml:space="preserve">Bu proteinler nörotransmitterlerin nöronlar arası iletimi ile yakından ilişkilidir ve sinaptik plastisitede rol aldıkları belirtilmiştir </w:t>
      </w:r>
      <w:r w:rsidR="00BC3BBB" w:rsidRPr="004E1C8C">
        <w:rPr>
          <w:rFonts w:ascii="Arial" w:hAnsi="Arial" w:cs="Arial"/>
          <w:color w:val="212121"/>
          <w:sz w:val="22"/>
          <w:szCs w:val="22"/>
        </w:rPr>
        <w:fldChar w:fldCharType="begin" w:fldLock="1"/>
      </w:r>
      <w:r w:rsidR="00BF1F00">
        <w:rPr>
          <w:rFonts w:ascii="Arial" w:hAnsi="Arial" w:cs="Arial"/>
          <w:color w:val="212121"/>
          <w:sz w:val="22"/>
          <w:szCs w:val="22"/>
        </w:rPr>
        <w:instrText>ADDIN CSL_CITATION { "citationItems" : [ { "id" : "ITEM-1", "itemData" : { "DOI" : "10.1371/journal.pone.0006011", "ISBN" : "1932-6203 (Electronic)\\r1932-6203 (Linking)", "ISSN" : "19326203", "PMID" : "19547699", "abstract" : "Disruption of the postsynaptic density (PSD), a network of scaffold proteins located in dendritic spines, is thought to be responsible for synaptic dysfunction and loss in early-stage Alzheimer's disease (AD). Extending our previous demonstration that derangement of the PSD by soluble amyloid-beta (Abeta) involves proteasomal degradation of PSD-95, a protein important for ionotropic glutamate receptor trafficking, we now show that Abeta also disrupts two other scaffold proteins, Homer1b and Shank1, that couple PSD-95 with ionotropic and metabotropic glutamate receptors. Treatment of fronto-cortical neurons with soluble Abeta results in rapid (within 1 h) and significant thinning of the PSD, decreased synaptic levels of Homer1b and Shank1, and reduced synaptic mGluR1 levels. We show that de novo protein synthesis is required for the declustering effects of Abeta on Homer1b (but not Shank1) and that, in contrast to PSD-95, Abeta-induced Homer1b and Shank1 cluster disassembly does not depend on proteasome activity. The regulation of Homer1b and Shank1 by Abeta diverges in two other respects: i) whereas the activity of both NMDAR and VDCC is required for Abeta-induced declustering of Homer1b, Abeta-induced declustering of Shank1 only requires NMDAR activity; and ii) whereas the effects of Abeta on Homer1b involve engagement of the PI-3K pathway and calcineurin phosphatase (PP2B) activity, those on Shank1 involve activation of the ERK pathway. In summary, soluble Abeta recruits discrete signalling pathways to rapidly reduce the synaptic localization of major components of the PSD and to regulate the availability of mGluR1 in the synapse.", "author" : [ { "dropping-particle" : "", "family" : "Roselli", "given" : "Francesco", "non-dropping-particle" : "", "parse-names" : false, "suffix" : "" }, { "dropping-particle" : "", "family" : "Hutzler", "given" : "Peter", "non-dropping-particle" : "", "parse-names" : false, "suffix" : "" }, { "dropping-particle" : "", "family" : "Wegerich", "given" : "Yvonne", "non-dropping-particle" : "", "parse-names" : false, "suffix" : "" }, { "dropping-particle" : "", "family" : "Livrea", "given" : "Paolo", "non-dropping-particle" : "", "parse-names" : false, "suffix" : "" }, { "dropping-particle" : "", "family" : "Almeida", "given" : "Osborne F X", "non-dropping-particle" : "", "parse-names" : false, "suffix" : "" } ], "container-title" : "PLoS ONE", "id" : "ITEM-1", "issue" : "6", "issued" : { "date-parts" : [ [ "2009" ] ] }, "title" : "Disassembly of shank and homer synaptic clusters is driven by soluble b-amyloid 1-40 through divergent NMDAR-dependent signalling pathways", "type" : "article-journal", "volume" : "4" }, "uris" : [ "http://www.mendeley.com/documents/?uuid=e50370c8-5d43-439a-9073-736ce4b67491" ] } ], "mendeley" : { "formattedCitation" : "(248)", "plainTextFormattedCitation" : "(248)", "previouslyFormattedCitation" : "(248)" }, "properties" : { "noteIndex" : 23 }, "schema" : "https://github.com/citation-style-language/schema/raw/master/csl-citation.json" }</w:instrText>
      </w:r>
      <w:r w:rsidR="00BC3BBB" w:rsidRPr="004E1C8C">
        <w:rPr>
          <w:rFonts w:ascii="Arial" w:hAnsi="Arial" w:cs="Arial"/>
          <w:color w:val="212121"/>
          <w:sz w:val="22"/>
          <w:szCs w:val="22"/>
        </w:rPr>
        <w:fldChar w:fldCharType="separate"/>
      </w:r>
      <w:r w:rsidR="000662C9" w:rsidRPr="004E1C8C">
        <w:rPr>
          <w:rFonts w:ascii="Arial" w:hAnsi="Arial" w:cs="Arial"/>
          <w:noProof/>
          <w:color w:val="212121"/>
          <w:sz w:val="22"/>
          <w:szCs w:val="22"/>
        </w:rPr>
        <w:t>(248)</w:t>
      </w:r>
      <w:r w:rsidR="00BC3BBB" w:rsidRPr="004E1C8C">
        <w:rPr>
          <w:rFonts w:ascii="Arial" w:hAnsi="Arial" w:cs="Arial"/>
          <w:color w:val="212121"/>
          <w:sz w:val="22"/>
          <w:szCs w:val="22"/>
        </w:rPr>
        <w:fldChar w:fldCharType="end"/>
      </w:r>
      <w:r w:rsidR="000662C9" w:rsidRPr="004E1C8C">
        <w:rPr>
          <w:rFonts w:ascii="Arial" w:hAnsi="Arial" w:cs="Arial"/>
          <w:color w:val="212121"/>
          <w:sz w:val="22"/>
          <w:szCs w:val="22"/>
        </w:rPr>
        <w:t xml:space="preserve">. </w:t>
      </w:r>
      <w:r w:rsidR="000662C9" w:rsidRPr="004E1C8C">
        <w:rPr>
          <w:rFonts w:ascii="Arial" w:hAnsi="Arial" w:cs="Arial"/>
          <w:color w:val="212121"/>
          <w:sz w:val="22"/>
          <w:szCs w:val="22"/>
          <w:shd w:val="clear" w:color="auto" w:fill="FFFFFF"/>
        </w:rPr>
        <w:t xml:space="preserve">Homer 1 “knockout” fareler çalışma belleğinde bozulma sergilemektedir </w:t>
      </w:r>
      <w:r w:rsidR="00BC3BBB" w:rsidRPr="004E1C8C">
        <w:rPr>
          <w:rFonts w:ascii="Arial" w:hAnsi="Arial" w:cs="Arial"/>
          <w:color w:val="212121"/>
          <w:sz w:val="22"/>
          <w:szCs w:val="22"/>
          <w:shd w:val="clear" w:color="auto" w:fill="FFFFFF"/>
        </w:rPr>
        <w:fldChar w:fldCharType="begin" w:fldLock="1"/>
      </w:r>
      <w:r w:rsidR="0037573A">
        <w:rPr>
          <w:rFonts w:ascii="Arial" w:hAnsi="Arial" w:cs="Arial"/>
          <w:color w:val="212121"/>
          <w:sz w:val="22"/>
          <w:szCs w:val="22"/>
          <w:shd w:val="clear" w:color="auto" w:fill="FFFFFF"/>
        </w:rPr>
        <w:instrText>ADDIN CSL_CITATION { "citationItems" : [ { "id" : "ITEM-1", "itemData" : { "DOI" : "10.1111/j.1601-183X.2005.00120.x", "ISBN" : "1601-1848 (Print)\\n1601-183X (Linking)", "ISSN" : "16011848", "PMID" : "16011574", "abstract" : "Homer proteins are involved in the functional assembly of postsynaptic density proteins at glutamatergic synapses and are implicated in learning, memory and drug addiction. Here, we report that Homer1-knockout (Homer1-KO) mice exhibit behavioral and neurochemical abnormalities that are consistent with the animal models of schizophrenia. Relative to wild-type mice, Homer1-KO mice exhibited deficits in radial arm maze performance, impaired prepulse inhibition, enhanced 'behavioral despair', increased anxiety in a novel objects test, enhanced reactivity to novel environments, decreased instrumental responding for sucrose and enhanced MK-801- and methamphetamine-stimulated motor behavior. No-net-flux in vivo microdialysis revealed a decrease in extracellular glutamate content in the nucleus accumbens and an increase in the prefrontal cortex. Moreover, in Homer1-KO mice, cocaine did not stimulate a rise in frontal cortex extracellular glutamate levels, suggesting hypofrontality. These behavioral and neurochemical data derived from Homer1 mutant mice are consistent with the recent association of schizophrenia with a single-nucleotide polymorphism in the Homer1 gene and suggest that the regulation of extracellular levels of glutamate within limbo-corticostriatal structures by Homer1 gene products may be involved in the pathogenesis of this neuropsychiatric disorder.", "author" : [ { "dropping-particle" : "", "family" : "Szumlinski", "given" : "K. K.", "non-dropping-particle" : "", "parse-names" : false, "suffix" : "" }, { "dropping-particle" : "", "family" : "Lominac", "given" : "K. D.", "non-dropping-particle" : "", "parse-names" : false, "suffix" : "" }, { "dropping-particle" : "", "family" : "Kleschen", "given" : "M. J.", "non-dropping-particle" : "", "parse-names" : false, "suffix" : "" }, { "dropping-particle" : "", "family" : "Oleson", "given" : "E. B.", "non-dropping-particle" : "", "parse-names" : false, "suffix" : "" }, { "dropping-particle" : "", "family" : "Dehoff", "given" : "M. H.", "non-dropping-particle" : "", "parse-names" : false, "suffix" : "" }, { "dropping-particle" : "", "family" : "Schwartz", "given" : "M. K.", "non-dropping-particle" : "", "parse-names" : false, "suffix" : "" }, { "dropping-particle" : "", "family" : "Seeberg", "given" : "P. H.", "non-dropping-particle" : "", "parse-names" : false, "suffix" : "" }, { "dropping-particle" : "", "family" : "Worley", "given" : "P. F.", "non-dropping-particle" : "", "parse-names" : false, "suffix" : "" }, { "dropping-particle" : "", "family" : "Kalivas", "given" : "P. W.", "non-dropping-particle" : "", "parse-names" : false, "suffix" : "" } ], "container-title" : "Genes, Brain and Behavior", "id" : "ITEM-1", "issue" : "5", "issued" : { "date-parts" : [ [ "2005" ] ] }, "page" : "273-288", "title" : "Behavioral and neurochemical phenotyping of Homer1 mutant mice: Possible relevance to schizophrenia", "type" : "article-journal", "volume" : "4" }, "uris" : [ "http://www.mendeley.com/documents/?uuid=7e1490d0-b9df-49d2-a1dd-21ffc94c073e" ] }, { "id" : "ITEM-2", "itemData" : { "DOI" : "10.1111/j.1601-183X.2006.00240.x", "ISBN" : "1601-1848 (Print)\\r1601-183X (Linking)", "ISSN" : "16011848", "PMID" : "16734773", "abstract" : "Proteins of the Homer1 immediate early gene family have been associated with synaptogenesis and synaptic plasticity suggesting broad behavioral consequences of loss of function. This study examined the behavior of male Homer1 knockout (KO) mice compared with wild-type (WT) and heterozygous mice using a battery of 10 behavioral tests probing sensory, motor, social, emotional and learning/memory functions. KO mice showed mild somatic growth retardation, poor motor coordination, enhanced sensory reactivity and learning deficits. Heterozygous mice showed increased aggression in social interactions with conspecifics. The distribution of mGluR5 and N-methyl-D-aspartate receptors (NMDA) receptors appeared to be unaltered in the hippocampus (HIP) of Homer1 KO mice. The results indicate an extensive range of disrupted behaviors that should contribute to the understanding of the Homer1 gene in brain development and behavior.", "author" : [ { "dropping-particle" : "", "family" : "Jaubert", "given" : "P. J.", "non-dropping-particle" : "", "parse-names" : false, "suffix" : "" }, { "dropping-particle" : "", "family" : "Golub", "given" : "M. S.", "non-dropping-particle" : "", "parse-names" : false, "suffix" : "" }, { "dropping-particle" : "", "family" : "Lo", "given" : "Y. Y.", "non-dropping-particle" : "", "parse-names" : false, "suffix" : "" }, { "dropping-particle" : "", "family" : "Germann", "given" : "S. L.", "non-dropping-particle" : "", "parse-names" : false, "suffix" : "" }, { "dropping-particle" : "", "family" : "Dehoff", "given" : "M. H.", "non-dropping-particle" : "", "parse-names" : false, "suffix" : "" }, { "dropping-particle" : "", "family" : "Worley", "given" : "P. F.", "non-dropping-particle" : "", "parse-names" : false, "suffix" : "" }, { "dropping-particle" : "", "family" : "Kang", "given" : "S. H.", "non-dropping-particle" : "", "parse-names" : false, "suffix" : "" }, { "dropping-particle" : "", "family" : "Schwarz", "given" : "M. K.", "non-dropping-particle" : "", "parse-names" : false, "suffix" : "" }, { "dropping-particle" : "", "family" : "Seeburg", "given" : "P. H.", "non-dropping-particle" : "", "parse-names" : false, "suffix" : "" }, { "dropping-particle" : "", "family" : "Berman", "given" : "R. F.", "non-dropping-particle" : "", "parse-names" : false, "suffix" : "" } ], "container-title" : "Genes, Brain and Behavior", "id" : "ITEM-2", "issue" : "2", "issued" : { "date-parts" : [ [ "2007" ] ] }, "page" : "141-154", "title" : "Complex, multimodal behavioral profile of the Homer1 knockout mouse", "type" : "article-journal", "volume" : "6" }, "uris" : [ "http://www.mendeley.com/documents/?uuid=9707586b-69f0-4f6a-adad-a1543773ce39" ] } ], "mendeley" : { "formattedCitation" : "(249, 250)", "plainTextFormattedCitation" : "(249, 250)", "previouslyFormattedCitation" : "(249, 250)" }, "properties" : { "noteIndex" : 23 }, "schema" : "https://github.com/citation-style-language/schema/raw/master/csl-citation.json" }</w:instrText>
      </w:r>
      <w:r w:rsidR="00BC3BBB" w:rsidRPr="004E1C8C">
        <w:rPr>
          <w:rFonts w:ascii="Arial" w:hAnsi="Arial" w:cs="Arial"/>
          <w:color w:val="212121"/>
          <w:sz w:val="22"/>
          <w:szCs w:val="22"/>
          <w:shd w:val="clear" w:color="auto" w:fill="FFFFFF"/>
        </w:rPr>
        <w:fldChar w:fldCharType="separate"/>
      </w:r>
      <w:r w:rsidR="00BF1F00" w:rsidRPr="00BF1F00">
        <w:rPr>
          <w:rFonts w:ascii="Arial" w:hAnsi="Arial" w:cs="Arial"/>
          <w:noProof/>
          <w:color w:val="212121"/>
          <w:sz w:val="22"/>
          <w:szCs w:val="22"/>
          <w:shd w:val="clear" w:color="auto" w:fill="FFFFFF"/>
        </w:rPr>
        <w:t>(249, 250)</w:t>
      </w:r>
      <w:r w:rsidR="00BC3BBB" w:rsidRPr="004E1C8C">
        <w:rPr>
          <w:rFonts w:ascii="Arial" w:hAnsi="Arial" w:cs="Arial"/>
          <w:color w:val="212121"/>
          <w:sz w:val="22"/>
          <w:szCs w:val="22"/>
          <w:shd w:val="clear" w:color="auto" w:fill="FFFFFF"/>
        </w:rPr>
        <w:fldChar w:fldCharType="end"/>
      </w:r>
      <w:r w:rsidR="000662C9" w:rsidRPr="004E1C8C">
        <w:rPr>
          <w:rFonts w:ascii="Arial" w:hAnsi="Arial" w:cs="Arial"/>
          <w:color w:val="212121"/>
          <w:sz w:val="22"/>
          <w:szCs w:val="22"/>
          <w:shd w:val="clear" w:color="auto" w:fill="FFFFFF"/>
        </w:rPr>
        <w:t xml:space="preserve">. </w:t>
      </w:r>
      <w:r w:rsidR="000662C9" w:rsidRPr="004E1C8C">
        <w:rPr>
          <w:rFonts w:ascii="Arial" w:hAnsi="Arial" w:cs="Arial"/>
          <w:sz w:val="22"/>
          <w:szCs w:val="22"/>
        </w:rPr>
        <w:t xml:space="preserve">Yine Homer1a ekspresyonundaki artışın farelerde kognitif işlevleri iyileştirdiği belirtilmektedir </w:t>
      </w:r>
      <w:r w:rsidR="00BC3BBB" w:rsidRPr="004E1C8C">
        <w:rPr>
          <w:rFonts w:ascii="Arial" w:hAnsi="Arial" w:cs="Arial"/>
          <w:sz w:val="22"/>
          <w:szCs w:val="22"/>
        </w:rPr>
        <w:fldChar w:fldCharType="begin" w:fldLock="1"/>
      </w:r>
      <w:r w:rsidR="00BF1F00">
        <w:rPr>
          <w:rFonts w:ascii="Arial" w:hAnsi="Arial" w:cs="Arial"/>
          <w:sz w:val="22"/>
          <w:szCs w:val="22"/>
        </w:rPr>
        <w:instrText>ADDIN CSL_CITATION { "citationItems" : [ { "id" : "ITEM-1", "itemData" : { "DOI" : "25/50/11586 [pii]\\r10.1523/JNEUROSCI.3764-05.2005", "ISBN" : "1529-2401 (Electronic)\\r0270-6474 (Linking)", "ISSN" : "1529-2401", "PMID" : "16354916", "abstract" : "Homer1 mutant mice exhibit behavioral and neurochemical abnormalities that are consistent with an animal model of schizophrenia. Because the Homer1 gene encodes both immediate early gene (IEG) and constitutively expressed (CC) gene products, we used the local infusion of adeno-associated viral vectors carrying different Homer1 transcriptional variants into the prefrontal cortex (PFC) to distinguish between the roles for IEG and CC Homer1 isoforms in the \"schizophrenia-like\" phenotype of Homer1 mutant mice. PFC overexpression of the IEG Homer1 isoform Homer1a reversed the genotypic differences in behavioral adaptation to repeated stress, whereas overexpression of the constitutively expressed Homer1 isoform Homer1c reversed the genotypic differences in sensorimotor and cognitive processing, as well as cocaine behavioral sensitivity. Homer1a overexpression did not influence PFC basal glutamate content but blunted the glutamate response to cocaine in wild-type mice. In contrast, Homer1c overexpression reversed the genotypic difference in PFC basal glutamate content and enhanced cocaine-induced elevations in glutamate. These data demonstrate active and distinct roles for Homer1a and Homer1c isoforms in the PFC in the mediation of behavior, in the maintenance of basal extracellular glutamate, and in the regulation of PFC glutamate release relevant to schizophrenia and stimulant abuse comorbidity.", "author" : [ { "dropping-particle" : "", "family" : "Lominac", "given" : "K D", "non-dropping-particle" : "", "parse-names" : false, "suffix" : "" }, { "dropping-particle" : "", "family" : "Oleson", "given" : "E B", "non-dropping-particle" : "", "parse-names" : false, "suffix" : "" }, { "dropping-particle" : "", "family" : "Pava", "given" : "M", "non-dropping-particle" : "", "parse-names" : false, "suffix" : "" }, { "dropping-particle" : "", "family" : "Klugmann", "given" : "M", "non-dropping-particle" : "", "parse-names" : false, "suffix" : "" }, { "dropping-particle" : "", "family" : "Schwarz", "given" : "M K", "non-dropping-particle" : "", "parse-names" : false, "suffix" : "" }, { "dropping-particle" : "", "family" : "Seeburg", "given" : "P H", "non-dropping-particle" : "", "parse-names" : false, "suffix" : "" }, { "dropping-particle" : "", "family" : "During", "given" : "M J", "non-dropping-particle" : "", "parse-names" : false, "suffix" : "" }, { "dropping-particle" : "", "family" : "Worley", "given" : "P F", "non-dropping-particle" : "", "parse-names" : false, "suffix" : "" }, { "dropping-particle" : "", "family" : "Kalivas", "given" : "P W", "non-dropping-particle" : "", "parse-names" : false, "suffix" : "" }, { "dropping-particle" : "", "family" : "Szumlinski", "given" : "K K", "non-dropping-particle" : "", "parse-names" : false, "suffix" : "" } ], "container-title" : "J Neurosci", "id" : "ITEM-1", "issue" : "50", "issued" : { "date-parts" : [ [ "2005" ] ] }, "page" : "11586-11594", "title" : "Distinct roles for different Homer1 isoforms in behaviors and associated prefrontal cortex function", "type" : "article-journal", "volume" : "25" }, "uris" : [ "http://www.mendeley.com/documents/?uuid=d5f5584e-9ae1-4f97-8434-9d1e8a2a79cd" ] } ], "mendeley" : { "formattedCitation" : "(251)", "plainTextFormattedCitation" : "(251)", "previouslyFormattedCitation" : "(251)" }, "properties" : { "noteIndex" : 23 }, "schema" : "https://github.com/citation-style-language/schema/raw/master/csl-citation.json" }</w:instrText>
      </w:r>
      <w:r w:rsidR="00BC3BBB" w:rsidRPr="004E1C8C">
        <w:rPr>
          <w:rFonts w:ascii="Arial" w:hAnsi="Arial" w:cs="Arial"/>
          <w:sz w:val="22"/>
          <w:szCs w:val="22"/>
        </w:rPr>
        <w:fldChar w:fldCharType="separate"/>
      </w:r>
      <w:r w:rsidR="000662C9" w:rsidRPr="004E1C8C">
        <w:rPr>
          <w:rFonts w:ascii="Arial" w:hAnsi="Arial" w:cs="Arial"/>
          <w:noProof/>
          <w:sz w:val="22"/>
          <w:szCs w:val="22"/>
        </w:rPr>
        <w:t>(251)</w:t>
      </w:r>
      <w:r w:rsidR="00BC3BBB" w:rsidRPr="004E1C8C">
        <w:rPr>
          <w:rFonts w:ascii="Arial" w:hAnsi="Arial" w:cs="Arial"/>
          <w:sz w:val="22"/>
          <w:szCs w:val="22"/>
        </w:rPr>
        <w:fldChar w:fldCharType="end"/>
      </w:r>
      <w:r w:rsidR="000662C9" w:rsidRPr="004E1C8C">
        <w:rPr>
          <w:rFonts w:ascii="Arial" w:hAnsi="Arial" w:cs="Arial"/>
          <w:sz w:val="22"/>
          <w:szCs w:val="22"/>
        </w:rPr>
        <w:t xml:space="preserve">. Leber ve ark. şizofreni, bipolar bozukluk ve major depresif bozukluk hastalarında internöron ve glial hücrelerde </w:t>
      </w:r>
      <w:r w:rsidR="000662C9" w:rsidRPr="004E1C8C">
        <w:rPr>
          <w:rFonts w:ascii="Arial" w:hAnsi="Arial" w:cs="Arial"/>
          <w:sz w:val="22"/>
          <w:szCs w:val="22"/>
          <w:shd w:val="clear" w:color="auto" w:fill="FFFFFF"/>
        </w:rPr>
        <w:t xml:space="preserve">kontrollerle karşılaştırdıklarında azalmış Homer1a seviyeleri saptamışlar ve </w:t>
      </w:r>
      <w:r w:rsidR="000662C9" w:rsidRPr="004E1C8C">
        <w:rPr>
          <w:rFonts w:ascii="Arial" w:hAnsi="Arial" w:cs="Arial"/>
          <w:sz w:val="22"/>
          <w:szCs w:val="22"/>
        </w:rPr>
        <w:t xml:space="preserve">Homer proteinlerinin nöropsikiyatrik patofizyolojide ve tedavide ilgi çeken adaylar olduğunu belirtmişlerdir </w:t>
      </w:r>
      <w:r w:rsidR="00BC3BBB" w:rsidRPr="004E1C8C">
        <w:rPr>
          <w:rFonts w:ascii="Arial" w:hAnsi="Arial" w:cs="Arial"/>
          <w:sz w:val="22"/>
          <w:szCs w:val="22"/>
        </w:rPr>
        <w:fldChar w:fldCharType="begin" w:fldLock="1"/>
      </w:r>
      <w:r w:rsidR="00BF1F00">
        <w:rPr>
          <w:rFonts w:ascii="Arial" w:hAnsi="Arial" w:cs="Arial"/>
          <w:sz w:val="22"/>
          <w:szCs w:val="22"/>
        </w:rPr>
        <w:instrText>ADDIN CSL_CITATION { "citationItems" : [ { "id" : "ITEM-1", "itemData" : { "DOI" : "10.1007/s00702-017-1776-x", "ISSN" : "14351463", "author" : [ { "dropping-particle" : "", "family" : "Leber", "given" : "Stefan L.", "non-dropping-particle" : "", "parse-names" : false, "suffix" : "" }, { "dropping-particle" : "", "family" : "Llenos", "given" : "Ida C.", "non-dropping-particle" : "", "parse-names" : false, "suffix" : "" }, { "dropping-particle" : "", "family" : "Miller", "given" : "Christine L.", "non-dropping-particle" : "", "parse-names" : false, "suffix" : "" }, { "dropping-particle" : "", "family" : "Dulay", "given" : "Jeannette R.", "non-dropping-particle" : "", "parse-names" : false, "suffix" : "" }, { "dropping-particle" : "", "family" : "Haybaeck", "given" : "Johannes", "non-dropping-particle" : "", "parse-names" : false, "suffix" : "" }, { "dropping-particle" : "", "family" : "Weis", "given" : "Serge", "non-dropping-particle" : "", "parse-names" : false, "suffix" : "" } ], "container-title" : "Journal of Neural Transmission", "id" : "ITEM-1", "issued" : { "date-parts" : [ [ "2017" ] ] }, "page" : "1-13", "title" : "Homer1a protein expression in schizophrenia, bipolar disorder, and major depression", "type" : "article-journal" }, "uris" : [ "http://www.mendeley.com/documents/?uuid=b710b20c-d6d1-4363-b0a0-fbb9e67f4eb8" ] } ], "mendeley" : { "formattedCitation" : "(252)", "plainTextFormattedCitation" : "(252)", "previouslyFormattedCitation" : "(252)" }, "properties" : { "noteIndex" : 23 }, "schema" : "https://github.com/citation-style-language/schema/raw/master/csl-citation.json" }</w:instrText>
      </w:r>
      <w:r w:rsidR="00BC3BBB" w:rsidRPr="004E1C8C">
        <w:rPr>
          <w:rFonts w:ascii="Arial" w:hAnsi="Arial" w:cs="Arial"/>
          <w:sz w:val="22"/>
          <w:szCs w:val="22"/>
        </w:rPr>
        <w:fldChar w:fldCharType="separate"/>
      </w:r>
      <w:r w:rsidR="000662C9" w:rsidRPr="004E1C8C">
        <w:rPr>
          <w:rFonts w:ascii="Arial" w:hAnsi="Arial" w:cs="Arial"/>
          <w:noProof/>
          <w:sz w:val="22"/>
          <w:szCs w:val="22"/>
        </w:rPr>
        <w:t>(252)</w:t>
      </w:r>
      <w:r w:rsidR="00BC3BBB" w:rsidRPr="004E1C8C">
        <w:rPr>
          <w:rFonts w:ascii="Arial" w:hAnsi="Arial" w:cs="Arial"/>
          <w:sz w:val="22"/>
          <w:szCs w:val="22"/>
        </w:rPr>
        <w:fldChar w:fldCharType="end"/>
      </w:r>
      <w:r w:rsidR="000662C9" w:rsidRPr="004E1C8C">
        <w:rPr>
          <w:rFonts w:ascii="Arial" w:hAnsi="Arial" w:cs="Arial"/>
          <w:sz w:val="22"/>
          <w:szCs w:val="22"/>
        </w:rPr>
        <w:t>.</w:t>
      </w:r>
      <w:r w:rsidR="000662C9" w:rsidRPr="004E1C8C">
        <w:rPr>
          <w:sz w:val="22"/>
          <w:szCs w:val="22"/>
        </w:rPr>
        <w:t xml:space="preserve"> </w:t>
      </w:r>
      <w:r w:rsidR="000662C9" w:rsidRPr="004E1C8C">
        <w:rPr>
          <w:rFonts w:ascii="Arial" w:hAnsi="Arial" w:cs="Arial"/>
          <w:sz w:val="22"/>
          <w:szCs w:val="22"/>
        </w:rPr>
        <w:t xml:space="preserve">Yang ve ark tarafından yapılan çalışmada, sıçanların beyin omurilik sıvısına Homer1a’yı </w:t>
      </w:r>
      <w:r w:rsidR="0036583C">
        <w:rPr>
          <w:rFonts w:ascii="Arial" w:hAnsi="Arial" w:cs="Arial"/>
          <w:sz w:val="22"/>
          <w:szCs w:val="22"/>
        </w:rPr>
        <w:t>sessizleştirmek</w:t>
      </w:r>
      <w:r w:rsidR="000662C9" w:rsidRPr="004E1C8C">
        <w:rPr>
          <w:rFonts w:ascii="Arial" w:hAnsi="Arial" w:cs="Arial"/>
          <w:sz w:val="22"/>
          <w:szCs w:val="22"/>
        </w:rPr>
        <w:t xml:space="preserve"> üzere hedef alan miRNA içeren lentiviral vektor enjekte edilmiş. Ayrıca negatif lentiviral vektör ile kontrol grubu oluşturulmuştur. Homer1a spesifik miRNA verilen grupta artmış dürtüsellik ve motor aktivite ile birlikte azalmış seçici olmayan dikkat ve öğrenme saptanmıştır. Bu bulgular Homer1a’nın DEHB patogenezinde rol oynayabileceğini göstermektedir </w:t>
      </w:r>
      <w:r w:rsidR="00BC3BBB" w:rsidRPr="004E1C8C">
        <w:rPr>
          <w:rFonts w:ascii="Arial" w:hAnsi="Arial" w:cs="Arial"/>
          <w:sz w:val="22"/>
          <w:szCs w:val="22"/>
        </w:rPr>
        <w:fldChar w:fldCharType="begin" w:fldLock="1"/>
      </w:r>
      <w:r w:rsidR="000662C9" w:rsidRPr="004E1C8C">
        <w:rPr>
          <w:rFonts w:ascii="Arial" w:hAnsi="Arial" w:cs="Arial"/>
          <w:sz w:val="22"/>
          <w:szCs w:val="22"/>
        </w:rPr>
        <w:instrText>ADDIN CSL_CITATION { "citationItems" : [ { "id" : "ITEM-1", "itemData" : { "DOI" : "10.1016/j.brainres.2013.03.030", "ISBN" : "0006-8993\\r1872-6240", "ISSN" : "00068993", "PMID" : "23587936", "abstract" : "The current study aimed to investigate the possible role of Homer 1a in the etiology and pathogenesis of attention deficit hyperactivity disorder (ADHD). We divided 32 rats into four groups. The rats in the RNAi-MPH group were given the lentiviral vector containing Homer 1a-specific miRNA (Homer 1a-RNAi-LV) by intracerebroventricular injection, and 7 days later they were given three daily doses of methylphenidate (MPH) by intragastric gavage. The RNAi-SAL group was given Homer 1a-RNAi-LV and saline later. The NC-MPH group was given the negative control lentiviral vector (NC-LV) and MPH later. The NC-SAL group was given NC-LV and saline later. Rats that were given Homer 1a RNAi exhibited increased locomotor activity and non-selective attention, and impaired learning and memory abilities, which is in line with the behavioral findings of animal models of ADHD. However, MPH ameliorated these abnormal behaviors. All findings indicated that Homer 1a may play an important role in the etiology and pathogenesis of ADHD. ?? 2013 Elsevier B.V.", "author" : [ { "dropping-particle" : "", "family" : "Yang", "given" : "Lei", "non-dropping-particle" : "", "parse-names" : false, "suffix" : "" }, { "dropping-particle" : "", "family" : "Hong", "given" : "Qin", "non-dropping-particle" : "", "parse-names" : false, "suffix" : "" }, { "dropping-particle" : "", "family" : "Zhang", "given" : "Min", "non-dropping-particle" : "", "parse-names" : false, "suffix" : "" }, { "dropping-particle" : "", "family" : "Liu", "given" : "Xiao", "non-dropping-particle" : "", "parse-names" : false, "suffix" : "" }, { "dropping-particle" : "", "family" : "Pan", "given" : "Xiao Qin", "non-dropping-particle" : "", "parse-names" : false, "suffix" : "" }, { "dropping-particle" : "", "family" : "Guo", "given" : "Mei", "non-dropping-particle" : "", "parse-names" : false, "suffix" : "" }, { "dropping-particle" : "", "family" : "Fei", "given" : "Li", "non-dropping-particle" : "", "parse-names" : false, "suffix" : "" }, { "dropping-particle" : "", "family" : "Guo", "given" : "Xi Rong", "non-dropping-particle" : "", "parse-names" : false, "suffix" : "" }, { "dropping-particle" : "", "family" : "Tong", "given" : "Mei Ling", "non-dropping-particle" : "", "parse-names" : false, "suffix" : "" }, { "dropping-particle" : "", "family" : "Chi", "given" : "Xia", "non-dropping-particle" : "", "parse-names" : false, "suffix" : "" } ], "container-title" : "Brain Research", "id" : "ITEM-1", "issued" : { "date-parts" : [ [ "2013" ] ] }, "page" : "39-47", "title" : "The role of Homer 1a in increasing locomotor activity and non-selective attention, and impairing learning and memory abilities", "type" : "article-journal", "volume" : "1515" }, "uris" : [ "http://www.mendeley.com/documents/?uuid=015df265-5cf7-465e-843c-f2618644901e" ] } ], "mendeley" : { "formattedCitation" : "(20)", "plainTextFormattedCitation" : "(20)", "previouslyFormattedCitation" : "(20)" }, "properties" : { "noteIndex" : 23 }, "schema" : "https://github.com/citation-style-language/schema/raw/master/csl-citation.json" }</w:instrText>
      </w:r>
      <w:r w:rsidR="00BC3BBB" w:rsidRPr="004E1C8C">
        <w:rPr>
          <w:rFonts w:ascii="Arial" w:hAnsi="Arial" w:cs="Arial"/>
          <w:sz w:val="22"/>
          <w:szCs w:val="22"/>
        </w:rPr>
        <w:fldChar w:fldCharType="separate"/>
      </w:r>
      <w:r w:rsidR="000662C9" w:rsidRPr="004E1C8C">
        <w:rPr>
          <w:rFonts w:ascii="Arial" w:hAnsi="Arial" w:cs="Arial"/>
          <w:noProof/>
          <w:sz w:val="22"/>
          <w:szCs w:val="22"/>
        </w:rPr>
        <w:t>(20)</w:t>
      </w:r>
      <w:r w:rsidR="00BC3BBB" w:rsidRPr="004E1C8C">
        <w:rPr>
          <w:rFonts w:ascii="Arial" w:hAnsi="Arial" w:cs="Arial"/>
          <w:sz w:val="22"/>
          <w:szCs w:val="22"/>
        </w:rPr>
        <w:fldChar w:fldCharType="end"/>
      </w:r>
      <w:r w:rsidR="000662C9" w:rsidRPr="004E1C8C">
        <w:rPr>
          <w:rFonts w:ascii="Arial" w:hAnsi="Arial" w:cs="Arial"/>
          <w:sz w:val="22"/>
          <w:szCs w:val="22"/>
        </w:rPr>
        <w:t>.</w:t>
      </w:r>
      <w:r w:rsidR="000662C9" w:rsidRPr="004E1C8C">
        <w:rPr>
          <w:rFonts w:ascii="Arial" w:hAnsi="Arial" w:cs="Arial"/>
          <w:color w:val="000000"/>
          <w:sz w:val="22"/>
          <w:szCs w:val="22"/>
        </w:rPr>
        <w:t xml:space="preserve"> </w:t>
      </w:r>
      <w:r w:rsidR="000662C9" w:rsidRPr="004E1C8C">
        <w:rPr>
          <w:rFonts w:ascii="Arial" w:hAnsi="Arial" w:cs="Arial"/>
          <w:sz w:val="22"/>
          <w:szCs w:val="22"/>
        </w:rPr>
        <w:t>Homer1a’nın miR-5692b tarafından hedef alındığı saptanmıştır</w:t>
      </w:r>
      <w:r w:rsidR="000662C9" w:rsidRPr="004E1C8C">
        <w:rPr>
          <w:rFonts w:ascii="Arial" w:hAnsi="Arial" w:cs="Arial"/>
          <w:color w:val="76923C" w:themeColor="accent3" w:themeShade="BF"/>
          <w:sz w:val="22"/>
          <w:szCs w:val="22"/>
        </w:rPr>
        <w:t xml:space="preserve"> </w:t>
      </w:r>
      <w:r w:rsidR="00BC3BBB" w:rsidRPr="004E1C8C">
        <w:rPr>
          <w:rFonts w:ascii="Arial" w:hAnsi="Arial" w:cs="Arial"/>
          <w:sz w:val="22"/>
          <w:szCs w:val="22"/>
        </w:rPr>
        <w:fldChar w:fldCharType="begin" w:fldLock="1"/>
      </w:r>
      <w:r w:rsidR="0037573A">
        <w:rPr>
          <w:rFonts w:ascii="Arial" w:hAnsi="Arial" w:cs="Arial"/>
          <w:sz w:val="22"/>
          <w:szCs w:val="22"/>
        </w:rPr>
        <w:instrText>ADDIN CSL_CITATION { "citationItems" : [ { "id" : "ITEM-1", "itemData" : { "DOI" : "10.1038/nmeth.3485", "ISBN" : "doi:10.1038/nmeth.3485", "ISSN" : "1548-7091", "PMID" : "26226356", "author" : [ { "dropping-particle" : "", "family" : "Dweep", "given" : "Harsh", "non-dropping-particle" : "", "parse-names" : false, "suffix" : "" }, { "dropping-particle" : "", "family" : "Gretz", "given" : "Norbert", "non-dropping-particle" : "", "parse-names" : false, "suffix" : "" } ], "container-title" : "Nature Methods", "id" : "ITEM-1", "issue" : "8", "issued" : { "date-parts" : [ [ "2015" ] ] }, "page" : "697-697", "title" : "miRWalk2.0: a comprehensive atlas of microRNA-target interactions", "type" : "article-journal", "volume" : "12" }, "uris" : [ "http://www.mendeley.com/documents/?uuid=19a19e62-aa75-42c6-ab66-5654528a1299" ] }, { "id" : "ITEM-2", "itemData" : { "DOI" : "10.1093/nar/gku1104", "ISSN" : "0305-1048", "author" : [ { "dropping-particle" : "", "family" : "Wong", "given" : "N", "non-dropping-particle" : "", "parse-names" : false, "suffix" : "" }, { "dropping-particle" : "", "family" : "Wang", "given" : "X W", "non-dropping-particle" : "", "parse-names" : false, "suffix" : "" } ], "container-title" : "Nucleic Acids Research", "id" : "ITEM-2", "issue" : "D1", "issued" : { "date-parts" : [ [ "2015" ] ] }, "page" : "D146-D152", "title" : "miRDB: an online resource for microRNA target prediction and functional annotations", "type" : "article-journal", "volume" : "43" }, "uris" : [ "http://www.mendeley.com/documents/?uuid=131d1896-4bd8-46db-935f-15341eb3ba12" ] } ], "mendeley" : { "formattedCitation" : "(21, 22)", "plainTextFormattedCitation" : "(21, 22)", "previouslyFormattedCitation" : "(21, 22)" }, "properties" : { "noteIndex" : 23 }, "schema" : "https://github.com/citation-style-language/schema/raw/master/csl-citation.json" }</w:instrText>
      </w:r>
      <w:r w:rsidR="00BC3BBB" w:rsidRPr="004E1C8C">
        <w:rPr>
          <w:rFonts w:ascii="Arial" w:hAnsi="Arial" w:cs="Arial"/>
          <w:sz w:val="22"/>
          <w:szCs w:val="22"/>
        </w:rPr>
        <w:fldChar w:fldCharType="separate"/>
      </w:r>
      <w:r w:rsidR="00BF1F00" w:rsidRPr="00BF1F00">
        <w:rPr>
          <w:rFonts w:ascii="Arial" w:hAnsi="Arial" w:cs="Arial"/>
          <w:noProof/>
          <w:sz w:val="22"/>
          <w:szCs w:val="22"/>
        </w:rPr>
        <w:t>(21, 22)</w:t>
      </w:r>
      <w:r w:rsidR="00BC3BBB" w:rsidRPr="004E1C8C">
        <w:rPr>
          <w:rFonts w:ascii="Arial" w:hAnsi="Arial" w:cs="Arial"/>
          <w:sz w:val="22"/>
          <w:szCs w:val="22"/>
        </w:rPr>
        <w:fldChar w:fldCharType="end"/>
      </w:r>
      <w:r w:rsidR="000662C9" w:rsidRPr="004E1C8C">
        <w:rPr>
          <w:rFonts w:ascii="Arial" w:hAnsi="Arial" w:cs="Arial"/>
          <w:sz w:val="22"/>
          <w:szCs w:val="22"/>
        </w:rPr>
        <w:t>.</w:t>
      </w:r>
      <w:r w:rsidR="000662C9" w:rsidRPr="004E1C8C">
        <w:rPr>
          <w:rFonts w:ascii="Arial" w:hAnsi="Arial" w:cs="Arial"/>
          <w:color w:val="76923C" w:themeColor="accent3" w:themeShade="BF"/>
          <w:sz w:val="22"/>
          <w:szCs w:val="22"/>
        </w:rPr>
        <w:t xml:space="preserve"> </w:t>
      </w:r>
    </w:p>
    <w:p w:rsidR="00C60153" w:rsidRPr="004E1C8C" w:rsidRDefault="00C60153" w:rsidP="004E1C8C">
      <w:pPr>
        <w:pStyle w:val="HTMLncedenBiimlendirilmi"/>
        <w:spacing w:line="360" w:lineRule="auto"/>
        <w:jc w:val="both"/>
        <w:rPr>
          <w:rFonts w:ascii="Arial" w:hAnsi="Arial" w:cs="Arial"/>
          <w:color w:val="76923C" w:themeColor="accent3" w:themeShade="BF"/>
          <w:sz w:val="22"/>
          <w:szCs w:val="22"/>
        </w:rPr>
      </w:pPr>
      <w:r w:rsidRPr="004E1C8C">
        <w:rPr>
          <w:rFonts w:ascii="Arial" w:hAnsi="Arial" w:cs="Arial"/>
          <w:color w:val="76923C" w:themeColor="accent3" w:themeShade="BF"/>
          <w:sz w:val="22"/>
          <w:szCs w:val="22"/>
        </w:rPr>
        <w:tab/>
      </w:r>
      <w:r w:rsidRPr="004E1C8C">
        <w:rPr>
          <w:rFonts w:ascii="Arial" w:hAnsi="Arial" w:cs="Arial"/>
          <w:sz w:val="22"/>
          <w:szCs w:val="22"/>
        </w:rPr>
        <w:t xml:space="preserve">DAT1 ve DRD4 polimorifmzleri genetik DEHB araştırmaları için yaygın olarak araştırılan genlerdir </w:t>
      </w:r>
      <w:r w:rsidR="00BC3BBB" w:rsidRPr="004E1C8C">
        <w:rPr>
          <w:rFonts w:ascii="Arial" w:hAnsi="Arial" w:cs="Arial"/>
          <w:sz w:val="22"/>
          <w:szCs w:val="22"/>
        </w:rPr>
        <w:fldChar w:fldCharType="begin" w:fldLock="1"/>
      </w:r>
      <w:r w:rsidR="0037573A">
        <w:rPr>
          <w:rFonts w:ascii="Arial" w:hAnsi="Arial" w:cs="Arial"/>
          <w:sz w:val="22"/>
          <w:szCs w:val="22"/>
        </w:rPr>
        <w:instrText>ADDIN CSL_CITATION { "citationItems" : [ { "id" : "ITEM-1", "itemData" : { "DOI" : "10.1017/S0033291707000773", "ISBN" : "0033-2917 (Print)\\r0033-2917 (Linking)", "ISSN" : "0033-2917", "PMID" : "17506925", "abstract" : "Attention deficit hyperactivity disorder (ADHD) is a common, childhood-onset neurodevelopmental disorder with adverse consequences during adult life. Family, twin and adoption studies show that genetic factors contribute to the aetiology of ADHD and that environmental factors also play a role. Family and twin studies have shown the importance of genetic influences on continuity in ADHD over time and in accounting for the co-occurrence of ADHD and conduct disorder problems. In meta-analyses of molecular genetic studies, the 48-bp variable number tandem repeat (VNTR) variant in the dopamine D4 gene and the CA(n) microsatellite marker in the D5 receptor gene have been found to be repeatedly associated with ADHD. Results from meta-analyses of the 480-bp VNTR in the dopamine transporter gene are mixed. Several genetic studies have also identified genetic variants that are related to specific clinical and developmental features of ADHD. In the next few years, a new generation of much larger-scale genetic studies should lead to the identification of further ADHD susceptibility genes. Such studies will also need to be integrated with other areas of neuroscience, clinical and epidemiological research to investigate how specific gene variants exert risk effects, interact with environmental factors and enable identification of the underlying causal mechanisms that lead to ADHD.", "author" : [ { "dropping-particle" : "", "family" : "THAPAR", "given" : "ANITA", "non-dropping-particle" : "", "parse-names" : false, "suffix" : "" }, { "dropping-particle" : "", "family" : "LANGLEY", "given" : "KATE", "non-dropping-particle" : "", "parse-names" : false, "suffix" : "" }, { "dropping-particle" : "", "family" : "OWEN", "given" : "MICHAEL J.", "non-dropping-particle" : "", "parse-names" : false, "suffix" : "" }, { "dropping-particle" : "", "family" : "O'DONOVAN", "given" : "MICHAEL C.", "non-dropping-particle" : "", "parse-names" : false, "suffix" : "" } ], "container-title" : "Psychological Medicine", "id" : "ITEM-1", "issue" : "12", "issued" : { "date-parts" : [ [ "2007" ] ] }, "title" : "Advances in genetic findings on attention deficit hyperactivity disorder", "type" : "article-journal", "volume" : "37" }, "uris" : [ "http://www.mendeley.com/documents/?uuid=e0f03d6a-7478-4fe1-8019-74c256a92107" ] }, { "id" : "ITEM-2", "itemData" : { "DOI" : "10.1016/j.biopsych.2004.11.024", "ISSN" : "00063223", "PMID" : "15950004", "abstract" : "Results of behavioral genetic and molecular genetic studies have converged to suggest that both genetic and nongenetic factors contribute to the development of attention-deficit/hyperactivity disorder (ADHD). We review this literature, with a particular emphasis on molecular genetic studies. Family, twin, and adoption studies provide compelling evidence that genes play a strong role in mediating susceptibility to ADHD. This fact is most clearly seen in the 20 extant twin studies, which estimate the heritability of ADHD to be .76. Molecular genetic studies suggest that the genetic architecture of ADHD is complex. The few genome-wide scans conducted thus far are not conclusive. In contrast, the many candidate gene studies of ADHD have produced substantial evidence implicating several genes in the etiology of the disorder. For the eight genes for which the same variant has been studied in three or more case-control or family-based studies, seven show statistically significant evidence of association with ADHD on the basis of the pooled odds ratio across studies: DRD4, DRD5, DAT, DBH, 5-HTT, HTR1B, and SNAP-25.", "author" : [ { "dropping-particle" : "V.", "family" : "Faraone", "given" : "Stephen", "non-dropping-particle" : "", "parse-names" : false, "suffix" : "" }, { "dropping-particle" : "", "family" : "Perlis", "given" : "Roy H.", "non-dropping-particle" : "", "parse-names" : false, "suffix" : "" }, { "dropping-particle" : "", "family" : "Doyle", "given" : "Alysa E.", "non-dropping-particle" : "", "parse-names" : false, "suffix" : "" }, { "dropping-particle" : "", "family" : "Smoller", "given" : "Jordan W.", "non-dropping-particle" : "", "parse-names" : false, "suffix" : "" }, { "dropping-particle" : "", "family" : "Goralnick", "given" : "Jennifer J.", "non-dropping-particle" : "", "parse-names" : false, "suffix" : "" }, { "dropping-particle" : "", "family" : "Holmgren", "given" : "Meredith A.", "non-dropping-particle" : "", "parse-names" : false, "suffix" : "" }, { "dropping-particle" : "", "family" : "Sklar", "given" : "Pamela", "non-dropping-particle" : "", "parse-names" : false, "suffix" : "" } ], "container-title" : "Biological Psychiatry", "id" : "ITEM-2", "issue" : "11", "issued" : { "date-parts" : [ [ "2005", "6", "1" ] ] }, "page" : "1313-1323", "title" : "Molecular Genetics of Attention-Deficit/Hyperactivity Disorder", "type" : "article-journal", "volume" : "57" }, "uris" : [ "http://www.mendeley.com/documents/?uuid=d5d6a7b0-e245-374e-8099-a239f6852667" ] }, { "id" : "ITEM-3", "itemData" : { "DOI" : "10.4172/2157-7412.1000104", "ISBN" : "2157-7412 (Electronic)", "ISSN" : "2157-7412", "PMID" : "22224195", "abstract" : "Heterogeneity in attention-deficit/hyperactivity disorder (ADHD), with complex interactive operations of genetic and environmental factors, is expressed in a variety of disorder manifestations: severity, co-morbidities of symptoms, and the effects of genes on phenotypes. Neurodevelopmental influences of genomic imprinting have set the stage for the structural- physiological variations that modulate the cognitive, affective, and pathophysiological domains of ADHD. The relative contributions of genetic and environmental factors provide rapidly proliferating insights into the developmental trajectory of the condition, both structurally and functionally. Parent-of-origin effects seem to support the notion that genetic risks for disease process debut often interact with the social environment, i.e., the parental environment in infants and young children. The notion of endophenotypes, markers of an underlying liability to the disorder, may facilitate detection of genetic risks relative to a complex clinical disorder. Simple genetic association has proven insufficient to explain the spectrum of ADHD. At a primary level of analysis, the consideration of epigenetic regulation of brain signalling mechanisms, dopamine, serotonin, and noradrenaline is examined. Neurotrophic factors that participate in the neurogenesis, survival, and functional maintenance of brain systems, are involved in neuroplasticity alterations underlying brain disorders, and are implicated in the genetic predisposition to ADHD, but not obviously, nor in a simple or straightforward fashion. In the context of intervention, genetic linkage studies of ADHD pharmacological intervention have demonstrated that associations have fitted the \u201cdrug response phenotype,\u201d rather than the disorder diagnosis. Despite conflicting evidence for the existence, or not, of genetic associations between disorder diagnosis and genes regulating the structure and function of neurotransmitters and brain- derived neurotrophic factor (BDNF), associations between symptoms-profiles endophenotypes and single nucleotide polymorphisms appear reassuring", "author" : [ { "dropping-particle" : "", "family" : "Archer", "given" : "Trevor", "non-dropping-particle" : "", "parse-names" : false, "suffix" : "" }, { "dropping-particle" : "", "family" : "Oscar-Berman", "given" : "Marlene", "non-dropping-particle" : "", "parse-names" : false, "suffix" : "" }, { "dropping-particle" : "", "family" : "Blum", "given" : "Kenneth", "non-dropping-particle" : "", "parse-names" : false, "suffix" : "" }, { "dropping-particle" : "", "family" : "Berman", "given" : "Marlene Oscar", "non-dropping-particle" : "", "parse-names" : false, "suffix" : "" } ], "container-title" : "Journal of Genetic Syndromes &amp; Gene Therapy", "id" : "ITEM-3", "issue" : "1", "issued" : { "date-parts" : [ [ "2011" ] ] }, "page" : "1-17", "title" : "Epigenetics in developmental disorder: ADHD and endophenotypes", "type" : "article-journal", "volume" : "2" }, "uris" : [ "http://www.mendeley.com/documents/?uuid=539bf99b-579c-490b-a683-fdad48a96be6" ] } ], "mendeley" : { "formattedCitation" : "(5, 23, 24)", "plainTextFormattedCitation" : "(5, 23, 24)", "previouslyFormattedCitation" : "(5, 23, 24)" }, "properties" : { "noteIndex" : 23 }, "schema" : "https://github.com/citation-style-language/schema/raw/master/csl-citation.json" }</w:instrText>
      </w:r>
      <w:r w:rsidR="00BC3BBB" w:rsidRPr="004E1C8C">
        <w:rPr>
          <w:rFonts w:ascii="Arial" w:hAnsi="Arial" w:cs="Arial"/>
          <w:sz w:val="22"/>
          <w:szCs w:val="22"/>
        </w:rPr>
        <w:fldChar w:fldCharType="separate"/>
      </w:r>
      <w:r w:rsidR="00BF1F00" w:rsidRPr="00BF1F00">
        <w:rPr>
          <w:rFonts w:ascii="Arial" w:hAnsi="Arial" w:cs="Arial"/>
          <w:noProof/>
          <w:sz w:val="22"/>
          <w:szCs w:val="22"/>
        </w:rPr>
        <w:t>(5, 23, 24)</w:t>
      </w:r>
      <w:r w:rsidR="00BC3BBB" w:rsidRPr="004E1C8C">
        <w:rPr>
          <w:rFonts w:ascii="Arial" w:hAnsi="Arial" w:cs="Arial"/>
          <w:sz w:val="22"/>
          <w:szCs w:val="22"/>
        </w:rPr>
        <w:fldChar w:fldCharType="end"/>
      </w:r>
      <w:r w:rsidRPr="004E1C8C">
        <w:rPr>
          <w:rFonts w:ascii="Arial" w:hAnsi="Arial" w:cs="Arial"/>
          <w:color w:val="4F81BD" w:themeColor="accent1"/>
          <w:sz w:val="22"/>
          <w:szCs w:val="22"/>
        </w:rPr>
        <w:t>.</w:t>
      </w:r>
      <w:r w:rsidRPr="004E1C8C">
        <w:rPr>
          <w:rFonts w:ascii="Arial" w:hAnsi="Arial" w:cs="Arial"/>
          <w:sz w:val="22"/>
          <w:szCs w:val="22"/>
        </w:rPr>
        <w:t xml:space="preserve"> miRNA veritabanına göre DAT1 geni miR-4447 tarafından hedef alınmaktadır </w:t>
      </w:r>
      <w:r w:rsidR="00BC3BBB" w:rsidRPr="004E1C8C">
        <w:rPr>
          <w:rFonts w:ascii="Arial" w:hAnsi="Arial" w:cs="Arial"/>
          <w:sz w:val="22"/>
          <w:szCs w:val="22"/>
        </w:rPr>
        <w:fldChar w:fldCharType="begin" w:fldLock="1"/>
      </w:r>
      <w:r w:rsidRPr="004E1C8C">
        <w:rPr>
          <w:rFonts w:ascii="Arial" w:hAnsi="Arial" w:cs="Arial"/>
          <w:sz w:val="22"/>
          <w:szCs w:val="22"/>
        </w:rPr>
        <w:instrText>ADDIN CSL_CITATION { "citationItems" : [ { "id" : "ITEM-1", "itemData" : { "DOI" : "10.1093/nar/gku1104", "ISSN" : "0305-1048", "author" : [ { "dropping-particle" : "", "family" : "Wong", "given" : "N", "non-dropping-particle" : "", "parse-names" : false, "suffix" : "" }, { "dropping-particle" : "", "family" : "Wang", "given" : "X W", "non-dropping-particle" : "", "parse-names" : false, "suffix" : "" } ], "container-title" : "Nucleic Acids Research", "id" : "ITEM-1", "issue" : "D1", "issued" : { "date-parts" : [ [ "2015" ] ] }, "page" : "D146-D152", "title" : "miRDB: an online resource for microRNA target prediction and functional annotations", "type" : "article-journal", "volume" : "43" }, "uris" : [ "http://www.mendeley.com/documents/?uuid=131d1896-4bd8-46db-935f-15341eb3ba12" ] } ], "mendeley" : { "formattedCitation" : "(22)", "plainTextFormattedCitation" : "(22)", "previouslyFormattedCitation" : "(22)" }, "properties" : { "noteIndex" : 23 }, "schema" : "https://github.com/citation-style-language/schema/raw/master/csl-citation.json" }</w:instrText>
      </w:r>
      <w:r w:rsidR="00BC3BBB" w:rsidRPr="004E1C8C">
        <w:rPr>
          <w:rFonts w:ascii="Arial" w:hAnsi="Arial" w:cs="Arial"/>
          <w:sz w:val="22"/>
          <w:szCs w:val="22"/>
        </w:rPr>
        <w:fldChar w:fldCharType="separate"/>
      </w:r>
      <w:r w:rsidRPr="004E1C8C">
        <w:rPr>
          <w:rFonts w:ascii="Arial" w:hAnsi="Arial" w:cs="Arial"/>
          <w:noProof/>
          <w:sz w:val="22"/>
          <w:szCs w:val="22"/>
        </w:rPr>
        <w:t>(22)</w:t>
      </w:r>
      <w:r w:rsidR="00BC3BBB" w:rsidRPr="004E1C8C">
        <w:rPr>
          <w:rFonts w:ascii="Arial" w:hAnsi="Arial" w:cs="Arial"/>
          <w:sz w:val="22"/>
          <w:szCs w:val="22"/>
        </w:rPr>
        <w:fldChar w:fldCharType="end"/>
      </w:r>
      <w:r w:rsidRPr="004E1C8C">
        <w:rPr>
          <w:rFonts w:ascii="Arial" w:hAnsi="Arial" w:cs="Arial"/>
          <w:color w:val="4F81BD" w:themeColor="accent1"/>
          <w:sz w:val="22"/>
          <w:szCs w:val="22"/>
        </w:rPr>
        <w:t>.</w:t>
      </w:r>
      <w:r w:rsidRPr="004E1C8C">
        <w:rPr>
          <w:rFonts w:ascii="Arial" w:hAnsi="Arial" w:cs="Arial"/>
          <w:sz w:val="22"/>
          <w:szCs w:val="22"/>
        </w:rPr>
        <w:t xml:space="preserve"> Literatürde yayınlanan çalışmalarda miR-4447’nin psikiyatrik bozukluklarda çalışılmadığı, Chron Hastalığı </w:t>
      </w:r>
      <w:r w:rsidR="00BC3BBB" w:rsidRPr="004E1C8C">
        <w:rPr>
          <w:rFonts w:ascii="Arial" w:hAnsi="Arial" w:cs="Arial"/>
          <w:sz w:val="22"/>
          <w:szCs w:val="22"/>
        </w:rPr>
        <w:fldChar w:fldCharType="begin" w:fldLock="1"/>
      </w:r>
      <w:r w:rsidRPr="004E1C8C">
        <w:rPr>
          <w:rFonts w:ascii="Arial" w:hAnsi="Arial" w:cs="Arial"/>
          <w:sz w:val="22"/>
          <w:szCs w:val="22"/>
        </w:rPr>
        <w:instrText>ADDIN CSL_CITATION { "citationItems" : [ { "id" : "ITEM-1", "itemData" : { "DOI" : "10.3892/mmr.2017.6250", "ISSN" : "17913004", "PMID" : "28260036", "abstract" : "Crohn's disease (CD) is a chronic, relapsing inflammatory disease with increasing incidence and prevalence worldwide. In previous years, the accumulation of microarray data has provided us an approach to obtain further insight into CD. In the present study, the microarray data of CD was comprehensively analyzed using multiple bioinformatics methods, and the pathobiological process of the disease was examined. Gene expression data from colon tissues of patients with CD were obtained from the Gene Expression Omnibus database; following which differentially expressed genes were identified between CD and control sample groups. Subsequently, Gene Ontology and Kyoto Encyclopedia of Genes and Genomes analyses were performed to investigate which functions and pathways in which the differentially expressed genes enriched. TargetScan and miRDB databases were then used to predict which microRNAs (miRNAs) regulated the differentially expressed genes. As a result, a total of 432 differentially expressed genes, including 229 upregulated and 203 downregulated genes, including matrix metallopeptidase 3 and glutathione S\u2011transferase \u03b11, were identified in CD samples. These differentially expressed genes were significantly involved in regulation of the inflammatory response, innate immune response, cell migration, extracellular matrix organization, Janus kinase/signal transducers and activators of transcription signaling pathway, and cytokine\u2011cytokine receptor interaction. The miRNA-gene network showed that miR\u2011149\u20113p and miR\u20114447 regulated the most differentially expressed genes. These findings extend current understanding of the mechanisms underlying CD, and the differentially expressed genes and regulator miRNAs identified may be used as potential biomarkers and therapeutic targets for CD.", "author" : [ { "dropping-particle" : "", "family" : "Zhou", "given" : "Yi", "non-dropping-particle" : "", "parse-names" : false, "suffix" : "" }, { "dropping-particle" : "", "family" : "Zhan", "given" : "Cheng", "non-dropping-particle" : "", "parse-names" : false, "suffix" : "" }, { "dropping-particle" : "", "family" : "Huang", "given" : "Yingyu", "non-dropping-particle" : "", "parse-names" : false, "suffix" : "" }, { "dropping-particle" : "", "family" : "Liu", "given" : "Hongchun", "non-dropping-particle" : "", "parse-names" : false, "suffix" : "" } ], "container-title" : "Molecular Medicine Reports", "id" : "ITEM-1", "issue" : "4", "issued" : { "date-parts" : [ [ "2017" ] ] }, "page" : "2267-2272", "title" : "Comprehensive bioinformatics analyses of Crohn's disease", "type" : "article-journal", "volume" : "15" }, "uris" : [ "http://www.mendeley.com/documents/?uuid=a0142f54-c4b4-4f3c-be6a-431bdd83fe72" ] } ], "mendeley" : { "formattedCitation" : "(253)", "plainTextFormattedCitation" : "(253)", "previouslyFormattedCitation" : "(253)" }, "properties" : { "noteIndex" : 23 }, "schema" : "https://github.com/citation-style-language/schema/raw/master/csl-citation.json" }</w:instrText>
      </w:r>
      <w:r w:rsidR="00BC3BBB" w:rsidRPr="004E1C8C">
        <w:rPr>
          <w:rFonts w:ascii="Arial" w:hAnsi="Arial" w:cs="Arial"/>
          <w:sz w:val="22"/>
          <w:szCs w:val="22"/>
        </w:rPr>
        <w:fldChar w:fldCharType="separate"/>
      </w:r>
      <w:r w:rsidRPr="004E1C8C">
        <w:rPr>
          <w:rFonts w:ascii="Arial" w:hAnsi="Arial" w:cs="Arial"/>
          <w:noProof/>
          <w:sz w:val="22"/>
          <w:szCs w:val="22"/>
        </w:rPr>
        <w:t>(253)</w:t>
      </w:r>
      <w:r w:rsidR="00BC3BBB" w:rsidRPr="004E1C8C">
        <w:rPr>
          <w:rFonts w:ascii="Arial" w:hAnsi="Arial" w:cs="Arial"/>
          <w:sz w:val="22"/>
          <w:szCs w:val="22"/>
        </w:rPr>
        <w:fldChar w:fldCharType="end"/>
      </w:r>
      <w:r w:rsidRPr="004E1C8C">
        <w:rPr>
          <w:rFonts w:ascii="Arial" w:hAnsi="Arial" w:cs="Arial"/>
          <w:sz w:val="22"/>
          <w:szCs w:val="22"/>
        </w:rPr>
        <w:t xml:space="preserve"> ve</w:t>
      </w:r>
      <w:r w:rsidRPr="004E1C8C">
        <w:rPr>
          <w:rFonts w:ascii="Arial" w:hAnsi="Arial" w:cs="Arial"/>
          <w:color w:val="4F81BD" w:themeColor="accent1"/>
          <w:sz w:val="22"/>
          <w:szCs w:val="22"/>
        </w:rPr>
        <w:t xml:space="preserve"> </w:t>
      </w:r>
      <w:r w:rsidRPr="004E1C8C">
        <w:rPr>
          <w:rFonts w:ascii="Arial" w:hAnsi="Arial" w:cs="Arial"/>
          <w:sz w:val="22"/>
          <w:szCs w:val="22"/>
        </w:rPr>
        <w:t xml:space="preserve">küçük hücreli dışı akciğer kanseri ile ilişkisi araştırıldığı </w:t>
      </w:r>
      <w:r w:rsidR="00BC3BBB" w:rsidRPr="004E1C8C">
        <w:rPr>
          <w:rFonts w:ascii="Arial" w:hAnsi="Arial" w:cs="Arial"/>
          <w:sz w:val="22"/>
          <w:szCs w:val="22"/>
        </w:rPr>
        <w:fldChar w:fldCharType="begin" w:fldLock="1"/>
      </w:r>
      <w:r w:rsidRPr="004E1C8C">
        <w:rPr>
          <w:rFonts w:ascii="Arial" w:hAnsi="Arial" w:cs="Arial"/>
          <w:sz w:val="22"/>
          <w:szCs w:val="22"/>
        </w:rPr>
        <w:instrText>ADDIN CSL_CITATION { "citationItems" : [ { "id" : "ITEM-1", "itemData" : { "DOI" : "10.1038/srep06527", "ISBN" : "2045-2322 (Electronic)\\r2045-2322 (Linking)", "ISSN" : "2045-2322 (Electronic)", "PMID" : "25284075", "abstract" : "miR-3127-5p is a primate-specific miRNA which is down-regulated in recurrent NSCLC tissue vs. matched primary tumor tissue (N = 15) and in tumor tissue vs. normal lung tissue (N = 177). Reduced miR-3127-5p expression is associated with a higher Ki-67 proliferation index and unfavorable prognosis in NSCLC. Overexpression of miR-3127-5p significantly reduced NSCLC cells proliferation, migration, and motility in vitro and in vivo. The oncogene ABL1 was a direct miR-3127-5p target, and miR-3127-5p regulated the activation of the Abl/Ras/ERK pathway and transactivated downstream proliferation/metastasis-associated molecules. Overexpression of miR-3127-5p in A549 or H292 cells resulted in enhanced resistance to dasatinib, an Abl/src tyrosine kinase inhibitor. miR-3127-5p expression levels were correlated with dasatinib sensitivity in NSCLC cell lines without K-Ras G12 mutation. In conclusion, miR-3127-5p acts as a tumor suppressor gene and is a potential biomarker for dasatinib sensitivity in the non-mutated Ras subset of NSCLC.", "author" : [ { "dropping-particle" : "", "family" : "Sun", "given" : "Yifeng", "non-dropping-particle" : "", "parse-names" : false, "suffix" : "" }, { "dropping-particle" : "", "family" : "Chen", "given" : "Chang", "non-dropping-particle" : "", "parse-names" : false, "suffix" : "" }, { "dropping-particle" : "", "family" : "Zhang", "given" : "Peng", "non-dropping-particle" : "", "parse-names" : false, "suffix" : "" }, { "dropping-particle" : "", "family" : "Xie", "given" : "Huikang", "non-dropping-particle" : "", "parse-names" : false, "suffix" : "" }, { "dropping-particle" : "", "family" : "Hou", "given" : "Likun", "non-dropping-particle" : "", "parse-names" : false, "suffix" : "" }, { "dropping-particle" : "", "family" : "Hui", "given" : "Zheng", "non-dropping-particle" : "", "parse-names" : false, "suffix" : "" }, { "dropping-particle" : "", "family" : "Xu", "given" : "Yongjie", "non-dropping-particle" : "", "parse-names" : false, "suffix" : "" }, { "dropping-particle" : "", "family" : "Du", "given" : "Qiaoling", "non-dropping-particle" : "", "parse-names" : false, "suffix" : "" }, { "dropping-particle" : "", "family" : "Zhou", "given" : "Xiao", "non-dropping-particle" : "", "parse-names" : false, "suffix" : "" }, { "dropping-particle" : "", "family" : "Su", "given" : "Bo", "non-dropping-particle" : "", "parse-names" : false, "suffix" : "" }, { "dropping-particle" : "", "family" : "Gao", "given" : "Wen", "non-dropping-particle" : "", "parse-names" : false, "suffix" : "" } ], "container-title" : "Scientific reports", "id" : "ITEM-1", "issued" : { "date-parts" : [ [ "2014" ] ] }, "page" : "6527", "title" : "Reduced miR-3127-5p expression promotes NSCLC proliferation/invasion and contributes to dasatinib sensitivity via the c-Abl/Ras/ERK pathway.", "type" : "article-journal", "volume" : "4" }, "uris" : [ "http://www.mendeley.com/documents/?uuid=2d55444e-f642-47ae-a006-107bc9332a59" ] } ], "mendeley" : { "formattedCitation" : "(254)", "plainTextFormattedCitation" : "(254)", "previouslyFormattedCitation" : "(254)" }, "properties" : { "noteIndex" : 23 }, "schema" : "https://github.com/citation-style-language/schema/raw/master/csl-citation.json" }</w:instrText>
      </w:r>
      <w:r w:rsidR="00BC3BBB" w:rsidRPr="004E1C8C">
        <w:rPr>
          <w:rFonts w:ascii="Arial" w:hAnsi="Arial" w:cs="Arial"/>
          <w:sz w:val="22"/>
          <w:szCs w:val="22"/>
        </w:rPr>
        <w:fldChar w:fldCharType="separate"/>
      </w:r>
      <w:r w:rsidRPr="004E1C8C">
        <w:rPr>
          <w:rFonts w:ascii="Arial" w:hAnsi="Arial" w:cs="Arial"/>
          <w:noProof/>
          <w:sz w:val="22"/>
          <w:szCs w:val="22"/>
        </w:rPr>
        <w:t>(254)</w:t>
      </w:r>
      <w:r w:rsidR="00BC3BBB" w:rsidRPr="004E1C8C">
        <w:rPr>
          <w:rFonts w:ascii="Arial" w:hAnsi="Arial" w:cs="Arial"/>
          <w:sz w:val="22"/>
          <w:szCs w:val="22"/>
        </w:rPr>
        <w:fldChar w:fldCharType="end"/>
      </w:r>
      <w:r w:rsidRPr="004E1C8C">
        <w:rPr>
          <w:rFonts w:ascii="Arial" w:hAnsi="Arial" w:cs="Arial"/>
          <w:sz w:val="22"/>
          <w:szCs w:val="22"/>
        </w:rPr>
        <w:t xml:space="preserve"> saptanmıştır.</w:t>
      </w:r>
      <w:r w:rsidRPr="004E1C8C">
        <w:rPr>
          <w:rFonts w:ascii="Arial" w:hAnsi="Arial" w:cs="Arial"/>
          <w:color w:val="4F81BD" w:themeColor="accent1"/>
          <w:sz w:val="22"/>
          <w:szCs w:val="22"/>
        </w:rPr>
        <w:t xml:space="preserve"> </w:t>
      </w:r>
      <w:r w:rsidRPr="004E1C8C">
        <w:rPr>
          <w:rFonts w:ascii="Arial" w:hAnsi="Arial" w:cs="Arial"/>
          <w:sz w:val="22"/>
          <w:szCs w:val="22"/>
        </w:rPr>
        <w:t xml:space="preserve">miR-124- 3p’nin </w:t>
      </w:r>
      <w:r w:rsidRPr="004E1C8C">
        <w:rPr>
          <w:rFonts w:ascii="Arial" w:hAnsi="Arial" w:cs="Arial"/>
          <w:sz w:val="22"/>
          <w:szCs w:val="22"/>
        </w:rPr>
        <w:lastRenderedPageBreak/>
        <w:t xml:space="preserve">DRD4 genini hedef aldığı gösterilmiştir </w:t>
      </w:r>
      <w:r w:rsidR="00BC3BBB" w:rsidRPr="004E1C8C">
        <w:rPr>
          <w:rFonts w:ascii="Arial" w:hAnsi="Arial" w:cs="Arial"/>
          <w:sz w:val="22"/>
          <w:szCs w:val="22"/>
        </w:rPr>
        <w:fldChar w:fldCharType="begin" w:fldLock="1"/>
      </w:r>
      <w:r w:rsidRPr="004E1C8C">
        <w:rPr>
          <w:rFonts w:ascii="Arial" w:hAnsi="Arial" w:cs="Arial"/>
          <w:sz w:val="22"/>
          <w:szCs w:val="22"/>
        </w:rPr>
        <w:instrText>ADDIN CSL_CITATION { "citationItems" : [ { "id" : "ITEM-1", "itemData" : { "DOI" : "10.1038/nmeth.3485", "ISBN" : "doi:10.1038/nmeth.3485", "ISSN" : "1548-7091", "PMID" : "26226356", "author" : [ { "dropping-particle" : "", "family" : "Dweep", "given" : "Harsh", "non-dropping-particle" : "", "parse-names" : false, "suffix" : "" }, { "dropping-particle" : "", "family" : "Gretz", "given" : "Norbert", "non-dropping-particle" : "", "parse-names" : false, "suffix" : "" } ], "container-title" : "Nature Methods", "id" : "ITEM-1", "issue" : "8", "issued" : { "date-parts" : [ [ "2015" ] ] }, "page" : "697-697", "title" : "miRWalk2.0: a comprehensive atlas of microRNA-target interactions", "type" : "article-journal", "volume" : "12" }, "uris" : [ "http://www.mendeley.com/documents/?uuid=19a19e62-aa75-42c6-ab66-5654528a1299" ] } ], "mendeley" : { "formattedCitation" : "(21)", "plainTextFormattedCitation" : "(21)", "previouslyFormattedCitation" : "(21)" }, "properties" : { "noteIndex" : 23 }, "schema" : "https://github.com/citation-style-language/schema/raw/master/csl-citation.json" }</w:instrText>
      </w:r>
      <w:r w:rsidR="00BC3BBB" w:rsidRPr="004E1C8C">
        <w:rPr>
          <w:rFonts w:ascii="Arial" w:hAnsi="Arial" w:cs="Arial"/>
          <w:sz w:val="22"/>
          <w:szCs w:val="22"/>
        </w:rPr>
        <w:fldChar w:fldCharType="separate"/>
      </w:r>
      <w:r w:rsidRPr="004E1C8C">
        <w:rPr>
          <w:rFonts w:ascii="Arial" w:hAnsi="Arial" w:cs="Arial"/>
          <w:noProof/>
          <w:sz w:val="22"/>
          <w:szCs w:val="22"/>
        </w:rPr>
        <w:t>(21)</w:t>
      </w:r>
      <w:r w:rsidR="00BC3BBB" w:rsidRPr="004E1C8C">
        <w:rPr>
          <w:rFonts w:ascii="Arial" w:hAnsi="Arial" w:cs="Arial"/>
          <w:sz w:val="22"/>
          <w:szCs w:val="22"/>
        </w:rPr>
        <w:fldChar w:fldCharType="end"/>
      </w:r>
      <w:r w:rsidRPr="004E1C8C">
        <w:rPr>
          <w:rFonts w:ascii="Arial" w:hAnsi="Arial" w:cs="Arial"/>
          <w:sz w:val="22"/>
          <w:szCs w:val="22"/>
        </w:rPr>
        <w:t xml:space="preserve">. Daha önceki miR-124-3p ile ilgili çalışmalarda nörodejeneratif hastalıklar </w:t>
      </w:r>
      <w:r w:rsidR="00BC3BBB" w:rsidRPr="004E1C8C">
        <w:rPr>
          <w:rFonts w:ascii="Arial" w:hAnsi="Arial" w:cs="Arial"/>
          <w:sz w:val="22"/>
          <w:szCs w:val="22"/>
        </w:rPr>
        <w:fldChar w:fldCharType="begin" w:fldLock="1"/>
      </w:r>
      <w:r w:rsidRPr="004E1C8C">
        <w:rPr>
          <w:rFonts w:ascii="Arial" w:hAnsi="Arial" w:cs="Arial"/>
          <w:sz w:val="22"/>
          <w:szCs w:val="22"/>
        </w:rPr>
        <w:instrText>ADDIN CSL_CITATION { "citationItems" : [ { "id" : "ITEM-1", "itemData" : { "DOI" : "10.1155/2016/2584940", "ISBN" : "1687-5443 (Electronic)\\r1687-5443 (Linking)", "ISSN" : "2090-5904", "PMID" : "27213057", "abstract" : "&lt;p&gt; This study investigated for the first time the genomewide DNA methylation changes of noncoding RNA genes in the temporal cortex samples from individuals with Alzheimer\u2019s disease (AD). The methylome of 10 AD individuals and 10 age-matched controls were obtained using Illumina 450\u2009K methylation array. A total of 2,095 among the 15,258 interrogated noncoding RNA CpG sites presented differential methylation, 161 of which were associated with miRNA genes. In particular, 10 miRNA CpG sites that were found to be hypermethylated in AD compared to control brains represent transcripts that have been previously associated with the disease. This miRNA set is predicted to target 33 coding genes from the neuregulin receptor complex (ErbB) signaling pathway, which is required for the neurons myelination process. For 6 of these miRNA genes ( &lt;italic&gt;MIR9-1&lt;/italic&gt; , &lt;italic&gt;MIR9-3&lt;/italic&gt; , &lt;italic&gt;MIR181C&lt;/italic&gt; , &lt;italic&gt;MIR124-1&lt;/italic&gt; , &lt;italic&gt;MIR146B&lt;/italic&gt; , and &lt;italic&gt;MIR451&lt;/italic&gt; ), the hypermethylation pattern is in agreement with previous results from literature that shows downregulation of miR-9, miR-181c, miR-124, miR-146b, and miR-451 in the AD brain. Our data implicate dysregulation of miRNA methylation as contributor to the pathogenesis of AD. &lt;/p&gt;", "author" : [ { "dropping-particle" : "", "family" : "Villela", "given" : "Darine", "non-dropping-particle" : "", "parse-names" : false, "suffix" : "" }, { "dropping-particle" : "", "family" : "Ramalho", "given" : "Rodrigo F.", "non-dropping-particle" : "", "parse-names" : false, "suffix" : "" }, { "dropping-particle" : "", "family" : "Silva", "given" : "Aderbal R. T.", "non-dropping-particle" : "", "parse-names" : false, "suffix" : "" }, { "dropping-particle" : "", "family" : "Brentani", "given" : "Helena", "non-dropping-particle" : "", "parse-names" : false, "suffix" : "" }, { "dropping-particle" : "", "family" : "Suemoto", "given" : "Claudia K.", "non-dropping-particle" : "", "parse-names" : false, "suffix" : "" }, { "dropping-particle" : "", "family" : "Pasqualucci", "given" : "Carlos Augusto", "non-dropping-particle" : "", "parse-names" : false, "suffix" : "" }, { "dropping-particle" : "", "family" : "Grinberg", "given" : "Lea T.", "non-dropping-particle" : "", "parse-names" : false, "suffix" : "" }, { "dropping-particle" : "V.", "family" : "Krepischi", "given" : "Ana C.", "non-dropping-particle" : "", "parse-names" : false, "suffix" : "" }, { "dropping-particle" : "", "family" : "Rosenberg", "given" : "Carla", "non-dropping-particle" : "", "parse-names" : false, "suffix" : "" } ], "container-title" : "Neural Plasticity", "id" : "ITEM-1", "issued" : { "date-parts" : [ [ "2016" ] ] }, "page" : "1-10", "title" : "Differential DNA Methylation of MicroRNA Genes in Temporal Cortex from Alzheimer\u2019s Disease Individuals", "type" : "article-journal", "volume" : "2016" }, "uris" : [ "http://www.mendeley.com/documents/?uuid=7bb70e07-a9d6-48a3-8774-44a9ab2ab375" ] }, { "id" : "ITEM-2", "itemData" : { "DOI" : "10.1016/j.pnpbp.2016.04.011", "ISBN" : "1878-4216 (Electronic)\\r0278-5846 (Linking)", "ISSN" : "18784216", "PMID" : "27117821", "abstract" : "Neurodegenerative disorders are defined by neuronal loss and often associated with dementia. Understanding the multifactorial nature of cognitive decline is of particular interest. Cell loss is certainly a possibility but also an early imbalance in the complex gene networks involved in learning and memory. The small (~ 22 nt) non-coding microRNAs play a major role in gene expression regulation and have been linked to neuronal survival and cognition. Interestingly, changes in microRNA signatures are associated with neurodegenerative disorders. In this review, we explore the role of three microRNAs, namely miR-132, miR-124 and miR-34, which are dysregulated in major neurodegenerative diseases such as Alzheimer's disease, Parkinson's disease and Huntington's disease. Interestingly, these microRNAs have been associated with both memory impairment and neuronal survival, providing a potential common molecular mechanism contributing to dementia.", "author" : [ { "dropping-particle" : "", "family" : "Hernandez-Rapp", "given" : "Julia", "non-dropping-particle" : "", "parse-names" : false, "suffix" : "" }, { "dropping-particle" : "", "family" : "Rainone", "given" : "Sara", "non-dropping-particle" : "", "parse-names" : false, "suffix" : "" }, { "dropping-particle" : "", "family" : "H\u00e9bert", "given" : "S\u00e9bastien S.", "non-dropping-particle" : "", "parse-names" : false, "suffix" : "" } ], "container-title" : "Progress in Neuro-Psychopharmacology and Biological Psychiatry", "id" : "ITEM-2", "issued" : { "date-parts" : [ [ "2017" ] ] }, "page" : "79-86", "title" : "MicroRNAs underlying memory deficits in neurodegenerative disorders", "type" : "article-journal", "volume" : "73" }, "uris" : [ "http://www.mendeley.com/documents/?uuid=784ec0f5-b5ef-49ea-abe8-0884be8e1c88" ] }, { "id" : "ITEM-3", "itemData" : { "DOI" : "10.1038/nm.3717", "ISBN" : "1546-170X (Electronic)\\r1078-8956 (Linking)", "ISSN" : "1546-170X", "PMID" : "25401692", "abstract" : "Neurodegenerative diseases, such as frontotemporal dementia (FTD), are often associated with behavioral deficits, but the underlying anatomical and molecular causes remain poorly understood. Here we show that forebrain-specific expression of FTD-associated mutant CHMP2B in mice causes several age-dependent neurodegenerative phenotypes, including social behavioral impairments. The social deficits were accompanied by a change in AMPA receptor (AMPAR) composition, leading to an imbalance between Ca(2+)-permeable and Ca(2+)-impermeable AMPARs. Expression of most AMPAR subunits was regulated by the brain-enriched microRNA miR-124, whose abundance was markedly decreased in the superficial layers of the cerebral cortex of mice expressing the mutant CHMP2B. We found similar changes in miR-124 and AMPAR levels in the frontal cortex and induced pluripotent stem cell-derived neurons from subjects with behavioral variant FTD. Moreover, ectopic miR-124 expression in the medial prefrontal cortex of mutant mice decreased AMPAR levels and partially rescued behavioral deficits. Knockdown of the AMPAR subunit Gria2 also alleviated social impairments. Our results identify a previously undescribed mechanism involving miR-124 and AMPARs in regulating social behavior in FTD and suggest a potential therapeutic avenue.", "author" : [ { "dropping-particle" : "", "family" : "Gascon", "given" : "Eduardo", "non-dropping-particle" : "", "parse-names" : false, "suffix" : "" }, { "dropping-particle" : "", "family" : "Lynch", "given" : "Kelleen", "non-dropping-particle" : "", "parse-names" : false, "suffix" : "" }, { "dropping-particle" : "", "family" : "Ruan", "given" : "Hongyu", "non-dropping-particle" : "", "parse-names" : false, "suffix" : "" }, { "dropping-particle" : "", "family" : "Almeida", "given" : "Sandra", "non-dropping-particle" : "", "parse-names" : false, "suffix" : "" }, { "dropping-particle" : "", "family" : "Verheyden", "given" : "Jamie M", "non-dropping-particle" : "", "parse-names" : false, "suffix" : "" }, { "dropping-particle" : "", "family" : "Seeley", "given" : "William W", "non-dropping-particle" : "", "parse-names" : false, "suffix" : "" }, { "dropping-particle" : "", "family" : "Dickson", "given" : "Dennis W", "non-dropping-particle" : "", "parse-names" : false, "suffix" : "" }, { "dropping-particle" : "", "family" : "Petrucelli", "given" : "Leonard", "non-dropping-particle" : "", "parse-names" : false, "suffix" : "" }, { "dropping-particle" : "", "family" : "Sun", "given" : "Danqiong", "non-dropping-particle" : "", "parse-names" : false, "suffix" : "" }, { "dropping-particle" : "", "family" : "Jiao", "given" : "Jian", "non-dropping-particle" : "", "parse-names" : false, "suffix" : "" }, { "dropping-particle" : "", "family" : "Zhou", "given" : "Hongru", "non-dropping-particle" : "", "parse-names" : false, "suffix" : "" }, { "dropping-particle" : "", "family" : "Jakovcevski", "given" : "Mira", "non-dropping-particle" : "", "parse-names" : false, "suffix" : "" }, { "dropping-particle" : "", "family" : "Akbarian", "given" : "Schahram", "non-dropping-particle" : "", "parse-names" : false, "suffix" : "" }, { "dropping-particle" : "", "family" : "Yao", "given" : "Wei-Dong", "non-dropping-particle" : "", "parse-names" : false, "suffix" : "" }, { "dropping-particle" : "", "family" : "Gao", "given" : "Fen-Biao", "non-dropping-particle" : "", "parse-names" : false, "suffix" : "" } ], "container-title" : "Nature medicine", "id" : "ITEM-3", "issue" : "12", "issued" : { "date-parts" : [ [ "2014" ] ] }, "page" : "1444-51", "title" : "Alterations in microRNA-124 and AMPA receptors contribute to social behavioral deficits in frontotemporal dementia.", "type" : "article-journal", "volume" : "20" }, "uris" : [ "http://www.mendeley.com/documents/?uuid=906b3d73-c456-441c-ab27-c0b4fa0a7e24" ] } ], "mendeley" : { "formattedCitation" : "(255\u2013257)", "plainTextFormattedCitation" : "(255\u2013257)", "previouslyFormattedCitation" : "(255\u2013257)" }, "properties" : { "noteIndex" : 23 }, "schema" : "https://github.com/citation-style-language/schema/raw/master/csl-citation.json" }</w:instrText>
      </w:r>
      <w:r w:rsidR="00BC3BBB" w:rsidRPr="004E1C8C">
        <w:rPr>
          <w:rFonts w:ascii="Arial" w:hAnsi="Arial" w:cs="Arial"/>
          <w:sz w:val="22"/>
          <w:szCs w:val="22"/>
        </w:rPr>
        <w:fldChar w:fldCharType="separate"/>
      </w:r>
      <w:r w:rsidRPr="004E1C8C">
        <w:rPr>
          <w:rFonts w:ascii="Arial" w:hAnsi="Arial" w:cs="Arial"/>
          <w:noProof/>
          <w:sz w:val="22"/>
          <w:szCs w:val="22"/>
        </w:rPr>
        <w:t>(255–257)</w:t>
      </w:r>
      <w:r w:rsidR="00BC3BBB" w:rsidRPr="004E1C8C">
        <w:rPr>
          <w:rFonts w:ascii="Arial" w:hAnsi="Arial" w:cs="Arial"/>
          <w:sz w:val="22"/>
          <w:szCs w:val="22"/>
        </w:rPr>
        <w:fldChar w:fldCharType="end"/>
      </w:r>
      <w:r w:rsidRPr="004E1C8C">
        <w:rPr>
          <w:rFonts w:ascii="Arial" w:hAnsi="Arial" w:cs="Arial"/>
          <w:sz w:val="22"/>
          <w:szCs w:val="22"/>
        </w:rPr>
        <w:t xml:space="preserve">, depresif bozukluk </w:t>
      </w:r>
      <w:r w:rsidR="00BC3BBB" w:rsidRPr="004E1C8C">
        <w:rPr>
          <w:rFonts w:ascii="Arial" w:hAnsi="Arial" w:cs="Arial"/>
          <w:sz w:val="22"/>
          <w:szCs w:val="22"/>
        </w:rPr>
        <w:fldChar w:fldCharType="begin" w:fldLock="1"/>
      </w:r>
      <w:r w:rsidRPr="004E1C8C">
        <w:rPr>
          <w:rFonts w:ascii="Arial" w:hAnsi="Arial" w:cs="Arial"/>
          <w:sz w:val="22"/>
          <w:szCs w:val="22"/>
        </w:rPr>
        <w:instrText>ADDIN CSL_CITATION { "citationItems" : [ { "id" : "ITEM-1", "itemData" : { "DOI" : "10.1016/j.jpsychires.2016.03.015", "ISSN" : "18791379", "PMID" : "27078210", "abstract" : "Recently, increasing evidence has indicated that dysfunction of microRNA-124 (miR-124) might be involved in the pathophysiology and treatment of major depressive disorder (MDD) in some animal models of depression. However, the role of miR-124 in MDD patients remains unclear. The objective of this study was to investigate whether the miR-124 expression levels in peripheral blood mononuclear cells (PBMCs) were associated with MDD and to evaluate the effects of antidepressant treatment on miR-124 levels. Quantitative real-time PCR was applied to detect miR-124 expression in 32 pre- and post-treatment MDD patients and 30 healthy controls. Our results showed that expression levels of miR-124 from PBMCs in MDD patients were significantly higher than those in healthy controls (p &lt; 0.001), and that the area under the curve of miR-124 from ROC analysis was 0.762 with a sensitivity of 83.33% and specificity of 66.67% in distinguishing MDD patients from healthy controls. In addition, the expression levels of miR-124 were significantly down-regulated after eight weeks of treatment (p &lt; 0.001). MiRNA target gene prediction and functional annotation analysis indicated that altered miR-124 was involved in affecting some important biological processes and pathways related to MDD. These results provide new information on miR-124 involvement in the biological alterations of MDD and in antidepressant effects.", "author" : [ { "dropping-particle" : "", "family" : "He", "given" : "Shen", "non-dropping-particle" : "", "parse-names" : false, "suffix" : "" }, { "dropping-particle" : "", "family" : "Liu", "given" : "Xiaohua", "non-dropping-particle" : "", "parse-names" : false, "suffix" : "" }, { "dropping-particle" : "", "family" : "Jiang", "given" : "Kaida", "non-dropping-particle" : "", "parse-names" : false, "suffix" : "" }, { "dropping-particle" : "", "family" : "Peng", "given" : "Daihui", "non-dropping-particle" : "", "parse-names" : false, "suffix" : "" }, { "dropping-particle" : "", "family" : "Hong", "given" : "Wu", "non-dropping-particle" : "", "parse-names" : false, "suffix" : "" }, { "dropping-particle" : "", "family" : "Fang", "given" : "Yiru", "non-dropping-particle" : "", "parse-names" : false, "suffix" : "" }, { "dropping-particle" : "", "family" : "Qian", "given" : "Yiping", "non-dropping-particle" : "", "parse-names" : false, "suffix" : "" }, { "dropping-particle" : "", "family" : "Yu", "given" : "Shunying", "non-dropping-particle" : "", "parse-names" : false, "suffix" : "" }, { "dropping-particle" : "", "family" : "Li", "given" : "Huafang", "non-dropping-particle" : "", "parse-names" : false, "suffix" : "" } ], "container-title" : "Journal of Psychiatric Research", "id" : "ITEM-1", "issued" : { "date-parts" : [ [ "2016" ] ] }, "page" : "65-71", "title" : "Alterations of microRNA-124 expression in peripheral blood mononuclear cells in pre- and post-treatment patients with major depressive disorder", "type" : "article-journal", "volume" : "78" }, "uris" : [ "http://www.mendeley.com/documents/?uuid=cbdf72bb-176f-4232-b025-ff45faa174e8" ] }, { "id" : "ITEM-2", "itemData" : { "DOI" : "10.1093/schbul/sbv170", "ISSN" : "17451701", "PMID" : "26609121", "abstract" : "BACKGROUND: Transcriptional factors (TFs) and microRNAs (miRNAs) have been recognized as 2 classes of principal gene regulators that may be responsible for genome coexpression changes observed in schizophrenia (SZ). METHODS: This study aims to (1) identify differentially coexpressed genes (DCGs) in 3 mRNA expression microarray datasets; (2) explore potential interactions among the DCGs, and differentially expressed miRNAs identified in our dataset composed of early-onset SZ patients and healthy controls; (3) validate expression levels of some key transcripts; and (4) explore the druggability of DCGs using the curated database. RESULTS: We detected a differential coexpression network associated with SZ and found that 9 out of the 12 regulators were replicated in either of the 2 other datasets. Leveraging the differentially expressed miRNAs identified in our previous dataset, we constructed a miRNA-TF-gene network relevant to SZ, including an EGR1-miR-124-3p-SKIL feed-forward loop. Our real-time quantitative PCR analysis indicated the overexpression of miR-124-3p, the under expression of SKIL and EGR1 in the blood of SZ patients compared with controls, and the direction of change of miR-124-3p and SKIL mRNA levels in SZ cases were reversed after a 12-week treatment cycle. Our druggability analysis revealed that many of these genes have the potential to be drug targets. CONCLUSIONS: Together, our results suggest that coexpression network abnormalities driven by combinatorial and interactive action from TFs and miRNAs may contribute to the development of SZ and be relevant to the clinical treatment of the disease.", "author" : [ { "dropping-particle" : "", "family" : "Xu", "given" : "Yong", "non-dropping-particle" : "", "parse-names" : false, "suffix" : "" }, { "dropping-particle" : "", "family" : "Yue", "given" : "Weihua", "non-dropping-particle" : "", "parse-names" : false, "suffix" : "" }, { "dropping-particle" : "", "family" : "Shugart", "given" : "Yin Yao", "non-dropping-particle" : "", "parse-names" : false, "suffix" : "" }, { "dropping-particle" : "", "family" : "Li", "given" : "Sheng", "non-dropping-particle" : "", "parse-names" : false, "suffix" : "" }, { "dropping-particle" : "", "family" : "Cai", "given" : "Lei", "non-dropping-particle" : "", "parse-names" : false, "suffix" : "" }, { "dropping-particle" : "", "family" : "Li", "given" : "Qiang", "non-dropping-particle" : "", "parse-names" : false, "suffix" : "" }, { "dropping-particle" : "", "family" : "Cheng", "given" : "Zaohuo", "non-dropping-particle" : "", "parse-names" : false, "suffix" : "" }, { "dropping-particle" : "", "family" : "Wang", "given" : "Guoqiang", "non-dropping-particle" : "", "parse-names" : false, "suffix" : "" }, { "dropping-particle" : "", "family" : "Zhou", "given" : "Zhenhe", "non-dropping-particle" : "", "parse-names" : false, "suffix" : "" }, { "dropping-particle" : "", "family" : "Jin", "given" : "Chunhui", "non-dropping-particle" : "", "parse-names" : false, "suffix" : "" }, { "dropping-particle" : "", "family" : "Yuan", "given" : "Jianmin", "non-dropping-particle" : "", "parse-names" : false, "suffix" : "" }, { "dropping-particle" : "", "family" : "Tian", "given" : "Lin", "non-dropping-particle" : "", "parse-names" : false, "suffix" : "" }, { "dropping-particle" : "", "family" : "Wang", "given" : "Jun", "non-dropping-particle" : "", "parse-names" : false, "suffix" : "" }, { "dropping-particle" : "", "family" : "Zhang", "given" : "Kai", "non-dropping-particle" : "", "parse-names" : false, "suffix" : "" }, { "dropping-particle" : "", "family" : "Zhang", "given" : "Kerang", "non-dropping-particle" : "", "parse-names" : false, "suffix" : "" }, { "dropping-particle" : "", "family" : "Liu", "given" : "Sha", "non-dropping-particle" : "", "parse-names" : false, "suffix" : "" }, { "dropping-particle" : "", "family" : "Song", "given" : "Yuqing", "non-dropping-particle" : "", "parse-names" : false, "suffix" : "" }, { "dropping-particle" : "", "family" : "Zhang", "given" : "Fuquan", "non-dropping-particle" : "", "parse-names" : false, "suffix" : "" } ], "container-title" : "Schizophrenia Bulletin", "id" : "ITEM-2", "issue" : "4", "issued" : { "date-parts" : [ [ "2016" ] ] }, "page" : "1037-1045", "title" : "Exploring transcription factors-microRNAs co-regulation networks in schizophrenia", "type" : "article-journal", "volume" : "42" }, "uris" : [ "http://www.mendeley.com/documents/?uuid=dd73f4cf-8230-4453-b287-5f3e36d5f366" ] }, { "id" : "ITEM-3", "itemData" : { "DOI" : "10.1016/j.pnpbp.2017.07.024", "abstract" : "Keywords: microRNA (miRNA) Brain-derived neurotrophic factor (BDNF) Depression Hippocampus Glucocorticoid receptor (GR) A B S T R A C T Dysregulation of microRNA (miRNA) has been shown to be involved in early observations of depression. MicroRNA-124-3p (miR-124) is the most abundant microRNA in the brain. Previous studies have shown that miR-124 plays a major role in depression. Here we showed that miR-124 directly targeted glucocorticoid re-ceptor (GR) in HEK 293 cells. In addition, inhibition of miR-124 by its antagomir (2 nmol/every two days) could reverse the decrease of sucrose preference and the increase of immobility time in mice exposed to chronic corticosterone (CORT, 40 mg/kg) injection. Moreover, these effects on behavioral improvement were coupled to the activation of brain-derived neurotrophic factor (BDNF), TrkB, ERK, and CREB, as well as the induction of synaptogenesis and neuronal proliferation. Altogether, our study suggests that miR-124 can be served as a biomarker for depression and a novel target for drug development, and demonstrates that inhibition of miR-124 may be a strategy for treating depression by activating BDNF-TrkB signaling pathway in the hippocampus.", "author" : [ { "dropping-particle" : "", "family" : "Wang", "given" : "Shuang-Shuang", "non-dropping-particle" : "", "parse-names" : false, "suffix" : "" }, { "dropping-particle" : "", "family" : "Mu", "given" : "Rong-Hao", "non-dropping-particle" : "", "parse-names" : false, "suffix" : "" }, { "dropping-particle" : "", "family" : "Li", "given" : "Cheng-Fu", "non-dropping-particle" : "", "parse-names" : false, "suffix" : "" }, { "dropping-particle" : "", "family" : "Dong", "given" : "Shu-Qi", "non-dropping-particle" : "", "parse-names" : false, "suffix" : "" }, { "dropping-particle" : "", "family" : "Geng", "given" : "Di", "non-dropping-particle" : "", "parse-names" : false, "suffix" : "" }, { "dropping-particle" : "", "family" : "Liu", "given" : "Qing", "non-dropping-particle" : "", "parse-names" : false, "suffix" : "" }, { "dropping-particle" : "", "family" : "Yi", "given" : "Li-Tao", "non-dropping-particle" : "", "parse-names" : false, "suffix" : "" } ], "id" : "ITEM-3", "issued" : { "date-parts" : [ [ "2017" ] ] }, "title" : "microRNA-124 targets glucocorticoid receptor and is involved in depression- like behaviors", "type" : "article-journal" }, "uris" : [ "http://www.mendeley.com/documents/?uuid=bf9b6256-5a50-4555-9bf6-089341063b56" ] }, { "id" : "ITEM-4", "itemData" : { "DOI" : "10.1080/14728222.2017.1328501", "ISSN" : "17447631", "author" : [ { "dropping-particle" : "", "family" : "Dwivedi", "given" : "Yogesh", "non-dropping-particle" : "", "parse-names" : false, "suffix" : "" } ], "container-title" : "Expert Opinion on Therapeutic Targets", "id" : "ITEM-4", "issue" : "7", "issued" : { "date-parts" : [ [ "2017" ] ] }, "page" : "653-656", "title" : "microRNA-124: a putative therapeutic target and biomarker for major depression", "type" : "article-journal", "volume" : "21" }, "uris" : [ "http://www.mendeley.com/documents/?uuid=69c4f76e-a6e3-496e-bee7-a8365cc78aa2" ] } ], "mendeley" : { "formattedCitation" : "(258\u2013261)", "plainTextFormattedCitation" : "(258\u2013261)", "previouslyFormattedCitation" : "(258\u2013261)" }, "properties" : { "noteIndex" : 23 }, "schema" : "https://github.com/citation-style-language/schema/raw/master/csl-citation.json" }</w:instrText>
      </w:r>
      <w:r w:rsidR="00BC3BBB" w:rsidRPr="004E1C8C">
        <w:rPr>
          <w:rFonts w:ascii="Arial" w:hAnsi="Arial" w:cs="Arial"/>
          <w:sz w:val="22"/>
          <w:szCs w:val="22"/>
        </w:rPr>
        <w:fldChar w:fldCharType="separate"/>
      </w:r>
      <w:r w:rsidRPr="004E1C8C">
        <w:rPr>
          <w:rFonts w:ascii="Arial" w:hAnsi="Arial" w:cs="Arial"/>
          <w:noProof/>
          <w:sz w:val="22"/>
          <w:szCs w:val="22"/>
        </w:rPr>
        <w:t>(258–261)</w:t>
      </w:r>
      <w:r w:rsidR="00BC3BBB" w:rsidRPr="004E1C8C">
        <w:rPr>
          <w:rFonts w:ascii="Arial" w:hAnsi="Arial" w:cs="Arial"/>
          <w:sz w:val="22"/>
          <w:szCs w:val="22"/>
        </w:rPr>
        <w:fldChar w:fldCharType="end"/>
      </w:r>
      <w:r w:rsidRPr="004E1C8C">
        <w:rPr>
          <w:rFonts w:ascii="Arial" w:hAnsi="Arial" w:cs="Arial"/>
          <w:color w:val="1F497D" w:themeColor="text2"/>
          <w:sz w:val="22"/>
          <w:szCs w:val="22"/>
          <w:shd w:val="clear" w:color="auto" w:fill="FFFFFF"/>
        </w:rPr>
        <w:t xml:space="preserve"> </w:t>
      </w:r>
      <w:r w:rsidRPr="004E1C8C">
        <w:rPr>
          <w:rFonts w:ascii="Arial" w:hAnsi="Arial" w:cs="Arial"/>
          <w:sz w:val="22"/>
          <w:szCs w:val="22"/>
          <w:shd w:val="clear" w:color="auto" w:fill="FFFFFF"/>
        </w:rPr>
        <w:t xml:space="preserve">ve saldırganlık </w:t>
      </w:r>
      <w:r w:rsidR="00BC3BBB" w:rsidRPr="004E1C8C">
        <w:rPr>
          <w:rFonts w:ascii="Arial" w:hAnsi="Arial" w:cs="Arial"/>
          <w:sz w:val="22"/>
          <w:szCs w:val="22"/>
          <w:shd w:val="clear" w:color="auto" w:fill="FFFFFF"/>
        </w:rPr>
        <w:fldChar w:fldCharType="begin" w:fldLock="1"/>
      </w:r>
      <w:r w:rsidRPr="004E1C8C">
        <w:rPr>
          <w:rFonts w:ascii="Arial" w:hAnsi="Arial" w:cs="Arial"/>
          <w:sz w:val="22"/>
          <w:szCs w:val="22"/>
          <w:shd w:val="clear" w:color="auto" w:fill="FFFFFF"/>
        </w:rPr>
        <w:instrText>ADDIN CSL_CITATION { "citationItems" : [ { "id" : "ITEM-1", "itemData" : { "DOI" : "10.1016/j.eurpsy.2015.03.002", "ISBN" : "0924-9338", "ISSN" : "17783585", "PMID" : "25841663", "abstract" : "Background: Interpersonal violence and suicide are among the main causes of mortality and morbidity around the world. In several developing countries, such as Colombia, they are among the first five entities of public health concern. Aggressiveness is an important endophenotype for aggression and suicidal behavior, having a heritability of around 50%. Exploration of classical candidate genes, involved in serotoninergic and dopaminergic neurotransmission, has identified few consistent risk factors for aggressiveness. miRNAs are a novel class of molecules with a growing role in normal neural function and neuropsychiatric disorders; of special interest, miR-124 is a brain-specific miRNA that is key for neuronal plasticity. We evaluated the hypothesis that a functional polymorphism in MIR124-1 gene might be associated with aggressiveness in a Colombian sample. Methods: The Spanish adaptation of the refined version of the Aggression Questionnaire and the abbreviated Barratt Impulsiveness Scale were applied to 170 young subjects. The functional SNP in MIR124-1 (rs531564) was genotyped by a TaqMan assay. Results: We found a significant association between the MIR124-1 and aggressiveness in our sample, with G/G carriers having lower scores (P=0.01). This association seemed to be specific for aggressiveness, as it was not significant for impulsiveness. Conclusions: We showed for the first time the association of a functional polymorphism in MIR124-1 and aggressiveness. Known targets of miR-124 (such as BDNF and DRD4 genes) could explain the effect of this miRNA on behavior. A future analysis of additional novel functional polymorphisms in other brain expressed miRNAs could be useful for a deeper understanding of aggression in humans.", "author" : [ { "dropping-particle" : "", "family" : "Gonzalez-Giraldo", "given" : "Y.", "non-dropping-particle" : "", "parse-names" : false, "suffix" : "" }, { "dropping-particle" : "", "family" : "Camargo", "given" : "A.", "non-dropping-particle" : "", "parse-names" : false, "suffix" : "" }, { "dropping-particle" : "", "family" : "Lopez-Leon", "given" : "S.", "non-dropping-particle" : "", "parse-names" : false, "suffix" : "" }, { "dropping-particle" : "", "family" : "Adan", "given" : "A.", "non-dropping-particle" : "", "parse-names" : false, "suffix" : "" }, { "dropping-particle" : "", "family" : "Forero", "given" : "D. A.", "non-dropping-particle" : "", "parse-names" : false, "suffix" : "" } ], "container-title" : "European Psychiatry", "id" : "ITEM-1", "issue" : "4", "issued" : { "date-parts" : [ [ "2015" ] ] }, "page" : "499-503", "title" : "A functional SNP in MIR124-1, a brain expressed miRNA gene, is associated with aggressiveness in a Colombian sample", "type" : "article-journal", "volume" : "30" }, "uris" : [ "http://www.mendeley.com/documents/?uuid=08a8b0a0-ec74-467a-bb24-21de2bf82ab7" ] } ], "mendeley" : { "formattedCitation" : "(262)", "plainTextFormattedCitation" : "(262)", "previouslyFormattedCitation" : "(262)" }, "properties" : { "noteIndex" : 23 }, "schema" : "https://github.com/citation-style-language/schema/raw/master/csl-citation.json" }</w:instrText>
      </w:r>
      <w:r w:rsidR="00BC3BBB" w:rsidRPr="004E1C8C">
        <w:rPr>
          <w:rFonts w:ascii="Arial" w:hAnsi="Arial" w:cs="Arial"/>
          <w:sz w:val="22"/>
          <w:szCs w:val="22"/>
          <w:shd w:val="clear" w:color="auto" w:fill="FFFFFF"/>
        </w:rPr>
        <w:fldChar w:fldCharType="separate"/>
      </w:r>
      <w:r w:rsidRPr="004E1C8C">
        <w:rPr>
          <w:rFonts w:ascii="Arial" w:hAnsi="Arial" w:cs="Arial"/>
          <w:noProof/>
          <w:sz w:val="22"/>
          <w:szCs w:val="22"/>
          <w:shd w:val="clear" w:color="auto" w:fill="FFFFFF"/>
        </w:rPr>
        <w:t>(262)</w:t>
      </w:r>
      <w:r w:rsidR="00BC3BBB" w:rsidRPr="004E1C8C">
        <w:rPr>
          <w:rFonts w:ascii="Arial" w:hAnsi="Arial" w:cs="Arial"/>
          <w:sz w:val="22"/>
          <w:szCs w:val="22"/>
          <w:shd w:val="clear" w:color="auto" w:fill="FFFFFF"/>
        </w:rPr>
        <w:fldChar w:fldCharType="end"/>
      </w:r>
      <w:r w:rsidRPr="004E1C8C">
        <w:rPr>
          <w:rFonts w:ascii="Arial" w:hAnsi="Arial" w:cs="Arial"/>
          <w:sz w:val="22"/>
          <w:szCs w:val="22"/>
          <w:shd w:val="clear" w:color="auto" w:fill="FFFFFF"/>
        </w:rPr>
        <w:t xml:space="preserve"> ile ilişkisi araştırılmıştır. Fakat miR-124-3p ve miR-4447’nin DEHB ile ilişkisi araştırılmamıştır.</w:t>
      </w:r>
    </w:p>
    <w:p w:rsidR="00C60153" w:rsidRPr="001D1F58" w:rsidRDefault="00C60153" w:rsidP="00C60153">
      <w:pPr>
        <w:pStyle w:val="HTMLncedenBiimlendirilmi"/>
        <w:spacing w:line="360" w:lineRule="auto"/>
        <w:jc w:val="both"/>
        <w:rPr>
          <w:rFonts w:ascii="Arial" w:hAnsi="Arial" w:cs="Arial"/>
          <w:color w:val="E36C0A" w:themeColor="accent6" w:themeShade="BF"/>
          <w:sz w:val="22"/>
          <w:szCs w:val="22"/>
        </w:rPr>
      </w:pPr>
    </w:p>
    <w:p w:rsidR="00C60153" w:rsidRDefault="00C60153" w:rsidP="00C60153">
      <w:pPr>
        <w:pStyle w:val="HTMLncedenBiimlendirilmi"/>
        <w:spacing w:line="360" w:lineRule="auto"/>
        <w:jc w:val="both"/>
        <w:rPr>
          <w:rFonts w:ascii="Arial" w:hAnsi="Arial" w:cs="Arial"/>
          <w:color w:val="222222"/>
          <w:sz w:val="22"/>
          <w:szCs w:val="22"/>
          <w:shd w:val="clear" w:color="auto" w:fill="FFFFFF"/>
        </w:rPr>
      </w:pPr>
    </w:p>
    <w:p w:rsidR="00C60153" w:rsidRDefault="00C60153" w:rsidP="00C60153">
      <w:pPr>
        <w:pStyle w:val="HTMLncedenBiimlendirilmi"/>
        <w:spacing w:line="360" w:lineRule="auto"/>
        <w:jc w:val="both"/>
        <w:rPr>
          <w:rFonts w:ascii="Arial" w:hAnsi="Arial" w:cs="Arial"/>
          <w:color w:val="222222"/>
          <w:sz w:val="22"/>
          <w:szCs w:val="22"/>
          <w:shd w:val="clear" w:color="auto" w:fill="FFFFFF"/>
        </w:rPr>
      </w:pPr>
    </w:p>
    <w:p w:rsidR="00EC4DCF" w:rsidRDefault="00EC4DCF" w:rsidP="00C60153">
      <w:pPr>
        <w:pStyle w:val="HTMLncedenBiimlendirilmi"/>
        <w:spacing w:line="360" w:lineRule="auto"/>
        <w:jc w:val="both"/>
        <w:rPr>
          <w:rFonts w:ascii="Arial" w:hAnsi="Arial" w:cs="Arial"/>
          <w:color w:val="222222"/>
          <w:sz w:val="22"/>
          <w:szCs w:val="22"/>
          <w:shd w:val="clear" w:color="auto" w:fill="FFFFFF"/>
        </w:rPr>
      </w:pPr>
    </w:p>
    <w:p w:rsidR="0096478A" w:rsidRDefault="0096478A" w:rsidP="00C60153">
      <w:pPr>
        <w:pStyle w:val="HTMLncedenBiimlendirilmi"/>
        <w:spacing w:line="360" w:lineRule="auto"/>
        <w:jc w:val="both"/>
        <w:rPr>
          <w:rFonts w:ascii="Arial" w:hAnsi="Arial" w:cs="Arial"/>
          <w:color w:val="222222"/>
          <w:sz w:val="22"/>
          <w:szCs w:val="22"/>
          <w:shd w:val="clear" w:color="auto" w:fill="FFFFFF"/>
        </w:rPr>
      </w:pPr>
    </w:p>
    <w:p w:rsidR="0096478A" w:rsidRDefault="0096478A" w:rsidP="00C60153">
      <w:pPr>
        <w:pStyle w:val="HTMLncedenBiimlendirilmi"/>
        <w:spacing w:line="360" w:lineRule="auto"/>
        <w:jc w:val="both"/>
        <w:rPr>
          <w:rFonts w:ascii="Arial" w:hAnsi="Arial" w:cs="Arial"/>
          <w:color w:val="222222"/>
          <w:sz w:val="22"/>
          <w:szCs w:val="22"/>
          <w:shd w:val="clear" w:color="auto" w:fill="FFFFFF"/>
        </w:rPr>
      </w:pPr>
    </w:p>
    <w:p w:rsidR="0096478A" w:rsidRDefault="0096478A" w:rsidP="00C60153">
      <w:pPr>
        <w:pStyle w:val="HTMLncedenBiimlendirilmi"/>
        <w:spacing w:line="360" w:lineRule="auto"/>
        <w:jc w:val="both"/>
        <w:rPr>
          <w:rFonts w:ascii="Arial" w:hAnsi="Arial" w:cs="Arial"/>
          <w:color w:val="222222"/>
          <w:sz w:val="22"/>
          <w:szCs w:val="22"/>
          <w:shd w:val="clear" w:color="auto" w:fill="FFFFFF"/>
        </w:rPr>
      </w:pPr>
    </w:p>
    <w:p w:rsidR="0096478A" w:rsidRDefault="0096478A" w:rsidP="00C60153">
      <w:pPr>
        <w:pStyle w:val="HTMLncedenBiimlendirilmi"/>
        <w:spacing w:line="360" w:lineRule="auto"/>
        <w:jc w:val="both"/>
        <w:rPr>
          <w:rFonts w:ascii="Arial" w:hAnsi="Arial" w:cs="Arial"/>
          <w:color w:val="222222"/>
          <w:sz w:val="22"/>
          <w:szCs w:val="22"/>
          <w:shd w:val="clear" w:color="auto" w:fill="FFFFFF"/>
        </w:rPr>
      </w:pPr>
    </w:p>
    <w:p w:rsidR="0096478A" w:rsidRDefault="0096478A" w:rsidP="00C60153">
      <w:pPr>
        <w:pStyle w:val="HTMLncedenBiimlendirilmi"/>
        <w:spacing w:line="360" w:lineRule="auto"/>
        <w:jc w:val="both"/>
        <w:rPr>
          <w:rFonts w:ascii="Arial" w:hAnsi="Arial" w:cs="Arial"/>
          <w:color w:val="222222"/>
          <w:sz w:val="22"/>
          <w:szCs w:val="22"/>
          <w:shd w:val="clear" w:color="auto" w:fill="FFFFFF"/>
        </w:rPr>
      </w:pPr>
    </w:p>
    <w:p w:rsidR="0096478A" w:rsidRDefault="0096478A" w:rsidP="00C60153">
      <w:pPr>
        <w:pStyle w:val="HTMLncedenBiimlendirilmi"/>
        <w:spacing w:line="360" w:lineRule="auto"/>
        <w:jc w:val="both"/>
        <w:rPr>
          <w:rFonts w:ascii="Arial" w:hAnsi="Arial" w:cs="Arial"/>
          <w:color w:val="222222"/>
          <w:sz w:val="22"/>
          <w:szCs w:val="22"/>
          <w:shd w:val="clear" w:color="auto" w:fill="FFFFFF"/>
        </w:rPr>
      </w:pPr>
    </w:p>
    <w:p w:rsidR="0096478A" w:rsidRDefault="0096478A" w:rsidP="00C60153">
      <w:pPr>
        <w:pStyle w:val="HTMLncedenBiimlendirilmi"/>
        <w:spacing w:line="360" w:lineRule="auto"/>
        <w:jc w:val="both"/>
        <w:rPr>
          <w:rFonts w:ascii="Arial" w:hAnsi="Arial" w:cs="Arial"/>
          <w:color w:val="222222"/>
          <w:sz w:val="22"/>
          <w:szCs w:val="22"/>
          <w:shd w:val="clear" w:color="auto" w:fill="FFFFFF"/>
        </w:rPr>
      </w:pPr>
    </w:p>
    <w:p w:rsidR="0096478A" w:rsidRDefault="0096478A" w:rsidP="00C60153">
      <w:pPr>
        <w:pStyle w:val="HTMLncedenBiimlendirilmi"/>
        <w:spacing w:line="360" w:lineRule="auto"/>
        <w:jc w:val="both"/>
        <w:rPr>
          <w:rFonts w:ascii="Arial" w:hAnsi="Arial" w:cs="Arial"/>
          <w:color w:val="222222"/>
          <w:sz w:val="22"/>
          <w:szCs w:val="22"/>
          <w:shd w:val="clear" w:color="auto" w:fill="FFFFFF"/>
        </w:rPr>
      </w:pPr>
    </w:p>
    <w:p w:rsidR="0096478A" w:rsidRDefault="0096478A" w:rsidP="00C60153">
      <w:pPr>
        <w:pStyle w:val="HTMLncedenBiimlendirilmi"/>
        <w:spacing w:line="360" w:lineRule="auto"/>
        <w:jc w:val="both"/>
        <w:rPr>
          <w:rFonts w:ascii="Arial" w:hAnsi="Arial" w:cs="Arial"/>
          <w:color w:val="222222"/>
          <w:sz w:val="22"/>
          <w:szCs w:val="22"/>
          <w:shd w:val="clear" w:color="auto" w:fill="FFFFFF"/>
        </w:rPr>
      </w:pPr>
    </w:p>
    <w:p w:rsidR="00EC4DCF" w:rsidRDefault="00EC4DCF" w:rsidP="00C60153">
      <w:pPr>
        <w:pStyle w:val="HTMLncedenBiimlendirilmi"/>
        <w:spacing w:line="360" w:lineRule="auto"/>
        <w:jc w:val="both"/>
        <w:rPr>
          <w:rFonts w:ascii="Arial" w:hAnsi="Arial" w:cs="Arial"/>
          <w:color w:val="222222"/>
          <w:sz w:val="22"/>
          <w:szCs w:val="22"/>
          <w:shd w:val="clear" w:color="auto" w:fill="FFFFFF"/>
        </w:rPr>
      </w:pPr>
    </w:p>
    <w:p w:rsidR="00EC4DCF" w:rsidRDefault="00EC4DCF" w:rsidP="00C60153">
      <w:pPr>
        <w:pStyle w:val="HTMLncedenBiimlendirilmi"/>
        <w:spacing w:line="360" w:lineRule="auto"/>
        <w:jc w:val="both"/>
        <w:rPr>
          <w:rFonts w:ascii="Arial" w:hAnsi="Arial" w:cs="Arial"/>
          <w:color w:val="222222"/>
          <w:sz w:val="22"/>
          <w:szCs w:val="22"/>
          <w:shd w:val="clear" w:color="auto" w:fill="FFFFFF"/>
        </w:rPr>
      </w:pPr>
    </w:p>
    <w:p w:rsidR="00EC4DCF" w:rsidRDefault="00EC4DCF" w:rsidP="00C60153">
      <w:pPr>
        <w:pStyle w:val="HTMLncedenBiimlendirilmi"/>
        <w:spacing w:line="360" w:lineRule="auto"/>
        <w:jc w:val="both"/>
        <w:rPr>
          <w:rFonts w:ascii="Arial" w:hAnsi="Arial" w:cs="Arial"/>
          <w:color w:val="222222"/>
          <w:sz w:val="22"/>
          <w:szCs w:val="22"/>
          <w:shd w:val="clear" w:color="auto" w:fill="FFFFFF"/>
        </w:rPr>
      </w:pPr>
    </w:p>
    <w:p w:rsidR="00EC4DCF" w:rsidRDefault="00EC4DCF" w:rsidP="00C60153">
      <w:pPr>
        <w:pStyle w:val="HTMLncedenBiimlendirilmi"/>
        <w:spacing w:line="360" w:lineRule="auto"/>
        <w:jc w:val="both"/>
        <w:rPr>
          <w:rFonts w:ascii="Arial" w:hAnsi="Arial" w:cs="Arial"/>
          <w:color w:val="222222"/>
          <w:sz w:val="22"/>
          <w:szCs w:val="22"/>
          <w:shd w:val="clear" w:color="auto" w:fill="FFFFFF"/>
        </w:rPr>
      </w:pPr>
    </w:p>
    <w:p w:rsidR="00EC4DCF" w:rsidRDefault="00EC4DCF" w:rsidP="00C60153">
      <w:pPr>
        <w:pStyle w:val="HTMLncedenBiimlendirilmi"/>
        <w:spacing w:line="360" w:lineRule="auto"/>
        <w:jc w:val="both"/>
        <w:rPr>
          <w:rFonts w:ascii="Arial" w:hAnsi="Arial" w:cs="Arial"/>
          <w:color w:val="222222"/>
          <w:sz w:val="22"/>
          <w:szCs w:val="22"/>
          <w:shd w:val="clear" w:color="auto" w:fill="FFFFFF"/>
        </w:rPr>
      </w:pPr>
    </w:p>
    <w:p w:rsidR="00EC4DCF" w:rsidRDefault="00EC4DCF" w:rsidP="00C60153">
      <w:pPr>
        <w:pStyle w:val="HTMLncedenBiimlendirilmi"/>
        <w:spacing w:line="360" w:lineRule="auto"/>
        <w:jc w:val="both"/>
        <w:rPr>
          <w:rFonts w:ascii="Arial" w:hAnsi="Arial" w:cs="Arial"/>
          <w:color w:val="222222"/>
          <w:sz w:val="22"/>
          <w:szCs w:val="22"/>
          <w:shd w:val="clear" w:color="auto" w:fill="FFFFFF"/>
        </w:rPr>
      </w:pPr>
    </w:p>
    <w:p w:rsidR="00EC4DCF" w:rsidRDefault="00EC4DCF" w:rsidP="00C60153">
      <w:pPr>
        <w:pStyle w:val="HTMLncedenBiimlendirilmi"/>
        <w:spacing w:line="360" w:lineRule="auto"/>
        <w:jc w:val="both"/>
        <w:rPr>
          <w:rFonts w:ascii="Arial" w:hAnsi="Arial" w:cs="Arial"/>
          <w:color w:val="222222"/>
          <w:sz w:val="22"/>
          <w:szCs w:val="22"/>
          <w:shd w:val="clear" w:color="auto" w:fill="FFFFFF"/>
        </w:rPr>
      </w:pPr>
    </w:p>
    <w:p w:rsidR="00EC4DCF" w:rsidRDefault="00EC4DCF" w:rsidP="00C60153">
      <w:pPr>
        <w:pStyle w:val="HTMLncedenBiimlendirilmi"/>
        <w:spacing w:line="360" w:lineRule="auto"/>
        <w:jc w:val="both"/>
        <w:rPr>
          <w:rFonts w:ascii="Arial" w:hAnsi="Arial" w:cs="Arial"/>
          <w:color w:val="222222"/>
          <w:sz w:val="22"/>
          <w:szCs w:val="22"/>
          <w:shd w:val="clear" w:color="auto" w:fill="FFFFFF"/>
        </w:rPr>
      </w:pPr>
    </w:p>
    <w:p w:rsidR="00EC4DCF" w:rsidRDefault="00EC4DCF" w:rsidP="00C60153">
      <w:pPr>
        <w:pStyle w:val="HTMLncedenBiimlendirilmi"/>
        <w:spacing w:line="360" w:lineRule="auto"/>
        <w:jc w:val="both"/>
        <w:rPr>
          <w:rFonts w:ascii="Arial" w:hAnsi="Arial" w:cs="Arial"/>
          <w:color w:val="222222"/>
          <w:sz w:val="22"/>
          <w:szCs w:val="22"/>
          <w:shd w:val="clear" w:color="auto" w:fill="FFFFFF"/>
        </w:rPr>
      </w:pPr>
    </w:p>
    <w:p w:rsidR="00EC4DCF" w:rsidRDefault="00EC4DCF" w:rsidP="00C60153">
      <w:pPr>
        <w:pStyle w:val="HTMLncedenBiimlendirilmi"/>
        <w:spacing w:line="360" w:lineRule="auto"/>
        <w:jc w:val="both"/>
        <w:rPr>
          <w:rFonts w:ascii="Arial" w:hAnsi="Arial" w:cs="Arial"/>
          <w:color w:val="222222"/>
          <w:sz w:val="22"/>
          <w:szCs w:val="22"/>
          <w:shd w:val="clear" w:color="auto" w:fill="FFFFFF"/>
        </w:rPr>
      </w:pPr>
    </w:p>
    <w:p w:rsidR="004E1C8C" w:rsidRDefault="004E1C8C" w:rsidP="00C60153">
      <w:pPr>
        <w:pStyle w:val="HTMLncedenBiimlendirilmi"/>
        <w:spacing w:line="360" w:lineRule="auto"/>
        <w:jc w:val="both"/>
        <w:rPr>
          <w:rFonts w:ascii="Arial" w:hAnsi="Arial" w:cs="Arial"/>
          <w:color w:val="222222"/>
          <w:sz w:val="22"/>
          <w:szCs w:val="22"/>
          <w:shd w:val="clear" w:color="auto" w:fill="FFFFFF"/>
        </w:rPr>
      </w:pPr>
    </w:p>
    <w:p w:rsidR="004E1C8C" w:rsidRDefault="004E1C8C" w:rsidP="00C60153">
      <w:pPr>
        <w:pStyle w:val="HTMLncedenBiimlendirilmi"/>
        <w:spacing w:line="360" w:lineRule="auto"/>
        <w:jc w:val="both"/>
        <w:rPr>
          <w:rFonts w:ascii="Arial" w:hAnsi="Arial" w:cs="Arial"/>
          <w:color w:val="222222"/>
          <w:sz w:val="22"/>
          <w:szCs w:val="22"/>
          <w:shd w:val="clear" w:color="auto" w:fill="FFFFFF"/>
        </w:rPr>
      </w:pPr>
    </w:p>
    <w:p w:rsidR="004E1C8C" w:rsidRDefault="004E1C8C" w:rsidP="00C60153">
      <w:pPr>
        <w:pStyle w:val="HTMLncedenBiimlendirilmi"/>
        <w:spacing w:line="360" w:lineRule="auto"/>
        <w:jc w:val="both"/>
        <w:rPr>
          <w:rFonts w:ascii="Arial" w:hAnsi="Arial" w:cs="Arial"/>
          <w:color w:val="222222"/>
          <w:sz w:val="22"/>
          <w:szCs w:val="22"/>
          <w:shd w:val="clear" w:color="auto" w:fill="FFFFFF"/>
        </w:rPr>
      </w:pPr>
    </w:p>
    <w:p w:rsidR="00EC4DCF" w:rsidRDefault="00EC4DCF" w:rsidP="00C60153">
      <w:pPr>
        <w:pStyle w:val="HTMLncedenBiimlendirilmi"/>
        <w:spacing w:line="360" w:lineRule="auto"/>
        <w:jc w:val="both"/>
        <w:rPr>
          <w:rFonts w:ascii="Arial" w:hAnsi="Arial" w:cs="Arial"/>
          <w:color w:val="222222"/>
          <w:sz w:val="22"/>
          <w:szCs w:val="22"/>
          <w:shd w:val="clear" w:color="auto" w:fill="FFFFFF"/>
        </w:rPr>
      </w:pPr>
    </w:p>
    <w:p w:rsidR="00EC4DCF" w:rsidRDefault="00EC4DCF" w:rsidP="00C60153">
      <w:pPr>
        <w:pStyle w:val="HTMLncedenBiimlendirilmi"/>
        <w:spacing w:line="360" w:lineRule="auto"/>
        <w:jc w:val="both"/>
        <w:rPr>
          <w:rFonts w:ascii="Arial" w:hAnsi="Arial" w:cs="Arial"/>
          <w:color w:val="222222"/>
          <w:sz w:val="22"/>
          <w:szCs w:val="22"/>
          <w:shd w:val="clear" w:color="auto" w:fill="FFFFFF"/>
        </w:rPr>
      </w:pPr>
    </w:p>
    <w:p w:rsidR="000E0F5C" w:rsidRDefault="000E0F5C" w:rsidP="00C60153">
      <w:pPr>
        <w:pStyle w:val="HTMLncedenBiimlendirilmi"/>
        <w:spacing w:line="360" w:lineRule="auto"/>
        <w:jc w:val="both"/>
        <w:rPr>
          <w:rFonts w:ascii="Arial" w:hAnsi="Arial" w:cs="Arial"/>
          <w:color w:val="222222"/>
          <w:sz w:val="22"/>
          <w:szCs w:val="22"/>
          <w:shd w:val="clear" w:color="auto" w:fill="FFFFFF"/>
        </w:rPr>
      </w:pPr>
    </w:p>
    <w:p w:rsidR="002B6AFD" w:rsidRDefault="002B6AFD" w:rsidP="00C60153">
      <w:pPr>
        <w:pStyle w:val="HTMLncedenBiimlendirilmi"/>
        <w:spacing w:line="360" w:lineRule="auto"/>
        <w:jc w:val="both"/>
        <w:rPr>
          <w:rFonts w:ascii="Arial" w:hAnsi="Arial" w:cs="Arial"/>
          <w:color w:val="222222"/>
          <w:sz w:val="22"/>
          <w:szCs w:val="22"/>
          <w:shd w:val="clear" w:color="auto" w:fill="FFFFFF"/>
        </w:rPr>
      </w:pPr>
    </w:p>
    <w:p w:rsidR="00C60153" w:rsidRDefault="00C60153" w:rsidP="00C60153">
      <w:pPr>
        <w:pStyle w:val="HTMLncedenBiimlendirilmi"/>
        <w:spacing w:line="360" w:lineRule="auto"/>
        <w:jc w:val="both"/>
        <w:rPr>
          <w:rFonts w:ascii="Arial" w:hAnsi="Arial" w:cs="Arial"/>
          <w:color w:val="222222"/>
          <w:sz w:val="22"/>
          <w:szCs w:val="22"/>
          <w:shd w:val="clear" w:color="auto" w:fill="FFFFFF"/>
        </w:rPr>
      </w:pPr>
    </w:p>
    <w:p w:rsidR="00C60153" w:rsidRPr="00F51ECA" w:rsidRDefault="00C60153" w:rsidP="00C60153">
      <w:pPr>
        <w:spacing w:line="360" w:lineRule="auto"/>
        <w:jc w:val="center"/>
        <w:rPr>
          <w:rFonts w:ascii="Arial" w:hAnsi="Arial" w:cs="Arial"/>
          <w:b/>
        </w:rPr>
      </w:pPr>
      <w:r w:rsidRPr="00F51ECA">
        <w:rPr>
          <w:rFonts w:ascii="Arial" w:hAnsi="Arial" w:cs="Arial"/>
          <w:b/>
        </w:rPr>
        <w:lastRenderedPageBreak/>
        <w:t>GEREÇ VE YÖNTEM</w:t>
      </w:r>
    </w:p>
    <w:p w:rsidR="00C60153" w:rsidRDefault="00C60153" w:rsidP="00C60153">
      <w:pPr>
        <w:spacing w:line="360" w:lineRule="auto"/>
        <w:rPr>
          <w:rFonts w:ascii="Arial" w:hAnsi="Arial" w:cs="Arial"/>
          <w:b/>
        </w:rPr>
      </w:pPr>
    </w:p>
    <w:p w:rsidR="00C60153" w:rsidRPr="009E19AA" w:rsidRDefault="00C60153" w:rsidP="00C60153">
      <w:pPr>
        <w:spacing w:after="240" w:line="360" w:lineRule="auto"/>
        <w:ind w:firstLine="708"/>
        <w:jc w:val="both"/>
        <w:rPr>
          <w:rFonts w:ascii="Arial" w:hAnsi="Arial" w:cs="Arial"/>
          <w:b/>
        </w:rPr>
      </w:pPr>
      <w:r w:rsidRPr="009E19AA">
        <w:rPr>
          <w:rFonts w:ascii="Arial" w:hAnsi="Arial" w:cs="Arial"/>
          <w:b/>
        </w:rPr>
        <w:t>Amaç</w:t>
      </w:r>
    </w:p>
    <w:p w:rsidR="00EC4DCF" w:rsidRDefault="00C60153" w:rsidP="00EC4DCF">
      <w:pPr>
        <w:spacing w:line="360" w:lineRule="auto"/>
        <w:ind w:firstLine="708"/>
        <w:jc w:val="both"/>
        <w:rPr>
          <w:rFonts w:ascii="Arial" w:hAnsi="Arial" w:cs="Arial"/>
          <w:sz w:val="22"/>
          <w:szCs w:val="22"/>
        </w:rPr>
      </w:pPr>
      <w:r w:rsidRPr="00EC4DCF">
        <w:rPr>
          <w:rFonts w:ascii="Arial" w:hAnsi="Arial" w:cs="Arial"/>
          <w:sz w:val="22"/>
          <w:szCs w:val="22"/>
        </w:rPr>
        <w:t xml:space="preserve">DEHB, oldukça yüksek kalıtsallığı olan bir bozukluk olmakla birlikte,  </w:t>
      </w:r>
      <w:r w:rsidR="00C84BC3" w:rsidRPr="00EC4DCF">
        <w:rPr>
          <w:rFonts w:ascii="Arial" w:hAnsi="Arial" w:cs="Arial"/>
          <w:sz w:val="22"/>
          <w:szCs w:val="22"/>
        </w:rPr>
        <w:t>et</w:t>
      </w:r>
      <w:r w:rsidRPr="00EC4DCF">
        <w:rPr>
          <w:rFonts w:ascii="Arial" w:hAnsi="Arial" w:cs="Arial"/>
          <w:sz w:val="22"/>
          <w:szCs w:val="22"/>
        </w:rPr>
        <w:t>yopatogenezinde rol oynayan epigenetik mekanizmalar henüz net olarak saptanmış değildir. Post-trankripsiyonel düzenleyiciler olarak bilinen miRNA’lar bu epigenetik mekanizmalar arasında önemli bir yere sahiptir. Ancak, henüz DEHB konusunda yapılmış az sayıda miRNA çalışması mevcuttur ve de DEHB ile ilişkisi çalışmalarla tekrarlanarak kanıtlanmış bulgular son derece kısıtlıdır. Bununla birlikte</w:t>
      </w:r>
      <w:r w:rsidR="00267DCC">
        <w:rPr>
          <w:rFonts w:ascii="Arial" w:hAnsi="Arial" w:cs="Arial"/>
          <w:sz w:val="22"/>
          <w:szCs w:val="22"/>
        </w:rPr>
        <w:t xml:space="preserve">, şimdiye dek yazında yer alan </w:t>
      </w:r>
      <w:r w:rsidRPr="00EC4DCF">
        <w:rPr>
          <w:rFonts w:ascii="Arial" w:hAnsi="Arial" w:cs="Arial"/>
          <w:sz w:val="22"/>
          <w:szCs w:val="22"/>
        </w:rPr>
        <w:t>veriler, miRNA’ların DEHB tanısında biomarker kullanılabileceğini ve de DEHB tedavisinde rol oynayabileceğini düşündürmektedir.</w:t>
      </w:r>
    </w:p>
    <w:p w:rsidR="00C60153" w:rsidRPr="00EC4DCF" w:rsidRDefault="00C60153" w:rsidP="00EC4DCF">
      <w:pPr>
        <w:spacing w:line="360" w:lineRule="auto"/>
        <w:ind w:firstLine="708"/>
        <w:jc w:val="both"/>
        <w:rPr>
          <w:rFonts w:ascii="Arial" w:hAnsi="Arial" w:cs="Arial"/>
          <w:sz w:val="22"/>
          <w:szCs w:val="22"/>
        </w:rPr>
      </w:pPr>
      <w:r w:rsidRPr="00EC4DCF">
        <w:rPr>
          <w:rFonts w:ascii="Arial" w:hAnsi="Arial" w:cs="Arial"/>
          <w:sz w:val="22"/>
          <w:szCs w:val="22"/>
        </w:rPr>
        <w:t>Ç</w:t>
      </w:r>
      <w:r w:rsidR="00C84BC3" w:rsidRPr="00EC4DCF">
        <w:rPr>
          <w:rFonts w:ascii="Arial" w:hAnsi="Arial" w:cs="Arial"/>
          <w:sz w:val="22"/>
          <w:szCs w:val="22"/>
        </w:rPr>
        <w:t>alışmamızda DEHB’nin genetik et</w:t>
      </w:r>
      <w:r w:rsidRPr="00EC4DCF">
        <w:rPr>
          <w:rFonts w:ascii="Arial" w:hAnsi="Arial" w:cs="Arial"/>
          <w:sz w:val="22"/>
          <w:szCs w:val="22"/>
        </w:rPr>
        <w:t>yopatogenezinde rolü olduğu bilinen DAT-1 ve DRD4 genlerini hedef alan, veritabanlarına göre en kuvvetli ilişkisi olan sırasıyla miR-4447 ve miR-124-3p; yazında DEHB benzeri belirtilerle ilişkili olarak gösterilmiş olan Homer1a genini hedef alan veritabanlarına göre en kuvvetli ilişkisi olan miR-5692b; ayrıca önceki çalışmalarda DEHB ile ilişkili olduğu saptanan miR-107 ve miR-let-7d düzeyleri açısından DEHB ve kontrol grubunu karşılaştırmayı, ayrıca belirtilen miRNA’ların DEHB semptomlarıyla ilişkisini araştırmayı amaçladık. DAT-1 ve DRD-4 genlerinin DEHB ile ilişkisinin göst</w:t>
      </w:r>
      <w:r w:rsidR="00EC4DCF">
        <w:rPr>
          <w:rFonts w:ascii="Arial" w:hAnsi="Arial" w:cs="Arial"/>
          <w:sz w:val="22"/>
          <w:szCs w:val="22"/>
        </w:rPr>
        <w:t>erilmiş olmasından yola çıkarak</w:t>
      </w:r>
      <w:r w:rsidRPr="00EC4DCF">
        <w:rPr>
          <w:rFonts w:ascii="Arial" w:hAnsi="Arial" w:cs="Arial"/>
          <w:sz w:val="22"/>
          <w:szCs w:val="22"/>
        </w:rPr>
        <w:t>, bu genlerin post-tranksripsiyonel düzenleyicilerin</w:t>
      </w:r>
      <w:r w:rsidR="00C84BC3" w:rsidRPr="00EC4DCF">
        <w:rPr>
          <w:rFonts w:ascii="Arial" w:hAnsi="Arial" w:cs="Arial"/>
          <w:sz w:val="22"/>
          <w:szCs w:val="22"/>
        </w:rPr>
        <w:t>deki değişikliklerin de DEHB et</w:t>
      </w:r>
      <w:r w:rsidRPr="00EC4DCF">
        <w:rPr>
          <w:rFonts w:ascii="Arial" w:hAnsi="Arial" w:cs="Arial"/>
          <w:sz w:val="22"/>
          <w:szCs w:val="22"/>
        </w:rPr>
        <w:t>yopatogenezinde rolü olabileceği hipotezini kurduk. Bildiğimiz kadarıyla yazında  miR-4447 ve miR-124-3p’larının DEHB ile  ilişkisini araştırmış olan başka bir çalışma yer almamaktadır. Homer1a genini hedefleyen miRNA ile miR-107 ve mir-let-7d’nin DEHB ile ilişkisi ise çok kısıtlı sayıda hayvan veya insan çalışmasında gösterilmiştir. Bu çalışma ile bu miRNA’ların DEHB tanılı çocuk ve ergenlerde etkilenmiş kan düzeylerini bulacağımız hipotezini test ettik.</w:t>
      </w:r>
    </w:p>
    <w:p w:rsidR="00C60153" w:rsidRDefault="00C60153" w:rsidP="00C60153">
      <w:pPr>
        <w:spacing w:after="240"/>
        <w:ind w:firstLine="708"/>
        <w:jc w:val="both"/>
        <w:rPr>
          <w:rFonts w:ascii="Arial" w:hAnsi="Arial" w:cs="Arial"/>
          <w:b/>
        </w:rPr>
      </w:pPr>
      <w:r w:rsidRPr="009E19AA">
        <w:rPr>
          <w:rFonts w:ascii="Arial" w:hAnsi="Arial" w:cs="Arial"/>
          <w:b/>
        </w:rPr>
        <w:t>Varsayımlar</w:t>
      </w:r>
    </w:p>
    <w:p w:rsidR="00C60153" w:rsidRPr="004403DC" w:rsidRDefault="00C60153" w:rsidP="00C60153">
      <w:pPr>
        <w:pStyle w:val="ListeParagraf"/>
        <w:numPr>
          <w:ilvl w:val="0"/>
          <w:numId w:val="46"/>
        </w:numPr>
        <w:spacing w:after="240"/>
        <w:rPr>
          <w:rFonts w:ascii="Arial" w:hAnsi="Arial" w:cs="Arial"/>
          <w:sz w:val="22"/>
          <w:szCs w:val="22"/>
        </w:rPr>
      </w:pPr>
      <w:r w:rsidRPr="004403DC">
        <w:rPr>
          <w:rFonts w:ascii="Arial" w:hAnsi="Arial" w:cs="Arial"/>
          <w:sz w:val="22"/>
          <w:szCs w:val="22"/>
        </w:rPr>
        <w:t>Çocuk ve ergenlerde periferik kan dolaşımındaki miR-4447, miR-124-3p, miR-5692b, miR-107 ve mi</w:t>
      </w:r>
      <w:r w:rsidR="00245491">
        <w:rPr>
          <w:rFonts w:ascii="Arial" w:hAnsi="Arial" w:cs="Arial"/>
          <w:sz w:val="22"/>
          <w:szCs w:val="22"/>
        </w:rPr>
        <w:t>R</w:t>
      </w:r>
      <w:r w:rsidRPr="004403DC">
        <w:rPr>
          <w:rFonts w:ascii="Arial" w:hAnsi="Arial" w:cs="Arial"/>
          <w:sz w:val="22"/>
          <w:szCs w:val="22"/>
        </w:rPr>
        <w:t>-let-7d miRNA düzeyleri açısından</w:t>
      </w:r>
      <w:r w:rsidR="00245491">
        <w:rPr>
          <w:rFonts w:ascii="Arial" w:hAnsi="Arial" w:cs="Arial"/>
          <w:sz w:val="22"/>
          <w:szCs w:val="22"/>
        </w:rPr>
        <w:t xml:space="preserve"> DEHB grubu ile kontrol grubu a</w:t>
      </w:r>
      <w:r w:rsidRPr="004403DC">
        <w:rPr>
          <w:rFonts w:ascii="Arial" w:hAnsi="Arial" w:cs="Arial"/>
          <w:sz w:val="22"/>
          <w:szCs w:val="22"/>
        </w:rPr>
        <w:t>rasında fark vardır.</w:t>
      </w:r>
    </w:p>
    <w:p w:rsidR="00E828D6" w:rsidRPr="004403DC" w:rsidRDefault="00C60153" w:rsidP="004403DC">
      <w:pPr>
        <w:pStyle w:val="ListeParagraf"/>
        <w:numPr>
          <w:ilvl w:val="0"/>
          <w:numId w:val="46"/>
        </w:numPr>
        <w:spacing w:after="240"/>
        <w:rPr>
          <w:rFonts w:ascii="Arial" w:hAnsi="Arial" w:cs="Arial"/>
          <w:sz w:val="22"/>
          <w:szCs w:val="22"/>
        </w:rPr>
      </w:pPr>
      <w:r w:rsidRPr="004403DC">
        <w:rPr>
          <w:rFonts w:ascii="Arial" w:hAnsi="Arial" w:cs="Arial"/>
          <w:sz w:val="22"/>
          <w:szCs w:val="22"/>
        </w:rPr>
        <w:t xml:space="preserve">Çocuk ve ergenlerde periferik kan dolaşımındaki miR-4447, miR-124-3p, miR-5692b, miR-107 ve mir-let-7d miRNA düzeyleri ile dikkat eksikliği ve hiperaktivite semptomları arasında ilişki vardır. </w:t>
      </w:r>
    </w:p>
    <w:p w:rsidR="00C60153" w:rsidRPr="00E828D6" w:rsidRDefault="00C60153" w:rsidP="00E828D6">
      <w:pPr>
        <w:spacing w:after="240"/>
        <w:ind w:left="720"/>
        <w:rPr>
          <w:rFonts w:ascii="Arial" w:hAnsi="Arial" w:cs="Arial"/>
          <w:b/>
          <w:sz w:val="22"/>
          <w:szCs w:val="22"/>
        </w:rPr>
      </w:pPr>
      <w:r w:rsidRPr="00E828D6">
        <w:rPr>
          <w:rFonts w:ascii="Arial" w:hAnsi="Arial" w:cs="Arial"/>
          <w:b/>
          <w:sz w:val="22"/>
          <w:szCs w:val="22"/>
        </w:rPr>
        <w:lastRenderedPageBreak/>
        <w:t xml:space="preserve">Araştırmanın Tipi </w:t>
      </w:r>
    </w:p>
    <w:p w:rsidR="00C60153" w:rsidRPr="00EC4DCF" w:rsidRDefault="00C60153" w:rsidP="00EC4DCF">
      <w:pPr>
        <w:spacing w:line="360" w:lineRule="auto"/>
        <w:ind w:firstLine="720"/>
        <w:jc w:val="both"/>
        <w:rPr>
          <w:rFonts w:ascii="Arial" w:hAnsi="Arial" w:cs="Arial"/>
          <w:sz w:val="22"/>
          <w:szCs w:val="22"/>
        </w:rPr>
      </w:pPr>
      <w:r w:rsidRPr="00EC4DCF">
        <w:rPr>
          <w:rFonts w:ascii="Arial" w:hAnsi="Arial" w:cs="Arial"/>
          <w:sz w:val="22"/>
          <w:szCs w:val="22"/>
        </w:rPr>
        <w:t>Bu araştırma, Pamukkale Üniversitesi Tıp Fakültesi Çocuk ve Ergen Ruh Sağlığı ve Hastalıkları Anabilim Dalı Polikliniklerine başvuran daha önce herhangi bir psikotrop ilaç tedavisi almamış DEHB’li çocuklar ile sağlıklı kontroller arasınd</w:t>
      </w:r>
      <w:r w:rsidR="00991A38">
        <w:rPr>
          <w:rFonts w:ascii="Arial" w:hAnsi="Arial" w:cs="Arial"/>
          <w:sz w:val="22"/>
          <w:szCs w:val="22"/>
        </w:rPr>
        <w:t>aki miR-</w:t>
      </w:r>
      <w:r w:rsidRPr="00EC4DCF">
        <w:rPr>
          <w:rFonts w:ascii="Arial" w:hAnsi="Arial" w:cs="Arial"/>
          <w:sz w:val="22"/>
          <w:szCs w:val="22"/>
        </w:rPr>
        <w:t>124</w:t>
      </w:r>
      <w:r w:rsidR="00991A38">
        <w:rPr>
          <w:rFonts w:ascii="Arial" w:hAnsi="Arial" w:cs="Arial"/>
          <w:sz w:val="22"/>
          <w:szCs w:val="22"/>
        </w:rPr>
        <w:t>-</w:t>
      </w:r>
      <w:r w:rsidRPr="00EC4DCF">
        <w:rPr>
          <w:rFonts w:ascii="Arial" w:hAnsi="Arial" w:cs="Arial"/>
          <w:sz w:val="22"/>
          <w:szCs w:val="22"/>
        </w:rPr>
        <w:t>3p, miR</w:t>
      </w:r>
      <w:r w:rsidR="00991A38">
        <w:rPr>
          <w:rFonts w:ascii="Arial" w:hAnsi="Arial" w:cs="Arial"/>
          <w:sz w:val="22"/>
          <w:szCs w:val="22"/>
        </w:rPr>
        <w:t>-</w:t>
      </w:r>
      <w:r w:rsidRPr="00EC4DCF">
        <w:rPr>
          <w:rFonts w:ascii="Arial" w:hAnsi="Arial" w:cs="Arial"/>
          <w:sz w:val="22"/>
          <w:szCs w:val="22"/>
        </w:rPr>
        <w:t>4447, miR</w:t>
      </w:r>
      <w:r w:rsidR="00991A38">
        <w:rPr>
          <w:rFonts w:ascii="Arial" w:hAnsi="Arial" w:cs="Arial"/>
          <w:sz w:val="22"/>
          <w:szCs w:val="22"/>
        </w:rPr>
        <w:t>-107, miR-l</w:t>
      </w:r>
      <w:r w:rsidRPr="00EC4DCF">
        <w:rPr>
          <w:rFonts w:ascii="Arial" w:hAnsi="Arial" w:cs="Arial"/>
          <w:sz w:val="22"/>
          <w:szCs w:val="22"/>
        </w:rPr>
        <w:t>et</w:t>
      </w:r>
      <w:r w:rsidR="00991A38">
        <w:rPr>
          <w:rFonts w:ascii="Arial" w:hAnsi="Arial" w:cs="Arial"/>
          <w:sz w:val="22"/>
          <w:szCs w:val="22"/>
        </w:rPr>
        <w:t>-7d ve miR-</w:t>
      </w:r>
      <w:r w:rsidRPr="00EC4DCF">
        <w:rPr>
          <w:rFonts w:ascii="Arial" w:hAnsi="Arial" w:cs="Arial"/>
          <w:sz w:val="22"/>
          <w:szCs w:val="22"/>
        </w:rPr>
        <w:t xml:space="preserve">5692b miRNAlarının ekspresyon profiller karşılaştırmayı amaçlayan kesitsel bir çalışmadır. Araştırma için Pamukkale Üniversitesi Tıp Fakültesi Tıbbi Etik Kurulu’ndan 05.04.2016/07 karar numarası ile onay alındı.  </w:t>
      </w:r>
    </w:p>
    <w:p w:rsidR="00C60153" w:rsidRPr="00EC4DCF" w:rsidRDefault="00C60153" w:rsidP="00EC4DCF">
      <w:pPr>
        <w:spacing w:line="360" w:lineRule="auto"/>
        <w:ind w:firstLine="720"/>
        <w:jc w:val="both"/>
        <w:rPr>
          <w:rFonts w:ascii="Arial" w:hAnsi="Arial" w:cs="Arial"/>
          <w:b/>
          <w:sz w:val="22"/>
          <w:szCs w:val="22"/>
        </w:rPr>
      </w:pPr>
      <w:r w:rsidRPr="00EC4DCF">
        <w:rPr>
          <w:rFonts w:ascii="Arial" w:hAnsi="Arial" w:cs="Arial"/>
          <w:b/>
          <w:sz w:val="22"/>
          <w:szCs w:val="22"/>
        </w:rPr>
        <w:t xml:space="preserve">Araştırmanın Yapıldığı Yer </w:t>
      </w:r>
    </w:p>
    <w:p w:rsidR="00C60153" w:rsidRPr="00EC4DCF" w:rsidRDefault="00C60153" w:rsidP="00EC4DCF">
      <w:pPr>
        <w:spacing w:line="360" w:lineRule="auto"/>
        <w:ind w:firstLine="720"/>
        <w:jc w:val="both"/>
        <w:rPr>
          <w:rFonts w:ascii="Arial" w:hAnsi="Arial" w:cs="Arial"/>
          <w:sz w:val="22"/>
          <w:szCs w:val="22"/>
        </w:rPr>
      </w:pPr>
      <w:r w:rsidRPr="00EC4DCF">
        <w:rPr>
          <w:rFonts w:ascii="Arial" w:hAnsi="Arial" w:cs="Arial"/>
          <w:sz w:val="22"/>
          <w:szCs w:val="22"/>
        </w:rPr>
        <w:t>Bu araştırmaya Pamukkale Üniversitesi Hastanesi Çocuk ve Ergen Ruh Sağlığı ve Hastalıkları Anabilim Dalı Polikliniklerine başvuran hastalar dahil edildi. Moleküler geneti</w:t>
      </w:r>
      <w:r w:rsidR="00991A38">
        <w:rPr>
          <w:rFonts w:ascii="Arial" w:hAnsi="Arial" w:cs="Arial"/>
          <w:sz w:val="22"/>
          <w:szCs w:val="22"/>
        </w:rPr>
        <w:t>k</w:t>
      </w:r>
      <w:r w:rsidRPr="00EC4DCF">
        <w:rPr>
          <w:rFonts w:ascii="Arial" w:hAnsi="Arial" w:cs="Arial"/>
          <w:sz w:val="22"/>
          <w:szCs w:val="22"/>
        </w:rPr>
        <w:t xml:space="preserve"> analizler ise Pamukkale Üniversitesi Tıp Fakültesi Tıbbi Genetik Anabilim Dalı’nda tamamlandı.</w:t>
      </w:r>
    </w:p>
    <w:p w:rsidR="00C60153" w:rsidRPr="00EC4DCF" w:rsidRDefault="00C60153" w:rsidP="00EC4DCF">
      <w:pPr>
        <w:spacing w:line="360" w:lineRule="auto"/>
        <w:ind w:firstLine="720"/>
        <w:jc w:val="both"/>
        <w:rPr>
          <w:rFonts w:ascii="Arial" w:hAnsi="Arial" w:cs="Arial"/>
          <w:b/>
          <w:sz w:val="22"/>
          <w:szCs w:val="22"/>
        </w:rPr>
      </w:pPr>
      <w:r w:rsidRPr="00EC4DCF">
        <w:rPr>
          <w:rFonts w:ascii="Arial" w:hAnsi="Arial" w:cs="Arial"/>
          <w:b/>
          <w:sz w:val="22"/>
          <w:szCs w:val="22"/>
        </w:rPr>
        <w:t>Araştırmanın Evreni</w:t>
      </w:r>
    </w:p>
    <w:p w:rsidR="00C60153" w:rsidRPr="00EC4DCF" w:rsidRDefault="00C60153" w:rsidP="00EC4DCF">
      <w:pPr>
        <w:spacing w:line="360" w:lineRule="auto"/>
        <w:ind w:firstLine="720"/>
        <w:jc w:val="both"/>
        <w:rPr>
          <w:rFonts w:ascii="Arial" w:hAnsi="Arial" w:cs="Arial"/>
          <w:sz w:val="22"/>
          <w:szCs w:val="22"/>
        </w:rPr>
      </w:pPr>
      <w:r w:rsidRPr="00EC4DCF">
        <w:rPr>
          <w:rFonts w:ascii="Arial" w:hAnsi="Arial" w:cs="Arial"/>
          <w:sz w:val="22"/>
          <w:szCs w:val="22"/>
        </w:rPr>
        <w:t xml:space="preserve">Pamukkale Üniversitesi Tıp Fakültesi Çocuk ve Ergen Ruh Sağlığı ve Hastalıkları Anabilim Dalı Poliklinikleri’ne Eylül 2016 ile Şubat 2017 tarihleri arasında tedavi için başvuran ve DEHB Bileşik Tip tanısı almış hastalardan, araştırmanın dahil edilme kriterlerini karşılayan 30 DEHB hastası ve 30 sağlıklı gönüllü kontrol alındı.    </w:t>
      </w:r>
    </w:p>
    <w:p w:rsidR="00C60153" w:rsidRPr="00EC4DCF" w:rsidRDefault="00C60153" w:rsidP="00EC4DCF">
      <w:pPr>
        <w:spacing w:line="360" w:lineRule="auto"/>
        <w:ind w:firstLine="720"/>
        <w:jc w:val="both"/>
        <w:rPr>
          <w:rFonts w:ascii="Arial" w:hAnsi="Arial" w:cs="Arial"/>
          <w:b/>
          <w:sz w:val="22"/>
          <w:szCs w:val="22"/>
        </w:rPr>
      </w:pPr>
      <w:r w:rsidRPr="00EC4DCF">
        <w:rPr>
          <w:rFonts w:ascii="Arial" w:hAnsi="Arial" w:cs="Arial"/>
          <w:b/>
          <w:sz w:val="22"/>
          <w:szCs w:val="22"/>
        </w:rPr>
        <w:t xml:space="preserve">Araştırmaya Dahil Edilme ve Dışlanma Ölçütleri </w:t>
      </w:r>
    </w:p>
    <w:p w:rsidR="00C60153" w:rsidRPr="00F51ECA" w:rsidRDefault="00C60153" w:rsidP="00EC4DCF">
      <w:pPr>
        <w:spacing w:line="360" w:lineRule="auto"/>
        <w:ind w:firstLine="720"/>
        <w:jc w:val="both"/>
        <w:rPr>
          <w:rFonts w:ascii="Arial" w:hAnsi="Arial" w:cs="Arial"/>
          <w:b/>
          <w:color w:val="C0504D" w:themeColor="accent2"/>
        </w:rPr>
      </w:pPr>
      <w:r w:rsidRPr="00EC4DCF">
        <w:rPr>
          <w:rFonts w:ascii="Arial" w:hAnsi="Arial" w:cs="Arial"/>
          <w:sz w:val="22"/>
          <w:szCs w:val="22"/>
        </w:rPr>
        <w:t>Çalışmaya Pamukkale Üniversitesi Çocuk ve Ergen Ruh Sağlığı ve Hastalıkları Anabilim Dalı Poliklinikleri’ne başvuran olgular arasından çalışmaya katılmak isteyen, yazılı bilgilendirilmiş onam formu imzası alınan, 6-1</w:t>
      </w:r>
      <w:r w:rsidR="00FE736A">
        <w:rPr>
          <w:rFonts w:ascii="Arial" w:hAnsi="Arial" w:cs="Arial"/>
          <w:sz w:val="22"/>
          <w:szCs w:val="22"/>
        </w:rPr>
        <w:t>7</w:t>
      </w:r>
      <w:r w:rsidRPr="00EC4DCF">
        <w:rPr>
          <w:rFonts w:ascii="Arial" w:hAnsi="Arial" w:cs="Arial"/>
          <w:sz w:val="22"/>
          <w:szCs w:val="22"/>
        </w:rPr>
        <w:t xml:space="preserve"> yaş arasında olan, kombine tip DEHB tanısı konulan ve herhangi bir psikotrop ilaç kullanım öyküsü olmayan (DEHB medikal tedavisi dahil) 30 hasta ve herhangi bir psikiyatrik rahatsızlığı olmayan ve yine psikotrop ilaç kullanım öyküsü olmayan 30 kontrol olgusu dahil edildi. Katılımcıların, Çocuk ve Ergen Ruh Sağlığı ve Hastalıkları bölümünde klinik değerlendirmeleri yapılarak tanıları, ilaç kullanım öyküleri, ardından varsa eşlik eden fiziksel bozukluklar kaydedildi. Çalışmaya katılmayı kabul etmeme, psikotrop ilaç kullanımı, mental retardasyon ve tıbbi kronik hastalık tanısı (DM, astım, kanser, epilepsi vb.)</w:t>
      </w:r>
      <w:r w:rsidRPr="00EC4DCF">
        <w:rPr>
          <w:rFonts w:ascii="Arial" w:hAnsi="Arial" w:cs="Arial"/>
          <w:b/>
          <w:sz w:val="22"/>
          <w:szCs w:val="22"/>
        </w:rPr>
        <w:t xml:space="preserve">  </w:t>
      </w:r>
      <w:r w:rsidRPr="00EC4DCF">
        <w:rPr>
          <w:rFonts w:ascii="Arial" w:hAnsi="Arial" w:cs="Arial"/>
          <w:sz w:val="22"/>
          <w:szCs w:val="22"/>
        </w:rPr>
        <w:t xml:space="preserve"> varlığı her iki grup için ortak dışlama kriterleri olarak</w:t>
      </w:r>
      <w:r w:rsidRPr="00F51ECA">
        <w:rPr>
          <w:rFonts w:ascii="Arial" w:hAnsi="Arial" w:cs="Arial"/>
        </w:rPr>
        <w:t xml:space="preserve"> kabul edildi. Hasta grubunda, DEHB dışı psikiyatrik rahatsızlık varlığı; kontrol grubunda ise herhangi bir psikiyatrik rahatsızlığı varlığı dışlama kriterleridir.</w:t>
      </w:r>
    </w:p>
    <w:p w:rsidR="0063613E" w:rsidRDefault="0063613E" w:rsidP="00EC4DCF">
      <w:pPr>
        <w:spacing w:line="360" w:lineRule="auto"/>
        <w:ind w:firstLine="720"/>
        <w:jc w:val="both"/>
        <w:rPr>
          <w:rFonts w:ascii="Arial" w:hAnsi="Arial" w:cs="Arial"/>
          <w:b/>
          <w:sz w:val="22"/>
          <w:szCs w:val="22"/>
        </w:rPr>
      </w:pPr>
    </w:p>
    <w:p w:rsidR="00C60153" w:rsidRPr="00EC4DCF" w:rsidRDefault="00C60153" w:rsidP="00EC4DCF">
      <w:pPr>
        <w:spacing w:line="360" w:lineRule="auto"/>
        <w:ind w:firstLine="720"/>
        <w:jc w:val="both"/>
        <w:rPr>
          <w:rFonts w:ascii="Arial" w:hAnsi="Arial" w:cs="Arial"/>
          <w:b/>
          <w:sz w:val="22"/>
          <w:szCs w:val="22"/>
        </w:rPr>
      </w:pPr>
      <w:r w:rsidRPr="00EC4DCF">
        <w:rPr>
          <w:rFonts w:ascii="Arial" w:hAnsi="Arial" w:cs="Arial"/>
          <w:b/>
          <w:sz w:val="22"/>
          <w:szCs w:val="22"/>
        </w:rPr>
        <w:lastRenderedPageBreak/>
        <w:t xml:space="preserve">Araştırmanın Yürütülmesi </w:t>
      </w:r>
    </w:p>
    <w:p w:rsidR="00C60153" w:rsidRPr="00EC4DCF" w:rsidRDefault="00C60153" w:rsidP="00EC4DCF">
      <w:pPr>
        <w:spacing w:line="360" w:lineRule="auto"/>
        <w:ind w:firstLine="720"/>
        <w:jc w:val="both"/>
        <w:rPr>
          <w:rFonts w:ascii="Arial" w:hAnsi="Arial" w:cs="Arial"/>
          <w:color w:val="000000"/>
          <w:sz w:val="22"/>
          <w:szCs w:val="22"/>
        </w:rPr>
      </w:pPr>
      <w:r w:rsidRPr="00EC4DCF">
        <w:rPr>
          <w:rFonts w:ascii="Arial" w:hAnsi="Arial" w:cs="Arial"/>
          <w:sz w:val="22"/>
          <w:szCs w:val="22"/>
        </w:rPr>
        <w:t xml:space="preserve">Hastaların tıbbi kayıtları ve izlem notları incelendi; yaş, cinsiyet, eş hastalıklar gibi bilgiler not edildi.  DEHB olan hasta ve sağlıklı kontrol tam kan örneklerinden plazma eldesi yapıldı. </w:t>
      </w:r>
      <w:r w:rsidRPr="00EC4DCF">
        <w:rPr>
          <w:rFonts w:ascii="Arial" w:hAnsi="Arial" w:cs="Arial"/>
          <w:color w:val="000000"/>
          <w:sz w:val="22"/>
          <w:szCs w:val="22"/>
        </w:rPr>
        <w:t xml:space="preserve">Katılımcılardan kan örnekleri alındı, örnekler laboratuvar analizleri yapılma aşamasına gelene dek -80 derecede korundu.  </w:t>
      </w:r>
      <w:r w:rsidRPr="00EC4DCF">
        <w:rPr>
          <w:rFonts w:ascii="Arial" w:hAnsi="Arial" w:cs="Arial"/>
          <w:sz w:val="22"/>
          <w:szCs w:val="22"/>
        </w:rPr>
        <w:t xml:space="preserve">Hasta ve kontrol plazmasından </w:t>
      </w:r>
      <w:r w:rsidRPr="00EC4DCF">
        <w:rPr>
          <w:rFonts w:ascii="Arial" w:hAnsi="Arial" w:cs="Arial"/>
          <w:color w:val="000000"/>
          <w:sz w:val="22"/>
          <w:szCs w:val="22"/>
        </w:rPr>
        <w:t xml:space="preserve">EXIQONmiRCURY RNA Isolation Kit ile </w:t>
      </w:r>
      <w:r w:rsidRPr="00EC4DCF">
        <w:rPr>
          <w:rFonts w:ascii="Arial" w:hAnsi="Arial" w:cs="Arial"/>
          <w:sz w:val="22"/>
          <w:szCs w:val="22"/>
        </w:rPr>
        <w:t>miRNA’yı da içeren total</w:t>
      </w:r>
      <w:r w:rsidRPr="00EC4DCF">
        <w:rPr>
          <w:rFonts w:ascii="Arial" w:hAnsi="Arial" w:cs="Arial"/>
          <w:color w:val="000000"/>
          <w:sz w:val="22"/>
          <w:szCs w:val="22"/>
        </w:rPr>
        <w:t xml:space="preserve"> RNA izolasyonu yapıldı</w:t>
      </w:r>
      <w:r w:rsidRPr="00EC4DCF">
        <w:rPr>
          <w:rFonts w:ascii="Arial" w:hAnsi="Arial" w:cs="Arial"/>
          <w:sz w:val="22"/>
          <w:szCs w:val="22"/>
        </w:rPr>
        <w:t xml:space="preserve"> İzole edilen RNA örnekleri </w:t>
      </w:r>
      <w:r w:rsidRPr="00EC4DCF">
        <w:rPr>
          <w:rFonts w:ascii="Arial" w:hAnsi="Arial" w:cs="Arial"/>
          <w:color w:val="000000"/>
          <w:sz w:val="22"/>
          <w:szCs w:val="22"/>
        </w:rPr>
        <w:t xml:space="preserve">önce cDNA sentezi ve sonrasında PCR basamağı için EXIQON miRCURY LNA Universal RT microRNA PCR kitinde kullanıldı. Bu şekilde miRNA ekspresyon profillerinin araştırılması hedeflendi. Serum miR-124- 3p, miR-4447, miR-107, miR-Let- 7d ve miR-5692b düzeyleri </w:t>
      </w:r>
      <w:r w:rsidRPr="00EC4DCF">
        <w:rPr>
          <w:rFonts w:ascii="Arial" w:hAnsi="Arial" w:cs="Arial"/>
          <w:sz w:val="22"/>
          <w:szCs w:val="22"/>
        </w:rPr>
        <w:t>Pamukkale Üniversitesi Tıp Fakültesi Tıbbi Genetik Anabilim Dalı’nda değerlendirildi.</w:t>
      </w:r>
    </w:p>
    <w:p w:rsidR="00C60153" w:rsidRPr="00EC4DCF" w:rsidRDefault="00C60153" w:rsidP="00EC4DCF">
      <w:pPr>
        <w:spacing w:line="360" w:lineRule="auto"/>
        <w:ind w:firstLine="720"/>
        <w:rPr>
          <w:rFonts w:ascii="Arial" w:hAnsi="Arial" w:cs="Arial"/>
          <w:b/>
          <w:sz w:val="22"/>
          <w:szCs w:val="22"/>
        </w:rPr>
      </w:pPr>
      <w:r w:rsidRPr="00EC4DCF">
        <w:rPr>
          <w:rFonts w:ascii="Arial" w:hAnsi="Arial" w:cs="Arial"/>
          <w:b/>
          <w:sz w:val="22"/>
          <w:szCs w:val="22"/>
        </w:rPr>
        <w:t>Veri Toplama Araçları</w:t>
      </w:r>
    </w:p>
    <w:p w:rsidR="00C60153" w:rsidRPr="00EC4DCF" w:rsidRDefault="00C60153" w:rsidP="00EC4DCF">
      <w:pPr>
        <w:spacing w:line="360" w:lineRule="auto"/>
        <w:ind w:firstLine="720"/>
        <w:rPr>
          <w:rFonts w:ascii="Arial" w:hAnsi="Arial" w:cs="Arial"/>
          <w:b/>
          <w:i/>
          <w:sz w:val="22"/>
          <w:szCs w:val="22"/>
        </w:rPr>
      </w:pPr>
      <w:r w:rsidRPr="00EC4DCF">
        <w:rPr>
          <w:rFonts w:ascii="Arial" w:hAnsi="Arial" w:cs="Arial"/>
          <w:b/>
          <w:i/>
          <w:sz w:val="22"/>
          <w:szCs w:val="22"/>
        </w:rPr>
        <w:t>Sosyodemografik ve Klinik Veri Formu</w:t>
      </w:r>
    </w:p>
    <w:p w:rsidR="00C60153" w:rsidRPr="00EC4DCF" w:rsidRDefault="00C60153" w:rsidP="00EC4DCF">
      <w:pPr>
        <w:spacing w:line="360" w:lineRule="auto"/>
        <w:ind w:firstLine="567"/>
        <w:contextualSpacing/>
        <w:jc w:val="both"/>
        <w:rPr>
          <w:rFonts w:ascii="Arial" w:hAnsi="Arial" w:cs="Arial"/>
          <w:sz w:val="22"/>
          <w:szCs w:val="22"/>
          <w:shd w:val="clear" w:color="auto" w:fill="FFFFFF"/>
        </w:rPr>
      </w:pPr>
      <w:r w:rsidRPr="00EC4DCF">
        <w:rPr>
          <w:rFonts w:ascii="Arial" w:hAnsi="Arial" w:cs="Arial"/>
          <w:sz w:val="22"/>
          <w:szCs w:val="22"/>
          <w:shd w:val="clear" w:color="auto" w:fill="FFFFFF"/>
        </w:rPr>
        <w:t>Olguların sosyodemografik verilerinin belirlenebilmesi amacıyla tarafımızca düzenlenmiş olan bilgi formudur. Çalışmaya dahil edilen olgu ve kontrol grubundaki bireyler ve ebeveynlerine yüz yüze görüşme tekniğiyle uygulanmıştır. Form aracılığıyla çocuğa ait bilgiler (adı, soyadı, doğum tarihi, okulu vb.) ile aileye ait bilgiler (ebeveynlerin yaşları, eğitim düzeyleri, meslekleri vb.) öğrenilerek, sosyodemografik verilerin elde edilmesi amaçlanmıştır. (Bkz Ek 1)</w:t>
      </w:r>
    </w:p>
    <w:p w:rsidR="00C60153" w:rsidRPr="00EC4DCF" w:rsidRDefault="00C60153" w:rsidP="00EC4DCF">
      <w:pPr>
        <w:spacing w:line="360" w:lineRule="auto"/>
        <w:ind w:firstLine="567"/>
        <w:rPr>
          <w:rFonts w:ascii="Arial" w:hAnsi="Arial" w:cs="Arial"/>
          <w:b/>
          <w:i/>
          <w:sz w:val="22"/>
          <w:szCs w:val="22"/>
        </w:rPr>
      </w:pPr>
      <w:r w:rsidRPr="00EC4DCF">
        <w:rPr>
          <w:rFonts w:ascii="Arial" w:hAnsi="Arial" w:cs="Arial"/>
          <w:b/>
          <w:i/>
          <w:sz w:val="22"/>
          <w:szCs w:val="22"/>
        </w:rPr>
        <w:t>Çocuk ve Ergenlerde Yıkıcı Davranım Bozuklukları İçin DSM-IV’e Dayalı Tarama ve Değerlendirme Ölçeği</w:t>
      </w:r>
    </w:p>
    <w:p w:rsidR="00C60153" w:rsidRPr="00EC4DCF" w:rsidRDefault="00C60153" w:rsidP="00EC4DCF">
      <w:pPr>
        <w:spacing w:line="360" w:lineRule="auto"/>
        <w:ind w:firstLine="567"/>
        <w:jc w:val="both"/>
        <w:rPr>
          <w:rFonts w:ascii="Arial" w:hAnsi="Arial" w:cs="Arial"/>
          <w:color w:val="E36C0A" w:themeColor="accent6" w:themeShade="BF"/>
          <w:sz w:val="22"/>
          <w:szCs w:val="22"/>
        </w:rPr>
      </w:pPr>
      <w:r w:rsidRPr="00EC4DCF">
        <w:rPr>
          <w:rFonts w:ascii="Arial" w:hAnsi="Arial" w:cs="Arial"/>
          <w:sz w:val="22"/>
          <w:szCs w:val="22"/>
        </w:rPr>
        <w:t xml:space="preserve">Çocuk ve Ergenlerde Yıkıcı Davranım Bozuklukları için DSM-IV’e Dayalı Tarama ve Değerlendirme Ölçeği, Turgay tarafından DSM-IV tanı kriterleri temel alınarak geliştirilmiştir </w:t>
      </w:r>
      <w:r w:rsidR="00BC3BBB" w:rsidRPr="00EC4DCF">
        <w:rPr>
          <w:rFonts w:ascii="Arial" w:hAnsi="Arial" w:cs="Arial"/>
          <w:sz w:val="22"/>
          <w:szCs w:val="22"/>
        </w:rPr>
        <w:fldChar w:fldCharType="begin" w:fldLock="1"/>
      </w:r>
      <w:r w:rsidR="00BF1F00">
        <w:rPr>
          <w:rFonts w:ascii="Arial" w:hAnsi="Arial" w:cs="Arial"/>
          <w:sz w:val="22"/>
          <w:szCs w:val="22"/>
        </w:rPr>
        <w:instrText>ADDIN CSL_CITATION { "citationItems" : [ { "id" : "ITEM-1", "itemData" : { "author" : [ { "dropping-particle" : "", "family" : "Turgay", "given" : "Atilla", "non-dropping-particle" : "", "parse-names" : false, "suffix" : "" } ], "container-title" : "Integrative Therapy Institute Toronto, Kanada.", "id" : "ITEM-1", "issued" : { "date-parts" : [ [ "1995" ] ] }, "title" : "\u00c7ocuk ve Ergenlerde Davran\u0131m Bozukluklar\u0131 i\u00e7in DSM-IV\u2019e Dayal\u0131 Tarama ve De\u011ferlendirme \u00d6l\u00e7e\u011fi", "type" : "article-journal" }, "uris" : [ "http://www.mendeley.com/documents/?uuid=913e1a8c-505e-3fdc-9a39-2686e24188c3" ] } ], "mendeley" : { "formattedCitation" : "(263)", "plainTextFormattedCitation" : "(263)", "previouslyFormattedCitation" : "(263)" }, "properties" : { "noteIndex" : 29 }, "schema" : "https://github.com/citation-style-language/schema/raw/master/csl-citation.json" }</w:instrText>
      </w:r>
      <w:r w:rsidR="00BC3BBB" w:rsidRPr="00EC4DCF">
        <w:rPr>
          <w:rFonts w:ascii="Arial" w:hAnsi="Arial" w:cs="Arial"/>
          <w:sz w:val="22"/>
          <w:szCs w:val="22"/>
        </w:rPr>
        <w:fldChar w:fldCharType="separate"/>
      </w:r>
      <w:r w:rsidRPr="00EC4DCF">
        <w:rPr>
          <w:rFonts w:ascii="Arial" w:hAnsi="Arial" w:cs="Arial"/>
          <w:noProof/>
          <w:sz w:val="22"/>
          <w:szCs w:val="22"/>
        </w:rPr>
        <w:t>(263)</w:t>
      </w:r>
      <w:r w:rsidR="00BC3BBB" w:rsidRPr="00EC4DCF">
        <w:rPr>
          <w:rFonts w:ascii="Arial" w:hAnsi="Arial" w:cs="Arial"/>
          <w:sz w:val="22"/>
          <w:szCs w:val="22"/>
        </w:rPr>
        <w:fldChar w:fldCharType="end"/>
      </w:r>
      <w:r w:rsidRPr="00EC4DCF">
        <w:rPr>
          <w:rFonts w:ascii="Arial" w:hAnsi="Arial" w:cs="Arial"/>
          <w:sz w:val="22"/>
          <w:szCs w:val="22"/>
        </w:rPr>
        <w:t xml:space="preserve">. Dikkat eksikliğini sorgulayan 9, aşırı hareketliliği sorgulayan 6, dürtüselliği sorgulayan 3, karşıt olma karşı gelme bozukluğu’nu sorgulayan 8 ve davranım bozukluğunu sorgulayan 15 maddeden oluşmaktadır. Her madde için 0=yok, 1=biraz, 2=fazla, 3=çok fazla seçenekleri bulunmaktadır. Ölçeğin geçerlilik ve güvenirlilik çalışması Ercan ve arkadaşları tarafından yapılmıştır </w:t>
      </w:r>
      <w:r w:rsidR="00BC3BBB" w:rsidRPr="00EC4DCF">
        <w:rPr>
          <w:rFonts w:ascii="Arial" w:hAnsi="Arial" w:cs="Arial"/>
          <w:sz w:val="22"/>
          <w:szCs w:val="22"/>
        </w:rPr>
        <w:fldChar w:fldCharType="begin" w:fldLock="1"/>
      </w:r>
      <w:r w:rsidRPr="00EC4DCF">
        <w:rPr>
          <w:rFonts w:ascii="Arial" w:hAnsi="Arial" w:cs="Arial"/>
          <w:sz w:val="22"/>
          <w:szCs w:val="22"/>
        </w:rPr>
        <w:instrText>ADDIN CSL_CITATION { "citationItems" : [ { "id" : "ITEM-1", "itemData" : { "author" : [ { "dropping-particle" : "", "family" : "Ercan", "given" : "ES", "non-dropping-particle" : "", "parse-names" : false, "suffix" : "" }, { "dropping-particle" : "", "family" : "Amado", "given" : "S", "non-dropping-particle" : "", "parse-names" : false, "suffix" : "" }, { "dropping-particle" : "", "family" : "Somer", "given" : "O", "non-dropping-particle" : "", "parse-names" : false, "suffix" : "" } ], "container-title" : "\u00c7ocuk ve Gen\u00e7lik Ruh Sa\u011fl\u0131\u011f\u0131 Dergisi", "id" : "ITEM-1", "issue" : "3", "issued" : { "date-parts" : [ [ "2001" ] ] }, "page" : "132-142", "title" : "Dikkat eksikli\u011fi ve hiperaktivite bozuklu\u011fu ve y\u0131k\u0131c\u0131 davran\u0131m bozukluklar\u0131 i\u00e7in bir test bataryas\u0131 geli\u015ftirme \u00e7abas\u0131", "type" : "article-journal", "volume" : "8" }, "uris" : [ "http://www.mendeley.com/documents/?uuid=d4667e4d-9376-4097-8612-5baf3ed612ae" ] } ], "mendeley" : { "formattedCitation" : "(103)", "plainTextFormattedCitation" : "(103)", "previouslyFormattedCitation" : "(103)" }, "properties" : { "noteIndex" : 25 }, "schema" : "https://github.com/citation-style-language/schema/raw/master/csl-citation.json" }</w:instrText>
      </w:r>
      <w:r w:rsidR="00BC3BBB" w:rsidRPr="00EC4DCF">
        <w:rPr>
          <w:rFonts w:ascii="Arial" w:hAnsi="Arial" w:cs="Arial"/>
          <w:sz w:val="22"/>
          <w:szCs w:val="22"/>
        </w:rPr>
        <w:fldChar w:fldCharType="separate"/>
      </w:r>
      <w:r w:rsidRPr="00EC4DCF">
        <w:rPr>
          <w:rFonts w:ascii="Arial" w:hAnsi="Arial" w:cs="Arial"/>
          <w:noProof/>
          <w:sz w:val="22"/>
          <w:szCs w:val="22"/>
        </w:rPr>
        <w:t>(103)</w:t>
      </w:r>
      <w:r w:rsidR="00BC3BBB" w:rsidRPr="00EC4DCF">
        <w:rPr>
          <w:rFonts w:ascii="Arial" w:hAnsi="Arial" w:cs="Arial"/>
          <w:sz w:val="22"/>
          <w:szCs w:val="22"/>
        </w:rPr>
        <w:fldChar w:fldCharType="end"/>
      </w:r>
      <w:r w:rsidRPr="00EC4DCF">
        <w:rPr>
          <w:rFonts w:ascii="Arial" w:hAnsi="Arial" w:cs="Arial"/>
          <w:color w:val="E36C0A" w:themeColor="accent6" w:themeShade="BF"/>
          <w:sz w:val="22"/>
          <w:szCs w:val="22"/>
        </w:rPr>
        <w:t xml:space="preserve">. </w:t>
      </w:r>
      <w:r w:rsidRPr="00EC4DCF">
        <w:rPr>
          <w:rFonts w:ascii="Arial" w:hAnsi="Arial" w:cs="Arial"/>
          <w:sz w:val="22"/>
          <w:szCs w:val="22"/>
        </w:rPr>
        <w:t>Mevcut çalışmada DEHB grubundaki çocuklarda Karşıt Olma Karşı Gelme Bozukluğu ve Davranım Bozukluğu tanıları dışlanmış olduğu için, ölçeğin yanızca dikkat eksikliği ve hiperaktivite-dürtüsellik alanları kullanılmıştır</w:t>
      </w:r>
    </w:p>
    <w:p w:rsidR="00C60153" w:rsidRPr="00EC4DCF" w:rsidRDefault="00C60153" w:rsidP="00EC4DCF">
      <w:pPr>
        <w:pStyle w:val="HTMLncedenBiimlendirilmi"/>
        <w:shd w:val="clear" w:color="auto" w:fill="FFFFFF"/>
        <w:spacing w:line="360" w:lineRule="auto"/>
        <w:jc w:val="both"/>
        <w:rPr>
          <w:rFonts w:ascii="Arial" w:hAnsi="Arial" w:cs="Arial"/>
          <w:sz w:val="22"/>
          <w:szCs w:val="22"/>
        </w:rPr>
      </w:pPr>
      <w:r w:rsidRPr="00EC4DCF">
        <w:rPr>
          <w:rFonts w:ascii="Arial" w:hAnsi="Arial" w:cs="Arial"/>
          <w:b/>
          <w:i/>
          <w:sz w:val="22"/>
          <w:szCs w:val="22"/>
        </w:rPr>
        <w:tab/>
        <w:t>DEHB Çocuk Değerlendirme (ACE) Uygulaması</w:t>
      </w:r>
      <w:r w:rsidRPr="00EC4DCF">
        <w:rPr>
          <w:rFonts w:ascii="Arial" w:hAnsi="Arial" w:cs="Arial"/>
          <w:i/>
          <w:sz w:val="22"/>
          <w:szCs w:val="22"/>
        </w:rPr>
        <w:t xml:space="preserve"> </w:t>
      </w:r>
    </w:p>
    <w:p w:rsidR="00C60153" w:rsidRPr="00EC4DCF" w:rsidRDefault="00C60153" w:rsidP="00EC4DCF">
      <w:pPr>
        <w:pStyle w:val="HTMLncedenBiimlendirilmi"/>
        <w:shd w:val="clear" w:color="auto" w:fill="FFFFFF"/>
        <w:spacing w:line="360" w:lineRule="auto"/>
        <w:jc w:val="both"/>
        <w:rPr>
          <w:rFonts w:ascii="Arial" w:hAnsi="Arial" w:cs="Arial"/>
          <w:sz w:val="22"/>
          <w:szCs w:val="22"/>
        </w:rPr>
      </w:pPr>
      <w:r w:rsidRPr="00EC4DCF">
        <w:rPr>
          <w:rFonts w:ascii="Arial" w:hAnsi="Arial" w:cs="Arial"/>
          <w:sz w:val="22"/>
          <w:szCs w:val="22"/>
        </w:rPr>
        <w:tab/>
        <w:t xml:space="preserve">Sağlık çalışanlarının çocuklarda DEHB değerlendirmesini yapmalarında yardımcı olmak amacıyla geliştirilmiş bir araçtır. ACE görüşmesi yarı </w:t>
      </w:r>
      <w:r w:rsidRPr="00EC4DCF">
        <w:rPr>
          <w:rFonts w:ascii="Arial" w:hAnsi="Arial" w:cs="Arial"/>
          <w:sz w:val="22"/>
          <w:szCs w:val="22"/>
        </w:rPr>
        <w:lastRenderedPageBreak/>
        <w:t xml:space="preserve">yapılandırılmıştır ve DEHB’nin temel belirtilerini ve bunların işlevselliği ne kadar bozduğunu değerlendirerek görüşmeciye tanısal süreçte yol gösterir. ACE dikkat eksikliği, hiperaktivite ve dürtüselliğin temel belirtileriyle örtüşen bir dizi soru sorar. Bu belirtilerin ortaya çıkma şekillerinden tipik örnekler ile görüşmeciye kolaylık sağlar ve klinik yargıya rehberlik eder. Temel belirtilerin iki veya daha fazla ortamda önemli bozulmaya yol açıp açmadığının değerlendirilebilmesi amacıyla ACE her bir belirti için hem ev hem de okul ortamını sorgular. Her ortam için ayrı ayrı örnekler bulunur. Okul dışı etkinlikler ev ortamı ile ilgili örnekler olarak değerlendirilmelidir. Bu yarı-yapılandırılmış görüşme DSM-5’e göre DEHB’nin tanısal sorgulanmasına imkan sağlar. Young tarafından geliştirilen ACE’nin Türkçe çevirisi Semerci tarafından yapılmıştır </w:t>
      </w:r>
      <w:r w:rsidR="00BC3BBB" w:rsidRPr="00EC4DCF">
        <w:rPr>
          <w:rFonts w:ascii="Arial" w:hAnsi="Arial" w:cs="Arial"/>
          <w:sz w:val="22"/>
          <w:szCs w:val="22"/>
        </w:rPr>
        <w:fldChar w:fldCharType="begin" w:fldLock="1"/>
      </w:r>
      <w:r w:rsidRPr="00EC4DCF">
        <w:rPr>
          <w:rFonts w:ascii="Arial" w:hAnsi="Arial" w:cs="Arial"/>
          <w:sz w:val="22"/>
          <w:szCs w:val="22"/>
        </w:rPr>
        <w:instrText>ADDIN CSL_CITATION { "citationItems" : [ { "id" : "ITEM-1", "itemData" : { "author" : [ { "dropping-particle" : "", "family" : "Young", "given" : "Susan", "non-dropping-particle" : "", "parse-names" : false, "suffix" : "" } ], "id" : "ITEM-1", "issued" : { "date-parts" : [ [ "2015" ] ] }, "title" : "ADHD Child Evaluation (ACE) T\u00fcrk\u00e7e \u00c7ocuklarda DEHB \u0130\u00e7in Tan\u0131sal G\u00f6r\u00fc\u015fme", "type" : "article-journal" }, "uris" : [ "http://www.mendeley.com/documents/?uuid=3b3f2d16-03d8-49dc-9d6d-6645505feaf6" ] } ], "mendeley" : { "formattedCitation" : "(104)", "plainTextFormattedCitation" : "(104)", "previouslyFormattedCitation" : "(104)" }, "properties" : { "noteIndex" : 26 }, "schema" : "https://github.com/citation-style-language/schema/raw/master/csl-citation.json" }</w:instrText>
      </w:r>
      <w:r w:rsidR="00BC3BBB" w:rsidRPr="00EC4DCF">
        <w:rPr>
          <w:rFonts w:ascii="Arial" w:hAnsi="Arial" w:cs="Arial"/>
          <w:sz w:val="22"/>
          <w:szCs w:val="22"/>
        </w:rPr>
        <w:fldChar w:fldCharType="separate"/>
      </w:r>
      <w:r w:rsidRPr="00EC4DCF">
        <w:rPr>
          <w:rFonts w:ascii="Arial" w:hAnsi="Arial" w:cs="Arial"/>
          <w:noProof/>
          <w:sz w:val="22"/>
          <w:szCs w:val="22"/>
        </w:rPr>
        <w:t>(104)</w:t>
      </w:r>
      <w:r w:rsidR="00BC3BBB" w:rsidRPr="00EC4DCF">
        <w:rPr>
          <w:rFonts w:ascii="Arial" w:hAnsi="Arial" w:cs="Arial"/>
          <w:sz w:val="22"/>
          <w:szCs w:val="22"/>
        </w:rPr>
        <w:fldChar w:fldCharType="end"/>
      </w:r>
      <w:r w:rsidRPr="00EC4DCF">
        <w:rPr>
          <w:rFonts w:ascii="Arial" w:hAnsi="Arial" w:cs="Arial"/>
          <w:sz w:val="22"/>
          <w:szCs w:val="22"/>
        </w:rPr>
        <w:t xml:space="preserve">. </w:t>
      </w:r>
    </w:p>
    <w:p w:rsidR="00C60153" w:rsidRPr="006A30B9" w:rsidRDefault="00C60153" w:rsidP="00C60153">
      <w:pPr>
        <w:spacing w:line="360" w:lineRule="auto"/>
        <w:ind w:firstLine="567"/>
        <w:rPr>
          <w:rFonts w:ascii="Arial" w:hAnsi="Arial" w:cs="Arial"/>
          <w:b/>
          <w:sz w:val="22"/>
          <w:szCs w:val="22"/>
        </w:rPr>
      </w:pPr>
      <w:r w:rsidRPr="006A30B9">
        <w:rPr>
          <w:rFonts w:ascii="Arial" w:hAnsi="Arial" w:cs="Arial"/>
          <w:b/>
          <w:sz w:val="22"/>
          <w:szCs w:val="22"/>
        </w:rPr>
        <w:t xml:space="preserve">miRNA Ekspresyon Seviyelerinin Ölçümü  </w:t>
      </w:r>
    </w:p>
    <w:p w:rsidR="00C60153" w:rsidRPr="006A30B9" w:rsidRDefault="00C60153" w:rsidP="00C60153">
      <w:pPr>
        <w:spacing w:line="360" w:lineRule="auto"/>
        <w:ind w:firstLine="567"/>
        <w:rPr>
          <w:rFonts w:ascii="Arial" w:hAnsi="Arial" w:cs="Arial"/>
          <w:b/>
          <w:i/>
          <w:sz w:val="22"/>
          <w:szCs w:val="22"/>
        </w:rPr>
      </w:pPr>
      <w:r w:rsidRPr="006A30B9">
        <w:rPr>
          <w:rFonts w:ascii="Arial" w:hAnsi="Arial" w:cs="Arial"/>
          <w:b/>
          <w:i/>
          <w:sz w:val="22"/>
          <w:szCs w:val="22"/>
        </w:rPr>
        <w:t>miRNA izolasyonu:</w:t>
      </w:r>
    </w:p>
    <w:p w:rsidR="00C60153" w:rsidRPr="006A30B9" w:rsidRDefault="00C60153" w:rsidP="006A30B9">
      <w:pPr>
        <w:spacing w:line="360" w:lineRule="auto"/>
        <w:ind w:firstLine="567"/>
        <w:jc w:val="both"/>
        <w:rPr>
          <w:rFonts w:ascii="Arial" w:hAnsi="Arial" w:cs="Arial"/>
          <w:color w:val="000000"/>
          <w:sz w:val="22"/>
          <w:szCs w:val="22"/>
        </w:rPr>
      </w:pPr>
      <w:r w:rsidRPr="006A30B9">
        <w:rPr>
          <w:rFonts w:ascii="Arial" w:hAnsi="Arial" w:cs="Arial"/>
          <w:sz w:val="22"/>
          <w:szCs w:val="22"/>
        </w:rPr>
        <w:t xml:space="preserve">Hasta ve kontrol plazmasından </w:t>
      </w:r>
      <w:r w:rsidRPr="006A30B9">
        <w:rPr>
          <w:rFonts w:ascii="Arial" w:hAnsi="Arial" w:cs="Arial"/>
          <w:color w:val="000000"/>
          <w:sz w:val="22"/>
          <w:szCs w:val="22"/>
        </w:rPr>
        <w:t>EXIQON miRCURY RNA Isolation Kit (</w:t>
      </w:r>
      <w:r w:rsidRPr="006A30B9">
        <w:rPr>
          <w:rFonts w:ascii="Arial" w:hAnsi="Arial" w:cs="Arial"/>
          <w:sz w:val="22"/>
          <w:szCs w:val="22"/>
        </w:rPr>
        <w:t>Exiqon A/S, Vedbaek, Denmark</w:t>
      </w:r>
      <w:r w:rsidRPr="006A30B9">
        <w:rPr>
          <w:rFonts w:ascii="Arial" w:hAnsi="Arial" w:cs="Arial"/>
          <w:color w:val="000000"/>
          <w:sz w:val="22"/>
          <w:szCs w:val="22"/>
        </w:rPr>
        <w:t xml:space="preserve">) ile </w:t>
      </w:r>
      <w:r w:rsidRPr="006A30B9">
        <w:rPr>
          <w:rFonts w:ascii="Arial" w:hAnsi="Arial" w:cs="Arial"/>
          <w:sz w:val="22"/>
          <w:szCs w:val="22"/>
        </w:rPr>
        <w:t>miRNA’yı da içeren total</w:t>
      </w:r>
      <w:r w:rsidRPr="006A30B9">
        <w:rPr>
          <w:rFonts w:ascii="Arial" w:hAnsi="Arial" w:cs="Arial"/>
          <w:color w:val="000000"/>
          <w:sz w:val="22"/>
          <w:szCs w:val="22"/>
        </w:rPr>
        <w:t xml:space="preserve"> RNA izolasyonu kit üreticisinin yönergesine uyularak yapıldı.</w:t>
      </w:r>
    </w:p>
    <w:p w:rsidR="00C60153" w:rsidRPr="006A30B9" w:rsidRDefault="00C60153" w:rsidP="006A30B9">
      <w:pPr>
        <w:spacing w:line="360" w:lineRule="auto"/>
        <w:ind w:firstLine="567"/>
        <w:jc w:val="both"/>
        <w:rPr>
          <w:rFonts w:ascii="Arial" w:hAnsi="Arial" w:cs="Arial"/>
          <w:color w:val="000000"/>
          <w:sz w:val="22"/>
          <w:szCs w:val="22"/>
        </w:rPr>
      </w:pPr>
      <w:r w:rsidRPr="006A30B9">
        <w:rPr>
          <w:rFonts w:ascii="Arial" w:hAnsi="Arial" w:cs="Arial"/>
          <w:color w:val="000000"/>
          <w:sz w:val="22"/>
          <w:szCs w:val="22"/>
        </w:rPr>
        <w:t>RNA izolasyonu yapılmasında izlenen protokol:</w:t>
      </w:r>
    </w:p>
    <w:p w:rsidR="00C60153" w:rsidRPr="006A30B9" w:rsidRDefault="00C60153" w:rsidP="006A30B9">
      <w:pPr>
        <w:spacing w:line="360" w:lineRule="auto"/>
        <w:ind w:firstLine="567"/>
        <w:jc w:val="both"/>
        <w:rPr>
          <w:rFonts w:ascii="Arial" w:hAnsi="Arial" w:cs="Arial"/>
          <w:color w:val="000000"/>
          <w:sz w:val="22"/>
          <w:szCs w:val="22"/>
        </w:rPr>
      </w:pPr>
      <w:r w:rsidRPr="006A30B9">
        <w:rPr>
          <w:rFonts w:ascii="Arial" w:hAnsi="Arial" w:cs="Arial"/>
          <w:color w:val="000000"/>
          <w:sz w:val="22"/>
          <w:szCs w:val="22"/>
        </w:rPr>
        <w:t>1. 100 µl kan RNase free mikrosantrifüj tüpüne alındı.</w:t>
      </w:r>
    </w:p>
    <w:p w:rsidR="00C60153" w:rsidRPr="006A30B9" w:rsidRDefault="00C60153" w:rsidP="006A30B9">
      <w:pPr>
        <w:spacing w:line="360" w:lineRule="auto"/>
        <w:ind w:firstLine="567"/>
        <w:jc w:val="both"/>
        <w:rPr>
          <w:rFonts w:ascii="Arial" w:hAnsi="Arial" w:cs="Arial"/>
          <w:color w:val="000000"/>
          <w:sz w:val="22"/>
          <w:szCs w:val="22"/>
        </w:rPr>
      </w:pPr>
      <w:r w:rsidRPr="006A30B9">
        <w:rPr>
          <w:rFonts w:ascii="Arial" w:hAnsi="Arial" w:cs="Arial"/>
          <w:color w:val="000000"/>
          <w:sz w:val="22"/>
          <w:szCs w:val="22"/>
        </w:rPr>
        <w:t>2. Kana 350 µl lizis solusyonu eklenip 15 sn vortexlendi.</w:t>
      </w:r>
    </w:p>
    <w:p w:rsidR="00C60153" w:rsidRPr="006A30B9" w:rsidRDefault="00C60153" w:rsidP="006A30B9">
      <w:pPr>
        <w:spacing w:line="360" w:lineRule="auto"/>
        <w:ind w:firstLine="567"/>
        <w:jc w:val="both"/>
        <w:rPr>
          <w:rFonts w:ascii="Arial" w:hAnsi="Arial" w:cs="Arial"/>
          <w:color w:val="000000"/>
          <w:sz w:val="22"/>
          <w:szCs w:val="22"/>
        </w:rPr>
      </w:pPr>
      <w:r w:rsidRPr="006A30B9">
        <w:rPr>
          <w:rFonts w:ascii="Arial" w:hAnsi="Arial" w:cs="Arial"/>
          <w:color w:val="000000"/>
          <w:sz w:val="22"/>
          <w:szCs w:val="22"/>
        </w:rPr>
        <w:t>3. Lizata 200 µl %96-100 etanol eklendi ve 10 sn vortexlendi.</w:t>
      </w:r>
    </w:p>
    <w:p w:rsidR="00C60153" w:rsidRPr="006A30B9" w:rsidRDefault="00C60153" w:rsidP="006A30B9">
      <w:pPr>
        <w:spacing w:line="360" w:lineRule="auto"/>
        <w:ind w:firstLine="567"/>
        <w:jc w:val="both"/>
        <w:rPr>
          <w:rFonts w:ascii="Arial" w:hAnsi="Arial" w:cs="Arial"/>
          <w:color w:val="000000"/>
          <w:sz w:val="22"/>
          <w:szCs w:val="22"/>
        </w:rPr>
      </w:pPr>
      <w:r w:rsidRPr="006A30B9">
        <w:rPr>
          <w:rFonts w:ascii="Arial" w:hAnsi="Arial" w:cs="Arial"/>
          <w:color w:val="000000"/>
          <w:sz w:val="22"/>
          <w:szCs w:val="22"/>
        </w:rPr>
        <w:t>4. Total RNA purifikasyonu için etanollü lizattan 600 µl kolona alındı 1 dk 14000 x g hızında santrifüj yapıldı.</w:t>
      </w:r>
    </w:p>
    <w:p w:rsidR="00C60153" w:rsidRPr="006A30B9" w:rsidRDefault="00C60153" w:rsidP="006A30B9">
      <w:pPr>
        <w:spacing w:line="360" w:lineRule="auto"/>
        <w:ind w:firstLine="567"/>
        <w:jc w:val="both"/>
        <w:rPr>
          <w:rFonts w:ascii="Arial" w:hAnsi="Arial" w:cs="Arial"/>
          <w:color w:val="000000"/>
          <w:sz w:val="22"/>
          <w:szCs w:val="22"/>
        </w:rPr>
      </w:pPr>
      <w:r w:rsidRPr="006A30B9">
        <w:rPr>
          <w:rFonts w:ascii="Arial" w:hAnsi="Arial" w:cs="Arial"/>
          <w:color w:val="000000"/>
          <w:sz w:val="22"/>
          <w:szCs w:val="22"/>
        </w:rPr>
        <w:t>5. Toplama tüpündeki sıvı dökülerek kolon tekrar toplama tüpüne yerleştirildi.</w:t>
      </w:r>
    </w:p>
    <w:p w:rsidR="00C60153" w:rsidRPr="006A30B9" w:rsidRDefault="00C60153" w:rsidP="006A30B9">
      <w:pPr>
        <w:spacing w:line="360" w:lineRule="auto"/>
        <w:ind w:firstLine="567"/>
        <w:jc w:val="both"/>
        <w:rPr>
          <w:rFonts w:ascii="Arial" w:hAnsi="Arial" w:cs="Arial"/>
          <w:color w:val="000000"/>
          <w:sz w:val="22"/>
          <w:szCs w:val="22"/>
        </w:rPr>
      </w:pPr>
      <w:r w:rsidRPr="006A30B9">
        <w:rPr>
          <w:rFonts w:ascii="Arial" w:hAnsi="Arial" w:cs="Arial"/>
          <w:color w:val="000000"/>
          <w:sz w:val="22"/>
          <w:szCs w:val="22"/>
        </w:rPr>
        <w:t>6. 400 µl yıkama solüsyonu kolona alında, 1 dk süre ile 14000 x g hızında santrifüj yapıldı.</w:t>
      </w:r>
    </w:p>
    <w:p w:rsidR="00C60153" w:rsidRPr="006A30B9" w:rsidRDefault="00C60153" w:rsidP="006A30B9">
      <w:pPr>
        <w:spacing w:line="360" w:lineRule="auto"/>
        <w:ind w:firstLine="567"/>
        <w:jc w:val="both"/>
        <w:rPr>
          <w:rFonts w:ascii="Arial" w:hAnsi="Arial" w:cs="Arial"/>
          <w:color w:val="000000"/>
          <w:sz w:val="22"/>
          <w:szCs w:val="22"/>
        </w:rPr>
      </w:pPr>
      <w:r w:rsidRPr="006A30B9">
        <w:rPr>
          <w:rFonts w:ascii="Arial" w:hAnsi="Arial" w:cs="Arial"/>
          <w:color w:val="000000"/>
          <w:sz w:val="22"/>
          <w:szCs w:val="22"/>
        </w:rPr>
        <w:t>7. Toplama tüpündeki sıvı dökülerek, kolon tekrar toplama tüpüne yerleştirildi, 6. ve 7. basamaklar 2 defa daha tekrarlandı.</w:t>
      </w:r>
    </w:p>
    <w:p w:rsidR="00C60153" w:rsidRPr="006A30B9" w:rsidRDefault="00C60153" w:rsidP="006A30B9">
      <w:pPr>
        <w:spacing w:line="360" w:lineRule="auto"/>
        <w:ind w:firstLine="567"/>
        <w:jc w:val="both"/>
        <w:rPr>
          <w:rFonts w:ascii="Arial" w:hAnsi="Arial" w:cs="Arial"/>
          <w:color w:val="000000"/>
          <w:sz w:val="22"/>
          <w:szCs w:val="22"/>
        </w:rPr>
      </w:pPr>
      <w:r w:rsidRPr="006A30B9">
        <w:rPr>
          <w:rFonts w:ascii="Arial" w:hAnsi="Arial" w:cs="Arial"/>
          <w:color w:val="000000"/>
          <w:sz w:val="22"/>
          <w:szCs w:val="22"/>
        </w:rPr>
        <w:t>8. Resinin kuruması için 14000 x g hızında 2 dk santrifüj yapıldı.</w:t>
      </w:r>
    </w:p>
    <w:p w:rsidR="00C60153" w:rsidRPr="006A30B9" w:rsidRDefault="00C60153" w:rsidP="006A30B9">
      <w:pPr>
        <w:spacing w:line="360" w:lineRule="auto"/>
        <w:ind w:firstLine="567"/>
        <w:jc w:val="both"/>
        <w:rPr>
          <w:rFonts w:ascii="Arial" w:hAnsi="Arial" w:cs="Arial"/>
          <w:color w:val="000000"/>
          <w:sz w:val="22"/>
          <w:szCs w:val="22"/>
        </w:rPr>
      </w:pPr>
      <w:r w:rsidRPr="006A30B9">
        <w:rPr>
          <w:rFonts w:ascii="Arial" w:hAnsi="Arial" w:cs="Arial"/>
          <w:color w:val="000000"/>
          <w:sz w:val="22"/>
          <w:szCs w:val="22"/>
        </w:rPr>
        <w:t>9. Toplama tüpü atılarak kolon RNA elüsyonu için elüsyon tüpüne yerleştirildi.</w:t>
      </w:r>
    </w:p>
    <w:p w:rsidR="00C60153" w:rsidRPr="006A30B9" w:rsidRDefault="00C60153" w:rsidP="006A30B9">
      <w:pPr>
        <w:spacing w:line="360" w:lineRule="auto"/>
        <w:ind w:firstLine="567"/>
        <w:jc w:val="both"/>
        <w:rPr>
          <w:rFonts w:ascii="Arial" w:hAnsi="Arial" w:cs="Arial"/>
          <w:color w:val="000000"/>
          <w:sz w:val="22"/>
          <w:szCs w:val="22"/>
        </w:rPr>
      </w:pPr>
      <w:r w:rsidRPr="006A30B9">
        <w:rPr>
          <w:rFonts w:ascii="Arial" w:hAnsi="Arial" w:cs="Arial"/>
          <w:color w:val="000000"/>
          <w:sz w:val="22"/>
          <w:szCs w:val="22"/>
        </w:rPr>
        <w:t>10. Kolona 50 µl elüsyon tamponu eklendi, 2 dk 200 x g hızında santrifüj yapıldıktan sonra 1 dk 14000 x g hızında santrifüj yapıldı.</w:t>
      </w:r>
    </w:p>
    <w:p w:rsidR="00C60153" w:rsidRPr="006A30B9" w:rsidRDefault="00C60153" w:rsidP="006A30B9">
      <w:pPr>
        <w:spacing w:line="360" w:lineRule="auto"/>
        <w:ind w:firstLine="567"/>
        <w:jc w:val="both"/>
        <w:rPr>
          <w:rFonts w:ascii="Arial" w:hAnsi="Arial" w:cs="Arial"/>
          <w:b/>
          <w:i/>
          <w:sz w:val="22"/>
          <w:szCs w:val="22"/>
        </w:rPr>
      </w:pPr>
      <w:r w:rsidRPr="006A30B9">
        <w:rPr>
          <w:rFonts w:ascii="Arial" w:hAnsi="Arial" w:cs="Arial"/>
          <w:color w:val="000000"/>
          <w:sz w:val="22"/>
          <w:szCs w:val="22"/>
        </w:rPr>
        <w:t>Her bir örneğin total RNA konsantrasyonları ve 260 ve 280 nm dalga boyundaki absorbans değerleri spektrofotometrik olarak değerleri ölçülmüştür. Elde edilen veriler tablo halinde “bulgular” kısmında verilmiştir. (Tablo 23 ve 24) Hazırlanan örnekler cDNA sentezi basamağı öncesinde -80</w:t>
      </w:r>
      <w:r w:rsidRPr="006A30B9">
        <w:rPr>
          <w:rFonts w:ascii="Arial" w:hAnsi="Arial" w:cs="Arial"/>
          <w:color w:val="000000"/>
          <w:sz w:val="22"/>
          <w:szCs w:val="22"/>
          <w:vertAlign w:val="superscript"/>
        </w:rPr>
        <w:t>o</w:t>
      </w:r>
      <w:r w:rsidRPr="006A30B9">
        <w:rPr>
          <w:rFonts w:ascii="Arial" w:hAnsi="Arial" w:cs="Arial"/>
          <w:color w:val="000000"/>
          <w:sz w:val="22"/>
          <w:szCs w:val="22"/>
        </w:rPr>
        <w:t xml:space="preserve">C derecede bekletildi. </w:t>
      </w:r>
      <w:r w:rsidRPr="006A30B9">
        <w:rPr>
          <w:rFonts w:ascii="Arial" w:hAnsi="Arial" w:cs="Arial"/>
          <w:color w:val="000000"/>
          <w:sz w:val="22"/>
          <w:szCs w:val="22"/>
        </w:rPr>
        <w:lastRenderedPageBreak/>
        <w:t>Örneklerden önce cDNA sentezi basamağı ve sonrasında PCR basamağı için EXIQON miRCURY LNA Universal RT microRNA PCR (</w:t>
      </w:r>
      <w:r w:rsidRPr="006A30B9">
        <w:rPr>
          <w:rFonts w:ascii="Arial" w:hAnsi="Arial" w:cs="Arial"/>
          <w:sz w:val="22"/>
          <w:szCs w:val="22"/>
        </w:rPr>
        <w:t>Exiqon A/S, Vedbaek, Denmark)</w:t>
      </w:r>
      <w:r w:rsidRPr="006A30B9">
        <w:rPr>
          <w:rFonts w:ascii="Arial" w:hAnsi="Arial" w:cs="Arial"/>
          <w:color w:val="000000"/>
          <w:sz w:val="22"/>
          <w:szCs w:val="22"/>
        </w:rPr>
        <w:t xml:space="preserve"> kiti kullanılmıştır.</w:t>
      </w:r>
      <w:r w:rsidRPr="006A30B9">
        <w:rPr>
          <w:rFonts w:ascii="Arial" w:hAnsi="Arial" w:cs="Arial"/>
          <w:b/>
          <w:i/>
          <w:sz w:val="22"/>
          <w:szCs w:val="22"/>
        </w:rPr>
        <w:t xml:space="preserve"> </w:t>
      </w:r>
    </w:p>
    <w:p w:rsidR="00C60153" w:rsidRPr="00F51ECA" w:rsidRDefault="00C60153" w:rsidP="0094374E">
      <w:pPr>
        <w:pStyle w:val="NormalWeb"/>
        <w:spacing w:line="360" w:lineRule="auto"/>
        <w:rPr>
          <w:rFonts w:ascii="Arial" w:hAnsi="Arial" w:cs="Arial"/>
          <w:color w:val="000000"/>
          <w:sz w:val="22"/>
          <w:szCs w:val="22"/>
        </w:rPr>
      </w:pPr>
      <w:r w:rsidRPr="00F51ECA">
        <w:rPr>
          <w:rFonts w:ascii="Arial" w:hAnsi="Arial" w:cs="Arial"/>
          <w:color w:val="000000"/>
          <w:sz w:val="22"/>
          <w:szCs w:val="22"/>
        </w:rPr>
        <w:t>Kitin içeriği:</w:t>
      </w:r>
    </w:p>
    <w:p w:rsidR="00C60153" w:rsidRPr="00F51ECA" w:rsidRDefault="00C60153" w:rsidP="0094374E">
      <w:pPr>
        <w:pStyle w:val="NormalWeb"/>
        <w:numPr>
          <w:ilvl w:val="0"/>
          <w:numId w:val="27"/>
        </w:numPr>
        <w:spacing w:line="360" w:lineRule="auto"/>
        <w:rPr>
          <w:rFonts w:ascii="Arial" w:hAnsi="Arial" w:cs="Arial"/>
          <w:color w:val="000000"/>
          <w:sz w:val="22"/>
          <w:szCs w:val="22"/>
        </w:rPr>
      </w:pPr>
      <w:r w:rsidRPr="00F51ECA">
        <w:rPr>
          <w:rFonts w:ascii="Arial" w:hAnsi="Arial" w:cs="Arial"/>
          <w:color w:val="000000"/>
          <w:sz w:val="22"/>
          <w:szCs w:val="22"/>
        </w:rPr>
        <w:t>Universal cDNA sentez kiti</w:t>
      </w:r>
    </w:p>
    <w:p w:rsidR="00C60153" w:rsidRPr="00F51ECA" w:rsidRDefault="00C60153" w:rsidP="0094374E">
      <w:pPr>
        <w:pStyle w:val="NormalWeb"/>
        <w:numPr>
          <w:ilvl w:val="0"/>
          <w:numId w:val="27"/>
        </w:numPr>
        <w:spacing w:line="360" w:lineRule="auto"/>
        <w:rPr>
          <w:rFonts w:ascii="Arial" w:hAnsi="Arial" w:cs="Arial"/>
          <w:color w:val="000000"/>
          <w:sz w:val="22"/>
          <w:szCs w:val="22"/>
        </w:rPr>
      </w:pPr>
      <w:r w:rsidRPr="00F51ECA">
        <w:rPr>
          <w:rFonts w:ascii="Arial" w:hAnsi="Arial" w:cs="Arial"/>
          <w:color w:val="000000"/>
          <w:sz w:val="22"/>
          <w:szCs w:val="22"/>
        </w:rPr>
        <w:t>RNA Spike in kit</w:t>
      </w:r>
    </w:p>
    <w:p w:rsidR="00C60153" w:rsidRPr="00F51ECA" w:rsidRDefault="00C60153" w:rsidP="0094374E">
      <w:pPr>
        <w:pStyle w:val="NormalWeb"/>
        <w:numPr>
          <w:ilvl w:val="0"/>
          <w:numId w:val="27"/>
        </w:numPr>
        <w:spacing w:line="360" w:lineRule="auto"/>
        <w:rPr>
          <w:rFonts w:ascii="Arial" w:hAnsi="Arial" w:cs="Arial"/>
          <w:color w:val="000000"/>
          <w:sz w:val="22"/>
          <w:szCs w:val="22"/>
        </w:rPr>
      </w:pPr>
      <w:r w:rsidRPr="00F51ECA">
        <w:rPr>
          <w:rFonts w:ascii="Arial" w:hAnsi="Arial" w:cs="Arial"/>
          <w:color w:val="000000"/>
          <w:sz w:val="22"/>
          <w:szCs w:val="22"/>
        </w:rPr>
        <w:t>Exilent SYBR Green Master mix kit</w:t>
      </w:r>
    </w:p>
    <w:p w:rsidR="00EC4DCF" w:rsidRPr="00EC4DCF" w:rsidRDefault="00C60153" w:rsidP="0094374E">
      <w:pPr>
        <w:pStyle w:val="NormalWeb"/>
        <w:numPr>
          <w:ilvl w:val="0"/>
          <w:numId w:val="27"/>
        </w:numPr>
        <w:spacing w:line="360" w:lineRule="auto"/>
        <w:rPr>
          <w:rFonts w:ascii="Arial" w:hAnsi="Arial" w:cs="Arial"/>
          <w:b/>
          <w:i/>
          <w:sz w:val="22"/>
          <w:szCs w:val="22"/>
        </w:rPr>
      </w:pPr>
      <w:r w:rsidRPr="00EC4DCF">
        <w:rPr>
          <w:rFonts w:ascii="Arial" w:hAnsi="Arial" w:cs="Arial"/>
          <w:color w:val="000000"/>
          <w:sz w:val="22"/>
          <w:szCs w:val="22"/>
        </w:rPr>
        <w:t>microRNA primer setleri</w:t>
      </w:r>
    </w:p>
    <w:p w:rsidR="00C60153" w:rsidRPr="00EC4DCF" w:rsidRDefault="00C60153" w:rsidP="00EC4DCF">
      <w:pPr>
        <w:spacing w:line="360" w:lineRule="auto"/>
        <w:ind w:firstLine="360"/>
        <w:rPr>
          <w:rFonts w:ascii="Arial" w:hAnsi="Arial" w:cs="Arial"/>
          <w:b/>
          <w:sz w:val="22"/>
          <w:szCs w:val="22"/>
        </w:rPr>
      </w:pPr>
      <w:r w:rsidRPr="00EC4DCF">
        <w:rPr>
          <w:rFonts w:ascii="Arial" w:hAnsi="Arial" w:cs="Arial"/>
          <w:b/>
          <w:sz w:val="22"/>
          <w:szCs w:val="22"/>
        </w:rPr>
        <w:t>cDNA eldesi</w:t>
      </w:r>
    </w:p>
    <w:p w:rsidR="00C60153" w:rsidRPr="00EC4DCF" w:rsidRDefault="00C60153" w:rsidP="00EC4DCF">
      <w:pPr>
        <w:spacing w:line="360" w:lineRule="auto"/>
        <w:ind w:firstLine="360"/>
        <w:rPr>
          <w:rFonts w:ascii="Arial" w:hAnsi="Arial" w:cs="Arial"/>
          <w:color w:val="000000" w:themeColor="text1"/>
          <w:sz w:val="22"/>
          <w:szCs w:val="22"/>
        </w:rPr>
      </w:pPr>
      <w:r w:rsidRPr="00EC4DCF">
        <w:rPr>
          <w:rFonts w:ascii="Arial" w:hAnsi="Arial" w:cs="Arial"/>
          <w:sz w:val="22"/>
          <w:szCs w:val="22"/>
        </w:rPr>
        <w:t xml:space="preserve">1. Elde edilen örnekler 20 </w:t>
      </w:r>
      <w:r w:rsidRPr="00EC4DCF">
        <w:rPr>
          <w:rFonts w:ascii="Arial" w:hAnsi="Arial" w:cs="Arial"/>
          <w:color w:val="000000" w:themeColor="text1"/>
          <w:sz w:val="22"/>
          <w:szCs w:val="22"/>
        </w:rPr>
        <w:t>ng/µl kalıp RNA konsantrasyonu içerecek şekilde nuclease free water kullanılarak ayarlandı. Bu karışımdan 2 µl alınarak tüplere konuldu.</w:t>
      </w:r>
    </w:p>
    <w:p w:rsidR="00C60153" w:rsidRPr="00EC4DCF" w:rsidRDefault="00C60153" w:rsidP="00EC4DCF">
      <w:pPr>
        <w:spacing w:line="360" w:lineRule="auto"/>
        <w:ind w:firstLine="360"/>
        <w:rPr>
          <w:rFonts w:ascii="Arial" w:hAnsi="Arial" w:cs="Arial"/>
          <w:color w:val="000000" w:themeColor="text1"/>
          <w:sz w:val="22"/>
          <w:szCs w:val="22"/>
        </w:rPr>
      </w:pPr>
      <w:r w:rsidRPr="00EC4DCF">
        <w:rPr>
          <w:rFonts w:ascii="Arial" w:hAnsi="Arial" w:cs="Arial"/>
          <w:color w:val="000000" w:themeColor="text1"/>
          <w:sz w:val="22"/>
          <w:szCs w:val="22"/>
        </w:rPr>
        <w:t xml:space="preserve">2. Tüplere 5 x Reaction buffer (2 µl), nuclease free water (4,5 µl), enzyme mix (1 µl), RNA spike in (0,5 µl) eklenerek her bir tüpte toplam 10 µl hacim elde edildi. </w:t>
      </w:r>
    </w:p>
    <w:p w:rsidR="00C60153" w:rsidRPr="00EC4DCF" w:rsidRDefault="00C60153" w:rsidP="00EC4DCF">
      <w:pPr>
        <w:spacing w:line="360" w:lineRule="auto"/>
        <w:ind w:firstLine="360"/>
        <w:rPr>
          <w:rFonts w:ascii="Arial" w:hAnsi="Arial" w:cs="Arial"/>
          <w:color w:val="000000" w:themeColor="text1"/>
          <w:sz w:val="22"/>
          <w:szCs w:val="22"/>
        </w:rPr>
      </w:pPr>
      <w:r w:rsidRPr="00EC4DCF">
        <w:rPr>
          <w:rFonts w:ascii="Arial" w:hAnsi="Arial" w:cs="Arial"/>
          <w:color w:val="000000" w:themeColor="text1"/>
          <w:sz w:val="22"/>
          <w:szCs w:val="22"/>
        </w:rPr>
        <w:t>3. Karışım vortexlendi, Thermal Cycler’a konularak 42</w:t>
      </w:r>
      <w:r w:rsidRPr="00EC4DCF">
        <w:rPr>
          <w:rFonts w:ascii="Arial" w:hAnsi="Arial" w:cs="Arial"/>
          <w:color w:val="545454"/>
          <w:sz w:val="22"/>
          <w:szCs w:val="22"/>
          <w:shd w:val="clear" w:color="auto" w:fill="FFFFFF"/>
        </w:rPr>
        <w:t xml:space="preserve"> </w:t>
      </w:r>
      <w:r w:rsidRPr="00EC4DCF">
        <w:rPr>
          <w:rFonts w:ascii="Arial" w:hAnsi="Arial" w:cs="Arial"/>
          <w:color w:val="000000" w:themeColor="text1"/>
          <w:sz w:val="22"/>
          <w:szCs w:val="22"/>
          <w:shd w:val="clear" w:color="auto" w:fill="FFFFFF"/>
        </w:rPr>
        <w:t>°</w:t>
      </w:r>
      <w:r w:rsidRPr="00EC4DCF">
        <w:rPr>
          <w:rStyle w:val="Vurgu"/>
          <w:rFonts w:ascii="Arial" w:hAnsi="Arial" w:cs="Arial"/>
          <w:bCs/>
          <w:color w:val="000000" w:themeColor="text1"/>
          <w:sz w:val="22"/>
          <w:szCs w:val="22"/>
          <w:shd w:val="clear" w:color="auto" w:fill="FFFFFF"/>
        </w:rPr>
        <w:t>C</w:t>
      </w:r>
      <w:r w:rsidRPr="00EC4DCF">
        <w:rPr>
          <w:rFonts w:ascii="Arial" w:hAnsi="Arial" w:cs="Arial"/>
          <w:color w:val="000000" w:themeColor="text1"/>
          <w:sz w:val="22"/>
          <w:szCs w:val="22"/>
        </w:rPr>
        <w:t xml:space="preserve"> derecede 60 dk. inkübe edildi, 95 </w:t>
      </w:r>
      <w:r w:rsidRPr="00EC4DCF">
        <w:rPr>
          <w:rFonts w:ascii="Arial" w:hAnsi="Arial" w:cs="Arial"/>
          <w:color w:val="000000" w:themeColor="text1"/>
          <w:sz w:val="22"/>
          <w:szCs w:val="22"/>
          <w:shd w:val="clear" w:color="auto" w:fill="FFFFFF"/>
        </w:rPr>
        <w:t>°</w:t>
      </w:r>
      <w:r w:rsidRPr="00EC4DCF">
        <w:rPr>
          <w:rStyle w:val="Vurgu"/>
          <w:rFonts w:ascii="Arial" w:hAnsi="Arial" w:cs="Arial"/>
          <w:bCs/>
          <w:color w:val="000000" w:themeColor="text1"/>
          <w:sz w:val="22"/>
          <w:szCs w:val="22"/>
          <w:shd w:val="clear" w:color="auto" w:fill="FFFFFF"/>
        </w:rPr>
        <w:t>C</w:t>
      </w:r>
      <w:r w:rsidRPr="00EC4DCF">
        <w:rPr>
          <w:rFonts w:ascii="Arial" w:hAnsi="Arial" w:cs="Arial"/>
          <w:color w:val="000000" w:themeColor="text1"/>
          <w:sz w:val="22"/>
          <w:szCs w:val="22"/>
        </w:rPr>
        <w:t xml:space="preserve"> derecede 5 dk. reverse transkriptaz ısı ile inaktive edildi, sıcaklık doğrudan 4 </w:t>
      </w:r>
      <w:r w:rsidRPr="00EC4DCF">
        <w:rPr>
          <w:rFonts w:ascii="Arial" w:hAnsi="Arial" w:cs="Arial"/>
          <w:color w:val="000000" w:themeColor="text1"/>
          <w:sz w:val="22"/>
          <w:szCs w:val="22"/>
          <w:shd w:val="clear" w:color="auto" w:fill="FFFFFF"/>
        </w:rPr>
        <w:t>°</w:t>
      </w:r>
      <w:r w:rsidRPr="00EC4DCF">
        <w:rPr>
          <w:rStyle w:val="Vurgu"/>
          <w:rFonts w:ascii="Arial" w:hAnsi="Arial" w:cs="Arial"/>
          <w:bCs/>
          <w:color w:val="000000" w:themeColor="text1"/>
          <w:sz w:val="22"/>
          <w:szCs w:val="22"/>
          <w:shd w:val="clear" w:color="auto" w:fill="FFFFFF"/>
        </w:rPr>
        <w:t>C</w:t>
      </w:r>
      <w:r w:rsidRPr="00EC4DCF">
        <w:rPr>
          <w:rFonts w:ascii="Arial" w:hAnsi="Arial" w:cs="Arial"/>
          <w:color w:val="000000" w:themeColor="text1"/>
          <w:sz w:val="22"/>
          <w:szCs w:val="22"/>
        </w:rPr>
        <w:t xml:space="preserve"> dereceye düşürüldü.</w:t>
      </w:r>
    </w:p>
    <w:p w:rsidR="00C60153" w:rsidRPr="00EC4DCF" w:rsidRDefault="00C60153" w:rsidP="00C60153">
      <w:pPr>
        <w:spacing w:line="360" w:lineRule="auto"/>
        <w:ind w:firstLine="567"/>
        <w:rPr>
          <w:rFonts w:ascii="Arial" w:hAnsi="Arial" w:cs="Arial"/>
          <w:b/>
          <w:i/>
          <w:sz w:val="22"/>
          <w:szCs w:val="22"/>
        </w:rPr>
      </w:pPr>
      <w:r w:rsidRPr="00EC4DCF">
        <w:rPr>
          <w:rFonts w:ascii="Arial" w:hAnsi="Arial" w:cs="Arial"/>
          <w:b/>
          <w:i/>
          <w:sz w:val="22"/>
          <w:szCs w:val="22"/>
        </w:rPr>
        <w:t xml:space="preserve">Kantitatif Real-Time Polimeraz Zincir Reaksiyonu (qRT-PCR) </w:t>
      </w:r>
    </w:p>
    <w:p w:rsidR="00C60153" w:rsidRDefault="00C60153" w:rsidP="00C60153">
      <w:pPr>
        <w:spacing w:line="360" w:lineRule="auto"/>
        <w:ind w:firstLine="567"/>
        <w:rPr>
          <w:rFonts w:ascii="Arial" w:hAnsi="Arial" w:cs="Arial"/>
          <w:sz w:val="22"/>
          <w:szCs w:val="22"/>
        </w:rPr>
      </w:pPr>
      <w:r w:rsidRPr="00EC4DCF">
        <w:rPr>
          <w:rFonts w:ascii="Arial" w:hAnsi="Arial" w:cs="Arial"/>
          <w:color w:val="000000" w:themeColor="text1"/>
          <w:sz w:val="22"/>
          <w:szCs w:val="22"/>
        </w:rPr>
        <w:t>Kalıp cDNA örnekleri planlanan real-time PCR basamağının hemen öncesinde 1:80 oranında nuclease free water kullanılarak dilüe edildi</w:t>
      </w:r>
      <w:r w:rsidRPr="00EC4DCF">
        <w:rPr>
          <w:rFonts w:ascii="Arial" w:hAnsi="Arial" w:cs="Arial"/>
          <w:color w:val="000000"/>
          <w:sz w:val="22"/>
          <w:szCs w:val="22"/>
        </w:rPr>
        <w:t xml:space="preserve"> PCR Master Mix (5 µl), PCR primer seti(1 µl) (Tablo1), dilüe kalıp cDNA (4 µl) eklenerek oluşan karışım 10 µl’lik PCR tüplerine konuldu Hasta ve kontrollerden elde edilen örnekler her bir miRNA (miR-124- 3p, miR-4447, miR-107, miR-Let- 7d ve miR-5692b) ve kontrol miRNA (u6) için ayrı ayrı hazırlanarak real-time PCR amplifikasyonu uygulandı. </w:t>
      </w:r>
      <w:r w:rsidRPr="00EC4DCF">
        <w:rPr>
          <w:rFonts w:ascii="Arial" w:hAnsi="Arial" w:cs="Arial"/>
          <w:sz w:val="22"/>
          <w:szCs w:val="22"/>
        </w:rPr>
        <w:t>QRT-PCR reaksiyonları şu protokol takip edilerek gerçekleştirildi: 40 döngü boyunca 95°C’de 10 dakika, 95°C’de 10 saniye and 60°C’de 1 dakika (</w:t>
      </w:r>
      <w:r w:rsidRPr="00EC4DCF">
        <w:rPr>
          <w:rFonts w:ascii="Arial" w:hAnsi="Arial" w:cs="Arial"/>
          <w:color w:val="000000" w:themeColor="text1"/>
          <w:sz w:val="22"/>
          <w:szCs w:val="22"/>
        </w:rPr>
        <w:t>ramp-rate</w:t>
      </w:r>
      <w:r w:rsidRPr="00F51ECA">
        <w:rPr>
          <w:rFonts w:ascii="Arial" w:hAnsi="Arial" w:cs="Arial"/>
          <w:color w:val="000000" w:themeColor="text1"/>
        </w:rPr>
        <w:t xml:space="preserve"> </w:t>
      </w:r>
      <w:r w:rsidRPr="00EC4DCF">
        <w:rPr>
          <w:rFonts w:ascii="Arial" w:hAnsi="Arial" w:cs="Arial"/>
          <w:color w:val="000000" w:themeColor="text1"/>
          <w:sz w:val="22"/>
          <w:szCs w:val="22"/>
        </w:rPr>
        <w:t>1.6</w:t>
      </w:r>
      <w:r w:rsidRPr="00EC4DCF">
        <w:rPr>
          <w:rFonts w:ascii="Arial" w:hAnsi="Arial" w:cs="Arial"/>
          <w:color w:val="000000" w:themeColor="text1"/>
          <w:sz w:val="22"/>
          <w:szCs w:val="22"/>
          <w:shd w:val="clear" w:color="auto" w:fill="FFFFFF"/>
        </w:rPr>
        <w:t>°</w:t>
      </w:r>
      <w:r w:rsidRPr="00EC4DCF">
        <w:rPr>
          <w:rStyle w:val="Vurgu"/>
          <w:rFonts w:ascii="Arial" w:hAnsi="Arial" w:cs="Arial"/>
          <w:bCs/>
          <w:color w:val="000000" w:themeColor="text1"/>
          <w:sz w:val="22"/>
          <w:szCs w:val="22"/>
          <w:shd w:val="clear" w:color="auto" w:fill="FFFFFF"/>
        </w:rPr>
        <w:t>C</w:t>
      </w:r>
      <w:r w:rsidRPr="00EC4DCF">
        <w:rPr>
          <w:rFonts w:ascii="Arial" w:hAnsi="Arial" w:cs="Arial"/>
          <w:color w:val="000000" w:themeColor="text1"/>
          <w:sz w:val="22"/>
          <w:szCs w:val="22"/>
        </w:rPr>
        <w:t>/s</w:t>
      </w:r>
      <w:r w:rsidRPr="00EC4DCF">
        <w:rPr>
          <w:rFonts w:ascii="Arial" w:hAnsi="Arial" w:cs="Arial"/>
          <w:color w:val="000000" w:themeColor="text1"/>
          <w:sz w:val="22"/>
          <w:szCs w:val="22"/>
          <w:vertAlign w:val="superscript"/>
        </w:rPr>
        <w:t>6)</w:t>
      </w:r>
      <w:r w:rsidRPr="00EC4DCF">
        <w:rPr>
          <w:rFonts w:ascii="Arial" w:hAnsi="Arial" w:cs="Arial"/>
          <w:sz w:val="22"/>
          <w:szCs w:val="22"/>
        </w:rPr>
        <w:t xml:space="preserve">. (Tablo 2) </w:t>
      </w:r>
      <w:r w:rsidRPr="00EC4DCF">
        <w:rPr>
          <w:rFonts w:ascii="Arial" w:hAnsi="Arial" w:cs="Arial"/>
          <w:color w:val="000000"/>
          <w:sz w:val="22"/>
          <w:szCs w:val="22"/>
        </w:rPr>
        <w:t xml:space="preserve">Real-time PCR reaksiyonları </w:t>
      </w:r>
      <w:r w:rsidRPr="00EC4DCF">
        <w:rPr>
          <w:rFonts w:ascii="Arial" w:hAnsi="Arial" w:cs="Arial"/>
          <w:sz w:val="22"/>
          <w:szCs w:val="22"/>
        </w:rPr>
        <w:t xml:space="preserve">QIAGEN Corbett Rotor-Gene 6000 </w:t>
      </w:r>
      <w:r w:rsidRPr="00EC4DCF">
        <w:rPr>
          <w:rFonts w:ascii="Arial" w:hAnsi="Arial" w:cs="Arial"/>
          <w:color w:val="000000"/>
          <w:sz w:val="22"/>
          <w:szCs w:val="22"/>
        </w:rPr>
        <w:t>cihazı (</w:t>
      </w:r>
      <w:r w:rsidRPr="00EC4DCF">
        <w:rPr>
          <w:rFonts w:ascii="Arial" w:hAnsi="Arial" w:cs="Arial"/>
          <w:sz w:val="22"/>
          <w:szCs w:val="22"/>
        </w:rPr>
        <w:t>Corbett Research, Australia</w:t>
      </w:r>
      <w:r w:rsidRPr="00EC4DCF">
        <w:rPr>
          <w:rFonts w:ascii="Arial" w:hAnsi="Arial" w:cs="Arial"/>
          <w:color w:val="000000"/>
          <w:sz w:val="22"/>
          <w:szCs w:val="22"/>
        </w:rPr>
        <w:t xml:space="preserve">) kullanılarak gerçekleştirildi. Bütün miRNA’ların relatif kantitasyonu cihaz ile sağlanan Rotor-Gene Q Series Software kullanılarak Cq ve Ct değerleri elde edildi. </w:t>
      </w:r>
      <w:r w:rsidRPr="00EC4DCF">
        <w:rPr>
          <w:rFonts w:ascii="Arial" w:hAnsi="Arial" w:cs="Arial"/>
          <w:sz w:val="22"/>
          <w:szCs w:val="22"/>
        </w:rPr>
        <w:t>Böylece</w:t>
      </w:r>
      <w:r w:rsidRPr="00EC4DCF">
        <w:rPr>
          <w:rFonts w:ascii="Arial" w:hAnsi="Arial" w:cs="Arial"/>
          <w:b/>
          <w:sz w:val="22"/>
          <w:szCs w:val="22"/>
        </w:rPr>
        <w:t xml:space="preserve"> </w:t>
      </w:r>
      <w:r w:rsidRPr="00EC4DCF">
        <w:rPr>
          <w:rFonts w:ascii="Arial" w:hAnsi="Arial" w:cs="Arial"/>
          <w:sz w:val="22"/>
          <w:szCs w:val="22"/>
        </w:rPr>
        <w:t xml:space="preserve"> </w:t>
      </w:r>
      <w:r w:rsidRPr="00EC4DCF">
        <w:rPr>
          <w:rFonts w:ascii="Arial" w:hAnsi="Arial" w:cs="Arial"/>
          <w:color w:val="000000"/>
          <w:sz w:val="22"/>
          <w:szCs w:val="22"/>
        </w:rPr>
        <w:t>miR-124- 3p, miR-4447, miR-107, miR-Let- 7d ve miR-5692b’nin</w:t>
      </w:r>
      <w:r w:rsidRPr="00EC4DCF">
        <w:rPr>
          <w:rFonts w:ascii="Arial" w:hAnsi="Arial" w:cs="Arial"/>
          <w:sz w:val="22"/>
          <w:szCs w:val="22"/>
        </w:rPr>
        <w:t xml:space="preserve"> ekspresyon seviyeleri gruplar arasında kıyaslandı.</w:t>
      </w:r>
    </w:p>
    <w:p w:rsidR="006A30B9" w:rsidRDefault="006A30B9" w:rsidP="00C60153">
      <w:pPr>
        <w:ind w:firstLine="567"/>
        <w:rPr>
          <w:rFonts w:ascii="Arial" w:hAnsi="Arial" w:cs="Arial"/>
          <w:sz w:val="22"/>
          <w:szCs w:val="22"/>
        </w:rPr>
      </w:pPr>
    </w:p>
    <w:p w:rsidR="0094374E" w:rsidRDefault="0094374E" w:rsidP="00C60153">
      <w:pPr>
        <w:ind w:firstLine="567"/>
        <w:rPr>
          <w:rFonts w:ascii="Arial" w:hAnsi="Arial" w:cs="Arial"/>
          <w:sz w:val="22"/>
          <w:szCs w:val="22"/>
        </w:rPr>
      </w:pPr>
    </w:p>
    <w:p w:rsidR="0094374E" w:rsidRDefault="0094374E" w:rsidP="00C60153">
      <w:pPr>
        <w:ind w:firstLine="567"/>
        <w:rPr>
          <w:rFonts w:ascii="Arial" w:hAnsi="Arial" w:cs="Arial"/>
          <w:sz w:val="22"/>
          <w:szCs w:val="22"/>
        </w:rPr>
      </w:pPr>
    </w:p>
    <w:p w:rsidR="00C60153" w:rsidRPr="00EC4DCF" w:rsidRDefault="00C60153" w:rsidP="00C60153">
      <w:pPr>
        <w:ind w:firstLine="567"/>
        <w:rPr>
          <w:rFonts w:ascii="Arial" w:hAnsi="Arial" w:cs="Arial"/>
          <w:sz w:val="22"/>
          <w:szCs w:val="22"/>
        </w:rPr>
      </w:pPr>
      <w:r w:rsidRPr="00EC4DCF">
        <w:rPr>
          <w:rFonts w:ascii="Arial" w:hAnsi="Arial" w:cs="Arial"/>
          <w:sz w:val="22"/>
          <w:szCs w:val="22"/>
        </w:rPr>
        <w:lastRenderedPageBreak/>
        <w:t>Tablo 1. qRT-PCR basamağında kullanılan primer prob dizileri</w:t>
      </w:r>
    </w:p>
    <w:tbl>
      <w:tblPr>
        <w:tblStyle w:val="KlavuzuTablo41"/>
        <w:tblW w:w="0" w:type="auto"/>
        <w:tblLook w:val="04A0" w:firstRow="1" w:lastRow="0" w:firstColumn="1" w:lastColumn="0" w:noHBand="0" w:noVBand="1"/>
      </w:tblPr>
      <w:tblGrid>
        <w:gridCol w:w="2564"/>
        <w:gridCol w:w="3197"/>
        <w:gridCol w:w="2675"/>
      </w:tblGrid>
      <w:tr w:rsidR="00C60153" w:rsidRPr="00F51ECA" w:rsidTr="00283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2" w:type="dxa"/>
            <w:vAlign w:val="center"/>
          </w:tcPr>
          <w:p w:rsidR="00C60153" w:rsidRPr="0001623A" w:rsidRDefault="00C60153" w:rsidP="00283CE4">
            <w:pPr>
              <w:spacing w:line="360" w:lineRule="auto"/>
              <w:jc w:val="center"/>
              <w:rPr>
                <w:rFonts w:ascii="Arial" w:hAnsi="Arial" w:cs="Arial"/>
                <w:b w:val="0"/>
                <w:sz w:val="20"/>
                <w:szCs w:val="20"/>
              </w:rPr>
            </w:pPr>
            <w:r w:rsidRPr="0001623A">
              <w:rPr>
                <w:rFonts w:ascii="Arial" w:hAnsi="Arial" w:cs="Arial"/>
                <w:b w:val="0"/>
                <w:sz w:val="20"/>
                <w:szCs w:val="20"/>
              </w:rPr>
              <w:t>microRNA ismi</w:t>
            </w:r>
          </w:p>
        </w:tc>
        <w:tc>
          <w:tcPr>
            <w:tcW w:w="3182" w:type="dxa"/>
            <w:vAlign w:val="center"/>
          </w:tcPr>
          <w:p w:rsidR="00C60153" w:rsidRPr="0001623A" w:rsidRDefault="00C60153" w:rsidP="00283CE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01623A">
              <w:rPr>
                <w:rFonts w:ascii="Arial" w:hAnsi="Arial" w:cs="Arial"/>
                <w:b w:val="0"/>
                <w:sz w:val="20"/>
                <w:szCs w:val="20"/>
              </w:rPr>
              <w:t>Hedef sekansı</w:t>
            </w:r>
          </w:p>
        </w:tc>
        <w:tc>
          <w:tcPr>
            <w:tcW w:w="3182" w:type="dxa"/>
            <w:vAlign w:val="center"/>
          </w:tcPr>
          <w:p w:rsidR="00C60153" w:rsidRPr="0001623A" w:rsidRDefault="00C60153" w:rsidP="00283CE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01623A">
              <w:rPr>
                <w:rFonts w:ascii="Arial" w:hAnsi="Arial" w:cs="Arial"/>
                <w:b w:val="0"/>
                <w:sz w:val="20"/>
                <w:szCs w:val="20"/>
              </w:rPr>
              <w:t>Sekans referansı</w:t>
            </w:r>
          </w:p>
        </w:tc>
      </w:tr>
      <w:tr w:rsidR="00C60153" w:rsidRPr="00F51ECA" w:rsidTr="00283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2" w:type="dxa"/>
            <w:shd w:val="clear" w:color="auto" w:fill="auto"/>
            <w:vAlign w:val="center"/>
          </w:tcPr>
          <w:p w:rsidR="00C60153" w:rsidRPr="0001623A" w:rsidRDefault="00C60153" w:rsidP="00283CE4">
            <w:pPr>
              <w:spacing w:line="360" w:lineRule="auto"/>
              <w:jc w:val="center"/>
              <w:rPr>
                <w:rFonts w:ascii="Arial" w:hAnsi="Arial" w:cs="Arial"/>
                <w:b w:val="0"/>
                <w:sz w:val="20"/>
                <w:szCs w:val="20"/>
              </w:rPr>
            </w:pPr>
            <w:r w:rsidRPr="0001623A">
              <w:rPr>
                <w:rFonts w:ascii="Arial" w:hAnsi="Arial" w:cs="Arial"/>
                <w:b w:val="0"/>
                <w:sz w:val="20"/>
                <w:szCs w:val="20"/>
              </w:rPr>
              <w:t>U6</w:t>
            </w:r>
          </w:p>
        </w:tc>
        <w:tc>
          <w:tcPr>
            <w:tcW w:w="3182" w:type="dxa"/>
            <w:shd w:val="clear" w:color="auto" w:fill="auto"/>
            <w:vAlign w:val="center"/>
          </w:tcPr>
          <w:p w:rsidR="00C60153" w:rsidRPr="0001623A" w:rsidRDefault="00C60153" w:rsidP="0028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1623A">
              <w:rPr>
                <w:rFonts w:ascii="Arial" w:hAnsi="Arial" w:cs="Arial"/>
                <w:sz w:val="20"/>
                <w:szCs w:val="20"/>
              </w:rPr>
              <w:t>Referans gen primer seti</w:t>
            </w:r>
          </w:p>
        </w:tc>
        <w:tc>
          <w:tcPr>
            <w:tcW w:w="3182" w:type="dxa"/>
            <w:shd w:val="clear" w:color="auto" w:fill="auto"/>
            <w:vAlign w:val="center"/>
          </w:tcPr>
          <w:p w:rsidR="00C60153" w:rsidRPr="00F51ECA" w:rsidRDefault="00C60153" w:rsidP="0028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60153" w:rsidRPr="00F51ECA" w:rsidTr="00283CE4">
        <w:tc>
          <w:tcPr>
            <w:cnfStyle w:val="001000000000" w:firstRow="0" w:lastRow="0" w:firstColumn="1" w:lastColumn="0" w:oddVBand="0" w:evenVBand="0" w:oddHBand="0" w:evenHBand="0" w:firstRowFirstColumn="0" w:firstRowLastColumn="0" w:lastRowFirstColumn="0" w:lastRowLastColumn="0"/>
            <w:tcW w:w="3182" w:type="dxa"/>
            <w:shd w:val="clear" w:color="auto" w:fill="auto"/>
            <w:vAlign w:val="center"/>
          </w:tcPr>
          <w:p w:rsidR="00C60153" w:rsidRPr="0001623A" w:rsidRDefault="00C60153" w:rsidP="00283CE4">
            <w:pPr>
              <w:spacing w:line="360" w:lineRule="auto"/>
              <w:jc w:val="center"/>
              <w:rPr>
                <w:rFonts w:ascii="Arial" w:hAnsi="Arial" w:cs="Arial"/>
                <w:b w:val="0"/>
                <w:sz w:val="20"/>
                <w:szCs w:val="20"/>
              </w:rPr>
            </w:pPr>
            <w:r w:rsidRPr="0001623A">
              <w:rPr>
                <w:rFonts w:ascii="Arial" w:hAnsi="Arial" w:cs="Arial"/>
                <w:b w:val="0"/>
                <w:sz w:val="20"/>
                <w:szCs w:val="20"/>
              </w:rPr>
              <w:t>hsa-miR-5692b</w:t>
            </w:r>
          </w:p>
        </w:tc>
        <w:tc>
          <w:tcPr>
            <w:tcW w:w="3182" w:type="dxa"/>
            <w:shd w:val="clear" w:color="auto" w:fill="auto"/>
            <w:vAlign w:val="center"/>
          </w:tcPr>
          <w:p w:rsidR="00C60153" w:rsidRPr="00F51ECA" w:rsidRDefault="00C60153" w:rsidP="0028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51ECA">
              <w:rPr>
                <w:rFonts w:ascii="Arial" w:hAnsi="Arial" w:cs="Arial"/>
                <w:color w:val="000000"/>
                <w:sz w:val="18"/>
                <w:szCs w:val="18"/>
                <w:shd w:val="clear" w:color="auto" w:fill="FFFFFF"/>
              </w:rPr>
              <w:t>AAUAAUAUCACAGUAGGUGU</w:t>
            </w:r>
          </w:p>
        </w:tc>
        <w:tc>
          <w:tcPr>
            <w:tcW w:w="3182" w:type="dxa"/>
            <w:shd w:val="clear" w:color="auto" w:fill="auto"/>
            <w:vAlign w:val="center"/>
          </w:tcPr>
          <w:p w:rsidR="00C60153" w:rsidRPr="00F51ECA" w:rsidRDefault="00C60153" w:rsidP="0028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51ECA">
              <w:rPr>
                <w:rFonts w:ascii="Arial" w:hAnsi="Arial" w:cs="Arial"/>
                <w:color w:val="000000"/>
                <w:sz w:val="18"/>
                <w:szCs w:val="18"/>
                <w:shd w:val="clear" w:color="auto" w:fill="FFFFFF"/>
              </w:rPr>
              <w:t>MIMAT0022497</w:t>
            </w:r>
          </w:p>
        </w:tc>
      </w:tr>
      <w:tr w:rsidR="00C60153" w:rsidRPr="00F51ECA" w:rsidTr="00283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2" w:type="dxa"/>
            <w:shd w:val="clear" w:color="auto" w:fill="auto"/>
            <w:vAlign w:val="center"/>
          </w:tcPr>
          <w:p w:rsidR="00C60153" w:rsidRPr="0001623A" w:rsidRDefault="00C60153" w:rsidP="00283CE4">
            <w:pPr>
              <w:spacing w:line="360" w:lineRule="auto"/>
              <w:jc w:val="center"/>
              <w:rPr>
                <w:rFonts w:ascii="Arial" w:hAnsi="Arial" w:cs="Arial"/>
                <w:b w:val="0"/>
                <w:sz w:val="20"/>
                <w:szCs w:val="20"/>
              </w:rPr>
            </w:pPr>
            <w:r w:rsidRPr="0001623A">
              <w:rPr>
                <w:rFonts w:ascii="Arial" w:hAnsi="Arial" w:cs="Arial"/>
                <w:b w:val="0"/>
                <w:sz w:val="20"/>
                <w:szCs w:val="20"/>
              </w:rPr>
              <w:t>hsa-miR-let-7d-5p</w:t>
            </w:r>
          </w:p>
        </w:tc>
        <w:tc>
          <w:tcPr>
            <w:tcW w:w="3182" w:type="dxa"/>
            <w:shd w:val="clear" w:color="auto" w:fill="auto"/>
            <w:vAlign w:val="center"/>
          </w:tcPr>
          <w:p w:rsidR="00C60153" w:rsidRPr="00F51ECA" w:rsidRDefault="00C60153" w:rsidP="0028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51ECA">
              <w:rPr>
                <w:rFonts w:ascii="Arial" w:hAnsi="Arial" w:cs="Arial"/>
                <w:color w:val="000000"/>
                <w:sz w:val="18"/>
                <w:szCs w:val="18"/>
                <w:shd w:val="clear" w:color="auto" w:fill="FFFFFF"/>
              </w:rPr>
              <w:t>AGAGGUAGUAGGUUGCAUAGUU</w:t>
            </w:r>
          </w:p>
        </w:tc>
        <w:tc>
          <w:tcPr>
            <w:tcW w:w="3182" w:type="dxa"/>
            <w:shd w:val="clear" w:color="auto" w:fill="auto"/>
            <w:vAlign w:val="center"/>
          </w:tcPr>
          <w:p w:rsidR="00C60153" w:rsidRPr="00F51ECA" w:rsidRDefault="00C60153" w:rsidP="0028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51ECA">
              <w:rPr>
                <w:rFonts w:ascii="Arial" w:hAnsi="Arial" w:cs="Arial"/>
                <w:color w:val="000000"/>
                <w:sz w:val="18"/>
                <w:szCs w:val="18"/>
                <w:shd w:val="clear" w:color="auto" w:fill="FFFFFF"/>
              </w:rPr>
              <w:t>MIMAT0000065</w:t>
            </w:r>
          </w:p>
        </w:tc>
      </w:tr>
      <w:tr w:rsidR="00C60153" w:rsidRPr="00F51ECA" w:rsidTr="00283CE4">
        <w:tc>
          <w:tcPr>
            <w:cnfStyle w:val="001000000000" w:firstRow="0" w:lastRow="0" w:firstColumn="1" w:lastColumn="0" w:oddVBand="0" w:evenVBand="0" w:oddHBand="0" w:evenHBand="0" w:firstRowFirstColumn="0" w:firstRowLastColumn="0" w:lastRowFirstColumn="0" w:lastRowLastColumn="0"/>
            <w:tcW w:w="3182" w:type="dxa"/>
            <w:shd w:val="clear" w:color="auto" w:fill="auto"/>
            <w:vAlign w:val="center"/>
          </w:tcPr>
          <w:p w:rsidR="00C60153" w:rsidRPr="0001623A" w:rsidRDefault="00C60153" w:rsidP="00283CE4">
            <w:pPr>
              <w:spacing w:line="360" w:lineRule="auto"/>
              <w:jc w:val="center"/>
              <w:rPr>
                <w:rFonts w:ascii="Arial" w:hAnsi="Arial" w:cs="Arial"/>
                <w:b w:val="0"/>
                <w:sz w:val="20"/>
                <w:szCs w:val="20"/>
              </w:rPr>
            </w:pPr>
            <w:r w:rsidRPr="0001623A">
              <w:rPr>
                <w:rFonts w:ascii="Arial" w:hAnsi="Arial" w:cs="Arial"/>
                <w:b w:val="0"/>
                <w:sz w:val="20"/>
                <w:szCs w:val="20"/>
              </w:rPr>
              <w:t>hsa-miR-124-3p</w:t>
            </w:r>
          </w:p>
        </w:tc>
        <w:tc>
          <w:tcPr>
            <w:tcW w:w="3182" w:type="dxa"/>
            <w:shd w:val="clear" w:color="auto" w:fill="auto"/>
            <w:vAlign w:val="center"/>
          </w:tcPr>
          <w:p w:rsidR="00C60153" w:rsidRPr="00F51ECA" w:rsidRDefault="00C60153" w:rsidP="0028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51ECA">
              <w:rPr>
                <w:rFonts w:ascii="Arial" w:hAnsi="Arial" w:cs="Arial"/>
                <w:color w:val="000000"/>
                <w:sz w:val="18"/>
                <w:szCs w:val="18"/>
                <w:shd w:val="clear" w:color="auto" w:fill="FFFFFF"/>
              </w:rPr>
              <w:t>UAAGGCACGCGGUGAAUGCC</w:t>
            </w:r>
          </w:p>
        </w:tc>
        <w:tc>
          <w:tcPr>
            <w:tcW w:w="3182" w:type="dxa"/>
            <w:shd w:val="clear" w:color="auto" w:fill="auto"/>
            <w:vAlign w:val="center"/>
          </w:tcPr>
          <w:p w:rsidR="00C60153" w:rsidRPr="00F51ECA" w:rsidRDefault="00C60153" w:rsidP="0028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51ECA">
              <w:rPr>
                <w:rFonts w:ascii="Arial" w:hAnsi="Arial" w:cs="Arial"/>
                <w:color w:val="000000"/>
                <w:sz w:val="18"/>
                <w:szCs w:val="18"/>
                <w:shd w:val="clear" w:color="auto" w:fill="FFFFFF"/>
              </w:rPr>
              <w:t>MIMAT0000422</w:t>
            </w:r>
          </w:p>
        </w:tc>
      </w:tr>
      <w:tr w:rsidR="00C60153" w:rsidRPr="00F51ECA" w:rsidTr="00283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2" w:type="dxa"/>
            <w:shd w:val="clear" w:color="auto" w:fill="auto"/>
            <w:vAlign w:val="center"/>
          </w:tcPr>
          <w:p w:rsidR="00C60153" w:rsidRPr="0001623A" w:rsidRDefault="00C60153" w:rsidP="00283CE4">
            <w:pPr>
              <w:spacing w:line="360" w:lineRule="auto"/>
              <w:jc w:val="center"/>
              <w:rPr>
                <w:rFonts w:ascii="Arial" w:hAnsi="Arial" w:cs="Arial"/>
                <w:b w:val="0"/>
                <w:sz w:val="20"/>
                <w:szCs w:val="20"/>
              </w:rPr>
            </w:pPr>
            <w:r w:rsidRPr="0001623A">
              <w:rPr>
                <w:rFonts w:ascii="Arial" w:hAnsi="Arial" w:cs="Arial"/>
                <w:b w:val="0"/>
                <w:sz w:val="20"/>
                <w:szCs w:val="20"/>
              </w:rPr>
              <w:t>hsa-miR-107</w:t>
            </w:r>
          </w:p>
        </w:tc>
        <w:tc>
          <w:tcPr>
            <w:tcW w:w="3182" w:type="dxa"/>
            <w:shd w:val="clear" w:color="auto" w:fill="auto"/>
            <w:vAlign w:val="center"/>
          </w:tcPr>
          <w:p w:rsidR="00C60153" w:rsidRPr="00F51ECA" w:rsidRDefault="00C60153" w:rsidP="0028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51ECA">
              <w:rPr>
                <w:rFonts w:ascii="Arial" w:hAnsi="Arial" w:cs="Arial"/>
                <w:color w:val="000000"/>
                <w:sz w:val="18"/>
                <w:szCs w:val="18"/>
                <w:shd w:val="clear" w:color="auto" w:fill="FFFFFF"/>
              </w:rPr>
              <w:t>AGCAGCAUUGUACAGGGCUAUCA</w:t>
            </w:r>
          </w:p>
        </w:tc>
        <w:tc>
          <w:tcPr>
            <w:tcW w:w="3182" w:type="dxa"/>
            <w:shd w:val="clear" w:color="auto" w:fill="auto"/>
            <w:vAlign w:val="center"/>
          </w:tcPr>
          <w:p w:rsidR="00C60153" w:rsidRPr="00F51ECA" w:rsidRDefault="00C60153" w:rsidP="00283CE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51ECA">
              <w:rPr>
                <w:rFonts w:ascii="Arial" w:hAnsi="Arial" w:cs="Arial"/>
                <w:color w:val="000000"/>
                <w:sz w:val="18"/>
                <w:szCs w:val="18"/>
                <w:shd w:val="clear" w:color="auto" w:fill="FFFFFF"/>
              </w:rPr>
              <w:t>MIMAT0000104</w:t>
            </w:r>
          </w:p>
        </w:tc>
      </w:tr>
      <w:tr w:rsidR="00C60153" w:rsidRPr="00F51ECA" w:rsidTr="00283CE4">
        <w:tc>
          <w:tcPr>
            <w:cnfStyle w:val="001000000000" w:firstRow="0" w:lastRow="0" w:firstColumn="1" w:lastColumn="0" w:oddVBand="0" w:evenVBand="0" w:oddHBand="0" w:evenHBand="0" w:firstRowFirstColumn="0" w:firstRowLastColumn="0" w:lastRowFirstColumn="0" w:lastRowLastColumn="0"/>
            <w:tcW w:w="3182" w:type="dxa"/>
            <w:shd w:val="clear" w:color="auto" w:fill="auto"/>
            <w:vAlign w:val="center"/>
          </w:tcPr>
          <w:p w:rsidR="00C60153" w:rsidRPr="0001623A" w:rsidRDefault="00C60153" w:rsidP="00283CE4">
            <w:pPr>
              <w:spacing w:line="360" w:lineRule="auto"/>
              <w:jc w:val="center"/>
              <w:rPr>
                <w:rFonts w:ascii="Arial" w:hAnsi="Arial" w:cs="Arial"/>
                <w:b w:val="0"/>
                <w:sz w:val="20"/>
                <w:szCs w:val="20"/>
              </w:rPr>
            </w:pPr>
            <w:r w:rsidRPr="0001623A">
              <w:rPr>
                <w:rFonts w:ascii="Arial" w:hAnsi="Arial" w:cs="Arial"/>
                <w:b w:val="0"/>
                <w:sz w:val="20"/>
                <w:szCs w:val="20"/>
              </w:rPr>
              <w:t>hsa-miR-4447</w:t>
            </w:r>
          </w:p>
        </w:tc>
        <w:tc>
          <w:tcPr>
            <w:tcW w:w="3182" w:type="dxa"/>
            <w:shd w:val="clear" w:color="auto" w:fill="auto"/>
            <w:vAlign w:val="center"/>
          </w:tcPr>
          <w:p w:rsidR="00C60153" w:rsidRPr="00F51ECA" w:rsidRDefault="00C60153" w:rsidP="0028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51ECA">
              <w:rPr>
                <w:rFonts w:ascii="Arial" w:hAnsi="Arial" w:cs="Arial"/>
                <w:color w:val="000000"/>
                <w:sz w:val="18"/>
                <w:szCs w:val="18"/>
                <w:shd w:val="clear" w:color="auto" w:fill="FFFFFF"/>
              </w:rPr>
              <w:t>GGUGGGGGCUGUUGUUU</w:t>
            </w:r>
          </w:p>
        </w:tc>
        <w:tc>
          <w:tcPr>
            <w:tcW w:w="3182" w:type="dxa"/>
            <w:shd w:val="clear" w:color="auto" w:fill="auto"/>
            <w:vAlign w:val="center"/>
          </w:tcPr>
          <w:p w:rsidR="00C60153" w:rsidRPr="00F51ECA" w:rsidRDefault="00C60153" w:rsidP="00283C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51ECA">
              <w:rPr>
                <w:rFonts w:ascii="Arial" w:hAnsi="Arial" w:cs="Arial"/>
                <w:color w:val="000000"/>
                <w:sz w:val="18"/>
                <w:szCs w:val="18"/>
                <w:shd w:val="clear" w:color="auto" w:fill="FFFFFF"/>
              </w:rPr>
              <w:t>MIMAT0018966</w:t>
            </w:r>
          </w:p>
        </w:tc>
      </w:tr>
    </w:tbl>
    <w:p w:rsidR="00C60153" w:rsidRPr="00EC4DCF" w:rsidRDefault="00C60153" w:rsidP="00EC4DCF">
      <w:pPr>
        <w:ind w:firstLine="567"/>
        <w:rPr>
          <w:rFonts w:ascii="Arial" w:hAnsi="Arial" w:cs="Arial"/>
          <w:color w:val="000000"/>
          <w:sz w:val="22"/>
          <w:szCs w:val="22"/>
        </w:rPr>
      </w:pPr>
    </w:p>
    <w:p w:rsidR="006A30B9" w:rsidRDefault="006A30B9" w:rsidP="00EC4DCF">
      <w:pPr>
        <w:ind w:firstLine="567"/>
        <w:rPr>
          <w:rFonts w:ascii="Arial" w:hAnsi="Arial" w:cs="Arial"/>
          <w:sz w:val="22"/>
          <w:szCs w:val="22"/>
        </w:rPr>
      </w:pPr>
    </w:p>
    <w:p w:rsidR="006A30B9" w:rsidRDefault="006A30B9" w:rsidP="0094374E">
      <w:pPr>
        <w:rPr>
          <w:rFonts w:ascii="Arial" w:hAnsi="Arial" w:cs="Arial"/>
          <w:sz w:val="22"/>
          <w:szCs w:val="22"/>
        </w:rPr>
      </w:pPr>
    </w:p>
    <w:p w:rsidR="006A30B9" w:rsidRDefault="006A30B9" w:rsidP="00EC4DCF">
      <w:pPr>
        <w:ind w:firstLine="567"/>
        <w:rPr>
          <w:rFonts w:ascii="Arial" w:hAnsi="Arial" w:cs="Arial"/>
          <w:sz w:val="22"/>
          <w:szCs w:val="22"/>
        </w:rPr>
      </w:pPr>
    </w:p>
    <w:p w:rsidR="00C60153" w:rsidRPr="00EC4DCF" w:rsidRDefault="00C60153" w:rsidP="00EC4DCF">
      <w:pPr>
        <w:ind w:firstLine="567"/>
        <w:rPr>
          <w:rFonts w:ascii="Arial" w:hAnsi="Arial" w:cs="Arial"/>
          <w:sz w:val="22"/>
          <w:szCs w:val="22"/>
        </w:rPr>
      </w:pPr>
      <w:r w:rsidRPr="00EC4DCF">
        <w:rPr>
          <w:rFonts w:ascii="Arial" w:hAnsi="Arial" w:cs="Arial"/>
          <w:sz w:val="22"/>
          <w:szCs w:val="22"/>
        </w:rPr>
        <w:t>Tablo 2. qRT-PCR Protokolü</w:t>
      </w:r>
    </w:p>
    <w:tbl>
      <w:tblPr>
        <w:tblStyle w:val="TabloKlavuzu"/>
        <w:tblW w:w="0" w:type="auto"/>
        <w:tblLook w:val="04A0" w:firstRow="1" w:lastRow="0" w:firstColumn="1" w:lastColumn="0" w:noHBand="0" w:noVBand="1"/>
      </w:tblPr>
      <w:tblGrid>
        <w:gridCol w:w="4220"/>
        <w:gridCol w:w="4216"/>
      </w:tblGrid>
      <w:tr w:rsidR="00C60153" w:rsidRPr="00F51ECA" w:rsidTr="00283CE4">
        <w:tc>
          <w:tcPr>
            <w:tcW w:w="4606" w:type="dxa"/>
            <w:shd w:val="clear" w:color="auto" w:fill="000000" w:themeFill="text1"/>
          </w:tcPr>
          <w:p w:rsidR="00C60153" w:rsidRPr="0001623A" w:rsidRDefault="00C60153" w:rsidP="00283CE4">
            <w:pPr>
              <w:spacing w:line="360" w:lineRule="auto"/>
              <w:rPr>
                <w:rFonts w:ascii="Arial" w:hAnsi="Arial" w:cs="Arial"/>
                <w:color w:val="FFFFFF" w:themeColor="background1"/>
                <w:sz w:val="20"/>
                <w:szCs w:val="20"/>
              </w:rPr>
            </w:pPr>
            <w:r w:rsidRPr="0001623A">
              <w:rPr>
                <w:rFonts w:ascii="Arial" w:hAnsi="Arial" w:cs="Arial"/>
                <w:color w:val="FFFFFF" w:themeColor="background1"/>
                <w:sz w:val="20"/>
                <w:szCs w:val="20"/>
              </w:rPr>
              <w:t>İşlem Basamağı</w:t>
            </w:r>
          </w:p>
        </w:tc>
        <w:tc>
          <w:tcPr>
            <w:tcW w:w="4606" w:type="dxa"/>
            <w:shd w:val="clear" w:color="auto" w:fill="000000" w:themeFill="text1"/>
          </w:tcPr>
          <w:p w:rsidR="00C60153" w:rsidRPr="0001623A" w:rsidRDefault="00C60153" w:rsidP="00283CE4">
            <w:pPr>
              <w:spacing w:line="360" w:lineRule="auto"/>
              <w:rPr>
                <w:rFonts w:ascii="Arial" w:hAnsi="Arial" w:cs="Arial"/>
                <w:color w:val="FFFFFF" w:themeColor="background1"/>
                <w:sz w:val="20"/>
                <w:szCs w:val="20"/>
              </w:rPr>
            </w:pPr>
            <w:r w:rsidRPr="0001623A">
              <w:rPr>
                <w:rFonts w:ascii="Arial" w:hAnsi="Arial" w:cs="Arial"/>
                <w:color w:val="FFFFFF" w:themeColor="background1"/>
                <w:sz w:val="20"/>
                <w:szCs w:val="20"/>
              </w:rPr>
              <w:t>Cihaz Ayarları</w:t>
            </w:r>
          </w:p>
        </w:tc>
      </w:tr>
      <w:tr w:rsidR="00C60153" w:rsidRPr="00F51ECA" w:rsidTr="00283CE4">
        <w:tc>
          <w:tcPr>
            <w:tcW w:w="4606" w:type="dxa"/>
          </w:tcPr>
          <w:p w:rsidR="00C60153" w:rsidRPr="0001623A" w:rsidRDefault="00C60153" w:rsidP="00283CE4">
            <w:pPr>
              <w:spacing w:line="360" w:lineRule="auto"/>
              <w:rPr>
                <w:rFonts w:ascii="Arial" w:hAnsi="Arial" w:cs="Arial"/>
                <w:color w:val="000000"/>
                <w:sz w:val="20"/>
                <w:szCs w:val="20"/>
              </w:rPr>
            </w:pPr>
            <w:r w:rsidRPr="0001623A">
              <w:rPr>
                <w:rFonts w:ascii="Arial" w:hAnsi="Arial" w:cs="Arial"/>
                <w:color w:val="000000"/>
                <w:sz w:val="20"/>
                <w:szCs w:val="20"/>
              </w:rPr>
              <w:t>Polimeraz aktivasyonu / Denatürasyon</w:t>
            </w:r>
          </w:p>
        </w:tc>
        <w:tc>
          <w:tcPr>
            <w:tcW w:w="4606" w:type="dxa"/>
          </w:tcPr>
          <w:p w:rsidR="00C60153" w:rsidRPr="0001623A" w:rsidRDefault="00C60153" w:rsidP="00283CE4">
            <w:pPr>
              <w:spacing w:line="360" w:lineRule="auto"/>
              <w:rPr>
                <w:rFonts w:ascii="Arial" w:hAnsi="Arial" w:cs="Arial"/>
                <w:b/>
                <w:color w:val="000000"/>
                <w:sz w:val="20"/>
                <w:szCs w:val="20"/>
              </w:rPr>
            </w:pPr>
            <w:r w:rsidRPr="0001623A">
              <w:rPr>
                <w:rFonts w:ascii="Arial" w:hAnsi="Arial" w:cs="Arial"/>
                <w:color w:val="000000"/>
                <w:sz w:val="20"/>
                <w:szCs w:val="20"/>
              </w:rPr>
              <w:t xml:space="preserve">95 </w:t>
            </w:r>
            <w:r w:rsidRPr="0001623A">
              <w:rPr>
                <w:rFonts w:ascii="Arial" w:hAnsi="Arial" w:cs="Arial"/>
                <w:color w:val="000000" w:themeColor="text1"/>
                <w:sz w:val="20"/>
                <w:szCs w:val="20"/>
                <w:shd w:val="clear" w:color="auto" w:fill="FFFFFF"/>
              </w:rPr>
              <w:t>°</w:t>
            </w:r>
            <w:r w:rsidRPr="0001623A">
              <w:rPr>
                <w:rStyle w:val="Vurgu"/>
                <w:rFonts w:ascii="Arial" w:hAnsi="Arial" w:cs="Arial"/>
                <w:bCs/>
                <w:color w:val="000000" w:themeColor="text1"/>
                <w:shd w:val="clear" w:color="auto" w:fill="FFFFFF"/>
              </w:rPr>
              <w:t>C</w:t>
            </w:r>
            <w:r w:rsidRPr="0001623A">
              <w:rPr>
                <w:rFonts w:ascii="Arial" w:hAnsi="Arial" w:cs="Arial"/>
                <w:color w:val="000000" w:themeColor="text1"/>
                <w:sz w:val="20"/>
                <w:szCs w:val="20"/>
              </w:rPr>
              <w:t xml:space="preserve"> derecede 10 dk.</w:t>
            </w:r>
          </w:p>
        </w:tc>
      </w:tr>
      <w:tr w:rsidR="00C60153" w:rsidRPr="00F51ECA" w:rsidTr="00283CE4">
        <w:tc>
          <w:tcPr>
            <w:tcW w:w="4606" w:type="dxa"/>
          </w:tcPr>
          <w:p w:rsidR="00C60153" w:rsidRPr="0001623A" w:rsidRDefault="00C60153" w:rsidP="00283CE4">
            <w:pPr>
              <w:spacing w:line="360" w:lineRule="auto"/>
              <w:rPr>
                <w:rFonts w:ascii="Arial" w:hAnsi="Arial" w:cs="Arial"/>
                <w:color w:val="000000"/>
                <w:sz w:val="20"/>
                <w:szCs w:val="20"/>
              </w:rPr>
            </w:pPr>
            <w:r w:rsidRPr="0001623A">
              <w:rPr>
                <w:rFonts w:ascii="Arial" w:hAnsi="Arial" w:cs="Arial"/>
                <w:color w:val="000000"/>
                <w:sz w:val="20"/>
                <w:szCs w:val="20"/>
              </w:rPr>
              <w:t>Amplifikasyon</w:t>
            </w:r>
          </w:p>
        </w:tc>
        <w:tc>
          <w:tcPr>
            <w:tcW w:w="4606" w:type="dxa"/>
          </w:tcPr>
          <w:p w:rsidR="00C60153" w:rsidRPr="0001623A" w:rsidRDefault="00C60153" w:rsidP="00283CE4">
            <w:pPr>
              <w:spacing w:line="360" w:lineRule="auto"/>
              <w:rPr>
                <w:rFonts w:ascii="Arial" w:hAnsi="Arial" w:cs="Arial"/>
                <w:color w:val="000000"/>
                <w:sz w:val="20"/>
                <w:szCs w:val="20"/>
              </w:rPr>
            </w:pPr>
            <w:r w:rsidRPr="0001623A">
              <w:rPr>
                <w:rFonts w:ascii="Arial" w:hAnsi="Arial" w:cs="Arial"/>
                <w:color w:val="000000"/>
                <w:sz w:val="20"/>
                <w:szCs w:val="20"/>
              </w:rPr>
              <w:t xml:space="preserve">40 amplifikasyon siklusu 95 </w:t>
            </w:r>
            <w:r w:rsidRPr="0001623A">
              <w:rPr>
                <w:rFonts w:ascii="Arial" w:hAnsi="Arial" w:cs="Arial"/>
                <w:color w:val="000000" w:themeColor="text1"/>
                <w:sz w:val="20"/>
                <w:szCs w:val="20"/>
                <w:shd w:val="clear" w:color="auto" w:fill="FFFFFF"/>
              </w:rPr>
              <w:t>°</w:t>
            </w:r>
            <w:r w:rsidRPr="0001623A">
              <w:rPr>
                <w:rStyle w:val="Vurgu"/>
                <w:rFonts w:ascii="Arial" w:hAnsi="Arial" w:cs="Arial"/>
                <w:bCs/>
                <w:color w:val="000000" w:themeColor="text1"/>
                <w:shd w:val="clear" w:color="auto" w:fill="FFFFFF"/>
              </w:rPr>
              <w:t>C</w:t>
            </w:r>
            <w:r w:rsidRPr="0001623A">
              <w:rPr>
                <w:rFonts w:ascii="Arial" w:hAnsi="Arial" w:cs="Arial"/>
                <w:color w:val="000000" w:themeColor="text1"/>
                <w:sz w:val="20"/>
                <w:szCs w:val="20"/>
              </w:rPr>
              <w:t xml:space="preserve"> derecede 10 sn, 60 </w:t>
            </w:r>
            <w:r w:rsidRPr="0001623A">
              <w:rPr>
                <w:rFonts w:ascii="Arial" w:hAnsi="Arial" w:cs="Arial"/>
                <w:color w:val="000000" w:themeColor="text1"/>
                <w:sz w:val="20"/>
                <w:szCs w:val="20"/>
                <w:shd w:val="clear" w:color="auto" w:fill="FFFFFF"/>
              </w:rPr>
              <w:t>°</w:t>
            </w:r>
            <w:r w:rsidRPr="0001623A">
              <w:rPr>
                <w:rStyle w:val="Vurgu"/>
                <w:rFonts w:ascii="Arial" w:hAnsi="Arial" w:cs="Arial"/>
                <w:bCs/>
                <w:color w:val="000000" w:themeColor="text1"/>
                <w:shd w:val="clear" w:color="auto" w:fill="FFFFFF"/>
              </w:rPr>
              <w:t>C</w:t>
            </w:r>
            <w:r w:rsidRPr="0001623A">
              <w:rPr>
                <w:rFonts w:ascii="Arial" w:hAnsi="Arial" w:cs="Arial"/>
                <w:color w:val="000000" w:themeColor="text1"/>
                <w:sz w:val="20"/>
                <w:szCs w:val="20"/>
              </w:rPr>
              <w:t xml:space="preserve"> derecede 1 dk, ramp-rate 1.6</w:t>
            </w:r>
            <w:r w:rsidRPr="0001623A">
              <w:rPr>
                <w:rFonts w:ascii="Arial" w:hAnsi="Arial" w:cs="Arial"/>
                <w:color w:val="000000" w:themeColor="text1"/>
                <w:sz w:val="20"/>
                <w:szCs w:val="20"/>
                <w:shd w:val="clear" w:color="auto" w:fill="FFFFFF"/>
              </w:rPr>
              <w:t>°</w:t>
            </w:r>
            <w:r w:rsidRPr="0001623A">
              <w:rPr>
                <w:rStyle w:val="Vurgu"/>
                <w:rFonts w:ascii="Arial" w:hAnsi="Arial" w:cs="Arial"/>
                <w:bCs/>
                <w:color w:val="000000" w:themeColor="text1"/>
                <w:shd w:val="clear" w:color="auto" w:fill="FFFFFF"/>
              </w:rPr>
              <w:t>C</w:t>
            </w:r>
            <w:r w:rsidRPr="0001623A">
              <w:rPr>
                <w:rFonts w:ascii="Arial" w:hAnsi="Arial" w:cs="Arial"/>
                <w:color w:val="000000" w:themeColor="text1"/>
                <w:sz w:val="20"/>
                <w:szCs w:val="20"/>
              </w:rPr>
              <w:t>/s</w:t>
            </w:r>
            <w:r w:rsidRPr="0001623A">
              <w:rPr>
                <w:rFonts w:ascii="Arial" w:hAnsi="Arial" w:cs="Arial"/>
                <w:color w:val="000000" w:themeColor="text1"/>
                <w:sz w:val="20"/>
                <w:szCs w:val="20"/>
                <w:vertAlign w:val="superscript"/>
              </w:rPr>
              <w:t>6</w:t>
            </w:r>
          </w:p>
        </w:tc>
      </w:tr>
    </w:tbl>
    <w:p w:rsidR="00C60153" w:rsidRPr="00F51ECA" w:rsidRDefault="00C60153" w:rsidP="00C60153">
      <w:pPr>
        <w:spacing w:line="360" w:lineRule="auto"/>
        <w:rPr>
          <w:rFonts w:ascii="Arial" w:hAnsi="Arial" w:cs="Arial"/>
          <w:b/>
        </w:rPr>
      </w:pPr>
    </w:p>
    <w:p w:rsidR="00C60153" w:rsidRPr="00EC4DCF" w:rsidRDefault="00C60153" w:rsidP="00C60153">
      <w:pPr>
        <w:spacing w:line="360" w:lineRule="auto"/>
        <w:ind w:firstLine="720"/>
        <w:rPr>
          <w:rFonts w:ascii="Arial" w:hAnsi="Arial" w:cs="Arial"/>
          <w:b/>
          <w:sz w:val="22"/>
          <w:szCs w:val="22"/>
        </w:rPr>
      </w:pPr>
      <w:r w:rsidRPr="00EC4DCF">
        <w:rPr>
          <w:rFonts w:ascii="Arial" w:hAnsi="Arial" w:cs="Arial"/>
          <w:b/>
          <w:sz w:val="22"/>
          <w:szCs w:val="22"/>
        </w:rPr>
        <w:t xml:space="preserve">İstatistiksel Değerlendirme </w:t>
      </w:r>
    </w:p>
    <w:p w:rsidR="00C60153" w:rsidRPr="00EC4DCF" w:rsidRDefault="00C60153" w:rsidP="00C60153">
      <w:pPr>
        <w:spacing w:line="360" w:lineRule="auto"/>
        <w:ind w:firstLine="720"/>
        <w:jc w:val="both"/>
        <w:rPr>
          <w:rFonts w:ascii="Arial" w:hAnsi="Arial" w:cs="Arial"/>
          <w:sz w:val="22"/>
          <w:szCs w:val="22"/>
        </w:rPr>
      </w:pPr>
      <w:r w:rsidRPr="00EC4DCF">
        <w:rPr>
          <w:rFonts w:ascii="Arial" w:hAnsi="Arial" w:cs="Arial"/>
          <w:sz w:val="22"/>
          <w:szCs w:val="22"/>
        </w:rPr>
        <w:t>İstatistiksel analizler için SPSS (</w:t>
      </w:r>
      <w:r w:rsidRPr="00EC4DCF">
        <w:rPr>
          <w:rFonts w:ascii="Arial" w:hAnsi="Arial" w:cs="Arial"/>
          <w:sz w:val="22"/>
          <w:szCs w:val="22"/>
          <w:shd w:val="clear" w:color="auto" w:fill="FFFFFF"/>
        </w:rPr>
        <w:t>IBM Corp. Released 2013. IBM SPSS Statistics for Windows, Version 22.0. Armonk, NY: IBM Corp.</w:t>
      </w:r>
      <w:r w:rsidRPr="00EC4DCF">
        <w:rPr>
          <w:rFonts w:ascii="Arial" w:hAnsi="Arial" w:cs="Arial"/>
          <w:sz w:val="22"/>
          <w:szCs w:val="22"/>
        </w:rPr>
        <w:t xml:space="preserve">) programı kullanıldı. Çalışma verileri değerlendirilirken tanımlayıcı istatistiksel metodların (Ortalama, Standart Sapma, Medyan, Frekans, Oran, Minimum, Maksimum) yanısıra niceliksel verilerin karşılaştırılmasında normal dağılım gösteren parametrelerin iki grup karşılaştırmalarında Student t Test, normal dağılım göstermeyen parametrelerin iki grup karşılaştırmalarında ise Mann Whitney U testi kullanıldı. Niteliksel verilerin karşılaştırılmasında ise Pearson Ki-Kare testi, Fisher’s Exact test (5’in altında beklenen değer olması halinde) ve Yates’ Continuity Correction test (Yates’ düzeltmeli Ki-kare, 25’in altında gözlenen değer olması halinde) kullanıldı. Korelasyon Analizi kullanıldı. Yaş ve cinsiyet bağımsız değişkenlerinin </w:t>
      </w:r>
      <w:r w:rsidR="00EC4DCF" w:rsidRPr="00EC4DCF">
        <w:rPr>
          <w:rFonts w:ascii="Arial" w:hAnsi="Arial" w:cs="Arial"/>
          <w:sz w:val="22"/>
          <w:szCs w:val="22"/>
        </w:rPr>
        <w:t xml:space="preserve">Normal dağılmayan sayısal değişkenler arası ilişkilerin değerlendirilmesinde de Spearman’s </w:t>
      </w:r>
      <w:r w:rsidRPr="00EC4DCF">
        <w:rPr>
          <w:rFonts w:ascii="Arial" w:hAnsi="Arial" w:cs="Arial"/>
          <w:sz w:val="22"/>
          <w:szCs w:val="22"/>
        </w:rPr>
        <w:t>bağımlı değişken üzerindeki etkisini ölçmek için ANCOVA kullanıldı.</w:t>
      </w:r>
    </w:p>
    <w:p w:rsidR="00C60153" w:rsidRDefault="00C60153" w:rsidP="00C60153">
      <w:pPr>
        <w:pStyle w:val="HTMLncedenBiimlendirilmi"/>
        <w:spacing w:line="360" w:lineRule="auto"/>
        <w:jc w:val="both"/>
        <w:rPr>
          <w:rFonts w:ascii="Arial" w:hAnsi="Arial" w:cs="Arial"/>
          <w:color w:val="222222"/>
          <w:sz w:val="22"/>
          <w:szCs w:val="22"/>
          <w:shd w:val="clear" w:color="auto" w:fill="FFFFFF"/>
        </w:rPr>
      </w:pPr>
    </w:p>
    <w:p w:rsidR="00E828D6" w:rsidRDefault="00E828D6" w:rsidP="00C60153">
      <w:pPr>
        <w:pStyle w:val="HTMLncedenBiimlendirilmi"/>
        <w:spacing w:line="360" w:lineRule="auto"/>
        <w:jc w:val="both"/>
        <w:rPr>
          <w:rFonts w:ascii="Arial" w:hAnsi="Arial" w:cs="Arial"/>
          <w:color w:val="222222"/>
          <w:sz w:val="22"/>
          <w:szCs w:val="22"/>
          <w:shd w:val="clear" w:color="auto" w:fill="FFFFFF"/>
        </w:rPr>
      </w:pPr>
    </w:p>
    <w:p w:rsidR="0094374E" w:rsidRDefault="0094374E" w:rsidP="00C60153">
      <w:pPr>
        <w:pStyle w:val="HTMLncedenBiimlendirilmi"/>
        <w:spacing w:line="360" w:lineRule="auto"/>
        <w:jc w:val="both"/>
        <w:rPr>
          <w:rFonts w:ascii="Arial" w:hAnsi="Arial" w:cs="Arial"/>
          <w:color w:val="222222"/>
          <w:sz w:val="22"/>
          <w:szCs w:val="22"/>
          <w:shd w:val="clear" w:color="auto" w:fill="FFFFFF"/>
        </w:rPr>
      </w:pPr>
    </w:p>
    <w:p w:rsidR="0094374E" w:rsidRDefault="0094374E" w:rsidP="00C60153">
      <w:pPr>
        <w:pStyle w:val="HTMLncedenBiimlendirilmi"/>
        <w:spacing w:line="360" w:lineRule="auto"/>
        <w:jc w:val="both"/>
        <w:rPr>
          <w:rFonts w:ascii="Arial" w:hAnsi="Arial" w:cs="Arial"/>
          <w:color w:val="222222"/>
          <w:sz w:val="22"/>
          <w:szCs w:val="22"/>
          <w:shd w:val="clear" w:color="auto" w:fill="FFFFFF"/>
        </w:rPr>
      </w:pPr>
    </w:p>
    <w:p w:rsidR="00E828D6" w:rsidRDefault="00E828D6" w:rsidP="00C60153">
      <w:pPr>
        <w:pStyle w:val="HTMLncedenBiimlendirilmi"/>
        <w:spacing w:line="360" w:lineRule="auto"/>
        <w:jc w:val="both"/>
        <w:rPr>
          <w:rFonts w:ascii="Arial" w:hAnsi="Arial" w:cs="Arial"/>
          <w:color w:val="222222"/>
          <w:sz w:val="22"/>
          <w:szCs w:val="22"/>
          <w:shd w:val="clear" w:color="auto" w:fill="FFFFFF"/>
        </w:rPr>
      </w:pPr>
    </w:p>
    <w:p w:rsidR="00C60153" w:rsidRPr="006A23DA" w:rsidRDefault="00C60153" w:rsidP="00C60153">
      <w:pPr>
        <w:spacing w:line="360" w:lineRule="auto"/>
        <w:ind w:firstLine="567"/>
        <w:contextualSpacing/>
        <w:jc w:val="center"/>
        <w:rPr>
          <w:rFonts w:ascii="Arial" w:hAnsi="Arial" w:cs="Arial"/>
          <w:b/>
          <w:sz w:val="22"/>
          <w:szCs w:val="22"/>
          <w:shd w:val="clear" w:color="auto" w:fill="FFFFFF"/>
        </w:rPr>
      </w:pPr>
      <w:r w:rsidRPr="006A23DA">
        <w:rPr>
          <w:rFonts w:ascii="Arial" w:hAnsi="Arial" w:cs="Arial"/>
          <w:b/>
          <w:sz w:val="22"/>
          <w:szCs w:val="22"/>
          <w:shd w:val="clear" w:color="auto" w:fill="FFFFFF"/>
        </w:rPr>
        <w:lastRenderedPageBreak/>
        <w:t>BULGULAR</w:t>
      </w:r>
    </w:p>
    <w:p w:rsidR="00C60153" w:rsidRPr="006A23DA" w:rsidRDefault="00C60153" w:rsidP="00C60153">
      <w:pPr>
        <w:spacing w:line="360" w:lineRule="auto"/>
        <w:ind w:firstLine="567"/>
        <w:contextualSpacing/>
        <w:jc w:val="both"/>
        <w:rPr>
          <w:b/>
          <w:sz w:val="22"/>
          <w:szCs w:val="22"/>
          <w:shd w:val="clear" w:color="auto" w:fill="FFFFFF"/>
        </w:rPr>
      </w:pPr>
    </w:p>
    <w:p w:rsidR="00C60153" w:rsidRPr="006A23DA" w:rsidRDefault="00C60153" w:rsidP="00C60153">
      <w:pPr>
        <w:spacing w:line="360" w:lineRule="auto"/>
        <w:ind w:firstLine="567"/>
        <w:contextualSpacing/>
        <w:jc w:val="both"/>
        <w:rPr>
          <w:rFonts w:ascii="Arial" w:hAnsi="Arial" w:cs="Arial"/>
          <w:sz w:val="22"/>
          <w:szCs w:val="22"/>
          <w:shd w:val="clear" w:color="auto" w:fill="FFFFFF"/>
        </w:rPr>
      </w:pPr>
      <w:r w:rsidRPr="006A23DA">
        <w:rPr>
          <w:rFonts w:ascii="Arial" w:hAnsi="Arial" w:cs="Arial"/>
          <w:sz w:val="22"/>
          <w:szCs w:val="22"/>
          <w:shd w:val="clear" w:color="auto" w:fill="FFFFFF"/>
        </w:rPr>
        <w:t>Olgu grubu komorbid ruhsal bozukluğu olmaksızın, daha önce herhangi bir psikotrop kulanımı olmayan kombine tip DEHB tanısı almış 30 çocuktan, kontrol grubu ise 30 sağlıklı gönüllü çocuktan oluşmuştur.</w:t>
      </w:r>
    </w:p>
    <w:p w:rsidR="00C60153" w:rsidRPr="006A23DA" w:rsidRDefault="00C60153" w:rsidP="00C60153">
      <w:pPr>
        <w:spacing w:line="360" w:lineRule="auto"/>
        <w:ind w:firstLine="567"/>
        <w:contextualSpacing/>
        <w:jc w:val="both"/>
        <w:rPr>
          <w:rFonts w:ascii="Arial" w:hAnsi="Arial" w:cs="Arial"/>
          <w:sz w:val="22"/>
          <w:szCs w:val="22"/>
          <w:shd w:val="clear" w:color="auto" w:fill="FFFFFF"/>
        </w:rPr>
      </w:pPr>
    </w:p>
    <w:p w:rsidR="00C60153" w:rsidRPr="006A23DA" w:rsidRDefault="00C60153" w:rsidP="00C60153">
      <w:pPr>
        <w:spacing w:line="360" w:lineRule="auto"/>
        <w:ind w:firstLine="567"/>
        <w:contextualSpacing/>
        <w:jc w:val="both"/>
        <w:rPr>
          <w:rFonts w:ascii="Arial" w:hAnsi="Arial" w:cs="Arial"/>
          <w:b/>
          <w:sz w:val="22"/>
          <w:szCs w:val="22"/>
          <w:shd w:val="clear" w:color="auto" w:fill="FFFFFF"/>
        </w:rPr>
      </w:pPr>
      <w:r w:rsidRPr="006A23DA">
        <w:rPr>
          <w:rFonts w:ascii="Arial" w:hAnsi="Arial" w:cs="Arial"/>
          <w:b/>
          <w:sz w:val="22"/>
          <w:szCs w:val="22"/>
          <w:shd w:val="clear" w:color="auto" w:fill="FFFFFF"/>
        </w:rPr>
        <w:t>KATILIMCILARIN DEMOGRAFİK VERİLERİ</w:t>
      </w:r>
    </w:p>
    <w:p w:rsidR="00C60153" w:rsidRPr="006A23DA" w:rsidRDefault="00C60153" w:rsidP="00C60153">
      <w:pPr>
        <w:spacing w:line="360" w:lineRule="auto"/>
        <w:ind w:firstLine="567"/>
        <w:contextualSpacing/>
        <w:jc w:val="both"/>
        <w:rPr>
          <w:rFonts w:ascii="Arial" w:hAnsi="Arial" w:cs="Arial"/>
          <w:sz w:val="22"/>
          <w:szCs w:val="22"/>
          <w:shd w:val="clear" w:color="auto" w:fill="FFFFFF"/>
        </w:rPr>
      </w:pPr>
    </w:p>
    <w:p w:rsidR="00C60153" w:rsidRPr="006A23DA" w:rsidRDefault="00C60153" w:rsidP="00C60153">
      <w:pPr>
        <w:spacing w:line="360" w:lineRule="auto"/>
        <w:ind w:firstLine="567"/>
        <w:contextualSpacing/>
        <w:jc w:val="both"/>
        <w:rPr>
          <w:rFonts w:ascii="Arial" w:hAnsi="Arial" w:cs="Arial"/>
          <w:b/>
          <w:sz w:val="22"/>
          <w:szCs w:val="22"/>
          <w:shd w:val="clear" w:color="auto" w:fill="FFFFFF"/>
        </w:rPr>
      </w:pPr>
      <w:r w:rsidRPr="006A23DA">
        <w:rPr>
          <w:rFonts w:ascii="Arial" w:hAnsi="Arial" w:cs="Arial"/>
          <w:b/>
          <w:sz w:val="22"/>
          <w:szCs w:val="22"/>
          <w:shd w:val="clear" w:color="auto" w:fill="FFFFFF"/>
        </w:rPr>
        <w:t>Cinsiyet</w:t>
      </w:r>
    </w:p>
    <w:p w:rsidR="007E63B8" w:rsidRDefault="00C60153" w:rsidP="007E63B8">
      <w:pPr>
        <w:spacing w:line="360" w:lineRule="auto"/>
        <w:ind w:firstLine="567"/>
        <w:contextualSpacing/>
        <w:jc w:val="both"/>
        <w:rPr>
          <w:rFonts w:ascii="Arial" w:hAnsi="Arial" w:cs="Arial"/>
          <w:sz w:val="22"/>
          <w:szCs w:val="22"/>
          <w:shd w:val="clear" w:color="auto" w:fill="FFFFFF"/>
        </w:rPr>
      </w:pPr>
      <w:r w:rsidRPr="006A23DA">
        <w:rPr>
          <w:rFonts w:ascii="Arial" w:hAnsi="Arial" w:cs="Arial"/>
          <w:sz w:val="22"/>
          <w:szCs w:val="22"/>
          <w:shd w:val="clear" w:color="auto" w:fill="FFFFFF"/>
        </w:rPr>
        <w:t>Olgu grubunun %23.3'ü (n=7) kız, %76.7'si (n=23) erkek, kontrol grubunun %46.7'si (n=14) kız, %53.3'ü (n=16) erkektir. Olgu grubu ile kontrol grubu arasında cinsiyet açısından istatistiksel olarak anlamlı fark yoktur (p &gt; 0.05) (Tablo 3).</w:t>
      </w:r>
    </w:p>
    <w:p w:rsidR="007E63B8" w:rsidRPr="007E63B8" w:rsidRDefault="007E63B8" w:rsidP="007E63B8">
      <w:pPr>
        <w:spacing w:line="360" w:lineRule="auto"/>
        <w:ind w:firstLine="567"/>
        <w:contextualSpacing/>
        <w:jc w:val="both"/>
        <w:rPr>
          <w:rFonts w:ascii="Arial" w:hAnsi="Arial" w:cs="Arial"/>
          <w:sz w:val="22"/>
          <w:szCs w:val="22"/>
          <w:shd w:val="clear" w:color="auto" w:fill="FFFFFF"/>
        </w:rPr>
      </w:pPr>
    </w:p>
    <w:p w:rsidR="00C60153" w:rsidRPr="007E63B8" w:rsidRDefault="00C60153" w:rsidP="00C60153">
      <w:pPr>
        <w:pStyle w:val="GvdeMetni"/>
        <w:ind w:right="119"/>
        <w:jc w:val="left"/>
        <w:rPr>
          <w:rFonts w:ascii="Arial" w:hAnsi="Arial" w:cs="Arial"/>
          <w:sz w:val="22"/>
          <w:szCs w:val="22"/>
        </w:rPr>
      </w:pPr>
      <w:r w:rsidRPr="007E63B8">
        <w:rPr>
          <w:rFonts w:ascii="Arial" w:hAnsi="Arial" w:cs="Arial"/>
          <w:sz w:val="22"/>
          <w:szCs w:val="22"/>
        </w:rPr>
        <w:t>Tablo 3. Olgu ve kontrol grubundaki çocukların cinsiyetleri</w:t>
      </w:r>
    </w:p>
    <w:tbl>
      <w:tblPr>
        <w:tblW w:w="4874" w:type="pct"/>
        <w:jc w:val="center"/>
        <w:tblCellMar>
          <w:left w:w="70" w:type="dxa"/>
          <w:right w:w="70" w:type="dxa"/>
        </w:tblCellMar>
        <w:tblLook w:val="04A0" w:firstRow="1" w:lastRow="0" w:firstColumn="1" w:lastColumn="0" w:noHBand="0" w:noVBand="1"/>
      </w:tblPr>
      <w:tblGrid>
        <w:gridCol w:w="1943"/>
        <w:gridCol w:w="1033"/>
        <w:gridCol w:w="1035"/>
        <w:gridCol w:w="1035"/>
        <w:gridCol w:w="1033"/>
        <w:gridCol w:w="1035"/>
        <w:gridCol w:w="1035"/>
      </w:tblGrid>
      <w:tr w:rsidR="00C60153" w:rsidRPr="00592B8F" w:rsidTr="00283CE4">
        <w:trPr>
          <w:trHeight w:val="425"/>
          <w:jc w:val="center"/>
        </w:trPr>
        <w:tc>
          <w:tcPr>
            <w:tcW w:w="1192" w:type="pct"/>
            <w:vMerge w:val="restart"/>
            <w:tcBorders>
              <w:top w:val="single" w:sz="4" w:space="0" w:color="auto"/>
              <w:left w:val="single" w:sz="4" w:space="0" w:color="auto"/>
              <w:right w:val="single" w:sz="4" w:space="0" w:color="auto"/>
            </w:tcBorders>
            <w:shd w:val="clear" w:color="auto" w:fill="auto"/>
            <w:vAlign w:val="center"/>
            <w:hideMark/>
          </w:tcPr>
          <w:p w:rsidR="00C60153" w:rsidRPr="00592B8F" w:rsidRDefault="00C60153" w:rsidP="00283CE4">
            <w:pPr>
              <w:rPr>
                <w:rFonts w:ascii="Arial" w:hAnsi="Arial" w:cs="Arial"/>
                <w:b/>
                <w:bCs/>
                <w:color w:val="000000"/>
                <w:sz w:val="20"/>
                <w:szCs w:val="20"/>
              </w:rPr>
            </w:pPr>
            <w:r w:rsidRPr="00592B8F">
              <w:rPr>
                <w:rFonts w:ascii="Arial" w:hAnsi="Arial" w:cs="Arial"/>
                <w:b/>
                <w:bCs/>
                <w:color w:val="000000"/>
                <w:sz w:val="20"/>
                <w:szCs w:val="20"/>
                <w:lang w:val="en-US"/>
              </w:rPr>
              <w:t>Cinsiyet</w:t>
            </w:r>
          </w:p>
        </w:tc>
        <w:tc>
          <w:tcPr>
            <w:tcW w:w="1269" w:type="pct"/>
            <w:gridSpan w:val="2"/>
            <w:tcBorders>
              <w:top w:val="single" w:sz="4" w:space="0" w:color="auto"/>
              <w:left w:val="nil"/>
              <w:bottom w:val="single" w:sz="4" w:space="0" w:color="auto"/>
              <w:right w:val="single" w:sz="4" w:space="0" w:color="auto"/>
            </w:tcBorders>
            <w:shd w:val="clear" w:color="auto" w:fill="auto"/>
            <w:vAlign w:val="center"/>
            <w:hideMark/>
          </w:tcPr>
          <w:p w:rsidR="00C60153" w:rsidRPr="00592B8F" w:rsidRDefault="00C60153" w:rsidP="00283CE4">
            <w:pPr>
              <w:jc w:val="center"/>
              <w:rPr>
                <w:rFonts w:ascii="Arial" w:hAnsi="Arial" w:cs="Arial"/>
                <w:b/>
                <w:bCs/>
                <w:color w:val="000000"/>
                <w:sz w:val="20"/>
                <w:szCs w:val="20"/>
              </w:rPr>
            </w:pPr>
            <w:r w:rsidRPr="00592B8F">
              <w:rPr>
                <w:rFonts w:ascii="Arial" w:hAnsi="Arial" w:cs="Arial"/>
                <w:b/>
                <w:bCs/>
                <w:color w:val="000000"/>
                <w:sz w:val="20"/>
                <w:szCs w:val="20"/>
                <w:lang w:val="en-US"/>
              </w:rPr>
              <w:t>Olgu</w:t>
            </w:r>
          </w:p>
        </w:tc>
        <w:tc>
          <w:tcPr>
            <w:tcW w:w="1269" w:type="pct"/>
            <w:gridSpan w:val="2"/>
            <w:tcBorders>
              <w:top w:val="single" w:sz="4" w:space="0" w:color="auto"/>
              <w:left w:val="nil"/>
              <w:bottom w:val="single" w:sz="4" w:space="0" w:color="auto"/>
              <w:right w:val="single" w:sz="4" w:space="0" w:color="auto"/>
            </w:tcBorders>
            <w:shd w:val="clear" w:color="auto" w:fill="auto"/>
            <w:vAlign w:val="center"/>
            <w:hideMark/>
          </w:tcPr>
          <w:p w:rsidR="00C60153" w:rsidRPr="00592B8F" w:rsidRDefault="00C60153" w:rsidP="00283CE4">
            <w:pPr>
              <w:jc w:val="center"/>
              <w:rPr>
                <w:rFonts w:ascii="Arial" w:hAnsi="Arial" w:cs="Arial"/>
                <w:b/>
                <w:bCs/>
                <w:color w:val="000000"/>
                <w:sz w:val="20"/>
                <w:szCs w:val="20"/>
              </w:rPr>
            </w:pPr>
            <w:r w:rsidRPr="00592B8F">
              <w:rPr>
                <w:rFonts w:ascii="Arial" w:hAnsi="Arial" w:cs="Arial"/>
                <w:b/>
                <w:bCs/>
                <w:color w:val="000000"/>
                <w:sz w:val="20"/>
                <w:szCs w:val="20"/>
                <w:lang w:val="en-US"/>
              </w:rPr>
              <w:t>Kontrol</w:t>
            </w:r>
          </w:p>
        </w:tc>
        <w:tc>
          <w:tcPr>
            <w:tcW w:w="1270" w:type="pct"/>
            <w:gridSpan w:val="2"/>
            <w:tcBorders>
              <w:top w:val="single" w:sz="4" w:space="0" w:color="auto"/>
              <w:left w:val="nil"/>
              <w:bottom w:val="single" w:sz="4" w:space="0" w:color="auto"/>
              <w:right w:val="single" w:sz="4" w:space="0" w:color="auto"/>
            </w:tcBorders>
            <w:shd w:val="clear" w:color="auto" w:fill="auto"/>
            <w:vAlign w:val="center"/>
            <w:hideMark/>
          </w:tcPr>
          <w:p w:rsidR="00C60153" w:rsidRPr="00592B8F" w:rsidRDefault="00C60153" w:rsidP="00283CE4">
            <w:pPr>
              <w:jc w:val="center"/>
              <w:rPr>
                <w:rFonts w:ascii="Arial" w:hAnsi="Arial" w:cs="Arial"/>
                <w:b/>
                <w:bCs/>
                <w:color w:val="000000"/>
                <w:sz w:val="20"/>
                <w:szCs w:val="20"/>
              </w:rPr>
            </w:pPr>
            <w:r w:rsidRPr="00592B8F">
              <w:rPr>
                <w:rFonts w:ascii="Arial" w:hAnsi="Arial" w:cs="Arial"/>
                <w:b/>
                <w:bCs/>
                <w:color w:val="000000"/>
                <w:sz w:val="20"/>
                <w:szCs w:val="20"/>
                <w:lang w:val="en-US"/>
              </w:rPr>
              <w:t>Toplam</w:t>
            </w:r>
          </w:p>
        </w:tc>
      </w:tr>
      <w:tr w:rsidR="00C60153" w:rsidRPr="00592B8F" w:rsidTr="00283CE4">
        <w:trPr>
          <w:trHeight w:val="425"/>
          <w:jc w:val="center"/>
        </w:trPr>
        <w:tc>
          <w:tcPr>
            <w:tcW w:w="1192" w:type="pct"/>
            <w:vMerge/>
            <w:tcBorders>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rPr>
                <w:rFonts w:ascii="Arial" w:hAnsi="Arial" w:cs="Arial"/>
                <w:b/>
                <w:bCs/>
                <w:color w:val="000000"/>
                <w:sz w:val="20"/>
                <w:szCs w:val="20"/>
                <w:lang w:val="en-US"/>
              </w:rPr>
            </w:pP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b/>
                <w:bCs/>
                <w:color w:val="000000"/>
                <w:sz w:val="20"/>
                <w:szCs w:val="20"/>
                <w:lang w:val="en-US"/>
              </w:rPr>
            </w:pPr>
            <w:r w:rsidRPr="00592B8F">
              <w:rPr>
                <w:rFonts w:ascii="Arial" w:hAnsi="Arial" w:cs="Arial"/>
                <w:b/>
                <w:bCs/>
                <w:color w:val="000000"/>
                <w:sz w:val="20"/>
                <w:szCs w:val="20"/>
                <w:lang w:val="en-US"/>
              </w:rPr>
              <w:t>n</w:t>
            </w:r>
          </w:p>
        </w:tc>
        <w:tc>
          <w:tcPr>
            <w:tcW w:w="635" w:type="pct"/>
            <w:tcBorders>
              <w:top w:val="single" w:sz="4" w:space="0" w:color="auto"/>
              <w:left w:val="nil"/>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b/>
                <w:bCs/>
                <w:color w:val="000000"/>
                <w:sz w:val="20"/>
                <w:szCs w:val="20"/>
                <w:lang w:val="en-US"/>
              </w:rPr>
            </w:pPr>
            <w:r w:rsidRPr="00592B8F">
              <w:rPr>
                <w:rFonts w:ascii="Arial" w:hAnsi="Arial" w:cs="Arial"/>
                <w:b/>
                <w:bCs/>
                <w:color w:val="000000"/>
                <w:sz w:val="20"/>
                <w:szCs w:val="20"/>
                <w:lang w:val="en-US"/>
              </w:rPr>
              <w:t>%</w:t>
            </w: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b/>
                <w:bCs/>
                <w:color w:val="000000"/>
                <w:sz w:val="20"/>
                <w:szCs w:val="20"/>
                <w:lang w:val="en-US"/>
              </w:rPr>
            </w:pPr>
            <w:r w:rsidRPr="00592B8F">
              <w:rPr>
                <w:rFonts w:ascii="Arial" w:hAnsi="Arial" w:cs="Arial"/>
                <w:b/>
                <w:bCs/>
                <w:color w:val="000000"/>
                <w:sz w:val="20"/>
                <w:szCs w:val="20"/>
                <w:lang w:val="en-US"/>
              </w:rPr>
              <w:t>N</w:t>
            </w:r>
          </w:p>
        </w:tc>
        <w:tc>
          <w:tcPr>
            <w:tcW w:w="634" w:type="pct"/>
            <w:tcBorders>
              <w:top w:val="single" w:sz="4" w:space="0" w:color="auto"/>
              <w:left w:val="nil"/>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b/>
                <w:bCs/>
                <w:color w:val="000000"/>
                <w:sz w:val="20"/>
                <w:szCs w:val="20"/>
                <w:lang w:val="en-US"/>
              </w:rPr>
            </w:pPr>
            <w:r w:rsidRPr="00592B8F">
              <w:rPr>
                <w:rFonts w:ascii="Arial" w:hAnsi="Arial" w:cs="Arial"/>
                <w:b/>
                <w:bCs/>
                <w:color w:val="000000"/>
                <w:sz w:val="20"/>
                <w:szCs w:val="20"/>
                <w:lang w:val="en-US"/>
              </w:rPr>
              <w:t>%</w:t>
            </w: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b/>
                <w:bCs/>
                <w:color w:val="000000"/>
                <w:sz w:val="20"/>
                <w:szCs w:val="20"/>
                <w:lang w:val="en-US"/>
              </w:rPr>
            </w:pPr>
            <w:r w:rsidRPr="00592B8F">
              <w:rPr>
                <w:rFonts w:ascii="Arial" w:hAnsi="Arial" w:cs="Arial"/>
                <w:b/>
                <w:bCs/>
                <w:color w:val="000000"/>
                <w:sz w:val="20"/>
                <w:szCs w:val="20"/>
                <w:lang w:val="en-US"/>
              </w:rPr>
              <w:t>N</w:t>
            </w:r>
          </w:p>
        </w:tc>
        <w:tc>
          <w:tcPr>
            <w:tcW w:w="635" w:type="pct"/>
            <w:tcBorders>
              <w:top w:val="single" w:sz="4" w:space="0" w:color="auto"/>
              <w:left w:val="nil"/>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b/>
                <w:bCs/>
                <w:color w:val="000000"/>
                <w:sz w:val="20"/>
                <w:szCs w:val="20"/>
                <w:lang w:val="en-US"/>
              </w:rPr>
            </w:pPr>
            <w:r w:rsidRPr="00592B8F">
              <w:rPr>
                <w:rFonts w:ascii="Arial" w:hAnsi="Arial" w:cs="Arial"/>
                <w:b/>
                <w:bCs/>
                <w:color w:val="000000"/>
                <w:sz w:val="20"/>
                <w:szCs w:val="20"/>
                <w:lang w:val="en-US"/>
              </w:rPr>
              <w:t>%</w:t>
            </w:r>
          </w:p>
        </w:tc>
      </w:tr>
      <w:tr w:rsidR="00C60153" w:rsidRPr="00592B8F" w:rsidTr="00283CE4">
        <w:trPr>
          <w:trHeight w:val="425"/>
          <w:jc w:val="center"/>
        </w:trPr>
        <w:tc>
          <w:tcPr>
            <w:tcW w:w="1192" w:type="pct"/>
            <w:tcBorders>
              <w:top w:val="nil"/>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rPr>
                <w:rFonts w:ascii="Arial" w:hAnsi="Arial" w:cs="Arial"/>
                <w:b/>
                <w:bCs/>
                <w:color w:val="000000"/>
                <w:sz w:val="20"/>
                <w:szCs w:val="20"/>
              </w:rPr>
            </w:pPr>
            <w:r w:rsidRPr="00592B8F">
              <w:rPr>
                <w:rFonts w:ascii="Arial" w:hAnsi="Arial" w:cs="Arial"/>
                <w:b/>
                <w:bCs/>
                <w:color w:val="000000"/>
                <w:sz w:val="20"/>
                <w:szCs w:val="20"/>
                <w:lang w:val="en-US"/>
              </w:rPr>
              <w:t xml:space="preserve">Erkek </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color w:val="000000"/>
                <w:sz w:val="20"/>
                <w:szCs w:val="20"/>
              </w:rPr>
            </w:pPr>
            <w:r w:rsidRPr="00592B8F">
              <w:rPr>
                <w:rFonts w:ascii="Arial" w:hAnsi="Arial" w:cs="Arial"/>
                <w:color w:val="000000"/>
                <w:sz w:val="20"/>
                <w:szCs w:val="20"/>
              </w:rPr>
              <w:t>23</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color w:val="000000"/>
                <w:sz w:val="20"/>
                <w:szCs w:val="20"/>
              </w:rPr>
            </w:pPr>
            <w:r w:rsidRPr="00592B8F">
              <w:rPr>
                <w:rFonts w:ascii="Arial" w:hAnsi="Arial" w:cs="Arial"/>
                <w:color w:val="000000"/>
                <w:sz w:val="20"/>
                <w:szCs w:val="20"/>
              </w:rPr>
              <w:t>76.7</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color w:val="000000"/>
                <w:sz w:val="20"/>
                <w:szCs w:val="20"/>
              </w:rPr>
            </w:pPr>
            <w:r w:rsidRPr="00592B8F">
              <w:rPr>
                <w:rFonts w:ascii="Arial" w:hAnsi="Arial" w:cs="Arial"/>
                <w:color w:val="000000"/>
                <w:sz w:val="20"/>
                <w:szCs w:val="20"/>
              </w:rPr>
              <w:t>16</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color w:val="000000"/>
                <w:sz w:val="20"/>
                <w:szCs w:val="20"/>
              </w:rPr>
            </w:pPr>
            <w:r w:rsidRPr="00592B8F">
              <w:rPr>
                <w:rFonts w:ascii="Arial" w:hAnsi="Arial" w:cs="Arial"/>
                <w:color w:val="000000"/>
                <w:sz w:val="20"/>
                <w:szCs w:val="20"/>
              </w:rPr>
              <w:t>53.3</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color w:val="000000"/>
                <w:sz w:val="20"/>
                <w:szCs w:val="20"/>
              </w:rPr>
            </w:pPr>
            <w:r w:rsidRPr="00592B8F">
              <w:rPr>
                <w:rFonts w:ascii="Arial" w:hAnsi="Arial" w:cs="Arial"/>
                <w:color w:val="000000"/>
                <w:sz w:val="20"/>
                <w:szCs w:val="20"/>
              </w:rPr>
              <w:t>39</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color w:val="000000"/>
                <w:sz w:val="20"/>
                <w:szCs w:val="20"/>
              </w:rPr>
            </w:pPr>
            <w:r w:rsidRPr="00592B8F">
              <w:rPr>
                <w:rFonts w:ascii="Arial" w:hAnsi="Arial" w:cs="Arial"/>
                <w:color w:val="000000"/>
                <w:sz w:val="20"/>
                <w:szCs w:val="20"/>
              </w:rPr>
              <w:t>65</w:t>
            </w:r>
          </w:p>
        </w:tc>
      </w:tr>
      <w:tr w:rsidR="00C60153" w:rsidRPr="00592B8F" w:rsidTr="00283CE4">
        <w:trPr>
          <w:trHeight w:val="425"/>
          <w:jc w:val="center"/>
        </w:trPr>
        <w:tc>
          <w:tcPr>
            <w:tcW w:w="11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rPr>
                <w:rFonts w:ascii="Arial" w:hAnsi="Arial" w:cs="Arial"/>
                <w:b/>
                <w:bCs/>
                <w:color w:val="000000"/>
                <w:sz w:val="20"/>
                <w:szCs w:val="20"/>
              </w:rPr>
            </w:pPr>
            <w:r w:rsidRPr="00592B8F">
              <w:rPr>
                <w:rFonts w:ascii="Arial" w:hAnsi="Arial" w:cs="Arial"/>
                <w:b/>
                <w:bCs/>
                <w:color w:val="000000"/>
                <w:sz w:val="20"/>
                <w:szCs w:val="20"/>
                <w:lang w:val="en-US"/>
              </w:rPr>
              <w:t>Kız</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color w:val="000000" w:themeColor="text1"/>
                <w:sz w:val="20"/>
                <w:szCs w:val="20"/>
              </w:rPr>
            </w:pPr>
            <w:r w:rsidRPr="00592B8F">
              <w:rPr>
                <w:rFonts w:ascii="Arial" w:hAnsi="Arial" w:cs="Arial"/>
                <w:color w:val="000000" w:themeColor="text1"/>
                <w:sz w:val="20"/>
                <w:szCs w:val="20"/>
              </w:rPr>
              <w:t>7</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color w:val="000000" w:themeColor="text1"/>
                <w:sz w:val="20"/>
                <w:szCs w:val="20"/>
              </w:rPr>
            </w:pPr>
            <w:r w:rsidRPr="00592B8F">
              <w:rPr>
                <w:rFonts w:ascii="Arial" w:hAnsi="Arial" w:cs="Arial"/>
                <w:color w:val="000000" w:themeColor="text1"/>
                <w:sz w:val="20"/>
                <w:szCs w:val="20"/>
              </w:rPr>
              <w:t>23.3</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color w:val="000000" w:themeColor="text1"/>
                <w:sz w:val="20"/>
                <w:szCs w:val="20"/>
              </w:rPr>
            </w:pPr>
            <w:r w:rsidRPr="00592B8F">
              <w:rPr>
                <w:rFonts w:ascii="Arial" w:hAnsi="Arial" w:cs="Arial"/>
                <w:color w:val="000000" w:themeColor="text1"/>
                <w:sz w:val="20"/>
                <w:szCs w:val="20"/>
              </w:rPr>
              <w:t>14</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color w:val="000000" w:themeColor="text1"/>
                <w:sz w:val="20"/>
                <w:szCs w:val="20"/>
              </w:rPr>
            </w:pPr>
            <w:r w:rsidRPr="00592B8F">
              <w:rPr>
                <w:rFonts w:ascii="Arial" w:hAnsi="Arial" w:cs="Arial"/>
                <w:color w:val="000000" w:themeColor="text1"/>
                <w:sz w:val="20"/>
                <w:szCs w:val="20"/>
              </w:rPr>
              <w:t>46.7</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color w:val="000000"/>
                <w:sz w:val="20"/>
                <w:szCs w:val="20"/>
              </w:rPr>
            </w:pPr>
            <w:r w:rsidRPr="00592B8F">
              <w:rPr>
                <w:rFonts w:ascii="Arial" w:hAnsi="Arial" w:cs="Arial"/>
                <w:color w:val="000000"/>
                <w:sz w:val="20"/>
                <w:szCs w:val="20"/>
              </w:rPr>
              <w:t>21</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color w:val="000000"/>
                <w:sz w:val="20"/>
                <w:szCs w:val="20"/>
              </w:rPr>
            </w:pPr>
            <w:r w:rsidRPr="00592B8F">
              <w:rPr>
                <w:rFonts w:ascii="Arial" w:hAnsi="Arial" w:cs="Arial"/>
                <w:color w:val="000000"/>
                <w:sz w:val="20"/>
                <w:szCs w:val="20"/>
              </w:rPr>
              <w:t>35</w:t>
            </w:r>
          </w:p>
        </w:tc>
      </w:tr>
      <w:tr w:rsidR="00C60153" w:rsidRPr="00592B8F" w:rsidTr="00283CE4">
        <w:trPr>
          <w:trHeight w:val="425"/>
          <w:jc w:val="center"/>
        </w:trPr>
        <w:tc>
          <w:tcPr>
            <w:tcW w:w="11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rPr>
                <w:rFonts w:ascii="Arial" w:hAnsi="Arial" w:cs="Arial"/>
                <w:b/>
                <w:bCs/>
                <w:color w:val="000000"/>
                <w:sz w:val="20"/>
                <w:szCs w:val="20"/>
                <w:lang w:val="en-US"/>
              </w:rPr>
            </w:pPr>
            <w:r w:rsidRPr="00592B8F">
              <w:rPr>
                <w:rFonts w:ascii="Arial" w:hAnsi="Arial" w:cs="Arial"/>
                <w:b/>
                <w:bCs/>
                <w:color w:val="000000"/>
                <w:sz w:val="20"/>
                <w:szCs w:val="20"/>
                <w:lang w:val="en-US"/>
              </w:rPr>
              <w:t>Toplam</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color w:val="000000" w:themeColor="text1"/>
                <w:sz w:val="20"/>
                <w:szCs w:val="20"/>
              </w:rPr>
            </w:pPr>
            <w:r w:rsidRPr="00592B8F">
              <w:rPr>
                <w:rFonts w:ascii="Arial" w:hAnsi="Arial" w:cs="Arial"/>
                <w:color w:val="000000" w:themeColor="text1"/>
                <w:sz w:val="20"/>
                <w:szCs w:val="20"/>
              </w:rPr>
              <w:t>30</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color w:val="000000" w:themeColor="text1"/>
                <w:sz w:val="20"/>
                <w:szCs w:val="20"/>
              </w:rPr>
            </w:pPr>
            <w:r w:rsidRPr="00592B8F">
              <w:rPr>
                <w:rFonts w:ascii="Arial" w:hAnsi="Arial" w:cs="Arial"/>
                <w:color w:val="000000" w:themeColor="text1"/>
                <w:sz w:val="20"/>
                <w:szCs w:val="20"/>
              </w:rPr>
              <w:t>100</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color w:val="000000" w:themeColor="text1"/>
                <w:sz w:val="20"/>
                <w:szCs w:val="20"/>
              </w:rPr>
            </w:pPr>
            <w:r w:rsidRPr="00592B8F">
              <w:rPr>
                <w:rFonts w:ascii="Arial" w:hAnsi="Arial" w:cs="Arial"/>
                <w:color w:val="000000" w:themeColor="text1"/>
                <w:sz w:val="20"/>
                <w:szCs w:val="20"/>
              </w:rPr>
              <w:t>30</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color w:val="000000" w:themeColor="text1"/>
                <w:sz w:val="20"/>
                <w:szCs w:val="20"/>
              </w:rPr>
            </w:pPr>
            <w:r w:rsidRPr="00592B8F">
              <w:rPr>
                <w:rFonts w:ascii="Arial" w:hAnsi="Arial" w:cs="Arial"/>
                <w:color w:val="000000" w:themeColor="text1"/>
                <w:sz w:val="20"/>
                <w:szCs w:val="20"/>
              </w:rPr>
              <w:t>100</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color w:val="000000"/>
                <w:sz w:val="20"/>
                <w:szCs w:val="20"/>
              </w:rPr>
            </w:pPr>
            <w:r w:rsidRPr="00592B8F">
              <w:rPr>
                <w:rFonts w:ascii="Arial" w:hAnsi="Arial" w:cs="Arial"/>
                <w:color w:val="000000"/>
                <w:sz w:val="20"/>
                <w:szCs w:val="20"/>
              </w:rPr>
              <w:t>6</w:t>
            </w:r>
            <w:r>
              <w:rPr>
                <w:rFonts w:ascii="Arial" w:hAnsi="Arial" w:cs="Arial"/>
                <w:color w:val="000000"/>
                <w:sz w:val="20"/>
                <w:szCs w:val="20"/>
              </w:rPr>
              <w:t>0</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C60153" w:rsidP="00283CE4">
            <w:pPr>
              <w:spacing w:line="360" w:lineRule="auto"/>
              <w:jc w:val="center"/>
              <w:rPr>
                <w:rFonts w:ascii="Arial" w:hAnsi="Arial" w:cs="Arial"/>
                <w:color w:val="000000"/>
                <w:sz w:val="20"/>
                <w:szCs w:val="20"/>
              </w:rPr>
            </w:pPr>
            <w:r w:rsidRPr="00592B8F">
              <w:rPr>
                <w:rFonts w:ascii="Arial" w:hAnsi="Arial" w:cs="Arial"/>
                <w:color w:val="000000"/>
                <w:sz w:val="20"/>
                <w:szCs w:val="20"/>
              </w:rPr>
              <w:t>100</w:t>
            </w:r>
          </w:p>
        </w:tc>
      </w:tr>
      <w:tr w:rsidR="00C60153" w:rsidRPr="00592B8F" w:rsidTr="00283CE4">
        <w:trPr>
          <w:trHeight w:val="425"/>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60153" w:rsidRPr="00592B8F" w:rsidRDefault="00AD3CD8" w:rsidP="00283CE4">
            <w:pPr>
              <w:rPr>
                <w:rFonts w:ascii="Arial" w:hAnsi="Arial" w:cs="Arial"/>
                <w:sz w:val="20"/>
                <w:szCs w:val="20"/>
              </w:rPr>
            </w:pPr>
            <w:r>
              <w:rPr>
                <w:rFonts w:ascii="Arial" w:hAnsi="Arial" w:cs="Arial"/>
                <w:sz w:val="20"/>
                <w:szCs w:val="20"/>
              </w:rPr>
              <w:t>χ ² = 3.</w:t>
            </w:r>
            <w:r w:rsidR="00C60153" w:rsidRPr="00592B8F">
              <w:rPr>
                <w:rFonts w:ascii="Arial" w:hAnsi="Arial" w:cs="Arial"/>
                <w:sz w:val="20"/>
                <w:szCs w:val="20"/>
              </w:rPr>
              <w:t>59       p= 0.104</w:t>
            </w:r>
          </w:p>
        </w:tc>
      </w:tr>
    </w:tbl>
    <w:p w:rsidR="00C60153" w:rsidRPr="006A23DA" w:rsidRDefault="00C60153" w:rsidP="00C60153">
      <w:pPr>
        <w:rPr>
          <w:rFonts w:ascii="Arial" w:hAnsi="Arial" w:cs="Arial"/>
          <w:sz w:val="22"/>
          <w:szCs w:val="22"/>
        </w:rPr>
      </w:pPr>
      <w:r w:rsidRPr="006A23DA">
        <w:rPr>
          <w:rFonts w:ascii="Arial" w:hAnsi="Arial" w:cs="Arial"/>
          <w:sz w:val="22"/>
          <w:szCs w:val="22"/>
        </w:rPr>
        <w:t>χ ² testi, Yates süreklilik düzeltmesi yapılmıştır. p &lt; 0.05 anlamlıdır.</w:t>
      </w:r>
    </w:p>
    <w:p w:rsidR="007E63B8" w:rsidRDefault="007E63B8" w:rsidP="00C60153">
      <w:pPr>
        <w:spacing w:line="360" w:lineRule="auto"/>
        <w:ind w:firstLine="567"/>
        <w:contextualSpacing/>
        <w:jc w:val="both"/>
        <w:rPr>
          <w:rFonts w:ascii="Arial" w:hAnsi="Arial" w:cs="Arial"/>
          <w:b/>
          <w:sz w:val="22"/>
          <w:szCs w:val="22"/>
          <w:shd w:val="clear" w:color="auto" w:fill="FFFFFF"/>
        </w:rPr>
      </w:pPr>
    </w:p>
    <w:p w:rsidR="00C60153" w:rsidRPr="006A23DA" w:rsidRDefault="00C60153" w:rsidP="00C60153">
      <w:pPr>
        <w:spacing w:line="360" w:lineRule="auto"/>
        <w:ind w:firstLine="567"/>
        <w:contextualSpacing/>
        <w:jc w:val="both"/>
        <w:rPr>
          <w:rFonts w:ascii="Arial" w:hAnsi="Arial" w:cs="Arial"/>
          <w:b/>
          <w:sz w:val="22"/>
          <w:szCs w:val="22"/>
          <w:shd w:val="clear" w:color="auto" w:fill="FFFFFF"/>
        </w:rPr>
      </w:pPr>
      <w:r w:rsidRPr="006A23DA">
        <w:rPr>
          <w:rFonts w:ascii="Arial" w:hAnsi="Arial" w:cs="Arial"/>
          <w:b/>
          <w:sz w:val="22"/>
          <w:szCs w:val="22"/>
          <w:shd w:val="clear" w:color="auto" w:fill="FFFFFF"/>
        </w:rPr>
        <w:t>Yaş</w:t>
      </w:r>
    </w:p>
    <w:p w:rsidR="00C60153" w:rsidRDefault="00C60153" w:rsidP="00C60153">
      <w:pPr>
        <w:spacing w:line="360" w:lineRule="auto"/>
        <w:ind w:firstLine="567"/>
        <w:contextualSpacing/>
        <w:jc w:val="both"/>
        <w:rPr>
          <w:rFonts w:ascii="Arial" w:hAnsi="Arial" w:cs="Arial"/>
          <w:sz w:val="22"/>
          <w:szCs w:val="22"/>
          <w:shd w:val="clear" w:color="auto" w:fill="FFFFFF"/>
        </w:rPr>
      </w:pPr>
      <w:r w:rsidRPr="006A23DA">
        <w:rPr>
          <w:rFonts w:ascii="Arial" w:hAnsi="Arial" w:cs="Arial"/>
          <w:sz w:val="22"/>
          <w:szCs w:val="22"/>
          <w:shd w:val="clear" w:color="auto" w:fill="FFFFFF"/>
        </w:rPr>
        <w:t xml:space="preserve">Olgu grubunun yaş ortalaması 9 </w:t>
      </w:r>
      <w:r w:rsidRPr="006A23DA">
        <w:rPr>
          <w:rFonts w:ascii="Arial" w:hAnsi="Arial" w:cs="Arial"/>
          <w:sz w:val="22"/>
          <w:szCs w:val="22"/>
          <w:u w:val="single"/>
        </w:rPr>
        <w:t>+</w:t>
      </w:r>
      <w:r w:rsidRPr="006A23DA">
        <w:rPr>
          <w:rFonts w:ascii="Arial" w:hAnsi="Arial" w:cs="Arial"/>
          <w:sz w:val="22"/>
          <w:szCs w:val="22"/>
          <w:shd w:val="clear" w:color="auto" w:fill="FFFFFF"/>
        </w:rPr>
        <w:t xml:space="preserve"> 2.70 (6-16) yıl, kontrol grubunun yaş ortalaması ise 10.4 </w:t>
      </w:r>
      <w:r w:rsidRPr="006A23DA">
        <w:rPr>
          <w:rFonts w:ascii="Arial" w:hAnsi="Arial" w:cs="Arial"/>
          <w:sz w:val="22"/>
          <w:szCs w:val="22"/>
          <w:u w:val="single"/>
          <w:shd w:val="clear" w:color="auto" w:fill="FFFFFF"/>
        </w:rPr>
        <w:t>+</w:t>
      </w:r>
      <w:r w:rsidRPr="006A23DA">
        <w:rPr>
          <w:rFonts w:ascii="Arial" w:hAnsi="Arial" w:cs="Arial"/>
          <w:sz w:val="22"/>
          <w:szCs w:val="22"/>
          <w:shd w:val="clear" w:color="auto" w:fill="FFFFFF"/>
        </w:rPr>
        <w:t xml:space="preserve"> 3.44 (6-17) yıldır. Yaş açısından iki grup arasında anlamlı farklılık saptanmamıştır (p &gt; 0.05) (Tablo 4).</w:t>
      </w:r>
    </w:p>
    <w:p w:rsidR="007E63B8" w:rsidRPr="006A23DA" w:rsidRDefault="007E63B8" w:rsidP="00C60153">
      <w:pPr>
        <w:spacing w:line="360" w:lineRule="auto"/>
        <w:ind w:firstLine="567"/>
        <w:contextualSpacing/>
        <w:jc w:val="both"/>
        <w:rPr>
          <w:rFonts w:ascii="Arial" w:hAnsi="Arial" w:cs="Arial"/>
          <w:sz w:val="22"/>
          <w:szCs w:val="22"/>
          <w:shd w:val="clear" w:color="auto" w:fill="FFFFFF"/>
        </w:rPr>
      </w:pPr>
    </w:p>
    <w:p w:rsidR="00C60153" w:rsidRPr="006A23DA" w:rsidRDefault="00C60153" w:rsidP="00C60153">
      <w:pPr>
        <w:rPr>
          <w:rFonts w:ascii="Arial" w:hAnsi="Arial" w:cs="Arial"/>
          <w:sz w:val="22"/>
          <w:szCs w:val="22"/>
        </w:rPr>
      </w:pPr>
      <w:r w:rsidRPr="006A23DA">
        <w:rPr>
          <w:rFonts w:ascii="Arial" w:hAnsi="Arial" w:cs="Arial"/>
          <w:sz w:val="22"/>
          <w:szCs w:val="22"/>
        </w:rPr>
        <w:t>Tablo 4. Olgu ve kontrol grubundaki çocukların yaşları</w:t>
      </w:r>
    </w:p>
    <w:tbl>
      <w:tblPr>
        <w:tblStyle w:val="TabloKlavuzu"/>
        <w:tblW w:w="8658" w:type="dxa"/>
        <w:tblLook w:val="04A0" w:firstRow="1" w:lastRow="0" w:firstColumn="1" w:lastColumn="0" w:noHBand="0" w:noVBand="1"/>
      </w:tblPr>
      <w:tblGrid>
        <w:gridCol w:w="2040"/>
        <w:gridCol w:w="1340"/>
        <w:gridCol w:w="1660"/>
        <w:gridCol w:w="1940"/>
        <w:gridCol w:w="868"/>
        <w:gridCol w:w="810"/>
      </w:tblGrid>
      <w:tr w:rsidR="00C60153" w:rsidRPr="00C33E92" w:rsidTr="00283CE4">
        <w:trPr>
          <w:trHeight w:val="300"/>
        </w:trPr>
        <w:tc>
          <w:tcPr>
            <w:tcW w:w="2040" w:type="dxa"/>
            <w:noWrap/>
            <w:vAlign w:val="center"/>
            <w:hideMark/>
          </w:tcPr>
          <w:p w:rsidR="00C60153" w:rsidRPr="00C33E92" w:rsidRDefault="00C60153" w:rsidP="00283CE4">
            <w:pPr>
              <w:jc w:val="center"/>
              <w:rPr>
                <w:rFonts w:ascii="Arial" w:hAnsi="Arial" w:cs="Arial"/>
                <w:sz w:val="20"/>
                <w:szCs w:val="20"/>
                <w:lang w:val="en-US"/>
              </w:rPr>
            </w:pPr>
          </w:p>
        </w:tc>
        <w:tc>
          <w:tcPr>
            <w:tcW w:w="1340" w:type="dxa"/>
            <w:noWrap/>
            <w:vAlign w:val="center"/>
            <w:hideMark/>
          </w:tcPr>
          <w:p w:rsidR="00C60153" w:rsidRPr="00C33E92" w:rsidRDefault="00C60153" w:rsidP="00283CE4">
            <w:pPr>
              <w:jc w:val="center"/>
              <w:rPr>
                <w:rFonts w:ascii="Arial" w:hAnsi="Arial" w:cs="Arial"/>
                <w:sz w:val="20"/>
                <w:szCs w:val="20"/>
                <w:lang w:val="en-US"/>
              </w:rPr>
            </w:pPr>
          </w:p>
        </w:tc>
        <w:tc>
          <w:tcPr>
            <w:tcW w:w="1660" w:type="dxa"/>
            <w:noWrap/>
            <w:vAlign w:val="center"/>
            <w:hideMark/>
          </w:tcPr>
          <w:p w:rsidR="00C60153" w:rsidRPr="00C33E92" w:rsidRDefault="00C60153" w:rsidP="00283CE4">
            <w:pPr>
              <w:jc w:val="center"/>
              <w:rPr>
                <w:rFonts w:ascii="Arial" w:hAnsi="Arial" w:cs="Arial"/>
                <w:sz w:val="20"/>
                <w:szCs w:val="20"/>
                <w:lang w:val="en-US"/>
              </w:rPr>
            </w:pPr>
            <w:r w:rsidRPr="00C33E92">
              <w:rPr>
                <w:rFonts w:ascii="Arial" w:hAnsi="Arial" w:cs="Arial"/>
                <w:b/>
                <w:sz w:val="20"/>
                <w:szCs w:val="20"/>
              </w:rPr>
              <w:t xml:space="preserve">Ort </w:t>
            </w:r>
            <w:r w:rsidRPr="00C33E92">
              <w:rPr>
                <w:rFonts w:ascii="Arial" w:hAnsi="Arial" w:cs="Arial"/>
                <w:b/>
                <w:sz w:val="20"/>
                <w:szCs w:val="20"/>
                <w:u w:val="single"/>
              </w:rPr>
              <w:t>+</w:t>
            </w:r>
            <w:r w:rsidRPr="00C33E92">
              <w:rPr>
                <w:rFonts w:ascii="Arial" w:hAnsi="Arial" w:cs="Arial"/>
                <w:b/>
                <w:sz w:val="20"/>
                <w:szCs w:val="20"/>
              </w:rPr>
              <w:t xml:space="preserve"> SS</w:t>
            </w:r>
          </w:p>
        </w:tc>
        <w:tc>
          <w:tcPr>
            <w:tcW w:w="1940" w:type="dxa"/>
            <w:noWrap/>
            <w:vAlign w:val="center"/>
            <w:hideMark/>
          </w:tcPr>
          <w:p w:rsidR="00C60153" w:rsidRPr="00C33E92" w:rsidRDefault="00C60153" w:rsidP="00283CE4">
            <w:pPr>
              <w:jc w:val="center"/>
              <w:rPr>
                <w:rFonts w:ascii="Arial" w:hAnsi="Arial" w:cs="Arial"/>
                <w:b/>
                <w:sz w:val="20"/>
                <w:szCs w:val="20"/>
                <w:lang w:val="en-US"/>
              </w:rPr>
            </w:pPr>
            <w:r w:rsidRPr="00C33E92">
              <w:rPr>
                <w:rFonts w:ascii="Arial" w:hAnsi="Arial" w:cs="Arial"/>
                <w:b/>
                <w:sz w:val="20"/>
                <w:szCs w:val="20"/>
                <w:lang w:val="en-US"/>
              </w:rPr>
              <w:t>Med(min-maks)</w:t>
            </w:r>
          </w:p>
        </w:tc>
        <w:tc>
          <w:tcPr>
            <w:tcW w:w="868" w:type="dxa"/>
            <w:vAlign w:val="center"/>
          </w:tcPr>
          <w:p w:rsidR="00C60153" w:rsidRPr="00146CD3" w:rsidRDefault="00C60153" w:rsidP="00283CE4">
            <w:pPr>
              <w:jc w:val="center"/>
              <w:rPr>
                <w:rFonts w:ascii="Arial" w:hAnsi="Arial" w:cs="Arial"/>
                <w:b/>
                <w:sz w:val="20"/>
                <w:szCs w:val="20"/>
                <w:lang w:val="en-US"/>
              </w:rPr>
            </w:pPr>
            <w:r w:rsidRPr="00146CD3">
              <w:rPr>
                <w:rFonts w:ascii="Arial" w:hAnsi="Arial" w:cs="Arial"/>
                <w:b/>
                <w:sz w:val="20"/>
                <w:szCs w:val="20"/>
                <w:lang w:val="en-US"/>
              </w:rPr>
              <w:t>z</w:t>
            </w:r>
          </w:p>
        </w:tc>
        <w:tc>
          <w:tcPr>
            <w:tcW w:w="810" w:type="dxa"/>
            <w:noWrap/>
            <w:vAlign w:val="center"/>
            <w:hideMark/>
          </w:tcPr>
          <w:p w:rsidR="00C60153" w:rsidRPr="00C33E92" w:rsidRDefault="00C60153" w:rsidP="00283CE4">
            <w:pPr>
              <w:jc w:val="center"/>
              <w:rPr>
                <w:rFonts w:ascii="Arial" w:hAnsi="Arial" w:cs="Arial"/>
                <w:b/>
                <w:sz w:val="20"/>
                <w:szCs w:val="20"/>
                <w:lang w:val="en-US"/>
              </w:rPr>
            </w:pPr>
            <w:r w:rsidRPr="00C33E92">
              <w:rPr>
                <w:rFonts w:ascii="Arial" w:hAnsi="Arial" w:cs="Arial"/>
                <w:b/>
                <w:sz w:val="20"/>
                <w:szCs w:val="20"/>
                <w:lang w:val="en-US"/>
              </w:rPr>
              <w:t>p</w:t>
            </w:r>
          </w:p>
        </w:tc>
      </w:tr>
      <w:tr w:rsidR="00C60153" w:rsidRPr="00C33E92" w:rsidTr="00283CE4">
        <w:trPr>
          <w:trHeight w:val="300"/>
        </w:trPr>
        <w:tc>
          <w:tcPr>
            <w:tcW w:w="2040" w:type="dxa"/>
            <w:vMerge w:val="restart"/>
            <w:vAlign w:val="center"/>
            <w:hideMark/>
          </w:tcPr>
          <w:p w:rsidR="00C60153" w:rsidRPr="00C33E92" w:rsidRDefault="00C60153" w:rsidP="00283CE4">
            <w:pPr>
              <w:jc w:val="center"/>
              <w:rPr>
                <w:rFonts w:ascii="Arial" w:hAnsi="Arial" w:cs="Arial"/>
                <w:b/>
                <w:color w:val="000000"/>
                <w:sz w:val="20"/>
                <w:szCs w:val="20"/>
                <w:lang w:val="en-US"/>
              </w:rPr>
            </w:pPr>
            <w:r w:rsidRPr="00C33E92">
              <w:rPr>
                <w:rFonts w:ascii="Arial" w:hAnsi="Arial" w:cs="Arial"/>
                <w:b/>
                <w:color w:val="000000"/>
                <w:sz w:val="20"/>
                <w:szCs w:val="20"/>
                <w:lang w:val="en-US"/>
              </w:rPr>
              <w:t>Yaş</w:t>
            </w:r>
          </w:p>
        </w:tc>
        <w:tc>
          <w:tcPr>
            <w:tcW w:w="1340" w:type="dxa"/>
            <w:noWrap/>
            <w:vAlign w:val="center"/>
            <w:hideMark/>
          </w:tcPr>
          <w:p w:rsidR="00C60153" w:rsidRDefault="00C60153" w:rsidP="00283CE4">
            <w:pPr>
              <w:jc w:val="center"/>
              <w:rPr>
                <w:rFonts w:ascii="Arial" w:hAnsi="Arial" w:cs="Arial"/>
                <w:sz w:val="20"/>
                <w:szCs w:val="20"/>
                <w:lang w:val="en-US"/>
              </w:rPr>
            </w:pPr>
            <w:r>
              <w:rPr>
                <w:rFonts w:ascii="Arial" w:hAnsi="Arial" w:cs="Arial"/>
                <w:sz w:val="20"/>
                <w:szCs w:val="20"/>
                <w:lang w:val="en-US"/>
              </w:rPr>
              <w:t>Olgu</w:t>
            </w:r>
            <w:r w:rsidRPr="00C33E92">
              <w:rPr>
                <w:rFonts w:ascii="Arial" w:hAnsi="Arial" w:cs="Arial"/>
                <w:sz w:val="20"/>
                <w:szCs w:val="20"/>
                <w:lang w:val="en-US"/>
              </w:rPr>
              <w:t xml:space="preserve"> </w:t>
            </w:r>
          </w:p>
          <w:p w:rsidR="00C60153" w:rsidRPr="00C33E92" w:rsidRDefault="00C60153" w:rsidP="00283CE4">
            <w:pPr>
              <w:jc w:val="center"/>
              <w:rPr>
                <w:rFonts w:ascii="Arial" w:hAnsi="Arial" w:cs="Arial"/>
                <w:sz w:val="20"/>
                <w:szCs w:val="20"/>
                <w:lang w:val="en-US"/>
              </w:rPr>
            </w:pPr>
            <w:r w:rsidRPr="00C33E92">
              <w:rPr>
                <w:rFonts w:ascii="Arial" w:hAnsi="Arial" w:cs="Arial"/>
                <w:sz w:val="20"/>
                <w:szCs w:val="20"/>
                <w:lang w:val="en-US"/>
              </w:rPr>
              <w:t>(n=30)</w:t>
            </w:r>
          </w:p>
        </w:tc>
        <w:tc>
          <w:tcPr>
            <w:tcW w:w="1660" w:type="dxa"/>
            <w:noWrap/>
            <w:vAlign w:val="center"/>
            <w:hideMark/>
          </w:tcPr>
          <w:p w:rsidR="00C60153" w:rsidRPr="00C33E92" w:rsidRDefault="00C60153" w:rsidP="00283CE4">
            <w:pPr>
              <w:jc w:val="center"/>
              <w:rPr>
                <w:rFonts w:ascii="Arial" w:hAnsi="Arial" w:cs="Arial"/>
                <w:sz w:val="20"/>
                <w:szCs w:val="20"/>
                <w:lang w:val="en-US"/>
              </w:rPr>
            </w:pPr>
            <w:r>
              <w:rPr>
                <w:rFonts w:ascii="Arial" w:hAnsi="Arial" w:cs="Arial"/>
                <w:sz w:val="20"/>
                <w:szCs w:val="20"/>
                <w:lang w:val="en-US"/>
              </w:rPr>
              <w:t>9 ± 2.</w:t>
            </w:r>
            <w:r w:rsidRPr="00C33E92">
              <w:rPr>
                <w:rFonts w:ascii="Arial" w:hAnsi="Arial" w:cs="Arial"/>
                <w:sz w:val="20"/>
                <w:szCs w:val="20"/>
                <w:lang w:val="en-US"/>
              </w:rPr>
              <w:t>77</w:t>
            </w:r>
          </w:p>
        </w:tc>
        <w:tc>
          <w:tcPr>
            <w:tcW w:w="1940" w:type="dxa"/>
            <w:noWrap/>
            <w:vAlign w:val="center"/>
            <w:hideMark/>
          </w:tcPr>
          <w:p w:rsidR="00C60153" w:rsidRPr="00C33E92" w:rsidRDefault="00C60153" w:rsidP="00283CE4">
            <w:pPr>
              <w:jc w:val="center"/>
              <w:rPr>
                <w:rFonts w:ascii="Arial" w:hAnsi="Arial" w:cs="Arial"/>
                <w:sz w:val="20"/>
                <w:szCs w:val="20"/>
                <w:lang w:val="en-US"/>
              </w:rPr>
            </w:pPr>
            <w:r w:rsidRPr="00C33E92">
              <w:rPr>
                <w:rFonts w:ascii="Arial" w:hAnsi="Arial" w:cs="Arial"/>
                <w:sz w:val="20"/>
                <w:szCs w:val="20"/>
                <w:lang w:val="en-US"/>
              </w:rPr>
              <w:t>8 (6 - 16)</w:t>
            </w:r>
          </w:p>
        </w:tc>
        <w:tc>
          <w:tcPr>
            <w:tcW w:w="868" w:type="dxa"/>
            <w:vMerge w:val="restart"/>
            <w:vAlign w:val="center"/>
          </w:tcPr>
          <w:p w:rsidR="00C60153" w:rsidRPr="00146CD3" w:rsidRDefault="00C60153" w:rsidP="00283CE4">
            <w:pPr>
              <w:jc w:val="center"/>
              <w:rPr>
                <w:rFonts w:ascii="Arial" w:hAnsi="Arial" w:cs="Arial"/>
                <w:sz w:val="20"/>
                <w:szCs w:val="20"/>
                <w:lang w:val="en-US"/>
              </w:rPr>
            </w:pPr>
            <w:r w:rsidRPr="00146CD3">
              <w:rPr>
                <w:rFonts w:ascii="Arial" w:hAnsi="Arial" w:cs="Arial"/>
                <w:sz w:val="20"/>
                <w:szCs w:val="20"/>
                <w:lang w:val="en-US"/>
              </w:rPr>
              <w:t>-1.238</w:t>
            </w:r>
          </w:p>
        </w:tc>
        <w:tc>
          <w:tcPr>
            <w:tcW w:w="810" w:type="dxa"/>
            <w:vMerge w:val="restart"/>
            <w:noWrap/>
            <w:vAlign w:val="center"/>
            <w:hideMark/>
          </w:tcPr>
          <w:p w:rsidR="00C60153" w:rsidRPr="00C33E92" w:rsidRDefault="00C60153" w:rsidP="00283CE4">
            <w:pPr>
              <w:jc w:val="center"/>
              <w:rPr>
                <w:rFonts w:ascii="Arial" w:hAnsi="Arial" w:cs="Arial"/>
                <w:sz w:val="20"/>
                <w:szCs w:val="20"/>
                <w:lang w:val="en-US"/>
              </w:rPr>
            </w:pPr>
            <w:r w:rsidRPr="00C33E92">
              <w:rPr>
                <w:rFonts w:ascii="Arial" w:hAnsi="Arial" w:cs="Arial"/>
                <w:sz w:val="20"/>
                <w:szCs w:val="20"/>
                <w:lang w:val="en-US"/>
              </w:rPr>
              <w:t>0.216</w:t>
            </w:r>
          </w:p>
        </w:tc>
      </w:tr>
      <w:tr w:rsidR="00C60153" w:rsidRPr="00C33E92" w:rsidTr="00283CE4">
        <w:trPr>
          <w:trHeight w:val="300"/>
        </w:trPr>
        <w:tc>
          <w:tcPr>
            <w:tcW w:w="2040" w:type="dxa"/>
            <w:vMerge/>
            <w:vAlign w:val="center"/>
            <w:hideMark/>
          </w:tcPr>
          <w:p w:rsidR="00C60153" w:rsidRPr="00C33E92" w:rsidRDefault="00C60153" w:rsidP="00283CE4">
            <w:pPr>
              <w:jc w:val="center"/>
              <w:rPr>
                <w:rFonts w:ascii="Arial" w:hAnsi="Arial" w:cs="Arial"/>
                <w:color w:val="000000"/>
                <w:sz w:val="20"/>
                <w:szCs w:val="20"/>
                <w:lang w:val="en-US"/>
              </w:rPr>
            </w:pPr>
          </w:p>
        </w:tc>
        <w:tc>
          <w:tcPr>
            <w:tcW w:w="1340" w:type="dxa"/>
            <w:noWrap/>
            <w:vAlign w:val="center"/>
            <w:hideMark/>
          </w:tcPr>
          <w:p w:rsidR="00C60153" w:rsidRPr="00C33E92" w:rsidRDefault="00C60153" w:rsidP="00283CE4">
            <w:pPr>
              <w:jc w:val="center"/>
              <w:rPr>
                <w:rFonts w:ascii="Arial" w:hAnsi="Arial" w:cs="Arial"/>
                <w:sz w:val="20"/>
                <w:szCs w:val="20"/>
                <w:lang w:val="en-US"/>
              </w:rPr>
            </w:pPr>
            <w:r>
              <w:rPr>
                <w:rFonts w:ascii="Arial" w:hAnsi="Arial" w:cs="Arial"/>
                <w:sz w:val="20"/>
                <w:szCs w:val="20"/>
                <w:lang w:val="en-US"/>
              </w:rPr>
              <w:t>K</w:t>
            </w:r>
            <w:r w:rsidRPr="00C33E92">
              <w:rPr>
                <w:rFonts w:ascii="Arial" w:hAnsi="Arial" w:cs="Arial"/>
                <w:sz w:val="20"/>
                <w:szCs w:val="20"/>
                <w:lang w:val="en-US"/>
              </w:rPr>
              <w:t>ontrol (n=30)</w:t>
            </w:r>
          </w:p>
        </w:tc>
        <w:tc>
          <w:tcPr>
            <w:tcW w:w="1660" w:type="dxa"/>
            <w:noWrap/>
            <w:vAlign w:val="center"/>
            <w:hideMark/>
          </w:tcPr>
          <w:p w:rsidR="00C60153" w:rsidRPr="00C33E92" w:rsidRDefault="00C60153" w:rsidP="00283CE4">
            <w:pPr>
              <w:jc w:val="center"/>
              <w:rPr>
                <w:rFonts w:ascii="Arial" w:hAnsi="Arial" w:cs="Arial"/>
                <w:sz w:val="20"/>
                <w:szCs w:val="20"/>
                <w:lang w:val="en-US"/>
              </w:rPr>
            </w:pPr>
            <w:r>
              <w:rPr>
                <w:rFonts w:ascii="Arial" w:hAnsi="Arial" w:cs="Arial"/>
                <w:sz w:val="20"/>
                <w:szCs w:val="20"/>
                <w:lang w:val="en-US"/>
              </w:rPr>
              <w:t>10.</w:t>
            </w:r>
            <w:r w:rsidRPr="00C33E92">
              <w:rPr>
                <w:rFonts w:ascii="Arial" w:hAnsi="Arial" w:cs="Arial"/>
                <w:sz w:val="20"/>
                <w:szCs w:val="20"/>
                <w:lang w:val="en-US"/>
              </w:rPr>
              <w:t>4 ± 3</w:t>
            </w:r>
            <w:r>
              <w:rPr>
                <w:rFonts w:ascii="Arial" w:hAnsi="Arial" w:cs="Arial"/>
                <w:sz w:val="20"/>
                <w:szCs w:val="20"/>
                <w:lang w:val="en-US"/>
              </w:rPr>
              <w:t>.</w:t>
            </w:r>
            <w:r w:rsidRPr="00C33E92">
              <w:rPr>
                <w:rFonts w:ascii="Arial" w:hAnsi="Arial" w:cs="Arial"/>
                <w:sz w:val="20"/>
                <w:szCs w:val="20"/>
                <w:lang w:val="en-US"/>
              </w:rPr>
              <w:t>64</w:t>
            </w:r>
          </w:p>
        </w:tc>
        <w:tc>
          <w:tcPr>
            <w:tcW w:w="1940" w:type="dxa"/>
            <w:noWrap/>
            <w:vAlign w:val="center"/>
            <w:hideMark/>
          </w:tcPr>
          <w:p w:rsidR="00C60153" w:rsidRPr="00C33E92" w:rsidRDefault="00C60153" w:rsidP="00283CE4">
            <w:pPr>
              <w:jc w:val="center"/>
              <w:rPr>
                <w:rFonts w:ascii="Arial" w:hAnsi="Arial" w:cs="Arial"/>
                <w:sz w:val="20"/>
                <w:szCs w:val="20"/>
                <w:lang w:val="en-US"/>
              </w:rPr>
            </w:pPr>
            <w:r>
              <w:rPr>
                <w:rFonts w:ascii="Arial" w:hAnsi="Arial" w:cs="Arial"/>
                <w:sz w:val="20"/>
                <w:szCs w:val="20"/>
                <w:lang w:val="en-US"/>
              </w:rPr>
              <w:t>10.</w:t>
            </w:r>
            <w:r w:rsidRPr="00C33E92">
              <w:rPr>
                <w:rFonts w:ascii="Arial" w:hAnsi="Arial" w:cs="Arial"/>
                <w:sz w:val="20"/>
                <w:szCs w:val="20"/>
                <w:lang w:val="en-US"/>
              </w:rPr>
              <w:t>5 (6 - 17)</w:t>
            </w:r>
          </w:p>
        </w:tc>
        <w:tc>
          <w:tcPr>
            <w:tcW w:w="868" w:type="dxa"/>
            <w:vMerge/>
          </w:tcPr>
          <w:p w:rsidR="00C60153" w:rsidRPr="00C33E92" w:rsidRDefault="00C60153" w:rsidP="00283CE4">
            <w:pPr>
              <w:jc w:val="center"/>
              <w:rPr>
                <w:rFonts w:ascii="Arial" w:hAnsi="Arial" w:cs="Arial"/>
                <w:sz w:val="20"/>
                <w:szCs w:val="20"/>
                <w:lang w:val="en-US"/>
              </w:rPr>
            </w:pPr>
          </w:p>
        </w:tc>
        <w:tc>
          <w:tcPr>
            <w:tcW w:w="810" w:type="dxa"/>
            <w:vMerge/>
            <w:vAlign w:val="center"/>
            <w:hideMark/>
          </w:tcPr>
          <w:p w:rsidR="00C60153" w:rsidRPr="00C33E92" w:rsidRDefault="00C60153" w:rsidP="00283CE4">
            <w:pPr>
              <w:jc w:val="center"/>
              <w:rPr>
                <w:rFonts w:ascii="Arial" w:hAnsi="Arial" w:cs="Arial"/>
                <w:sz w:val="20"/>
                <w:szCs w:val="20"/>
                <w:lang w:val="en-US"/>
              </w:rPr>
            </w:pPr>
          </w:p>
        </w:tc>
      </w:tr>
    </w:tbl>
    <w:p w:rsidR="00C60153" w:rsidRPr="006A23DA" w:rsidRDefault="00C60153" w:rsidP="00C60153">
      <w:pPr>
        <w:tabs>
          <w:tab w:val="left" w:pos="3660"/>
        </w:tabs>
        <w:rPr>
          <w:rFonts w:ascii="Arial" w:hAnsi="Arial" w:cs="Arial"/>
          <w:sz w:val="22"/>
          <w:szCs w:val="22"/>
        </w:rPr>
      </w:pPr>
      <w:r w:rsidRPr="006A23DA">
        <w:rPr>
          <w:rFonts w:ascii="Arial" w:hAnsi="Arial" w:cs="Arial"/>
          <w:sz w:val="22"/>
          <w:szCs w:val="22"/>
        </w:rPr>
        <w:t>Mann Whitney U testi yapılmıştır. p &lt; 0.05 anlamlıdır.</w:t>
      </w:r>
    </w:p>
    <w:p w:rsidR="00C60153" w:rsidRDefault="00C60153" w:rsidP="00C60153">
      <w:pPr>
        <w:spacing w:line="360" w:lineRule="auto"/>
        <w:contextualSpacing/>
        <w:jc w:val="both"/>
        <w:rPr>
          <w:rFonts w:ascii="Arial" w:hAnsi="Arial" w:cs="Arial"/>
          <w:b/>
          <w:shd w:val="clear" w:color="auto" w:fill="FFFFFF"/>
        </w:rPr>
      </w:pPr>
    </w:p>
    <w:p w:rsidR="007E63B8" w:rsidRDefault="007E63B8" w:rsidP="00C60153">
      <w:pPr>
        <w:spacing w:line="360" w:lineRule="auto"/>
        <w:ind w:firstLine="567"/>
        <w:contextualSpacing/>
        <w:jc w:val="both"/>
        <w:rPr>
          <w:rFonts w:ascii="Arial" w:hAnsi="Arial" w:cs="Arial"/>
          <w:b/>
          <w:sz w:val="22"/>
          <w:szCs w:val="22"/>
          <w:shd w:val="clear" w:color="auto" w:fill="FFFFFF"/>
        </w:rPr>
      </w:pPr>
    </w:p>
    <w:p w:rsidR="007E63B8" w:rsidRDefault="007E63B8" w:rsidP="00C60153">
      <w:pPr>
        <w:spacing w:line="360" w:lineRule="auto"/>
        <w:ind w:firstLine="567"/>
        <w:contextualSpacing/>
        <w:jc w:val="both"/>
        <w:rPr>
          <w:rFonts w:ascii="Arial" w:hAnsi="Arial" w:cs="Arial"/>
          <w:b/>
          <w:sz w:val="22"/>
          <w:szCs w:val="22"/>
          <w:shd w:val="clear" w:color="auto" w:fill="FFFFFF"/>
        </w:rPr>
      </w:pPr>
    </w:p>
    <w:p w:rsidR="00C60153" w:rsidRPr="006A23DA" w:rsidRDefault="00C60153" w:rsidP="00C60153">
      <w:pPr>
        <w:spacing w:line="360" w:lineRule="auto"/>
        <w:ind w:firstLine="567"/>
        <w:contextualSpacing/>
        <w:jc w:val="both"/>
        <w:rPr>
          <w:rFonts w:ascii="Arial" w:hAnsi="Arial" w:cs="Arial"/>
          <w:b/>
          <w:sz w:val="22"/>
          <w:szCs w:val="22"/>
          <w:shd w:val="clear" w:color="auto" w:fill="FFFFFF"/>
        </w:rPr>
      </w:pPr>
      <w:r w:rsidRPr="006A23DA">
        <w:rPr>
          <w:rFonts w:ascii="Arial" w:hAnsi="Arial" w:cs="Arial"/>
          <w:b/>
          <w:sz w:val="22"/>
          <w:szCs w:val="22"/>
          <w:shd w:val="clear" w:color="auto" w:fill="FFFFFF"/>
        </w:rPr>
        <w:lastRenderedPageBreak/>
        <w:t>Anne ve Babaların Eğitim Düzeyleri</w:t>
      </w:r>
    </w:p>
    <w:p w:rsidR="00C60153" w:rsidRPr="006A23DA" w:rsidRDefault="00C60153" w:rsidP="00C60153">
      <w:pPr>
        <w:spacing w:line="360" w:lineRule="auto"/>
        <w:ind w:firstLine="567"/>
        <w:contextualSpacing/>
        <w:jc w:val="both"/>
        <w:rPr>
          <w:rFonts w:ascii="Arial" w:hAnsi="Arial" w:cs="Arial"/>
          <w:sz w:val="22"/>
          <w:szCs w:val="22"/>
          <w:shd w:val="clear" w:color="auto" w:fill="FFFFFF"/>
        </w:rPr>
      </w:pPr>
      <w:r w:rsidRPr="006A23DA">
        <w:rPr>
          <w:rFonts w:ascii="Arial" w:hAnsi="Arial" w:cs="Arial"/>
          <w:sz w:val="22"/>
          <w:szCs w:val="22"/>
          <w:shd w:val="clear" w:color="auto" w:fill="FFFFFF"/>
        </w:rPr>
        <w:t>Olgu grubundaki çocukların annelerinin %26.7 (n=8) ilkokul mezunu, %20 (n=6) ortaokul mezunu, %33.3 (n=10) lise mezunu, %16.7 (n=5) yüksekokul mezunudur, %3.3 (n=1) ise okuryazar değildir. Kontrol grubundaki çocukların annelerinin %56.7 (n=17) ilkokul mezunu, %10.0 (n=3) ortaokul mezunu, %16.7 (n=5) lise mezunu, %16.7 (n=5) yüksekokul mezunudur. Kontrol grubunda annesi okur - yazar olmayan katılımcı bulunmamaktadır. Ki-kare testinin uygulanabilmesi için olgu ve kontrol grubu anne öğrenim düzeyleri, ortaokul/altı ve lise/üstü olarak iki gruba ayrılmıştır. İki grup arasında annelerin eğitim düzeyi açısından istatistiksel olarak anlamlı bir fark saptanmamıştır (Tablo 5).</w:t>
      </w:r>
    </w:p>
    <w:p w:rsidR="00C60153" w:rsidRDefault="00C60153" w:rsidP="00C60153">
      <w:pPr>
        <w:spacing w:line="360" w:lineRule="auto"/>
        <w:ind w:firstLine="567"/>
        <w:contextualSpacing/>
        <w:jc w:val="both"/>
        <w:rPr>
          <w:rFonts w:ascii="Arial" w:hAnsi="Arial" w:cs="Arial"/>
          <w:sz w:val="22"/>
          <w:szCs w:val="22"/>
          <w:shd w:val="clear" w:color="auto" w:fill="FFFFFF"/>
        </w:rPr>
      </w:pPr>
      <w:r w:rsidRPr="006A23DA">
        <w:rPr>
          <w:rFonts w:ascii="Arial" w:hAnsi="Arial" w:cs="Arial"/>
          <w:sz w:val="22"/>
          <w:szCs w:val="22"/>
          <w:shd w:val="clear" w:color="auto" w:fill="FFFFFF"/>
        </w:rPr>
        <w:t>Olgu grubundaki çocukların babalarının %40.0 (n=12) ilkokul mezunu, %16.72 (n=5) ortaokul mezunu, %20 (n=6) lise mezunu, %23.3 (n=7) yüksekokul mezunudur. Kontrol grubundaki çocukların babalarının %43.3 (n=13) ilkokul mezunu, %10.0 (n=3) ortaokul mezunu, %30.0 (n=9) lise mezunu, %16.7 (n=5) yüksekokul mezunudur. Her iki grupta da babası okuryazar olmayan katılımcı bulunmamaktadır. Ki-kare testinin uygulanabilmesi için olgu ve kontrol grubu baba öğrenim düzeyleri, ortaokul/altı ve lise/üstü olarak iki gruba ayrılmıştır. İki grup arasında babaların eğitim düzeyi açısından istatistiksel olarak anlamlı bir farklılık bulunmamıştır (p&gt;0.05, Tablo 5).</w:t>
      </w:r>
    </w:p>
    <w:p w:rsidR="007E63B8" w:rsidRPr="006A23DA" w:rsidRDefault="007E63B8" w:rsidP="00C60153">
      <w:pPr>
        <w:spacing w:line="360" w:lineRule="auto"/>
        <w:ind w:firstLine="567"/>
        <w:contextualSpacing/>
        <w:jc w:val="both"/>
        <w:rPr>
          <w:rFonts w:ascii="Arial" w:hAnsi="Arial" w:cs="Arial"/>
          <w:sz w:val="22"/>
          <w:szCs w:val="22"/>
          <w:shd w:val="clear" w:color="auto" w:fill="FFFFFF"/>
        </w:rPr>
      </w:pPr>
    </w:p>
    <w:p w:rsidR="00C60153" w:rsidRPr="006A23DA" w:rsidRDefault="00C60153" w:rsidP="00C60153">
      <w:pPr>
        <w:rPr>
          <w:rFonts w:ascii="Arial" w:hAnsi="Arial" w:cs="Arial"/>
          <w:sz w:val="22"/>
          <w:szCs w:val="22"/>
        </w:rPr>
      </w:pPr>
      <w:r w:rsidRPr="006A23DA">
        <w:rPr>
          <w:rFonts w:ascii="Arial" w:hAnsi="Arial" w:cs="Arial"/>
          <w:sz w:val="22"/>
          <w:szCs w:val="22"/>
        </w:rPr>
        <w:t xml:space="preserve">Tablo 5. Ebeveynlerin eğitim düzeyleri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055"/>
        <w:gridCol w:w="1141"/>
        <w:gridCol w:w="1107"/>
        <w:gridCol w:w="1141"/>
        <w:gridCol w:w="1107"/>
        <w:gridCol w:w="1145"/>
      </w:tblGrid>
      <w:tr w:rsidR="00C60153" w:rsidRPr="00DA07D7" w:rsidTr="00283CE4">
        <w:trPr>
          <w:trHeight w:val="425"/>
        </w:trPr>
        <w:tc>
          <w:tcPr>
            <w:tcW w:w="1536" w:type="dxa"/>
            <w:vMerge w:val="restart"/>
            <w:tcBorders>
              <w:top w:val="single" w:sz="4" w:space="0" w:color="auto"/>
              <w:left w:val="single" w:sz="4" w:space="0" w:color="auto"/>
              <w:bottom w:val="single" w:sz="4" w:space="0" w:color="auto"/>
              <w:right w:val="single" w:sz="4" w:space="0" w:color="auto"/>
            </w:tcBorders>
          </w:tcPr>
          <w:p w:rsidR="00C60153" w:rsidRPr="00E0441B" w:rsidRDefault="00C60153" w:rsidP="00283CE4">
            <w:pPr>
              <w:rPr>
                <w:rFonts w:ascii="Arial" w:hAnsi="Arial" w:cs="Arial"/>
                <w:sz w:val="20"/>
                <w:szCs w:val="20"/>
              </w:rPr>
            </w:pPr>
          </w:p>
        </w:tc>
        <w:tc>
          <w:tcPr>
            <w:tcW w:w="2196" w:type="dxa"/>
            <w:gridSpan w:val="2"/>
            <w:tcBorders>
              <w:top w:val="single" w:sz="4" w:space="0" w:color="auto"/>
              <w:left w:val="single" w:sz="4" w:space="0" w:color="auto"/>
              <w:bottom w:val="single" w:sz="4" w:space="0" w:color="auto"/>
              <w:right w:val="single" w:sz="4" w:space="0" w:color="auto"/>
            </w:tcBorders>
            <w:hideMark/>
          </w:tcPr>
          <w:p w:rsidR="00C60153" w:rsidRPr="00E0441B" w:rsidRDefault="00C60153" w:rsidP="00283CE4">
            <w:pPr>
              <w:jc w:val="center"/>
              <w:rPr>
                <w:rFonts w:ascii="Arial" w:hAnsi="Arial" w:cs="Arial"/>
                <w:b/>
                <w:sz w:val="20"/>
                <w:szCs w:val="20"/>
              </w:rPr>
            </w:pPr>
            <w:r w:rsidRPr="00E0441B">
              <w:rPr>
                <w:rFonts w:ascii="Arial" w:hAnsi="Arial" w:cs="Arial"/>
                <w:b/>
                <w:sz w:val="20"/>
                <w:szCs w:val="20"/>
              </w:rPr>
              <w:t>Olgu</w:t>
            </w:r>
          </w:p>
        </w:tc>
        <w:tc>
          <w:tcPr>
            <w:tcW w:w="2248" w:type="dxa"/>
            <w:gridSpan w:val="2"/>
            <w:tcBorders>
              <w:top w:val="single" w:sz="4" w:space="0" w:color="auto"/>
              <w:left w:val="single" w:sz="4" w:space="0" w:color="auto"/>
              <w:bottom w:val="single" w:sz="4" w:space="0" w:color="auto"/>
              <w:right w:val="single" w:sz="4" w:space="0" w:color="auto"/>
            </w:tcBorders>
            <w:hideMark/>
          </w:tcPr>
          <w:p w:rsidR="00C60153" w:rsidRPr="00E0441B" w:rsidRDefault="00C60153" w:rsidP="00283CE4">
            <w:pPr>
              <w:jc w:val="center"/>
              <w:rPr>
                <w:rFonts w:ascii="Arial" w:hAnsi="Arial" w:cs="Arial"/>
                <w:b/>
                <w:sz w:val="20"/>
                <w:szCs w:val="20"/>
              </w:rPr>
            </w:pPr>
            <w:r w:rsidRPr="00E0441B">
              <w:rPr>
                <w:rFonts w:ascii="Arial" w:hAnsi="Arial" w:cs="Arial"/>
                <w:b/>
                <w:sz w:val="20"/>
                <w:szCs w:val="20"/>
              </w:rPr>
              <w:t>Kontrol</w:t>
            </w:r>
          </w:p>
        </w:tc>
        <w:tc>
          <w:tcPr>
            <w:tcW w:w="2252" w:type="dxa"/>
            <w:gridSpan w:val="2"/>
            <w:tcBorders>
              <w:top w:val="single" w:sz="4" w:space="0" w:color="auto"/>
              <w:left w:val="single" w:sz="4" w:space="0" w:color="auto"/>
              <w:bottom w:val="single" w:sz="4" w:space="0" w:color="auto"/>
              <w:right w:val="single" w:sz="4" w:space="0" w:color="auto"/>
            </w:tcBorders>
            <w:hideMark/>
          </w:tcPr>
          <w:p w:rsidR="00C60153" w:rsidRPr="00E0441B" w:rsidRDefault="00C60153" w:rsidP="00283CE4">
            <w:pPr>
              <w:jc w:val="center"/>
              <w:rPr>
                <w:rFonts w:ascii="Arial" w:hAnsi="Arial" w:cs="Arial"/>
                <w:b/>
                <w:sz w:val="20"/>
                <w:szCs w:val="20"/>
              </w:rPr>
            </w:pPr>
            <w:r w:rsidRPr="00E0441B">
              <w:rPr>
                <w:rFonts w:ascii="Arial" w:hAnsi="Arial" w:cs="Arial"/>
                <w:b/>
                <w:sz w:val="20"/>
                <w:szCs w:val="20"/>
              </w:rPr>
              <w:t>Toplam</w:t>
            </w:r>
          </w:p>
        </w:tc>
      </w:tr>
      <w:tr w:rsidR="00C60153" w:rsidRPr="00DA07D7" w:rsidTr="00283CE4">
        <w:trPr>
          <w:trHeight w:val="425"/>
        </w:trPr>
        <w:tc>
          <w:tcPr>
            <w:tcW w:w="1536" w:type="dxa"/>
            <w:vMerge/>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rPr>
                <w:rFonts w:ascii="Arial" w:hAnsi="Arial" w:cs="Arial"/>
                <w:sz w:val="20"/>
                <w:szCs w:val="20"/>
              </w:rPr>
            </w:pPr>
          </w:p>
        </w:tc>
        <w:tc>
          <w:tcPr>
            <w:tcW w:w="1055" w:type="dxa"/>
            <w:tcBorders>
              <w:top w:val="nil"/>
              <w:left w:val="single" w:sz="4" w:space="0" w:color="auto"/>
              <w:bottom w:val="single" w:sz="4" w:space="0" w:color="auto"/>
              <w:right w:val="single" w:sz="4" w:space="0" w:color="auto"/>
            </w:tcBorders>
            <w:vAlign w:val="center"/>
            <w:hideMark/>
          </w:tcPr>
          <w:p w:rsidR="00C60153" w:rsidRPr="00E0441B" w:rsidRDefault="00C60153" w:rsidP="00283CE4">
            <w:pPr>
              <w:jc w:val="center"/>
              <w:rPr>
                <w:rFonts w:ascii="Arial" w:hAnsi="Arial" w:cs="Arial"/>
                <w:b/>
                <w:sz w:val="20"/>
                <w:szCs w:val="20"/>
              </w:rPr>
            </w:pPr>
            <w:r w:rsidRPr="00E0441B">
              <w:rPr>
                <w:rFonts w:ascii="Arial" w:hAnsi="Arial" w:cs="Arial"/>
                <w:b/>
                <w:sz w:val="20"/>
                <w:szCs w:val="20"/>
              </w:rPr>
              <w:t>N</w:t>
            </w:r>
          </w:p>
        </w:tc>
        <w:tc>
          <w:tcPr>
            <w:tcW w:w="1141"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jc w:val="center"/>
              <w:rPr>
                <w:rFonts w:ascii="Arial" w:hAnsi="Arial" w:cs="Arial"/>
                <w:b/>
                <w:sz w:val="20"/>
                <w:szCs w:val="20"/>
              </w:rPr>
            </w:pPr>
            <w:r w:rsidRPr="00E0441B">
              <w:rPr>
                <w:rFonts w:ascii="Arial" w:hAnsi="Arial" w:cs="Arial"/>
                <w:b/>
                <w:sz w:val="20"/>
                <w:szCs w:val="20"/>
              </w:rPr>
              <w:t>%</w:t>
            </w:r>
          </w:p>
        </w:tc>
        <w:tc>
          <w:tcPr>
            <w:tcW w:w="1107"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jc w:val="center"/>
              <w:rPr>
                <w:rFonts w:ascii="Arial" w:hAnsi="Arial" w:cs="Arial"/>
                <w:b/>
                <w:sz w:val="20"/>
                <w:szCs w:val="20"/>
              </w:rPr>
            </w:pPr>
            <w:r w:rsidRPr="00E0441B">
              <w:rPr>
                <w:rFonts w:ascii="Arial" w:hAnsi="Arial" w:cs="Arial"/>
                <w:b/>
                <w:sz w:val="20"/>
                <w:szCs w:val="20"/>
              </w:rPr>
              <w:t>n</w:t>
            </w:r>
          </w:p>
        </w:tc>
        <w:tc>
          <w:tcPr>
            <w:tcW w:w="1141"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jc w:val="center"/>
              <w:rPr>
                <w:rFonts w:ascii="Arial" w:hAnsi="Arial" w:cs="Arial"/>
                <w:b/>
                <w:sz w:val="20"/>
                <w:szCs w:val="20"/>
              </w:rPr>
            </w:pPr>
            <w:r w:rsidRPr="00E0441B">
              <w:rPr>
                <w:rFonts w:ascii="Arial" w:hAnsi="Arial" w:cs="Arial"/>
                <w:b/>
                <w:sz w:val="20"/>
                <w:szCs w:val="20"/>
              </w:rPr>
              <w:t>%</w:t>
            </w:r>
          </w:p>
        </w:tc>
        <w:tc>
          <w:tcPr>
            <w:tcW w:w="1107"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jc w:val="center"/>
              <w:rPr>
                <w:rFonts w:ascii="Arial" w:hAnsi="Arial" w:cs="Arial"/>
                <w:b/>
                <w:sz w:val="20"/>
                <w:szCs w:val="20"/>
              </w:rPr>
            </w:pPr>
            <w:r w:rsidRPr="00E0441B">
              <w:rPr>
                <w:rFonts w:ascii="Arial" w:hAnsi="Arial" w:cs="Arial"/>
                <w:b/>
                <w:sz w:val="20"/>
                <w:szCs w:val="20"/>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jc w:val="center"/>
              <w:rPr>
                <w:rFonts w:ascii="Arial" w:hAnsi="Arial" w:cs="Arial"/>
                <w:b/>
                <w:sz w:val="20"/>
                <w:szCs w:val="20"/>
              </w:rPr>
            </w:pPr>
            <w:r w:rsidRPr="00E0441B">
              <w:rPr>
                <w:rFonts w:ascii="Arial" w:hAnsi="Arial" w:cs="Arial"/>
                <w:b/>
                <w:sz w:val="20"/>
                <w:szCs w:val="20"/>
              </w:rPr>
              <w:t>%</w:t>
            </w:r>
          </w:p>
        </w:tc>
      </w:tr>
      <w:tr w:rsidR="00C60153" w:rsidRPr="00DA07D7" w:rsidTr="00283CE4">
        <w:trPr>
          <w:trHeight w:val="425"/>
        </w:trPr>
        <w:tc>
          <w:tcPr>
            <w:tcW w:w="8232" w:type="dxa"/>
            <w:gridSpan w:val="7"/>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rPr>
                <w:rFonts w:ascii="Arial" w:hAnsi="Arial" w:cs="Arial"/>
                <w:sz w:val="20"/>
                <w:szCs w:val="20"/>
              </w:rPr>
            </w:pPr>
            <w:r w:rsidRPr="00E0441B">
              <w:rPr>
                <w:rFonts w:ascii="Arial" w:hAnsi="Arial" w:cs="Arial"/>
                <w:b/>
                <w:sz w:val="20"/>
                <w:szCs w:val="20"/>
              </w:rPr>
              <w:t>Anne Eğitimi*</w:t>
            </w:r>
          </w:p>
        </w:tc>
      </w:tr>
      <w:tr w:rsidR="00C60153" w:rsidRPr="00DA07D7" w:rsidTr="00283CE4">
        <w:trPr>
          <w:trHeight w:val="425"/>
        </w:trPr>
        <w:tc>
          <w:tcPr>
            <w:tcW w:w="1536"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rPr>
                <w:rFonts w:ascii="Arial" w:hAnsi="Arial" w:cs="Arial"/>
                <w:sz w:val="20"/>
                <w:szCs w:val="20"/>
              </w:rPr>
            </w:pPr>
            <w:r w:rsidRPr="00E0441B">
              <w:rPr>
                <w:rFonts w:ascii="Arial" w:hAnsi="Arial" w:cs="Arial"/>
                <w:sz w:val="20"/>
                <w:szCs w:val="20"/>
              </w:rPr>
              <w:t>Ortaokul/altı</w:t>
            </w:r>
          </w:p>
        </w:tc>
        <w:tc>
          <w:tcPr>
            <w:tcW w:w="1055"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15</w:t>
            </w:r>
          </w:p>
        </w:tc>
        <w:tc>
          <w:tcPr>
            <w:tcW w:w="1141"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50</w:t>
            </w:r>
          </w:p>
        </w:tc>
        <w:tc>
          <w:tcPr>
            <w:tcW w:w="1107"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20</w:t>
            </w:r>
          </w:p>
        </w:tc>
        <w:tc>
          <w:tcPr>
            <w:tcW w:w="1141"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66.7</w:t>
            </w:r>
          </w:p>
        </w:tc>
        <w:tc>
          <w:tcPr>
            <w:tcW w:w="1107"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35</w:t>
            </w:r>
          </w:p>
        </w:tc>
        <w:tc>
          <w:tcPr>
            <w:tcW w:w="1145"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58.3</w:t>
            </w:r>
          </w:p>
        </w:tc>
      </w:tr>
      <w:tr w:rsidR="00C60153" w:rsidRPr="00DA07D7" w:rsidTr="00283CE4">
        <w:trPr>
          <w:trHeight w:val="425"/>
        </w:trPr>
        <w:tc>
          <w:tcPr>
            <w:tcW w:w="1536"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rPr>
                <w:rFonts w:ascii="Arial" w:hAnsi="Arial" w:cs="Arial"/>
                <w:sz w:val="20"/>
                <w:szCs w:val="20"/>
              </w:rPr>
            </w:pPr>
            <w:r w:rsidRPr="00E0441B">
              <w:rPr>
                <w:rFonts w:ascii="Arial" w:hAnsi="Arial" w:cs="Arial"/>
                <w:sz w:val="20"/>
                <w:szCs w:val="20"/>
              </w:rPr>
              <w:t>Lise/üstü</w:t>
            </w:r>
          </w:p>
        </w:tc>
        <w:tc>
          <w:tcPr>
            <w:tcW w:w="1055"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15</w:t>
            </w:r>
          </w:p>
        </w:tc>
        <w:tc>
          <w:tcPr>
            <w:tcW w:w="1141"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50</w:t>
            </w:r>
          </w:p>
        </w:tc>
        <w:tc>
          <w:tcPr>
            <w:tcW w:w="1107"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10</w:t>
            </w:r>
          </w:p>
        </w:tc>
        <w:tc>
          <w:tcPr>
            <w:tcW w:w="1141"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33.3</w:t>
            </w:r>
          </w:p>
        </w:tc>
        <w:tc>
          <w:tcPr>
            <w:tcW w:w="1107"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25</w:t>
            </w:r>
          </w:p>
        </w:tc>
        <w:tc>
          <w:tcPr>
            <w:tcW w:w="1145"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41.7</w:t>
            </w:r>
          </w:p>
        </w:tc>
      </w:tr>
      <w:tr w:rsidR="00C60153" w:rsidRPr="00DA07D7" w:rsidTr="00283CE4">
        <w:trPr>
          <w:trHeight w:val="425"/>
        </w:trPr>
        <w:tc>
          <w:tcPr>
            <w:tcW w:w="1536"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rPr>
                <w:rFonts w:ascii="Arial" w:hAnsi="Arial" w:cs="Arial"/>
                <w:sz w:val="20"/>
                <w:szCs w:val="20"/>
              </w:rPr>
            </w:pPr>
            <w:r w:rsidRPr="00E0441B">
              <w:rPr>
                <w:rFonts w:ascii="Arial" w:hAnsi="Arial" w:cs="Arial"/>
                <w:sz w:val="20"/>
                <w:szCs w:val="20"/>
              </w:rPr>
              <w:t>Toplam</w:t>
            </w:r>
          </w:p>
        </w:tc>
        <w:tc>
          <w:tcPr>
            <w:tcW w:w="1055"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30</w:t>
            </w:r>
          </w:p>
        </w:tc>
        <w:tc>
          <w:tcPr>
            <w:tcW w:w="1141"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100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30</w:t>
            </w:r>
          </w:p>
        </w:tc>
        <w:tc>
          <w:tcPr>
            <w:tcW w:w="1141"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100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60</w:t>
            </w:r>
          </w:p>
        </w:tc>
        <w:tc>
          <w:tcPr>
            <w:tcW w:w="1145"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100</w:t>
            </w:r>
          </w:p>
        </w:tc>
      </w:tr>
      <w:tr w:rsidR="00C60153" w:rsidRPr="00DA07D7" w:rsidTr="00283CE4">
        <w:trPr>
          <w:trHeight w:val="425"/>
        </w:trPr>
        <w:tc>
          <w:tcPr>
            <w:tcW w:w="8232" w:type="dxa"/>
            <w:gridSpan w:val="7"/>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rPr>
                <w:rFonts w:ascii="Arial" w:hAnsi="Arial" w:cs="Arial"/>
                <w:sz w:val="20"/>
                <w:szCs w:val="20"/>
                <w:highlight w:val="yellow"/>
              </w:rPr>
            </w:pPr>
            <w:r w:rsidRPr="00E0441B">
              <w:rPr>
                <w:rFonts w:ascii="Arial" w:hAnsi="Arial" w:cs="Arial"/>
                <w:sz w:val="20"/>
                <w:szCs w:val="20"/>
              </w:rPr>
              <w:t>χ ² = 1.097     p = 0.295</w:t>
            </w:r>
          </w:p>
        </w:tc>
      </w:tr>
      <w:tr w:rsidR="00C60153" w:rsidRPr="00DA07D7" w:rsidTr="00283CE4">
        <w:trPr>
          <w:trHeight w:val="425"/>
        </w:trPr>
        <w:tc>
          <w:tcPr>
            <w:tcW w:w="8232" w:type="dxa"/>
            <w:gridSpan w:val="7"/>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rPr>
                <w:rFonts w:ascii="Arial" w:hAnsi="Arial" w:cs="Arial"/>
                <w:sz w:val="20"/>
                <w:szCs w:val="20"/>
              </w:rPr>
            </w:pPr>
            <w:r w:rsidRPr="00E0441B">
              <w:rPr>
                <w:rFonts w:ascii="Arial" w:hAnsi="Arial" w:cs="Arial"/>
                <w:b/>
                <w:sz w:val="20"/>
                <w:szCs w:val="20"/>
              </w:rPr>
              <w:t>Baba Eğitimi*</w:t>
            </w:r>
          </w:p>
        </w:tc>
      </w:tr>
      <w:tr w:rsidR="00C60153" w:rsidRPr="00DA07D7" w:rsidTr="00283CE4">
        <w:trPr>
          <w:trHeight w:val="425"/>
        </w:trPr>
        <w:tc>
          <w:tcPr>
            <w:tcW w:w="1536"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rPr>
                <w:rFonts w:ascii="Arial" w:hAnsi="Arial" w:cs="Arial"/>
                <w:sz w:val="20"/>
                <w:szCs w:val="20"/>
              </w:rPr>
            </w:pPr>
            <w:r w:rsidRPr="00E0441B">
              <w:rPr>
                <w:rFonts w:ascii="Arial" w:hAnsi="Arial" w:cs="Arial"/>
                <w:sz w:val="20"/>
                <w:szCs w:val="20"/>
              </w:rPr>
              <w:t>Ortaokul/altı</w:t>
            </w:r>
          </w:p>
        </w:tc>
        <w:tc>
          <w:tcPr>
            <w:tcW w:w="1055"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17</w:t>
            </w:r>
          </w:p>
        </w:tc>
        <w:tc>
          <w:tcPr>
            <w:tcW w:w="1141"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56.7</w:t>
            </w:r>
          </w:p>
        </w:tc>
        <w:tc>
          <w:tcPr>
            <w:tcW w:w="1107"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16</w:t>
            </w:r>
          </w:p>
        </w:tc>
        <w:tc>
          <w:tcPr>
            <w:tcW w:w="1141"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53.3</w:t>
            </w:r>
          </w:p>
        </w:tc>
        <w:tc>
          <w:tcPr>
            <w:tcW w:w="1107"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33</w:t>
            </w:r>
          </w:p>
        </w:tc>
        <w:tc>
          <w:tcPr>
            <w:tcW w:w="1145"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55</w:t>
            </w:r>
          </w:p>
        </w:tc>
      </w:tr>
      <w:tr w:rsidR="00C60153" w:rsidRPr="00DA07D7" w:rsidTr="00283CE4">
        <w:trPr>
          <w:trHeight w:val="425"/>
        </w:trPr>
        <w:tc>
          <w:tcPr>
            <w:tcW w:w="1536"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rPr>
                <w:rFonts w:ascii="Arial" w:hAnsi="Arial" w:cs="Arial"/>
                <w:sz w:val="20"/>
                <w:szCs w:val="20"/>
              </w:rPr>
            </w:pPr>
            <w:r w:rsidRPr="00E0441B">
              <w:rPr>
                <w:rFonts w:ascii="Arial" w:hAnsi="Arial" w:cs="Arial"/>
                <w:sz w:val="20"/>
                <w:szCs w:val="20"/>
              </w:rPr>
              <w:t>Lise/üstü</w:t>
            </w:r>
          </w:p>
        </w:tc>
        <w:tc>
          <w:tcPr>
            <w:tcW w:w="1055"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13</w:t>
            </w:r>
          </w:p>
        </w:tc>
        <w:tc>
          <w:tcPr>
            <w:tcW w:w="1141"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43.3</w:t>
            </w:r>
          </w:p>
        </w:tc>
        <w:tc>
          <w:tcPr>
            <w:tcW w:w="1107"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14</w:t>
            </w:r>
          </w:p>
        </w:tc>
        <w:tc>
          <w:tcPr>
            <w:tcW w:w="1141"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46.7</w:t>
            </w:r>
          </w:p>
        </w:tc>
        <w:tc>
          <w:tcPr>
            <w:tcW w:w="1107"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27</w:t>
            </w:r>
          </w:p>
        </w:tc>
        <w:tc>
          <w:tcPr>
            <w:tcW w:w="1145"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45</w:t>
            </w:r>
          </w:p>
        </w:tc>
      </w:tr>
      <w:tr w:rsidR="00C60153" w:rsidRPr="00DA07D7" w:rsidTr="00283CE4">
        <w:trPr>
          <w:trHeight w:val="425"/>
        </w:trPr>
        <w:tc>
          <w:tcPr>
            <w:tcW w:w="1536"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rPr>
                <w:rFonts w:ascii="Arial" w:hAnsi="Arial" w:cs="Arial"/>
                <w:sz w:val="20"/>
                <w:szCs w:val="20"/>
              </w:rPr>
            </w:pPr>
            <w:r w:rsidRPr="00E0441B">
              <w:rPr>
                <w:rFonts w:ascii="Arial" w:hAnsi="Arial" w:cs="Arial"/>
                <w:sz w:val="20"/>
                <w:szCs w:val="20"/>
              </w:rPr>
              <w:t>Toplam</w:t>
            </w:r>
          </w:p>
        </w:tc>
        <w:tc>
          <w:tcPr>
            <w:tcW w:w="1055"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30</w:t>
            </w:r>
          </w:p>
        </w:tc>
        <w:tc>
          <w:tcPr>
            <w:tcW w:w="1141"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100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30</w:t>
            </w:r>
          </w:p>
        </w:tc>
        <w:tc>
          <w:tcPr>
            <w:tcW w:w="1141"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100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60</w:t>
            </w:r>
          </w:p>
        </w:tc>
        <w:tc>
          <w:tcPr>
            <w:tcW w:w="1145" w:type="dxa"/>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spacing w:line="360" w:lineRule="auto"/>
              <w:jc w:val="center"/>
              <w:rPr>
                <w:rFonts w:ascii="Arial" w:hAnsi="Arial" w:cs="Arial"/>
                <w:sz w:val="20"/>
                <w:szCs w:val="20"/>
              </w:rPr>
            </w:pPr>
            <w:r w:rsidRPr="00E0441B">
              <w:rPr>
                <w:rFonts w:ascii="Arial" w:hAnsi="Arial" w:cs="Arial"/>
                <w:sz w:val="20"/>
                <w:szCs w:val="20"/>
              </w:rPr>
              <w:t>100</w:t>
            </w:r>
          </w:p>
        </w:tc>
      </w:tr>
      <w:tr w:rsidR="00C60153" w:rsidRPr="00DA07D7" w:rsidTr="00283CE4">
        <w:trPr>
          <w:trHeight w:val="425"/>
        </w:trPr>
        <w:tc>
          <w:tcPr>
            <w:tcW w:w="8232" w:type="dxa"/>
            <w:gridSpan w:val="7"/>
            <w:tcBorders>
              <w:top w:val="single" w:sz="4" w:space="0" w:color="auto"/>
              <w:left w:val="single" w:sz="4" w:space="0" w:color="auto"/>
              <w:bottom w:val="single" w:sz="4" w:space="0" w:color="auto"/>
              <w:right w:val="single" w:sz="4" w:space="0" w:color="auto"/>
            </w:tcBorders>
            <w:vAlign w:val="center"/>
            <w:hideMark/>
          </w:tcPr>
          <w:p w:rsidR="00C60153" w:rsidRPr="00E0441B" w:rsidRDefault="00C60153" w:rsidP="00283CE4">
            <w:pPr>
              <w:rPr>
                <w:rFonts w:ascii="Arial" w:hAnsi="Arial" w:cs="Arial"/>
                <w:sz w:val="20"/>
                <w:szCs w:val="20"/>
              </w:rPr>
            </w:pPr>
            <w:r w:rsidRPr="00E0441B">
              <w:rPr>
                <w:rFonts w:ascii="Arial" w:hAnsi="Arial" w:cs="Arial"/>
                <w:sz w:val="20"/>
                <w:szCs w:val="20"/>
              </w:rPr>
              <w:t>χ ² =0,795     p = 0.067</w:t>
            </w:r>
          </w:p>
        </w:tc>
      </w:tr>
    </w:tbl>
    <w:p w:rsidR="00C60153" w:rsidRPr="006A23DA" w:rsidRDefault="00C60153" w:rsidP="00C60153">
      <w:pPr>
        <w:rPr>
          <w:rFonts w:ascii="Arial" w:hAnsi="Arial" w:cs="Arial"/>
          <w:sz w:val="22"/>
          <w:szCs w:val="22"/>
        </w:rPr>
      </w:pPr>
      <w:r w:rsidRPr="006A23DA">
        <w:rPr>
          <w:rFonts w:ascii="Arial" w:hAnsi="Arial" w:cs="Arial"/>
          <w:sz w:val="22"/>
          <w:szCs w:val="22"/>
        </w:rPr>
        <w:t>*χ ² testi yapılmıştır. Yates’ süreklilik düzeltmesi yapılmıştır. p &lt; 0.05 anlamlıdır.</w:t>
      </w:r>
    </w:p>
    <w:p w:rsidR="00C60153" w:rsidRDefault="00C60153" w:rsidP="00C60153">
      <w:pPr>
        <w:spacing w:line="360" w:lineRule="auto"/>
        <w:ind w:firstLine="567"/>
        <w:contextualSpacing/>
        <w:jc w:val="both"/>
        <w:rPr>
          <w:b/>
          <w:shd w:val="clear" w:color="auto" w:fill="FFFFFF"/>
        </w:rPr>
      </w:pPr>
    </w:p>
    <w:p w:rsidR="00C60153" w:rsidRPr="007E63B8" w:rsidRDefault="00C60153" w:rsidP="00C60153">
      <w:pPr>
        <w:spacing w:line="360" w:lineRule="auto"/>
        <w:ind w:firstLine="567"/>
        <w:contextualSpacing/>
        <w:jc w:val="both"/>
        <w:rPr>
          <w:rFonts w:ascii="Arial" w:hAnsi="Arial" w:cs="Arial"/>
          <w:b/>
          <w:sz w:val="22"/>
          <w:szCs w:val="22"/>
          <w:shd w:val="clear" w:color="auto" w:fill="FFFFFF"/>
        </w:rPr>
      </w:pPr>
      <w:r w:rsidRPr="007E63B8">
        <w:rPr>
          <w:rFonts w:ascii="Arial" w:hAnsi="Arial" w:cs="Arial"/>
          <w:b/>
          <w:sz w:val="22"/>
          <w:szCs w:val="22"/>
          <w:shd w:val="clear" w:color="auto" w:fill="FFFFFF"/>
        </w:rPr>
        <w:t>Anne ve Babaların Çalışma Durumları</w:t>
      </w:r>
    </w:p>
    <w:p w:rsidR="00C60153" w:rsidRDefault="00C60153" w:rsidP="00C60153">
      <w:pPr>
        <w:spacing w:line="360" w:lineRule="auto"/>
        <w:ind w:firstLine="567"/>
        <w:contextualSpacing/>
        <w:jc w:val="both"/>
        <w:rPr>
          <w:rFonts w:ascii="Arial" w:hAnsi="Arial" w:cs="Arial"/>
          <w:sz w:val="22"/>
          <w:szCs w:val="22"/>
          <w:shd w:val="clear" w:color="auto" w:fill="FFFFFF"/>
        </w:rPr>
      </w:pPr>
      <w:r w:rsidRPr="007E63B8">
        <w:rPr>
          <w:rFonts w:ascii="Arial" w:hAnsi="Arial" w:cs="Arial"/>
          <w:sz w:val="22"/>
          <w:szCs w:val="22"/>
          <w:shd w:val="clear" w:color="auto" w:fill="FFFFFF"/>
        </w:rPr>
        <w:t>Olgu grubundaki çocukların annelerinin %23.3 (n=7), kontrol grubundaki çocukların annelerinin %53.3 (n=16) çalıştığı saptanmıştır. Olgu grubundaki çocukların babalarının %96.4 (n=29) çalıştığı, %3.6 (n=1) çalışmadığı, kontrol grubundaki çocukların babalarının %90.0 (n=27) çalıştığı, %10.0 (n=3) çalışmadığı belirlenmiştir. Olgu ve kontrol grupları arasında annelerin çalışma durumları açısından istatistiksel olarak anlamlı bir fark saptanmıştır (p=0.034). Babaların çalışma durumları açısından ise istatistiksel olarak anlamlı bir fark saptanmamıştır (p&gt;0.05, Tablo 6).</w:t>
      </w:r>
    </w:p>
    <w:p w:rsidR="007E63B8" w:rsidRPr="007E63B8" w:rsidRDefault="007E63B8" w:rsidP="00C60153">
      <w:pPr>
        <w:spacing w:line="360" w:lineRule="auto"/>
        <w:ind w:firstLine="567"/>
        <w:contextualSpacing/>
        <w:jc w:val="both"/>
        <w:rPr>
          <w:rFonts w:ascii="Arial" w:hAnsi="Arial" w:cs="Arial"/>
          <w:sz w:val="22"/>
          <w:szCs w:val="22"/>
          <w:shd w:val="clear" w:color="auto" w:fill="FFFFFF"/>
        </w:rPr>
      </w:pPr>
    </w:p>
    <w:p w:rsidR="00C60153" w:rsidRPr="006A23DA" w:rsidRDefault="00C60153" w:rsidP="00C60153">
      <w:pPr>
        <w:rPr>
          <w:rFonts w:ascii="Arial" w:hAnsi="Arial" w:cs="Arial"/>
          <w:sz w:val="22"/>
          <w:szCs w:val="22"/>
        </w:rPr>
      </w:pPr>
      <w:r w:rsidRPr="006A23DA">
        <w:rPr>
          <w:rFonts w:ascii="Arial" w:hAnsi="Arial" w:cs="Arial"/>
          <w:sz w:val="22"/>
          <w:szCs w:val="22"/>
        </w:rPr>
        <w:t>Tablo 6. Anne-babaların çalışma durumları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055"/>
        <w:gridCol w:w="1141"/>
        <w:gridCol w:w="1107"/>
        <w:gridCol w:w="1141"/>
        <w:gridCol w:w="1107"/>
        <w:gridCol w:w="1145"/>
      </w:tblGrid>
      <w:tr w:rsidR="00C60153" w:rsidRPr="00592B8F" w:rsidTr="00283CE4">
        <w:trPr>
          <w:trHeight w:val="425"/>
        </w:trPr>
        <w:tc>
          <w:tcPr>
            <w:tcW w:w="1536" w:type="dxa"/>
            <w:vMerge w:val="restart"/>
            <w:tcBorders>
              <w:top w:val="single" w:sz="4" w:space="0" w:color="auto"/>
              <w:left w:val="single" w:sz="4" w:space="0" w:color="auto"/>
              <w:bottom w:val="single" w:sz="4" w:space="0" w:color="auto"/>
              <w:right w:val="single" w:sz="4" w:space="0" w:color="auto"/>
            </w:tcBorders>
          </w:tcPr>
          <w:p w:rsidR="00C60153" w:rsidRPr="00592B8F" w:rsidRDefault="00C60153" w:rsidP="00283CE4">
            <w:pPr>
              <w:rPr>
                <w:rFonts w:ascii="Arial" w:hAnsi="Arial" w:cs="Arial"/>
                <w:sz w:val="20"/>
                <w:szCs w:val="20"/>
              </w:rPr>
            </w:pPr>
          </w:p>
        </w:tc>
        <w:tc>
          <w:tcPr>
            <w:tcW w:w="2196" w:type="dxa"/>
            <w:gridSpan w:val="2"/>
            <w:tcBorders>
              <w:top w:val="single" w:sz="4" w:space="0" w:color="auto"/>
              <w:left w:val="single" w:sz="4" w:space="0" w:color="auto"/>
              <w:bottom w:val="single" w:sz="4" w:space="0" w:color="auto"/>
              <w:right w:val="single" w:sz="4" w:space="0" w:color="auto"/>
            </w:tcBorders>
            <w:hideMark/>
          </w:tcPr>
          <w:p w:rsidR="00C60153" w:rsidRPr="00592B8F" w:rsidRDefault="00C60153" w:rsidP="00283CE4">
            <w:pPr>
              <w:jc w:val="center"/>
              <w:rPr>
                <w:rFonts w:ascii="Arial" w:hAnsi="Arial" w:cs="Arial"/>
                <w:b/>
                <w:sz w:val="20"/>
                <w:szCs w:val="20"/>
              </w:rPr>
            </w:pPr>
            <w:r w:rsidRPr="00592B8F">
              <w:rPr>
                <w:rFonts w:ascii="Arial" w:hAnsi="Arial" w:cs="Arial"/>
                <w:b/>
                <w:sz w:val="20"/>
                <w:szCs w:val="20"/>
              </w:rPr>
              <w:t>Olgu</w:t>
            </w:r>
          </w:p>
        </w:tc>
        <w:tc>
          <w:tcPr>
            <w:tcW w:w="2248" w:type="dxa"/>
            <w:gridSpan w:val="2"/>
            <w:tcBorders>
              <w:top w:val="single" w:sz="4" w:space="0" w:color="auto"/>
              <w:left w:val="single" w:sz="4" w:space="0" w:color="auto"/>
              <w:bottom w:val="single" w:sz="4" w:space="0" w:color="auto"/>
              <w:right w:val="single" w:sz="4" w:space="0" w:color="auto"/>
            </w:tcBorders>
            <w:hideMark/>
          </w:tcPr>
          <w:p w:rsidR="00C60153" w:rsidRPr="00592B8F" w:rsidRDefault="00C60153" w:rsidP="00283CE4">
            <w:pPr>
              <w:jc w:val="center"/>
              <w:rPr>
                <w:rFonts w:ascii="Arial" w:hAnsi="Arial" w:cs="Arial"/>
                <w:b/>
                <w:sz w:val="20"/>
                <w:szCs w:val="20"/>
              </w:rPr>
            </w:pPr>
            <w:r w:rsidRPr="00592B8F">
              <w:rPr>
                <w:rFonts w:ascii="Arial" w:hAnsi="Arial" w:cs="Arial"/>
                <w:b/>
                <w:sz w:val="20"/>
                <w:szCs w:val="20"/>
              </w:rPr>
              <w:t>Kontrol</w:t>
            </w:r>
          </w:p>
        </w:tc>
        <w:tc>
          <w:tcPr>
            <w:tcW w:w="2252" w:type="dxa"/>
            <w:gridSpan w:val="2"/>
            <w:tcBorders>
              <w:top w:val="single" w:sz="4" w:space="0" w:color="auto"/>
              <w:left w:val="single" w:sz="4" w:space="0" w:color="auto"/>
              <w:bottom w:val="single" w:sz="4" w:space="0" w:color="auto"/>
              <w:right w:val="single" w:sz="4" w:space="0" w:color="auto"/>
            </w:tcBorders>
            <w:hideMark/>
          </w:tcPr>
          <w:p w:rsidR="00C60153" w:rsidRPr="00592B8F" w:rsidRDefault="00C60153" w:rsidP="00283CE4">
            <w:pPr>
              <w:jc w:val="center"/>
              <w:rPr>
                <w:rFonts w:ascii="Arial" w:hAnsi="Arial" w:cs="Arial"/>
                <w:b/>
                <w:sz w:val="20"/>
                <w:szCs w:val="20"/>
              </w:rPr>
            </w:pPr>
            <w:r w:rsidRPr="00592B8F">
              <w:rPr>
                <w:rFonts w:ascii="Arial" w:hAnsi="Arial" w:cs="Arial"/>
                <w:b/>
                <w:sz w:val="20"/>
                <w:szCs w:val="20"/>
              </w:rPr>
              <w:t>Toplam</w:t>
            </w:r>
          </w:p>
        </w:tc>
      </w:tr>
      <w:tr w:rsidR="00C60153" w:rsidRPr="00592B8F" w:rsidTr="00283CE4">
        <w:trPr>
          <w:trHeight w:val="425"/>
        </w:trPr>
        <w:tc>
          <w:tcPr>
            <w:tcW w:w="1536" w:type="dxa"/>
            <w:vMerge/>
            <w:tcBorders>
              <w:top w:val="single" w:sz="4" w:space="0" w:color="auto"/>
              <w:left w:val="single" w:sz="4" w:space="0" w:color="auto"/>
              <w:bottom w:val="single" w:sz="4" w:space="0" w:color="auto"/>
              <w:right w:val="single" w:sz="4" w:space="0" w:color="auto"/>
            </w:tcBorders>
            <w:vAlign w:val="center"/>
            <w:hideMark/>
          </w:tcPr>
          <w:p w:rsidR="00C60153" w:rsidRPr="00592B8F" w:rsidRDefault="00C60153" w:rsidP="00283CE4">
            <w:pPr>
              <w:rPr>
                <w:rFonts w:ascii="Arial" w:hAnsi="Arial" w:cs="Arial"/>
                <w:sz w:val="20"/>
                <w:szCs w:val="20"/>
              </w:rPr>
            </w:pPr>
          </w:p>
        </w:tc>
        <w:tc>
          <w:tcPr>
            <w:tcW w:w="1055" w:type="dxa"/>
            <w:tcBorders>
              <w:top w:val="nil"/>
              <w:left w:val="single" w:sz="4" w:space="0" w:color="auto"/>
              <w:bottom w:val="single" w:sz="4" w:space="0" w:color="auto"/>
              <w:right w:val="single" w:sz="4" w:space="0" w:color="auto"/>
            </w:tcBorders>
            <w:vAlign w:val="center"/>
            <w:hideMark/>
          </w:tcPr>
          <w:p w:rsidR="00C60153" w:rsidRPr="00592B8F" w:rsidRDefault="00C60153" w:rsidP="00283CE4">
            <w:pPr>
              <w:jc w:val="center"/>
              <w:rPr>
                <w:rFonts w:ascii="Arial" w:hAnsi="Arial" w:cs="Arial"/>
                <w:b/>
                <w:sz w:val="20"/>
                <w:szCs w:val="20"/>
              </w:rPr>
            </w:pPr>
            <w:r w:rsidRPr="00592B8F">
              <w:rPr>
                <w:rFonts w:ascii="Arial" w:hAnsi="Arial" w:cs="Arial"/>
                <w:b/>
                <w:sz w:val="20"/>
                <w:szCs w:val="20"/>
              </w:rPr>
              <w:t>N</w:t>
            </w:r>
          </w:p>
        </w:tc>
        <w:tc>
          <w:tcPr>
            <w:tcW w:w="1141" w:type="dxa"/>
            <w:tcBorders>
              <w:top w:val="single" w:sz="4" w:space="0" w:color="auto"/>
              <w:left w:val="single" w:sz="4" w:space="0" w:color="auto"/>
              <w:bottom w:val="single" w:sz="4" w:space="0" w:color="auto"/>
              <w:right w:val="single" w:sz="4" w:space="0" w:color="auto"/>
            </w:tcBorders>
            <w:vAlign w:val="center"/>
            <w:hideMark/>
          </w:tcPr>
          <w:p w:rsidR="00C60153" w:rsidRPr="00592B8F" w:rsidRDefault="00C60153" w:rsidP="00283CE4">
            <w:pPr>
              <w:jc w:val="center"/>
              <w:rPr>
                <w:rFonts w:ascii="Arial" w:hAnsi="Arial" w:cs="Arial"/>
                <w:b/>
                <w:sz w:val="20"/>
                <w:szCs w:val="20"/>
              </w:rPr>
            </w:pPr>
            <w:r w:rsidRPr="00592B8F">
              <w:rPr>
                <w:rFonts w:ascii="Arial" w:hAnsi="Arial" w:cs="Arial"/>
                <w:b/>
                <w:sz w:val="20"/>
                <w:szCs w:val="20"/>
              </w:rPr>
              <w:t>%</w:t>
            </w:r>
          </w:p>
        </w:tc>
        <w:tc>
          <w:tcPr>
            <w:tcW w:w="1107" w:type="dxa"/>
            <w:tcBorders>
              <w:top w:val="single" w:sz="4" w:space="0" w:color="auto"/>
              <w:left w:val="single" w:sz="4" w:space="0" w:color="auto"/>
              <w:bottom w:val="single" w:sz="4" w:space="0" w:color="auto"/>
              <w:right w:val="single" w:sz="4" w:space="0" w:color="auto"/>
            </w:tcBorders>
            <w:vAlign w:val="center"/>
            <w:hideMark/>
          </w:tcPr>
          <w:p w:rsidR="00C60153" w:rsidRPr="00592B8F" w:rsidRDefault="00C60153" w:rsidP="00283CE4">
            <w:pPr>
              <w:jc w:val="center"/>
              <w:rPr>
                <w:rFonts w:ascii="Arial" w:hAnsi="Arial" w:cs="Arial"/>
                <w:b/>
                <w:sz w:val="20"/>
                <w:szCs w:val="20"/>
              </w:rPr>
            </w:pPr>
            <w:r w:rsidRPr="00592B8F">
              <w:rPr>
                <w:rFonts w:ascii="Arial" w:hAnsi="Arial" w:cs="Arial"/>
                <w:b/>
                <w:sz w:val="20"/>
                <w:szCs w:val="20"/>
              </w:rPr>
              <w:t>n</w:t>
            </w:r>
          </w:p>
        </w:tc>
        <w:tc>
          <w:tcPr>
            <w:tcW w:w="1141" w:type="dxa"/>
            <w:tcBorders>
              <w:top w:val="single" w:sz="4" w:space="0" w:color="auto"/>
              <w:left w:val="single" w:sz="4" w:space="0" w:color="auto"/>
              <w:bottom w:val="single" w:sz="4" w:space="0" w:color="auto"/>
              <w:right w:val="single" w:sz="4" w:space="0" w:color="auto"/>
            </w:tcBorders>
            <w:vAlign w:val="center"/>
            <w:hideMark/>
          </w:tcPr>
          <w:p w:rsidR="00C60153" w:rsidRPr="00592B8F" w:rsidRDefault="00C60153" w:rsidP="00283CE4">
            <w:pPr>
              <w:jc w:val="center"/>
              <w:rPr>
                <w:rFonts w:ascii="Arial" w:hAnsi="Arial" w:cs="Arial"/>
                <w:b/>
                <w:sz w:val="20"/>
                <w:szCs w:val="20"/>
              </w:rPr>
            </w:pPr>
            <w:r w:rsidRPr="00592B8F">
              <w:rPr>
                <w:rFonts w:ascii="Arial" w:hAnsi="Arial" w:cs="Arial"/>
                <w:b/>
                <w:sz w:val="20"/>
                <w:szCs w:val="20"/>
              </w:rPr>
              <w:t>%</w:t>
            </w:r>
          </w:p>
        </w:tc>
        <w:tc>
          <w:tcPr>
            <w:tcW w:w="1107" w:type="dxa"/>
            <w:tcBorders>
              <w:top w:val="single" w:sz="4" w:space="0" w:color="auto"/>
              <w:left w:val="single" w:sz="4" w:space="0" w:color="auto"/>
              <w:bottom w:val="single" w:sz="4" w:space="0" w:color="auto"/>
              <w:right w:val="single" w:sz="4" w:space="0" w:color="auto"/>
            </w:tcBorders>
            <w:vAlign w:val="center"/>
            <w:hideMark/>
          </w:tcPr>
          <w:p w:rsidR="00C60153" w:rsidRPr="00592B8F" w:rsidRDefault="00C60153" w:rsidP="00283CE4">
            <w:pPr>
              <w:jc w:val="center"/>
              <w:rPr>
                <w:rFonts w:ascii="Arial" w:hAnsi="Arial" w:cs="Arial"/>
                <w:b/>
                <w:sz w:val="20"/>
                <w:szCs w:val="20"/>
              </w:rPr>
            </w:pPr>
            <w:r w:rsidRPr="00592B8F">
              <w:rPr>
                <w:rFonts w:ascii="Arial" w:hAnsi="Arial" w:cs="Arial"/>
                <w:b/>
                <w:sz w:val="20"/>
                <w:szCs w:val="20"/>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rsidR="00C60153" w:rsidRPr="00592B8F" w:rsidRDefault="00C60153" w:rsidP="00283CE4">
            <w:pPr>
              <w:jc w:val="center"/>
              <w:rPr>
                <w:rFonts w:ascii="Arial" w:hAnsi="Arial" w:cs="Arial"/>
                <w:b/>
                <w:sz w:val="20"/>
                <w:szCs w:val="20"/>
              </w:rPr>
            </w:pPr>
            <w:r w:rsidRPr="00592B8F">
              <w:rPr>
                <w:rFonts w:ascii="Arial" w:hAnsi="Arial" w:cs="Arial"/>
                <w:b/>
                <w:sz w:val="20"/>
                <w:szCs w:val="20"/>
              </w:rPr>
              <w:t>%</w:t>
            </w:r>
          </w:p>
        </w:tc>
      </w:tr>
      <w:tr w:rsidR="00C60153" w:rsidRPr="00592B8F" w:rsidTr="00283CE4">
        <w:trPr>
          <w:trHeight w:val="425"/>
        </w:trPr>
        <w:tc>
          <w:tcPr>
            <w:tcW w:w="8232" w:type="dxa"/>
            <w:gridSpan w:val="7"/>
            <w:shd w:val="clear" w:color="auto" w:fill="auto"/>
            <w:vAlign w:val="center"/>
          </w:tcPr>
          <w:p w:rsidR="00C60153" w:rsidRPr="00592B8F" w:rsidRDefault="00C60153" w:rsidP="00283CE4">
            <w:pPr>
              <w:spacing w:line="360" w:lineRule="auto"/>
              <w:rPr>
                <w:rFonts w:ascii="Arial" w:hAnsi="Arial" w:cs="Arial"/>
                <w:sz w:val="20"/>
                <w:szCs w:val="20"/>
              </w:rPr>
            </w:pPr>
            <w:r w:rsidRPr="00592B8F">
              <w:rPr>
                <w:rFonts w:ascii="Arial" w:hAnsi="Arial" w:cs="Arial"/>
                <w:b/>
                <w:sz w:val="20"/>
                <w:szCs w:val="20"/>
              </w:rPr>
              <w:t>Annenin İş Durumu*</w:t>
            </w:r>
          </w:p>
        </w:tc>
      </w:tr>
      <w:tr w:rsidR="00C60153" w:rsidRPr="00592B8F" w:rsidTr="00283CE4">
        <w:trPr>
          <w:trHeight w:val="425"/>
        </w:trPr>
        <w:tc>
          <w:tcPr>
            <w:tcW w:w="1536" w:type="dxa"/>
            <w:shd w:val="clear" w:color="auto" w:fill="auto"/>
            <w:vAlign w:val="center"/>
          </w:tcPr>
          <w:p w:rsidR="00C60153" w:rsidRPr="00592B8F" w:rsidRDefault="00C60153" w:rsidP="00283CE4">
            <w:pPr>
              <w:spacing w:line="360" w:lineRule="auto"/>
              <w:rPr>
                <w:rFonts w:ascii="Arial" w:hAnsi="Arial" w:cs="Arial"/>
                <w:sz w:val="20"/>
                <w:szCs w:val="20"/>
              </w:rPr>
            </w:pPr>
            <w:r w:rsidRPr="00592B8F">
              <w:rPr>
                <w:rFonts w:ascii="Arial" w:hAnsi="Arial" w:cs="Arial"/>
                <w:sz w:val="20"/>
                <w:szCs w:val="20"/>
              </w:rPr>
              <w:t>Çalışıyor</w:t>
            </w:r>
          </w:p>
        </w:tc>
        <w:tc>
          <w:tcPr>
            <w:tcW w:w="1055" w:type="dxa"/>
            <w:tcBorders>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7</w:t>
            </w:r>
          </w:p>
        </w:tc>
        <w:tc>
          <w:tcPr>
            <w:tcW w:w="1141" w:type="dxa"/>
            <w:tcBorders>
              <w:left w:val="single" w:sz="4" w:space="0" w:color="auto"/>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23.3</w:t>
            </w:r>
          </w:p>
        </w:tc>
        <w:tc>
          <w:tcPr>
            <w:tcW w:w="1107" w:type="dxa"/>
            <w:tcBorders>
              <w:left w:val="single" w:sz="4" w:space="0" w:color="auto"/>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16</w:t>
            </w:r>
          </w:p>
        </w:tc>
        <w:tc>
          <w:tcPr>
            <w:tcW w:w="1141" w:type="dxa"/>
            <w:tcBorders>
              <w:left w:val="single" w:sz="4" w:space="0" w:color="auto"/>
              <w:bottom w:val="single" w:sz="4" w:space="0" w:color="auto"/>
              <w:right w:val="single" w:sz="4" w:space="0" w:color="auto"/>
            </w:tcBorders>
            <w:shd w:val="clear" w:color="auto" w:fill="auto"/>
            <w:vAlign w:val="center"/>
          </w:tcPr>
          <w:p w:rsidR="00C60153" w:rsidRPr="00592B8F" w:rsidRDefault="00C60153" w:rsidP="00283CE4">
            <w:pPr>
              <w:spacing w:line="360" w:lineRule="auto"/>
              <w:ind w:firstLineChars="7" w:firstLine="14"/>
              <w:jc w:val="center"/>
              <w:rPr>
                <w:rFonts w:ascii="Arial" w:hAnsi="Arial" w:cs="Arial"/>
                <w:sz w:val="20"/>
                <w:szCs w:val="20"/>
              </w:rPr>
            </w:pPr>
            <w:r w:rsidRPr="00592B8F">
              <w:rPr>
                <w:rFonts w:ascii="Arial" w:hAnsi="Arial" w:cs="Arial"/>
                <w:sz w:val="20"/>
                <w:szCs w:val="20"/>
              </w:rPr>
              <w:t>53.3</w:t>
            </w:r>
          </w:p>
        </w:tc>
        <w:tc>
          <w:tcPr>
            <w:tcW w:w="1107" w:type="dxa"/>
            <w:tcBorders>
              <w:left w:val="single" w:sz="4" w:space="0" w:color="auto"/>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23</w:t>
            </w:r>
          </w:p>
        </w:tc>
        <w:tc>
          <w:tcPr>
            <w:tcW w:w="1145" w:type="dxa"/>
            <w:tcBorders>
              <w:left w:val="single" w:sz="4" w:space="0" w:color="auto"/>
              <w:bottom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38.3</w:t>
            </w:r>
          </w:p>
        </w:tc>
      </w:tr>
      <w:tr w:rsidR="00C60153" w:rsidRPr="00592B8F" w:rsidTr="00283CE4">
        <w:trPr>
          <w:trHeight w:val="425"/>
        </w:trPr>
        <w:tc>
          <w:tcPr>
            <w:tcW w:w="1536" w:type="dxa"/>
            <w:shd w:val="clear" w:color="auto" w:fill="auto"/>
            <w:vAlign w:val="center"/>
          </w:tcPr>
          <w:p w:rsidR="00C60153" w:rsidRPr="00592B8F" w:rsidRDefault="00C60153" w:rsidP="00283CE4">
            <w:pPr>
              <w:spacing w:line="360" w:lineRule="auto"/>
              <w:rPr>
                <w:rFonts w:ascii="Arial" w:hAnsi="Arial" w:cs="Arial"/>
                <w:sz w:val="20"/>
                <w:szCs w:val="20"/>
              </w:rPr>
            </w:pPr>
            <w:r w:rsidRPr="00592B8F">
              <w:rPr>
                <w:rFonts w:ascii="Arial" w:hAnsi="Arial" w:cs="Arial"/>
                <w:sz w:val="20"/>
                <w:szCs w:val="20"/>
              </w:rPr>
              <w:t>Çalışmıyor</w:t>
            </w:r>
          </w:p>
        </w:tc>
        <w:tc>
          <w:tcPr>
            <w:tcW w:w="1055" w:type="dxa"/>
            <w:tcBorders>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23</w:t>
            </w:r>
          </w:p>
        </w:tc>
        <w:tc>
          <w:tcPr>
            <w:tcW w:w="1141" w:type="dxa"/>
            <w:tcBorders>
              <w:left w:val="single" w:sz="4" w:space="0" w:color="auto"/>
              <w:bottom w:val="single" w:sz="4" w:space="0" w:color="auto"/>
              <w:right w:val="single" w:sz="4" w:space="0" w:color="auto"/>
            </w:tcBorders>
            <w:shd w:val="clear" w:color="auto" w:fill="auto"/>
            <w:vAlign w:val="center"/>
          </w:tcPr>
          <w:p w:rsidR="00C60153" w:rsidRPr="00592B8F" w:rsidRDefault="00C60153" w:rsidP="00C60153">
            <w:pPr>
              <w:spacing w:line="360" w:lineRule="auto"/>
              <w:ind w:leftChars="-2" w:left="-1" w:hangingChars="2" w:hanging="4"/>
              <w:jc w:val="center"/>
              <w:rPr>
                <w:rFonts w:ascii="Arial" w:hAnsi="Arial" w:cs="Arial"/>
                <w:sz w:val="20"/>
                <w:szCs w:val="20"/>
              </w:rPr>
            </w:pPr>
            <w:r w:rsidRPr="00592B8F">
              <w:rPr>
                <w:rFonts w:ascii="Arial" w:hAnsi="Arial" w:cs="Arial"/>
                <w:sz w:val="20"/>
                <w:szCs w:val="20"/>
              </w:rPr>
              <w:t>76.7</w:t>
            </w:r>
          </w:p>
        </w:tc>
        <w:tc>
          <w:tcPr>
            <w:tcW w:w="1107" w:type="dxa"/>
            <w:tcBorders>
              <w:left w:val="single" w:sz="4" w:space="0" w:color="auto"/>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14</w:t>
            </w:r>
          </w:p>
        </w:tc>
        <w:tc>
          <w:tcPr>
            <w:tcW w:w="1141" w:type="dxa"/>
            <w:tcBorders>
              <w:left w:val="single" w:sz="4" w:space="0" w:color="auto"/>
              <w:bottom w:val="single" w:sz="4" w:space="0" w:color="auto"/>
              <w:right w:val="single" w:sz="4" w:space="0" w:color="auto"/>
            </w:tcBorders>
            <w:shd w:val="clear" w:color="auto" w:fill="auto"/>
            <w:vAlign w:val="center"/>
          </w:tcPr>
          <w:p w:rsidR="00C60153" w:rsidRPr="00592B8F" w:rsidRDefault="00C60153" w:rsidP="00283CE4">
            <w:pPr>
              <w:spacing w:line="360" w:lineRule="auto"/>
              <w:ind w:firstLineChars="7" w:firstLine="14"/>
              <w:jc w:val="center"/>
              <w:rPr>
                <w:rFonts w:ascii="Arial" w:hAnsi="Arial" w:cs="Arial"/>
                <w:sz w:val="20"/>
                <w:szCs w:val="20"/>
              </w:rPr>
            </w:pPr>
            <w:r w:rsidRPr="00592B8F">
              <w:rPr>
                <w:rFonts w:ascii="Arial" w:hAnsi="Arial" w:cs="Arial"/>
                <w:sz w:val="20"/>
                <w:szCs w:val="20"/>
              </w:rPr>
              <w:t>46.7</w:t>
            </w:r>
          </w:p>
        </w:tc>
        <w:tc>
          <w:tcPr>
            <w:tcW w:w="1107" w:type="dxa"/>
            <w:tcBorders>
              <w:left w:val="single" w:sz="4" w:space="0" w:color="auto"/>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37</w:t>
            </w:r>
          </w:p>
        </w:tc>
        <w:tc>
          <w:tcPr>
            <w:tcW w:w="1145" w:type="dxa"/>
            <w:tcBorders>
              <w:left w:val="single" w:sz="4" w:space="0" w:color="auto"/>
              <w:bottom w:val="single" w:sz="4" w:space="0" w:color="auto"/>
            </w:tcBorders>
            <w:shd w:val="clear" w:color="auto" w:fill="auto"/>
            <w:vAlign w:val="center"/>
          </w:tcPr>
          <w:p w:rsidR="00C60153" w:rsidRPr="00592B8F" w:rsidRDefault="00C60153" w:rsidP="00283CE4">
            <w:pPr>
              <w:spacing w:line="360" w:lineRule="auto"/>
              <w:ind w:firstLineChars="17" w:firstLine="34"/>
              <w:jc w:val="center"/>
              <w:rPr>
                <w:rFonts w:ascii="Arial" w:hAnsi="Arial" w:cs="Arial"/>
                <w:sz w:val="20"/>
                <w:szCs w:val="20"/>
              </w:rPr>
            </w:pPr>
            <w:r w:rsidRPr="00592B8F">
              <w:rPr>
                <w:rFonts w:ascii="Arial" w:hAnsi="Arial" w:cs="Arial"/>
                <w:sz w:val="20"/>
                <w:szCs w:val="20"/>
              </w:rPr>
              <w:t>61.7</w:t>
            </w:r>
          </w:p>
        </w:tc>
      </w:tr>
      <w:tr w:rsidR="00C60153" w:rsidRPr="00592B8F" w:rsidTr="00283CE4">
        <w:trPr>
          <w:trHeight w:val="425"/>
        </w:trPr>
        <w:tc>
          <w:tcPr>
            <w:tcW w:w="1536" w:type="dxa"/>
            <w:shd w:val="clear" w:color="auto" w:fill="auto"/>
            <w:vAlign w:val="center"/>
          </w:tcPr>
          <w:p w:rsidR="00C60153" w:rsidRPr="00592B8F" w:rsidRDefault="00C60153" w:rsidP="00283CE4">
            <w:pPr>
              <w:spacing w:line="360" w:lineRule="auto"/>
              <w:rPr>
                <w:rFonts w:ascii="Arial" w:hAnsi="Arial" w:cs="Arial"/>
                <w:sz w:val="20"/>
                <w:szCs w:val="20"/>
              </w:rPr>
            </w:pPr>
            <w:r w:rsidRPr="00592B8F">
              <w:rPr>
                <w:rFonts w:ascii="Arial" w:hAnsi="Arial" w:cs="Arial"/>
                <w:sz w:val="20"/>
                <w:szCs w:val="20"/>
              </w:rPr>
              <w:t>Toplam</w:t>
            </w:r>
          </w:p>
        </w:tc>
        <w:tc>
          <w:tcPr>
            <w:tcW w:w="1055" w:type="dxa"/>
            <w:tcBorders>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30</w:t>
            </w:r>
          </w:p>
        </w:tc>
        <w:tc>
          <w:tcPr>
            <w:tcW w:w="1141" w:type="dxa"/>
            <w:tcBorders>
              <w:left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100</w:t>
            </w:r>
          </w:p>
        </w:tc>
        <w:tc>
          <w:tcPr>
            <w:tcW w:w="1107" w:type="dxa"/>
            <w:tcBorders>
              <w:left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30</w:t>
            </w:r>
          </w:p>
        </w:tc>
        <w:tc>
          <w:tcPr>
            <w:tcW w:w="1141" w:type="dxa"/>
            <w:tcBorders>
              <w:left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100</w:t>
            </w:r>
          </w:p>
        </w:tc>
        <w:tc>
          <w:tcPr>
            <w:tcW w:w="1107" w:type="dxa"/>
            <w:tcBorders>
              <w:left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60</w:t>
            </w:r>
          </w:p>
        </w:tc>
        <w:tc>
          <w:tcPr>
            <w:tcW w:w="1145" w:type="dxa"/>
            <w:tcBorders>
              <w:lef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100</w:t>
            </w:r>
          </w:p>
        </w:tc>
      </w:tr>
      <w:tr w:rsidR="00C60153" w:rsidRPr="00592B8F" w:rsidTr="00283CE4">
        <w:trPr>
          <w:trHeight w:val="425"/>
        </w:trPr>
        <w:tc>
          <w:tcPr>
            <w:tcW w:w="8232" w:type="dxa"/>
            <w:gridSpan w:val="7"/>
            <w:shd w:val="clear" w:color="auto" w:fill="auto"/>
            <w:vAlign w:val="center"/>
          </w:tcPr>
          <w:p w:rsidR="00C60153" w:rsidRPr="00592B8F" w:rsidRDefault="00C60153" w:rsidP="00283CE4">
            <w:pPr>
              <w:spacing w:line="360" w:lineRule="auto"/>
              <w:rPr>
                <w:rFonts w:ascii="Arial" w:hAnsi="Arial" w:cs="Arial"/>
                <w:sz w:val="20"/>
                <w:szCs w:val="20"/>
              </w:rPr>
            </w:pPr>
            <w:r w:rsidRPr="00592B8F">
              <w:rPr>
                <w:rFonts w:ascii="Arial" w:hAnsi="Arial" w:cs="Arial"/>
                <w:sz w:val="20"/>
                <w:szCs w:val="20"/>
              </w:rPr>
              <w:t>χ ² =  4.51    p = 0.034</w:t>
            </w:r>
          </w:p>
        </w:tc>
      </w:tr>
      <w:tr w:rsidR="00C60153" w:rsidRPr="00592B8F" w:rsidTr="00283CE4">
        <w:trPr>
          <w:trHeight w:val="425"/>
        </w:trPr>
        <w:tc>
          <w:tcPr>
            <w:tcW w:w="8232" w:type="dxa"/>
            <w:gridSpan w:val="7"/>
            <w:shd w:val="clear" w:color="auto" w:fill="auto"/>
            <w:vAlign w:val="center"/>
          </w:tcPr>
          <w:p w:rsidR="00C60153" w:rsidRPr="00592B8F" w:rsidRDefault="00C60153" w:rsidP="00283CE4">
            <w:pPr>
              <w:spacing w:line="360" w:lineRule="auto"/>
              <w:rPr>
                <w:rFonts w:ascii="Arial" w:hAnsi="Arial" w:cs="Arial"/>
                <w:sz w:val="20"/>
                <w:szCs w:val="20"/>
              </w:rPr>
            </w:pPr>
            <w:r w:rsidRPr="00592B8F">
              <w:rPr>
                <w:rFonts w:ascii="Arial" w:hAnsi="Arial" w:cs="Arial"/>
                <w:b/>
                <w:sz w:val="20"/>
                <w:szCs w:val="20"/>
              </w:rPr>
              <w:t>Babanın İş Durumu**</w:t>
            </w:r>
          </w:p>
        </w:tc>
      </w:tr>
      <w:tr w:rsidR="00C60153" w:rsidRPr="00592B8F" w:rsidTr="00283CE4">
        <w:trPr>
          <w:trHeight w:val="425"/>
        </w:trPr>
        <w:tc>
          <w:tcPr>
            <w:tcW w:w="1536" w:type="dxa"/>
            <w:shd w:val="clear" w:color="auto" w:fill="auto"/>
            <w:vAlign w:val="center"/>
          </w:tcPr>
          <w:p w:rsidR="00C60153" w:rsidRPr="00592B8F" w:rsidRDefault="00C60153" w:rsidP="00283CE4">
            <w:pPr>
              <w:spacing w:line="360" w:lineRule="auto"/>
              <w:rPr>
                <w:rFonts w:ascii="Arial" w:hAnsi="Arial" w:cs="Arial"/>
                <w:sz w:val="20"/>
                <w:szCs w:val="20"/>
              </w:rPr>
            </w:pPr>
            <w:r w:rsidRPr="00592B8F">
              <w:rPr>
                <w:rFonts w:ascii="Arial" w:hAnsi="Arial" w:cs="Arial"/>
                <w:sz w:val="20"/>
                <w:szCs w:val="20"/>
              </w:rPr>
              <w:t>Çalışıyor</w:t>
            </w:r>
          </w:p>
        </w:tc>
        <w:tc>
          <w:tcPr>
            <w:tcW w:w="1055" w:type="dxa"/>
            <w:tcBorders>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29</w:t>
            </w:r>
          </w:p>
        </w:tc>
        <w:tc>
          <w:tcPr>
            <w:tcW w:w="1141" w:type="dxa"/>
            <w:tcBorders>
              <w:left w:val="single" w:sz="4" w:space="0" w:color="auto"/>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96.4</w:t>
            </w:r>
          </w:p>
        </w:tc>
        <w:tc>
          <w:tcPr>
            <w:tcW w:w="1107" w:type="dxa"/>
            <w:tcBorders>
              <w:left w:val="single" w:sz="4" w:space="0" w:color="auto"/>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27</w:t>
            </w:r>
          </w:p>
        </w:tc>
        <w:tc>
          <w:tcPr>
            <w:tcW w:w="1141" w:type="dxa"/>
            <w:tcBorders>
              <w:left w:val="single" w:sz="4" w:space="0" w:color="auto"/>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90.0</w:t>
            </w:r>
          </w:p>
        </w:tc>
        <w:tc>
          <w:tcPr>
            <w:tcW w:w="1107" w:type="dxa"/>
            <w:tcBorders>
              <w:left w:val="single" w:sz="4" w:space="0" w:color="auto"/>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56</w:t>
            </w:r>
          </w:p>
        </w:tc>
        <w:tc>
          <w:tcPr>
            <w:tcW w:w="1145" w:type="dxa"/>
            <w:tcBorders>
              <w:left w:val="single" w:sz="4" w:space="0" w:color="auto"/>
              <w:bottom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92.6</w:t>
            </w:r>
          </w:p>
        </w:tc>
      </w:tr>
      <w:tr w:rsidR="00C60153" w:rsidRPr="00592B8F" w:rsidTr="00283CE4">
        <w:trPr>
          <w:trHeight w:val="425"/>
        </w:trPr>
        <w:tc>
          <w:tcPr>
            <w:tcW w:w="1536" w:type="dxa"/>
            <w:shd w:val="clear" w:color="auto" w:fill="auto"/>
            <w:vAlign w:val="center"/>
          </w:tcPr>
          <w:p w:rsidR="00C60153" w:rsidRPr="00592B8F" w:rsidRDefault="00C60153" w:rsidP="00283CE4">
            <w:pPr>
              <w:spacing w:line="360" w:lineRule="auto"/>
              <w:rPr>
                <w:rFonts w:ascii="Arial" w:hAnsi="Arial" w:cs="Arial"/>
                <w:sz w:val="20"/>
                <w:szCs w:val="20"/>
              </w:rPr>
            </w:pPr>
            <w:r w:rsidRPr="00592B8F">
              <w:rPr>
                <w:rFonts w:ascii="Arial" w:hAnsi="Arial" w:cs="Arial"/>
                <w:sz w:val="20"/>
                <w:szCs w:val="20"/>
              </w:rPr>
              <w:t>Çalışmıyor</w:t>
            </w:r>
          </w:p>
        </w:tc>
        <w:tc>
          <w:tcPr>
            <w:tcW w:w="1055" w:type="dxa"/>
            <w:tcBorders>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1</w:t>
            </w:r>
          </w:p>
        </w:tc>
        <w:tc>
          <w:tcPr>
            <w:tcW w:w="1141" w:type="dxa"/>
            <w:tcBorders>
              <w:left w:val="single" w:sz="4" w:space="0" w:color="auto"/>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3.6</w:t>
            </w:r>
          </w:p>
        </w:tc>
        <w:tc>
          <w:tcPr>
            <w:tcW w:w="1107" w:type="dxa"/>
            <w:tcBorders>
              <w:left w:val="single" w:sz="4" w:space="0" w:color="auto"/>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3</w:t>
            </w:r>
          </w:p>
        </w:tc>
        <w:tc>
          <w:tcPr>
            <w:tcW w:w="1141" w:type="dxa"/>
            <w:tcBorders>
              <w:left w:val="single" w:sz="4" w:space="0" w:color="auto"/>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10.0</w:t>
            </w:r>
          </w:p>
        </w:tc>
        <w:tc>
          <w:tcPr>
            <w:tcW w:w="1107" w:type="dxa"/>
            <w:tcBorders>
              <w:left w:val="single" w:sz="4" w:space="0" w:color="auto"/>
              <w:bottom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4</w:t>
            </w:r>
          </w:p>
        </w:tc>
        <w:tc>
          <w:tcPr>
            <w:tcW w:w="1145" w:type="dxa"/>
            <w:tcBorders>
              <w:left w:val="single" w:sz="4" w:space="0" w:color="auto"/>
              <w:bottom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7.4</w:t>
            </w:r>
          </w:p>
        </w:tc>
      </w:tr>
      <w:tr w:rsidR="00C60153" w:rsidRPr="00592B8F" w:rsidTr="00283CE4">
        <w:trPr>
          <w:trHeight w:val="425"/>
        </w:trPr>
        <w:tc>
          <w:tcPr>
            <w:tcW w:w="1536" w:type="dxa"/>
            <w:shd w:val="clear" w:color="auto" w:fill="auto"/>
            <w:vAlign w:val="center"/>
          </w:tcPr>
          <w:p w:rsidR="00C60153" w:rsidRPr="00592B8F" w:rsidRDefault="00C60153" w:rsidP="00283CE4">
            <w:pPr>
              <w:spacing w:line="360" w:lineRule="auto"/>
              <w:rPr>
                <w:rFonts w:ascii="Arial" w:hAnsi="Arial" w:cs="Arial"/>
                <w:sz w:val="20"/>
                <w:szCs w:val="20"/>
              </w:rPr>
            </w:pPr>
            <w:r w:rsidRPr="00592B8F">
              <w:rPr>
                <w:rFonts w:ascii="Arial" w:hAnsi="Arial" w:cs="Arial"/>
                <w:sz w:val="20"/>
                <w:szCs w:val="20"/>
              </w:rPr>
              <w:t>Toplam</w:t>
            </w:r>
          </w:p>
        </w:tc>
        <w:tc>
          <w:tcPr>
            <w:tcW w:w="1055" w:type="dxa"/>
            <w:tcBorders>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30</w:t>
            </w:r>
          </w:p>
        </w:tc>
        <w:tc>
          <w:tcPr>
            <w:tcW w:w="1141" w:type="dxa"/>
            <w:tcBorders>
              <w:left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100</w:t>
            </w:r>
          </w:p>
        </w:tc>
        <w:tc>
          <w:tcPr>
            <w:tcW w:w="1107" w:type="dxa"/>
            <w:tcBorders>
              <w:left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30</w:t>
            </w:r>
          </w:p>
        </w:tc>
        <w:tc>
          <w:tcPr>
            <w:tcW w:w="1141" w:type="dxa"/>
            <w:tcBorders>
              <w:left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100</w:t>
            </w:r>
          </w:p>
        </w:tc>
        <w:tc>
          <w:tcPr>
            <w:tcW w:w="1107" w:type="dxa"/>
            <w:tcBorders>
              <w:left w:val="single" w:sz="4" w:space="0" w:color="auto"/>
              <w:righ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60</w:t>
            </w:r>
          </w:p>
        </w:tc>
        <w:tc>
          <w:tcPr>
            <w:tcW w:w="1145" w:type="dxa"/>
            <w:tcBorders>
              <w:left w:val="single" w:sz="4" w:space="0" w:color="auto"/>
            </w:tcBorders>
            <w:shd w:val="clear" w:color="auto" w:fill="auto"/>
            <w:vAlign w:val="center"/>
          </w:tcPr>
          <w:p w:rsidR="00C60153" w:rsidRPr="00592B8F" w:rsidRDefault="00C60153" w:rsidP="00283CE4">
            <w:pPr>
              <w:spacing w:line="360" w:lineRule="auto"/>
              <w:jc w:val="center"/>
              <w:rPr>
                <w:rFonts w:ascii="Arial" w:hAnsi="Arial" w:cs="Arial"/>
                <w:sz w:val="20"/>
                <w:szCs w:val="20"/>
              </w:rPr>
            </w:pPr>
            <w:r w:rsidRPr="00592B8F">
              <w:rPr>
                <w:rFonts w:ascii="Arial" w:hAnsi="Arial" w:cs="Arial"/>
                <w:sz w:val="20"/>
                <w:szCs w:val="20"/>
              </w:rPr>
              <w:t>100</w:t>
            </w:r>
          </w:p>
        </w:tc>
      </w:tr>
      <w:tr w:rsidR="00C60153" w:rsidRPr="00592B8F" w:rsidTr="00283CE4">
        <w:trPr>
          <w:trHeight w:val="449"/>
        </w:trPr>
        <w:tc>
          <w:tcPr>
            <w:tcW w:w="8232" w:type="dxa"/>
            <w:gridSpan w:val="7"/>
            <w:shd w:val="clear" w:color="auto" w:fill="auto"/>
            <w:vAlign w:val="center"/>
          </w:tcPr>
          <w:p w:rsidR="00C60153" w:rsidRPr="00592B8F" w:rsidRDefault="00C60153" w:rsidP="00283CE4">
            <w:pPr>
              <w:rPr>
                <w:rFonts w:ascii="Arial" w:hAnsi="Arial" w:cs="Arial"/>
                <w:sz w:val="20"/>
                <w:szCs w:val="20"/>
              </w:rPr>
            </w:pPr>
            <w:r w:rsidRPr="00592B8F">
              <w:rPr>
                <w:rFonts w:ascii="Arial" w:hAnsi="Arial" w:cs="Arial"/>
                <w:sz w:val="20"/>
                <w:szCs w:val="20"/>
              </w:rPr>
              <w:t>χ ² =  0.932    p = 0.612</w:t>
            </w:r>
          </w:p>
        </w:tc>
      </w:tr>
    </w:tbl>
    <w:p w:rsidR="00C60153" w:rsidRPr="006A23DA" w:rsidRDefault="00C60153" w:rsidP="00C60153">
      <w:pPr>
        <w:rPr>
          <w:rFonts w:ascii="Arial" w:hAnsi="Arial" w:cs="Arial"/>
          <w:sz w:val="22"/>
          <w:szCs w:val="22"/>
        </w:rPr>
      </w:pPr>
      <w:r w:rsidRPr="006A23DA">
        <w:rPr>
          <w:rFonts w:ascii="Arial" w:hAnsi="Arial" w:cs="Arial"/>
          <w:sz w:val="22"/>
          <w:szCs w:val="22"/>
        </w:rPr>
        <w:t>*χ ² testi, Yates süreklilik düzeltmesi yapılmıştır. p &lt; 0,05 anlamlıdır.</w:t>
      </w:r>
    </w:p>
    <w:p w:rsidR="00C60153" w:rsidRPr="006A23DA" w:rsidRDefault="00C60153" w:rsidP="00C60153">
      <w:pPr>
        <w:rPr>
          <w:rFonts w:ascii="Arial" w:hAnsi="Arial" w:cs="Arial"/>
          <w:sz w:val="22"/>
          <w:szCs w:val="22"/>
        </w:rPr>
      </w:pPr>
      <w:r w:rsidRPr="006A23DA">
        <w:rPr>
          <w:rFonts w:ascii="Arial" w:hAnsi="Arial" w:cs="Arial"/>
          <w:sz w:val="22"/>
          <w:szCs w:val="22"/>
        </w:rPr>
        <w:t>** Fisher’s Exact test uygulanmıştır. p &lt; 0.05 anlamlıdır.</w:t>
      </w:r>
    </w:p>
    <w:p w:rsidR="00C60153" w:rsidRDefault="00C60153" w:rsidP="00C60153">
      <w:pPr>
        <w:spacing w:line="360" w:lineRule="auto"/>
        <w:ind w:firstLine="567"/>
        <w:contextualSpacing/>
        <w:jc w:val="both"/>
        <w:rPr>
          <w:shd w:val="clear" w:color="auto" w:fill="FFFFFF"/>
        </w:rPr>
      </w:pPr>
    </w:p>
    <w:p w:rsidR="00C60153" w:rsidRPr="006A23DA" w:rsidRDefault="00C60153" w:rsidP="00C60153">
      <w:pPr>
        <w:spacing w:line="360" w:lineRule="auto"/>
        <w:ind w:firstLine="567"/>
        <w:contextualSpacing/>
        <w:jc w:val="both"/>
        <w:rPr>
          <w:rFonts w:ascii="Arial" w:hAnsi="Arial" w:cs="Arial"/>
          <w:b/>
          <w:sz w:val="22"/>
          <w:szCs w:val="22"/>
          <w:shd w:val="clear" w:color="auto" w:fill="FFFFFF"/>
        </w:rPr>
      </w:pPr>
      <w:r w:rsidRPr="006A23DA">
        <w:rPr>
          <w:rFonts w:ascii="Arial" w:hAnsi="Arial" w:cs="Arial"/>
          <w:b/>
          <w:sz w:val="22"/>
          <w:szCs w:val="22"/>
          <w:shd w:val="clear" w:color="auto" w:fill="FFFFFF"/>
        </w:rPr>
        <w:t>Ailedeki Toplam Çocuk Sayısı</w:t>
      </w:r>
    </w:p>
    <w:p w:rsidR="00C60153" w:rsidRDefault="00C60153" w:rsidP="00C60153">
      <w:pPr>
        <w:spacing w:line="360" w:lineRule="auto"/>
        <w:ind w:firstLine="567"/>
        <w:contextualSpacing/>
        <w:jc w:val="both"/>
        <w:rPr>
          <w:rFonts w:ascii="Arial" w:hAnsi="Arial" w:cs="Arial"/>
          <w:sz w:val="22"/>
          <w:szCs w:val="22"/>
        </w:rPr>
      </w:pPr>
      <w:r w:rsidRPr="006A23DA">
        <w:rPr>
          <w:rFonts w:ascii="Arial" w:hAnsi="Arial" w:cs="Arial"/>
          <w:sz w:val="22"/>
          <w:szCs w:val="22"/>
          <w:shd w:val="clear" w:color="auto" w:fill="FFFFFF"/>
        </w:rPr>
        <w:t>Olgu grubundaki çocukların ailelerinde ortanca çocuk sayısı 2 (min:1, max:4)</w:t>
      </w:r>
      <w:r w:rsidRPr="006A23DA">
        <w:rPr>
          <w:rFonts w:ascii="Arial" w:hAnsi="Arial" w:cs="Arial"/>
          <w:sz w:val="22"/>
          <w:szCs w:val="22"/>
        </w:rPr>
        <w:t xml:space="preserve"> iken, kontrol grubunda ortanca çocuk sayısı </w:t>
      </w:r>
      <w:r w:rsidRPr="006A23DA">
        <w:rPr>
          <w:rFonts w:ascii="Arial" w:hAnsi="Arial" w:cs="Arial"/>
          <w:sz w:val="22"/>
          <w:szCs w:val="22"/>
          <w:shd w:val="clear" w:color="auto" w:fill="FFFFFF"/>
        </w:rPr>
        <w:t>2 (min:2, max:4)</w:t>
      </w:r>
      <w:r w:rsidRPr="006A23DA">
        <w:rPr>
          <w:rFonts w:ascii="Arial" w:hAnsi="Arial" w:cs="Arial"/>
          <w:sz w:val="22"/>
          <w:szCs w:val="22"/>
        </w:rPr>
        <w:t xml:space="preserve"> olarak bulunmuştur. Olgu ve kontrol grupları ailedeki çocuk sayısı açısından karşılaştırıldıklarında istatistiksel olarak anlamlı bir fark saptanamamıştır (</w:t>
      </w:r>
      <w:r w:rsidRPr="006A23DA">
        <w:rPr>
          <w:rFonts w:ascii="Arial" w:hAnsi="Arial" w:cs="Arial"/>
          <w:sz w:val="22"/>
          <w:szCs w:val="22"/>
          <w:shd w:val="clear" w:color="auto" w:fill="FFFFFF"/>
        </w:rPr>
        <w:t xml:space="preserve">p&gt;0.05, </w:t>
      </w:r>
      <w:r w:rsidRPr="006A23DA">
        <w:rPr>
          <w:rFonts w:ascii="Arial" w:hAnsi="Arial" w:cs="Arial"/>
          <w:sz w:val="22"/>
          <w:szCs w:val="22"/>
        </w:rPr>
        <w:t>Tablo 7).</w:t>
      </w:r>
    </w:p>
    <w:p w:rsidR="007E63B8" w:rsidRDefault="007E63B8" w:rsidP="00C60153">
      <w:pPr>
        <w:spacing w:line="360" w:lineRule="auto"/>
        <w:ind w:firstLine="567"/>
        <w:contextualSpacing/>
        <w:jc w:val="both"/>
        <w:rPr>
          <w:rFonts w:ascii="Arial" w:hAnsi="Arial" w:cs="Arial"/>
          <w:sz w:val="22"/>
          <w:szCs w:val="22"/>
        </w:rPr>
      </w:pPr>
    </w:p>
    <w:p w:rsidR="007E63B8" w:rsidRPr="006A23DA" w:rsidRDefault="007E63B8" w:rsidP="00C60153">
      <w:pPr>
        <w:spacing w:line="360" w:lineRule="auto"/>
        <w:ind w:firstLine="567"/>
        <w:contextualSpacing/>
        <w:jc w:val="both"/>
        <w:rPr>
          <w:rFonts w:ascii="Arial" w:hAnsi="Arial" w:cs="Arial"/>
          <w:sz w:val="22"/>
          <w:szCs w:val="22"/>
        </w:rPr>
      </w:pPr>
    </w:p>
    <w:p w:rsidR="00C60153" w:rsidRPr="006A23DA" w:rsidRDefault="00C60153" w:rsidP="00C60153">
      <w:pPr>
        <w:rPr>
          <w:rFonts w:ascii="Arial" w:hAnsi="Arial" w:cs="Arial"/>
          <w:sz w:val="22"/>
          <w:szCs w:val="22"/>
        </w:rPr>
      </w:pPr>
      <w:r w:rsidRPr="006A23DA">
        <w:rPr>
          <w:rFonts w:ascii="Arial" w:hAnsi="Arial" w:cs="Arial"/>
          <w:sz w:val="22"/>
          <w:szCs w:val="22"/>
        </w:rPr>
        <w:lastRenderedPageBreak/>
        <w:t>Tablo 7. Olgu ve kontrol grubundaki çocukların ailelerindeki toplam çocuk sayısı</w:t>
      </w:r>
    </w:p>
    <w:tbl>
      <w:tblPr>
        <w:tblStyle w:val="TabloKlavuzu"/>
        <w:tblW w:w="8568" w:type="dxa"/>
        <w:tblLook w:val="04A0" w:firstRow="1" w:lastRow="0" w:firstColumn="1" w:lastColumn="0" w:noHBand="0" w:noVBand="1"/>
      </w:tblPr>
      <w:tblGrid>
        <w:gridCol w:w="2040"/>
        <w:gridCol w:w="1340"/>
        <w:gridCol w:w="1660"/>
        <w:gridCol w:w="1940"/>
        <w:gridCol w:w="868"/>
        <w:gridCol w:w="720"/>
      </w:tblGrid>
      <w:tr w:rsidR="00C60153" w:rsidRPr="00C33E92" w:rsidTr="00283CE4">
        <w:trPr>
          <w:trHeight w:val="300"/>
        </w:trPr>
        <w:tc>
          <w:tcPr>
            <w:tcW w:w="2040" w:type="dxa"/>
            <w:noWrap/>
            <w:vAlign w:val="center"/>
            <w:hideMark/>
          </w:tcPr>
          <w:p w:rsidR="00C60153" w:rsidRPr="00C33E92" w:rsidRDefault="00C60153" w:rsidP="00283CE4">
            <w:pPr>
              <w:jc w:val="center"/>
              <w:rPr>
                <w:rFonts w:ascii="Arial" w:hAnsi="Arial" w:cs="Arial"/>
                <w:sz w:val="20"/>
                <w:szCs w:val="20"/>
                <w:lang w:val="en-US"/>
              </w:rPr>
            </w:pPr>
          </w:p>
        </w:tc>
        <w:tc>
          <w:tcPr>
            <w:tcW w:w="1340" w:type="dxa"/>
            <w:noWrap/>
            <w:vAlign w:val="center"/>
            <w:hideMark/>
          </w:tcPr>
          <w:p w:rsidR="00C60153" w:rsidRPr="00C33E92" w:rsidRDefault="00C60153" w:rsidP="00283CE4">
            <w:pPr>
              <w:jc w:val="center"/>
              <w:rPr>
                <w:rFonts w:ascii="Arial" w:hAnsi="Arial" w:cs="Arial"/>
                <w:sz w:val="20"/>
                <w:szCs w:val="20"/>
                <w:lang w:val="en-US"/>
              </w:rPr>
            </w:pPr>
          </w:p>
        </w:tc>
        <w:tc>
          <w:tcPr>
            <w:tcW w:w="1660" w:type="dxa"/>
            <w:noWrap/>
            <w:vAlign w:val="center"/>
            <w:hideMark/>
          </w:tcPr>
          <w:p w:rsidR="00C60153" w:rsidRPr="00C33E92" w:rsidRDefault="00C60153" w:rsidP="00283CE4">
            <w:pPr>
              <w:jc w:val="center"/>
              <w:rPr>
                <w:rFonts w:ascii="Arial" w:hAnsi="Arial" w:cs="Arial"/>
                <w:sz w:val="20"/>
                <w:szCs w:val="20"/>
                <w:lang w:val="en-US"/>
              </w:rPr>
            </w:pPr>
            <w:r w:rsidRPr="00C33E92">
              <w:rPr>
                <w:rFonts w:ascii="Arial" w:hAnsi="Arial" w:cs="Arial"/>
                <w:b/>
                <w:sz w:val="20"/>
                <w:szCs w:val="20"/>
              </w:rPr>
              <w:t xml:space="preserve">Ort </w:t>
            </w:r>
            <w:r w:rsidRPr="00C33E92">
              <w:rPr>
                <w:rFonts w:ascii="Arial" w:hAnsi="Arial" w:cs="Arial"/>
                <w:b/>
                <w:sz w:val="20"/>
                <w:szCs w:val="20"/>
                <w:u w:val="single"/>
              </w:rPr>
              <w:t>+</w:t>
            </w:r>
            <w:r w:rsidRPr="00C33E92">
              <w:rPr>
                <w:rFonts w:ascii="Arial" w:hAnsi="Arial" w:cs="Arial"/>
                <w:b/>
                <w:sz w:val="20"/>
                <w:szCs w:val="20"/>
              </w:rPr>
              <w:t xml:space="preserve"> SS</w:t>
            </w:r>
          </w:p>
        </w:tc>
        <w:tc>
          <w:tcPr>
            <w:tcW w:w="1940" w:type="dxa"/>
            <w:noWrap/>
            <w:vAlign w:val="center"/>
            <w:hideMark/>
          </w:tcPr>
          <w:p w:rsidR="00C60153" w:rsidRPr="00C33E92" w:rsidRDefault="00C60153" w:rsidP="00283CE4">
            <w:pPr>
              <w:jc w:val="center"/>
              <w:rPr>
                <w:rFonts w:ascii="Arial" w:hAnsi="Arial" w:cs="Arial"/>
                <w:b/>
                <w:sz w:val="20"/>
                <w:szCs w:val="20"/>
                <w:lang w:val="en-US"/>
              </w:rPr>
            </w:pPr>
            <w:r w:rsidRPr="00C33E92">
              <w:rPr>
                <w:rFonts w:ascii="Arial" w:hAnsi="Arial" w:cs="Arial"/>
                <w:b/>
                <w:sz w:val="20"/>
                <w:szCs w:val="20"/>
                <w:lang w:val="en-US"/>
              </w:rPr>
              <w:t>Med(min-maks)</w:t>
            </w:r>
          </w:p>
        </w:tc>
        <w:tc>
          <w:tcPr>
            <w:tcW w:w="868" w:type="dxa"/>
            <w:vAlign w:val="center"/>
          </w:tcPr>
          <w:p w:rsidR="00C60153" w:rsidRPr="00146CD3" w:rsidRDefault="00C60153" w:rsidP="00283CE4">
            <w:pPr>
              <w:jc w:val="center"/>
              <w:rPr>
                <w:rFonts w:ascii="Arial" w:hAnsi="Arial" w:cs="Arial"/>
                <w:b/>
                <w:sz w:val="20"/>
                <w:szCs w:val="20"/>
                <w:lang w:val="en-US"/>
              </w:rPr>
            </w:pPr>
            <w:r w:rsidRPr="00146CD3">
              <w:rPr>
                <w:rFonts w:ascii="Arial" w:hAnsi="Arial" w:cs="Arial"/>
                <w:b/>
                <w:sz w:val="20"/>
                <w:szCs w:val="20"/>
                <w:lang w:val="en-US"/>
              </w:rPr>
              <w:t>z</w:t>
            </w:r>
          </w:p>
        </w:tc>
        <w:tc>
          <w:tcPr>
            <w:tcW w:w="720" w:type="dxa"/>
            <w:noWrap/>
            <w:vAlign w:val="center"/>
            <w:hideMark/>
          </w:tcPr>
          <w:p w:rsidR="00C60153" w:rsidRPr="00C33E92" w:rsidRDefault="00C60153" w:rsidP="00283CE4">
            <w:pPr>
              <w:jc w:val="center"/>
              <w:rPr>
                <w:rFonts w:ascii="Arial" w:hAnsi="Arial" w:cs="Arial"/>
                <w:b/>
                <w:sz w:val="20"/>
                <w:szCs w:val="20"/>
                <w:lang w:val="en-US"/>
              </w:rPr>
            </w:pPr>
            <w:r w:rsidRPr="00C33E92">
              <w:rPr>
                <w:rFonts w:ascii="Arial" w:hAnsi="Arial" w:cs="Arial"/>
                <w:b/>
                <w:sz w:val="20"/>
                <w:szCs w:val="20"/>
                <w:lang w:val="en-US"/>
              </w:rPr>
              <w:t>p</w:t>
            </w:r>
          </w:p>
        </w:tc>
      </w:tr>
      <w:tr w:rsidR="00C60153" w:rsidRPr="00C33E92" w:rsidTr="00283CE4">
        <w:trPr>
          <w:trHeight w:val="300"/>
        </w:trPr>
        <w:tc>
          <w:tcPr>
            <w:tcW w:w="2040" w:type="dxa"/>
            <w:vMerge w:val="restart"/>
            <w:vAlign w:val="center"/>
            <w:hideMark/>
          </w:tcPr>
          <w:p w:rsidR="00C60153" w:rsidRPr="00C33E92" w:rsidRDefault="00065FB5" w:rsidP="00283CE4">
            <w:pPr>
              <w:jc w:val="center"/>
              <w:rPr>
                <w:rFonts w:ascii="Arial" w:hAnsi="Arial" w:cs="Arial"/>
                <w:b/>
                <w:color w:val="000000"/>
                <w:sz w:val="20"/>
                <w:szCs w:val="20"/>
                <w:lang w:val="en-US"/>
              </w:rPr>
            </w:pPr>
            <w:r>
              <w:rPr>
                <w:rFonts w:ascii="Arial" w:hAnsi="Arial" w:cs="Arial"/>
                <w:b/>
                <w:color w:val="000000"/>
                <w:sz w:val="20"/>
                <w:szCs w:val="20"/>
                <w:lang w:val="en-US"/>
              </w:rPr>
              <w:t>Çocuk sayısı</w:t>
            </w:r>
          </w:p>
        </w:tc>
        <w:tc>
          <w:tcPr>
            <w:tcW w:w="1340" w:type="dxa"/>
            <w:noWrap/>
            <w:vAlign w:val="center"/>
            <w:hideMark/>
          </w:tcPr>
          <w:p w:rsidR="00C60153" w:rsidRDefault="00C60153" w:rsidP="00283CE4">
            <w:pPr>
              <w:jc w:val="center"/>
              <w:rPr>
                <w:rFonts w:ascii="Arial" w:hAnsi="Arial" w:cs="Arial"/>
                <w:sz w:val="20"/>
                <w:szCs w:val="20"/>
                <w:lang w:val="en-US"/>
              </w:rPr>
            </w:pPr>
            <w:r>
              <w:rPr>
                <w:rFonts w:ascii="Arial" w:hAnsi="Arial" w:cs="Arial"/>
                <w:sz w:val="20"/>
                <w:szCs w:val="20"/>
                <w:lang w:val="en-US"/>
              </w:rPr>
              <w:t>Olgu</w:t>
            </w:r>
            <w:r w:rsidRPr="00C33E92">
              <w:rPr>
                <w:rFonts w:ascii="Arial" w:hAnsi="Arial" w:cs="Arial"/>
                <w:sz w:val="20"/>
                <w:szCs w:val="20"/>
                <w:lang w:val="en-US"/>
              </w:rPr>
              <w:t xml:space="preserve"> </w:t>
            </w:r>
          </w:p>
          <w:p w:rsidR="00C60153" w:rsidRPr="00C33E92" w:rsidRDefault="00C60153" w:rsidP="00283CE4">
            <w:pPr>
              <w:jc w:val="center"/>
              <w:rPr>
                <w:rFonts w:ascii="Arial" w:hAnsi="Arial" w:cs="Arial"/>
                <w:sz w:val="20"/>
                <w:szCs w:val="20"/>
                <w:lang w:val="en-US"/>
              </w:rPr>
            </w:pPr>
            <w:r w:rsidRPr="00C33E92">
              <w:rPr>
                <w:rFonts w:ascii="Arial" w:hAnsi="Arial" w:cs="Arial"/>
                <w:sz w:val="20"/>
                <w:szCs w:val="20"/>
                <w:lang w:val="en-US"/>
              </w:rPr>
              <w:t>(n=30)</w:t>
            </w:r>
          </w:p>
        </w:tc>
        <w:tc>
          <w:tcPr>
            <w:tcW w:w="1660" w:type="dxa"/>
            <w:noWrap/>
            <w:vAlign w:val="center"/>
            <w:hideMark/>
          </w:tcPr>
          <w:p w:rsidR="00C60153" w:rsidRPr="00C33E92" w:rsidRDefault="00C60153" w:rsidP="00283CE4">
            <w:pPr>
              <w:jc w:val="center"/>
              <w:rPr>
                <w:rFonts w:ascii="Arial" w:hAnsi="Arial" w:cs="Arial"/>
                <w:sz w:val="20"/>
                <w:szCs w:val="20"/>
                <w:lang w:val="en-US"/>
              </w:rPr>
            </w:pPr>
            <w:r>
              <w:rPr>
                <w:rFonts w:ascii="Arial" w:hAnsi="Arial" w:cs="Arial"/>
                <w:sz w:val="20"/>
                <w:szCs w:val="20"/>
                <w:lang w:val="en-US"/>
              </w:rPr>
              <w:t>2.3 ± 0.</w:t>
            </w:r>
            <w:r w:rsidRPr="00C33E92">
              <w:rPr>
                <w:rFonts w:ascii="Arial" w:hAnsi="Arial" w:cs="Arial"/>
                <w:sz w:val="20"/>
                <w:szCs w:val="20"/>
                <w:lang w:val="en-US"/>
              </w:rPr>
              <w:t>7</w:t>
            </w:r>
            <w:r>
              <w:rPr>
                <w:rFonts w:ascii="Arial" w:hAnsi="Arial" w:cs="Arial"/>
                <w:sz w:val="20"/>
                <w:szCs w:val="20"/>
                <w:lang w:val="en-US"/>
              </w:rPr>
              <w:t>49</w:t>
            </w:r>
          </w:p>
        </w:tc>
        <w:tc>
          <w:tcPr>
            <w:tcW w:w="1940" w:type="dxa"/>
            <w:noWrap/>
            <w:vAlign w:val="center"/>
            <w:hideMark/>
          </w:tcPr>
          <w:p w:rsidR="00C60153" w:rsidRPr="00C33E92" w:rsidRDefault="00C60153" w:rsidP="00283CE4">
            <w:pPr>
              <w:jc w:val="center"/>
              <w:rPr>
                <w:rFonts w:ascii="Arial" w:hAnsi="Arial" w:cs="Arial"/>
                <w:sz w:val="20"/>
                <w:szCs w:val="20"/>
                <w:lang w:val="en-US"/>
              </w:rPr>
            </w:pPr>
            <w:r>
              <w:rPr>
                <w:rFonts w:ascii="Arial" w:hAnsi="Arial" w:cs="Arial"/>
                <w:sz w:val="20"/>
                <w:szCs w:val="20"/>
                <w:lang w:val="en-US"/>
              </w:rPr>
              <w:t>2</w:t>
            </w:r>
            <w:r w:rsidRPr="00C33E92">
              <w:rPr>
                <w:rFonts w:ascii="Arial" w:hAnsi="Arial" w:cs="Arial"/>
                <w:sz w:val="20"/>
                <w:szCs w:val="20"/>
                <w:lang w:val="en-US"/>
              </w:rPr>
              <w:t xml:space="preserve"> (</w:t>
            </w:r>
            <w:r>
              <w:rPr>
                <w:rFonts w:ascii="Arial" w:hAnsi="Arial" w:cs="Arial"/>
                <w:sz w:val="20"/>
                <w:szCs w:val="20"/>
                <w:lang w:val="en-US"/>
              </w:rPr>
              <w:t>1</w:t>
            </w:r>
            <w:r w:rsidRPr="00C33E92">
              <w:rPr>
                <w:rFonts w:ascii="Arial" w:hAnsi="Arial" w:cs="Arial"/>
                <w:sz w:val="20"/>
                <w:szCs w:val="20"/>
                <w:lang w:val="en-US"/>
              </w:rPr>
              <w:t xml:space="preserve"> - </w:t>
            </w:r>
            <w:r>
              <w:rPr>
                <w:rFonts w:ascii="Arial" w:hAnsi="Arial" w:cs="Arial"/>
                <w:sz w:val="20"/>
                <w:szCs w:val="20"/>
                <w:lang w:val="en-US"/>
              </w:rPr>
              <w:t>4</w:t>
            </w:r>
            <w:r w:rsidRPr="00C33E92">
              <w:rPr>
                <w:rFonts w:ascii="Arial" w:hAnsi="Arial" w:cs="Arial"/>
                <w:sz w:val="20"/>
                <w:szCs w:val="20"/>
                <w:lang w:val="en-US"/>
              </w:rPr>
              <w:t>)</w:t>
            </w:r>
          </w:p>
        </w:tc>
        <w:tc>
          <w:tcPr>
            <w:tcW w:w="868" w:type="dxa"/>
            <w:vMerge w:val="restart"/>
            <w:vAlign w:val="center"/>
          </w:tcPr>
          <w:p w:rsidR="00C60153" w:rsidRPr="00146CD3" w:rsidRDefault="00C60153" w:rsidP="00283CE4">
            <w:pPr>
              <w:jc w:val="center"/>
              <w:rPr>
                <w:rFonts w:ascii="Arial" w:hAnsi="Arial" w:cs="Arial"/>
                <w:sz w:val="20"/>
                <w:szCs w:val="20"/>
              </w:rPr>
            </w:pPr>
            <w:r w:rsidRPr="00146CD3">
              <w:rPr>
                <w:rFonts w:ascii="Arial" w:hAnsi="Arial" w:cs="Arial"/>
                <w:sz w:val="20"/>
                <w:szCs w:val="20"/>
              </w:rPr>
              <w:t>-0.730</w:t>
            </w:r>
          </w:p>
        </w:tc>
        <w:tc>
          <w:tcPr>
            <w:tcW w:w="720" w:type="dxa"/>
            <w:vMerge w:val="restart"/>
            <w:noWrap/>
            <w:vAlign w:val="center"/>
            <w:hideMark/>
          </w:tcPr>
          <w:p w:rsidR="00C60153" w:rsidRPr="00C33E92" w:rsidRDefault="00C60153" w:rsidP="00283CE4">
            <w:pPr>
              <w:jc w:val="center"/>
              <w:rPr>
                <w:rFonts w:ascii="Arial" w:hAnsi="Arial" w:cs="Arial"/>
                <w:sz w:val="20"/>
                <w:szCs w:val="20"/>
                <w:lang w:val="en-US"/>
              </w:rPr>
            </w:pPr>
            <w:r w:rsidRPr="00665B82">
              <w:rPr>
                <w:rFonts w:ascii="Arial" w:hAnsi="Arial" w:cs="Arial"/>
                <w:sz w:val="20"/>
                <w:szCs w:val="20"/>
              </w:rPr>
              <w:t>0.466</w:t>
            </w:r>
          </w:p>
        </w:tc>
      </w:tr>
      <w:tr w:rsidR="00C60153" w:rsidRPr="00C33E92" w:rsidTr="00283CE4">
        <w:trPr>
          <w:trHeight w:val="300"/>
        </w:trPr>
        <w:tc>
          <w:tcPr>
            <w:tcW w:w="2040" w:type="dxa"/>
            <w:vMerge/>
            <w:vAlign w:val="center"/>
            <w:hideMark/>
          </w:tcPr>
          <w:p w:rsidR="00C60153" w:rsidRPr="00C33E92" w:rsidRDefault="00C60153" w:rsidP="00283CE4">
            <w:pPr>
              <w:jc w:val="center"/>
              <w:rPr>
                <w:rFonts w:ascii="Arial" w:hAnsi="Arial" w:cs="Arial"/>
                <w:color w:val="000000"/>
                <w:sz w:val="20"/>
                <w:szCs w:val="20"/>
                <w:lang w:val="en-US"/>
              </w:rPr>
            </w:pPr>
          </w:p>
        </w:tc>
        <w:tc>
          <w:tcPr>
            <w:tcW w:w="1340" w:type="dxa"/>
            <w:noWrap/>
            <w:vAlign w:val="center"/>
            <w:hideMark/>
          </w:tcPr>
          <w:p w:rsidR="00C60153" w:rsidRPr="00C33E92" w:rsidRDefault="00C60153" w:rsidP="00283CE4">
            <w:pPr>
              <w:jc w:val="center"/>
              <w:rPr>
                <w:rFonts w:ascii="Arial" w:hAnsi="Arial" w:cs="Arial"/>
                <w:sz w:val="20"/>
                <w:szCs w:val="20"/>
                <w:lang w:val="en-US"/>
              </w:rPr>
            </w:pPr>
            <w:r>
              <w:rPr>
                <w:rFonts w:ascii="Arial" w:hAnsi="Arial" w:cs="Arial"/>
                <w:sz w:val="20"/>
                <w:szCs w:val="20"/>
                <w:lang w:val="en-US"/>
              </w:rPr>
              <w:t>K</w:t>
            </w:r>
            <w:r w:rsidRPr="00C33E92">
              <w:rPr>
                <w:rFonts w:ascii="Arial" w:hAnsi="Arial" w:cs="Arial"/>
                <w:sz w:val="20"/>
                <w:szCs w:val="20"/>
                <w:lang w:val="en-US"/>
              </w:rPr>
              <w:t>ontrol (n=30)</w:t>
            </w:r>
          </w:p>
        </w:tc>
        <w:tc>
          <w:tcPr>
            <w:tcW w:w="1660" w:type="dxa"/>
            <w:noWrap/>
            <w:vAlign w:val="center"/>
            <w:hideMark/>
          </w:tcPr>
          <w:p w:rsidR="00C60153" w:rsidRPr="00C33E92" w:rsidRDefault="00C60153" w:rsidP="00283CE4">
            <w:pPr>
              <w:jc w:val="center"/>
              <w:rPr>
                <w:rFonts w:ascii="Arial" w:hAnsi="Arial" w:cs="Arial"/>
                <w:sz w:val="20"/>
                <w:szCs w:val="20"/>
                <w:lang w:val="en-US"/>
              </w:rPr>
            </w:pPr>
            <w:r>
              <w:rPr>
                <w:rFonts w:ascii="Arial" w:hAnsi="Arial" w:cs="Arial"/>
                <w:sz w:val="20"/>
                <w:szCs w:val="20"/>
                <w:lang w:val="en-US"/>
              </w:rPr>
              <w:t>2.</w:t>
            </w:r>
            <w:r w:rsidRPr="00C33E92">
              <w:rPr>
                <w:rFonts w:ascii="Arial" w:hAnsi="Arial" w:cs="Arial"/>
                <w:sz w:val="20"/>
                <w:szCs w:val="20"/>
                <w:lang w:val="en-US"/>
              </w:rPr>
              <w:t xml:space="preserve">4 ± </w:t>
            </w:r>
            <w:r>
              <w:rPr>
                <w:rFonts w:ascii="Arial" w:hAnsi="Arial" w:cs="Arial"/>
                <w:sz w:val="20"/>
                <w:szCs w:val="20"/>
                <w:lang w:val="en-US"/>
              </w:rPr>
              <w:t>0.723</w:t>
            </w:r>
          </w:p>
        </w:tc>
        <w:tc>
          <w:tcPr>
            <w:tcW w:w="1940" w:type="dxa"/>
            <w:noWrap/>
            <w:vAlign w:val="center"/>
            <w:hideMark/>
          </w:tcPr>
          <w:p w:rsidR="00C60153" w:rsidRPr="00C33E92" w:rsidRDefault="00C60153" w:rsidP="00283CE4">
            <w:pPr>
              <w:jc w:val="center"/>
              <w:rPr>
                <w:rFonts w:ascii="Arial" w:hAnsi="Arial" w:cs="Arial"/>
                <w:sz w:val="20"/>
                <w:szCs w:val="20"/>
                <w:lang w:val="en-US"/>
              </w:rPr>
            </w:pPr>
            <w:r>
              <w:rPr>
                <w:rFonts w:ascii="Arial" w:hAnsi="Arial" w:cs="Arial"/>
                <w:sz w:val="20"/>
                <w:szCs w:val="20"/>
                <w:lang w:val="en-US"/>
              </w:rPr>
              <w:t>2</w:t>
            </w:r>
            <w:r w:rsidRPr="00C33E92">
              <w:rPr>
                <w:rFonts w:ascii="Arial" w:hAnsi="Arial" w:cs="Arial"/>
                <w:sz w:val="20"/>
                <w:szCs w:val="20"/>
                <w:lang w:val="en-US"/>
              </w:rPr>
              <w:t xml:space="preserve"> (</w:t>
            </w:r>
            <w:r>
              <w:rPr>
                <w:rFonts w:ascii="Arial" w:hAnsi="Arial" w:cs="Arial"/>
                <w:sz w:val="20"/>
                <w:szCs w:val="20"/>
                <w:lang w:val="en-US"/>
              </w:rPr>
              <w:t>1</w:t>
            </w:r>
            <w:r w:rsidRPr="00C33E92">
              <w:rPr>
                <w:rFonts w:ascii="Arial" w:hAnsi="Arial" w:cs="Arial"/>
                <w:sz w:val="20"/>
                <w:szCs w:val="20"/>
                <w:lang w:val="en-US"/>
              </w:rPr>
              <w:t xml:space="preserve"> - </w:t>
            </w:r>
            <w:r>
              <w:rPr>
                <w:rFonts w:ascii="Arial" w:hAnsi="Arial" w:cs="Arial"/>
                <w:sz w:val="20"/>
                <w:szCs w:val="20"/>
                <w:lang w:val="en-US"/>
              </w:rPr>
              <w:t>4</w:t>
            </w:r>
            <w:r w:rsidRPr="00C33E92">
              <w:rPr>
                <w:rFonts w:ascii="Arial" w:hAnsi="Arial" w:cs="Arial"/>
                <w:sz w:val="20"/>
                <w:szCs w:val="20"/>
                <w:lang w:val="en-US"/>
              </w:rPr>
              <w:t>)</w:t>
            </w:r>
          </w:p>
        </w:tc>
        <w:tc>
          <w:tcPr>
            <w:tcW w:w="868" w:type="dxa"/>
            <w:vMerge/>
          </w:tcPr>
          <w:p w:rsidR="00C60153" w:rsidRPr="00C33E92" w:rsidRDefault="00C60153" w:rsidP="00283CE4">
            <w:pPr>
              <w:jc w:val="center"/>
              <w:rPr>
                <w:rFonts w:ascii="Arial" w:hAnsi="Arial" w:cs="Arial"/>
                <w:sz w:val="20"/>
                <w:szCs w:val="20"/>
                <w:lang w:val="en-US"/>
              </w:rPr>
            </w:pPr>
          </w:p>
        </w:tc>
        <w:tc>
          <w:tcPr>
            <w:tcW w:w="720" w:type="dxa"/>
            <w:vMerge/>
            <w:vAlign w:val="center"/>
            <w:hideMark/>
          </w:tcPr>
          <w:p w:rsidR="00C60153" w:rsidRPr="00C33E92" w:rsidRDefault="00C60153" w:rsidP="00283CE4">
            <w:pPr>
              <w:jc w:val="center"/>
              <w:rPr>
                <w:rFonts w:ascii="Arial" w:hAnsi="Arial" w:cs="Arial"/>
                <w:sz w:val="20"/>
                <w:szCs w:val="20"/>
                <w:lang w:val="en-US"/>
              </w:rPr>
            </w:pPr>
          </w:p>
        </w:tc>
      </w:tr>
    </w:tbl>
    <w:p w:rsidR="00C60153" w:rsidRPr="006A23DA" w:rsidRDefault="00C60153" w:rsidP="00C60153">
      <w:pPr>
        <w:tabs>
          <w:tab w:val="left" w:pos="3660"/>
        </w:tabs>
        <w:rPr>
          <w:rFonts w:ascii="Arial" w:hAnsi="Arial" w:cs="Arial"/>
          <w:sz w:val="22"/>
          <w:szCs w:val="22"/>
        </w:rPr>
      </w:pPr>
      <w:r w:rsidRPr="006A23DA">
        <w:rPr>
          <w:rFonts w:ascii="Arial" w:hAnsi="Arial" w:cs="Arial"/>
          <w:sz w:val="22"/>
          <w:szCs w:val="22"/>
        </w:rPr>
        <w:t>Mann Whitney U testi yapılmıştır. p &lt; 0.05 anlamlıdır.</w:t>
      </w:r>
    </w:p>
    <w:p w:rsidR="00C60153" w:rsidRDefault="00C60153" w:rsidP="00C60153">
      <w:pPr>
        <w:spacing w:line="360" w:lineRule="auto"/>
        <w:ind w:firstLine="567"/>
        <w:contextualSpacing/>
        <w:jc w:val="both"/>
        <w:rPr>
          <w:rFonts w:ascii="Arial" w:hAnsi="Arial" w:cs="Arial"/>
          <w:b/>
          <w:shd w:val="clear" w:color="auto" w:fill="FFFFFF"/>
        </w:rPr>
      </w:pPr>
    </w:p>
    <w:p w:rsidR="00C60153" w:rsidRPr="006A23DA" w:rsidRDefault="00C60153" w:rsidP="00C60153">
      <w:pPr>
        <w:spacing w:line="360" w:lineRule="auto"/>
        <w:ind w:firstLine="567"/>
        <w:contextualSpacing/>
        <w:jc w:val="both"/>
        <w:rPr>
          <w:rFonts w:ascii="Arial" w:hAnsi="Arial" w:cs="Arial"/>
          <w:b/>
          <w:sz w:val="22"/>
          <w:szCs w:val="22"/>
          <w:shd w:val="clear" w:color="auto" w:fill="FFFFFF"/>
        </w:rPr>
      </w:pPr>
      <w:r w:rsidRPr="006A23DA">
        <w:rPr>
          <w:rFonts w:ascii="Arial" w:hAnsi="Arial" w:cs="Arial"/>
          <w:b/>
          <w:sz w:val="22"/>
          <w:szCs w:val="22"/>
          <w:shd w:val="clear" w:color="auto" w:fill="FFFFFF"/>
        </w:rPr>
        <w:t>Aile Yapısı</w:t>
      </w:r>
    </w:p>
    <w:p w:rsidR="00C60153" w:rsidRPr="006A23DA" w:rsidRDefault="00C60153" w:rsidP="00C60153">
      <w:pPr>
        <w:spacing w:line="360" w:lineRule="auto"/>
        <w:ind w:firstLine="567"/>
        <w:contextualSpacing/>
        <w:jc w:val="both"/>
        <w:rPr>
          <w:rFonts w:ascii="Arial" w:hAnsi="Arial" w:cs="Arial"/>
          <w:sz w:val="22"/>
          <w:szCs w:val="22"/>
          <w:shd w:val="clear" w:color="auto" w:fill="FFFFFF"/>
        </w:rPr>
      </w:pPr>
      <w:r w:rsidRPr="006A23DA">
        <w:rPr>
          <w:rFonts w:ascii="Arial" w:hAnsi="Arial" w:cs="Arial"/>
          <w:sz w:val="22"/>
          <w:szCs w:val="22"/>
          <w:shd w:val="clear" w:color="auto" w:fill="FFFFFF"/>
        </w:rPr>
        <w:t>Olgu grubunun %100'ünün (n=30) çekirdek aile yapısına sahip olduğu bulunmuştur. Bu grupta parçalanmış aile yapısında çocuk saptanmamıştır. Kontrol grubunun ise %90.0'ının (n=27) çekirdek aile yapısına sahip olduğu, %10'unun (n=3) ebeveynlerinin boşanmış olduğu ya da ayrı yaşadığı bulunmuştur. Olgu grubu ile kontrol grubu aile yapıları arasında istatistiksel olarak anlamlı bir fark bulunmamıştır (p &gt; 0.05) (Tablo 8).</w:t>
      </w:r>
    </w:p>
    <w:p w:rsidR="00C60153" w:rsidRPr="006A23DA" w:rsidRDefault="00C60153" w:rsidP="00C60153">
      <w:pPr>
        <w:rPr>
          <w:rFonts w:ascii="Arial" w:hAnsi="Arial" w:cs="Arial"/>
          <w:sz w:val="22"/>
          <w:szCs w:val="22"/>
        </w:rPr>
      </w:pPr>
      <w:r w:rsidRPr="006A23DA">
        <w:rPr>
          <w:rFonts w:ascii="Arial" w:hAnsi="Arial" w:cs="Arial"/>
          <w:sz w:val="22"/>
          <w:szCs w:val="22"/>
        </w:rPr>
        <w:t xml:space="preserve">Tablo 8. Olgu ve kontrol grubundaki çocukların aile yapıları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1042"/>
        <w:gridCol w:w="1130"/>
        <w:gridCol w:w="1092"/>
        <w:gridCol w:w="1130"/>
        <w:gridCol w:w="1092"/>
        <w:gridCol w:w="1231"/>
      </w:tblGrid>
      <w:tr w:rsidR="00C60153" w:rsidRPr="00B53664" w:rsidTr="00283CE4">
        <w:trPr>
          <w:trHeight w:val="425"/>
        </w:trPr>
        <w:tc>
          <w:tcPr>
            <w:tcW w:w="1389" w:type="dxa"/>
            <w:vMerge w:val="restart"/>
            <w:tcBorders>
              <w:bottom w:val="single" w:sz="4" w:space="0" w:color="auto"/>
            </w:tcBorders>
            <w:shd w:val="clear" w:color="auto" w:fill="auto"/>
          </w:tcPr>
          <w:p w:rsidR="00C60153" w:rsidRPr="003E0D10" w:rsidRDefault="00C60153" w:rsidP="00283CE4">
            <w:pPr>
              <w:spacing w:line="360" w:lineRule="auto"/>
              <w:jc w:val="center"/>
              <w:rPr>
                <w:rFonts w:ascii="Arial" w:hAnsi="Arial" w:cs="Arial"/>
                <w:b/>
                <w:sz w:val="20"/>
                <w:szCs w:val="20"/>
              </w:rPr>
            </w:pPr>
          </w:p>
          <w:p w:rsidR="00C60153" w:rsidRPr="003E0D10" w:rsidRDefault="00C60153" w:rsidP="00283CE4">
            <w:pPr>
              <w:spacing w:line="360" w:lineRule="auto"/>
              <w:jc w:val="center"/>
              <w:rPr>
                <w:rFonts w:ascii="Arial" w:hAnsi="Arial" w:cs="Arial"/>
                <w:sz w:val="20"/>
                <w:szCs w:val="20"/>
              </w:rPr>
            </w:pPr>
            <w:r w:rsidRPr="003E0D10">
              <w:rPr>
                <w:rFonts w:ascii="Arial" w:hAnsi="Arial" w:cs="Arial"/>
                <w:b/>
                <w:sz w:val="20"/>
                <w:szCs w:val="20"/>
              </w:rPr>
              <w:t>Aile Yapısı</w:t>
            </w:r>
          </w:p>
        </w:tc>
        <w:tc>
          <w:tcPr>
            <w:tcW w:w="2172" w:type="dxa"/>
            <w:gridSpan w:val="2"/>
            <w:tcBorders>
              <w:bottom w:val="single" w:sz="4" w:space="0" w:color="auto"/>
            </w:tcBorders>
            <w:shd w:val="clear" w:color="auto" w:fill="auto"/>
          </w:tcPr>
          <w:p w:rsidR="00C60153" w:rsidRPr="003E0D10" w:rsidRDefault="00C60153" w:rsidP="00283CE4">
            <w:pPr>
              <w:spacing w:line="360" w:lineRule="auto"/>
              <w:jc w:val="center"/>
              <w:rPr>
                <w:rFonts w:ascii="Arial" w:hAnsi="Arial" w:cs="Arial"/>
                <w:b/>
                <w:sz w:val="20"/>
                <w:szCs w:val="20"/>
              </w:rPr>
            </w:pPr>
            <w:r w:rsidRPr="003E0D10">
              <w:rPr>
                <w:rFonts w:ascii="Arial" w:hAnsi="Arial" w:cs="Arial"/>
                <w:b/>
                <w:sz w:val="20"/>
                <w:szCs w:val="20"/>
              </w:rPr>
              <w:t>Olgu</w:t>
            </w:r>
          </w:p>
        </w:tc>
        <w:tc>
          <w:tcPr>
            <w:tcW w:w="2222" w:type="dxa"/>
            <w:gridSpan w:val="2"/>
            <w:tcBorders>
              <w:bottom w:val="single" w:sz="4" w:space="0" w:color="auto"/>
            </w:tcBorders>
            <w:shd w:val="clear" w:color="auto" w:fill="auto"/>
          </w:tcPr>
          <w:p w:rsidR="00C60153" w:rsidRPr="003E0D10" w:rsidRDefault="00C60153" w:rsidP="00283CE4">
            <w:pPr>
              <w:spacing w:line="360" w:lineRule="auto"/>
              <w:jc w:val="center"/>
              <w:rPr>
                <w:rFonts w:ascii="Arial" w:hAnsi="Arial" w:cs="Arial"/>
                <w:b/>
                <w:sz w:val="20"/>
                <w:szCs w:val="20"/>
              </w:rPr>
            </w:pPr>
            <w:r w:rsidRPr="003E0D10">
              <w:rPr>
                <w:rFonts w:ascii="Arial" w:hAnsi="Arial" w:cs="Arial"/>
                <w:b/>
                <w:sz w:val="20"/>
                <w:szCs w:val="20"/>
              </w:rPr>
              <w:t>Kontrol</w:t>
            </w:r>
          </w:p>
        </w:tc>
        <w:tc>
          <w:tcPr>
            <w:tcW w:w="2323" w:type="dxa"/>
            <w:gridSpan w:val="2"/>
            <w:tcBorders>
              <w:bottom w:val="single" w:sz="4" w:space="0" w:color="auto"/>
            </w:tcBorders>
            <w:shd w:val="clear" w:color="auto" w:fill="auto"/>
          </w:tcPr>
          <w:p w:rsidR="00C60153" w:rsidRPr="003E0D10" w:rsidRDefault="00C60153" w:rsidP="00283CE4">
            <w:pPr>
              <w:jc w:val="center"/>
              <w:rPr>
                <w:rFonts w:ascii="Arial" w:hAnsi="Arial" w:cs="Arial"/>
                <w:b/>
                <w:sz w:val="20"/>
                <w:szCs w:val="20"/>
              </w:rPr>
            </w:pPr>
            <w:r w:rsidRPr="003E0D10">
              <w:rPr>
                <w:rFonts w:ascii="Arial" w:hAnsi="Arial" w:cs="Arial"/>
                <w:b/>
                <w:sz w:val="20"/>
                <w:szCs w:val="20"/>
              </w:rPr>
              <w:t>Toplam</w:t>
            </w:r>
          </w:p>
        </w:tc>
      </w:tr>
      <w:tr w:rsidR="00C60153" w:rsidRPr="00B53664" w:rsidTr="00283CE4">
        <w:trPr>
          <w:trHeight w:val="425"/>
        </w:trPr>
        <w:tc>
          <w:tcPr>
            <w:tcW w:w="1389" w:type="dxa"/>
            <w:vMerge/>
            <w:tcBorders>
              <w:top w:val="single" w:sz="4" w:space="0" w:color="auto"/>
              <w:right w:val="single" w:sz="4" w:space="0" w:color="auto"/>
            </w:tcBorders>
            <w:shd w:val="clear" w:color="auto" w:fill="auto"/>
          </w:tcPr>
          <w:p w:rsidR="00C60153" w:rsidRPr="003E0D10" w:rsidRDefault="00C60153" w:rsidP="00283CE4">
            <w:pPr>
              <w:spacing w:line="360" w:lineRule="auto"/>
              <w:jc w:val="center"/>
              <w:rPr>
                <w:rFonts w:ascii="Arial" w:hAnsi="Arial" w:cs="Arial"/>
                <w:sz w:val="20"/>
                <w:szCs w:val="20"/>
              </w:rPr>
            </w:pPr>
          </w:p>
        </w:tc>
        <w:tc>
          <w:tcPr>
            <w:tcW w:w="1042"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sz w:val="20"/>
                <w:szCs w:val="20"/>
              </w:rPr>
              <w:t>n</w:t>
            </w:r>
          </w:p>
        </w:tc>
        <w:tc>
          <w:tcPr>
            <w:tcW w:w="1231" w:type="dxa"/>
            <w:tcBorders>
              <w:top w:val="single" w:sz="4" w:space="0" w:color="auto"/>
              <w:lef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sz w:val="20"/>
                <w:szCs w:val="20"/>
              </w:rPr>
              <w:t>%</w:t>
            </w:r>
          </w:p>
        </w:tc>
      </w:tr>
      <w:tr w:rsidR="00C60153" w:rsidRPr="00B53664" w:rsidTr="00283CE4">
        <w:trPr>
          <w:trHeight w:val="425"/>
        </w:trPr>
        <w:tc>
          <w:tcPr>
            <w:tcW w:w="1389" w:type="dxa"/>
            <w:tcBorders>
              <w:right w:val="single" w:sz="4" w:space="0" w:color="auto"/>
            </w:tcBorders>
            <w:shd w:val="clear" w:color="auto" w:fill="auto"/>
            <w:vAlign w:val="center"/>
          </w:tcPr>
          <w:p w:rsidR="00C60153" w:rsidRPr="003E0D10" w:rsidRDefault="00C60153" w:rsidP="00283CE4">
            <w:pPr>
              <w:spacing w:line="360" w:lineRule="auto"/>
              <w:rPr>
                <w:rFonts w:ascii="Arial" w:hAnsi="Arial" w:cs="Arial"/>
                <w:sz w:val="20"/>
                <w:szCs w:val="20"/>
              </w:rPr>
            </w:pPr>
            <w:r w:rsidRPr="003E0D10">
              <w:rPr>
                <w:rFonts w:ascii="Arial" w:hAnsi="Arial" w:cs="Arial"/>
                <w:sz w:val="20"/>
                <w:szCs w:val="20"/>
              </w:rPr>
              <w:t>Çekirdek</w:t>
            </w:r>
          </w:p>
        </w:tc>
        <w:tc>
          <w:tcPr>
            <w:tcW w:w="1042"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sz w:val="20"/>
                <w:szCs w:val="20"/>
              </w:rPr>
            </w:pPr>
            <w:r w:rsidRPr="003E0D10">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sz w:val="20"/>
                <w:szCs w:val="20"/>
              </w:rPr>
            </w:pPr>
            <w:r w:rsidRPr="003E0D10">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sz w:val="20"/>
                <w:szCs w:val="20"/>
              </w:rPr>
            </w:pPr>
            <w:r w:rsidRPr="003E0D10">
              <w:rPr>
                <w:rFonts w:ascii="Arial" w:hAnsi="Arial" w:cs="Arial"/>
                <w:color w:val="000000"/>
                <w:sz w:val="20"/>
                <w:szCs w:val="20"/>
                <w:lang w:val="en-US"/>
              </w:rPr>
              <w:t>27</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sz w:val="20"/>
                <w:szCs w:val="20"/>
              </w:rPr>
            </w:pPr>
            <w:r w:rsidRPr="003E0D10">
              <w:rPr>
                <w:rFonts w:ascii="Arial" w:hAnsi="Arial" w:cs="Arial"/>
                <w:color w:val="000000"/>
                <w:sz w:val="20"/>
                <w:szCs w:val="20"/>
                <w:lang w:val="en-US"/>
              </w:rPr>
              <w:t>90</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sz w:val="20"/>
                <w:szCs w:val="20"/>
              </w:rPr>
            </w:pPr>
            <w:r w:rsidRPr="003E0D10">
              <w:rPr>
                <w:rFonts w:ascii="Arial" w:hAnsi="Arial" w:cs="Arial"/>
                <w:color w:val="000000"/>
                <w:sz w:val="20"/>
                <w:szCs w:val="20"/>
                <w:lang w:val="en-US"/>
              </w:rPr>
              <w:t>57</w:t>
            </w:r>
          </w:p>
        </w:tc>
        <w:tc>
          <w:tcPr>
            <w:tcW w:w="1231" w:type="dxa"/>
            <w:tcBorders>
              <w:lef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sz w:val="20"/>
                <w:szCs w:val="20"/>
              </w:rPr>
            </w:pPr>
            <w:r w:rsidRPr="003E0D10">
              <w:rPr>
                <w:rFonts w:ascii="Arial" w:hAnsi="Arial" w:cs="Arial"/>
                <w:color w:val="000000"/>
                <w:sz w:val="20"/>
                <w:szCs w:val="20"/>
                <w:lang w:val="en-US"/>
              </w:rPr>
              <w:t>95</w:t>
            </w:r>
          </w:p>
        </w:tc>
      </w:tr>
      <w:tr w:rsidR="00C60153" w:rsidRPr="00B53664" w:rsidTr="00283CE4">
        <w:trPr>
          <w:trHeight w:val="425"/>
        </w:trPr>
        <w:tc>
          <w:tcPr>
            <w:tcW w:w="1389" w:type="dxa"/>
            <w:tcBorders>
              <w:right w:val="single" w:sz="4" w:space="0" w:color="auto"/>
            </w:tcBorders>
            <w:shd w:val="clear" w:color="auto" w:fill="auto"/>
            <w:vAlign w:val="center"/>
          </w:tcPr>
          <w:p w:rsidR="00C60153" w:rsidRPr="003E0D10" w:rsidRDefault="00C60153" w:rsidP="00283CE4">
            <w:pPr>
              <w:spacing w:line="360" w:lineRule="auto"/>
              <w:rPr>
                <w:rFonts w:ascii="Arial" w:hAnsi="Arial" w:cs="Arial"/>
                <w:sz w:val="20"/>
                <w:szCs w:val="20"/>
              </w:rPr>
            </w:pPr>
            <w:r w:rsidRPr="003E0D10">
              <w:rPr>
                <w:rFonts w:ascii="Arial" w:hAnsi="Arial" w:cs="Arial"/>
                <w:sz w:val="20"/>
                <w:szCs w:val="20"/>
              </w:rPr>
              <w:t>Parçalanmış</w:t>
            </w:r>
            <w:r>
              <w:rPr>
                <w:rFonts w:ascii="Arial" w:hAnsi="Arial" w:cs="Arial"/>
                <w:sz w:val="20"/>
                <w:szCs w:val="20"/>
              </w:rPr>
              <w:t>*</w:t>
            </w:r>
          </w:p>
        </w:tc>
        <w:tc>
          <w:tcPr>
            <w:tcW w:w="1042"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themeColor="text1"/>
                <w:sz w:val="20"/>
                <w:szCs w:val="20"/>
              </w:rPr>
            </w:pPr>
            <w:r w:rsidRPr="003E0D10">
              <w:rPr>
                <w:rFonts w:ascii="Arial" w:hAnsi="Arial" w:cs="Arial"/>
                <w:color w:val="000000"/>
                <w:sz w:val="20"/>
                <w:szCs w:val="20"/>
                <w:lang w:val="en-US"/>
              </w:rPr>
              <w:t>0</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ind w:firstLineChars="5" w:firstLine="10"/>
              <w:jc w:val="center"/>
              <w:rPr>
                <w:rFonts w:ascii="Arial" w:hAnsi="Arial" w:cs="Arial"/>
                <w:color w:val="000000" w:themeColor="text1"/>
                <w:sz w:val="20"/>
                <w:szCs w:val="20"/>
              </w:rPr>
            </w:pPr>
            <w:r w:rsidRPr="003E0D10">
              <w:rPr>
                <w:rFonts w:ascii="Arial" w:hAnsi="Arial" w:cs="Arial"/>
                <w:color w:val="000000"/>
                <w:sz w:val="20"/>
                <w:szCs w:val="20"/>
                <w:lang w:val="en-US"/>
              </w:rPr>
              <w:t>0</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sz w:val="20"/>
                <w:szCs w:val="20"/>
              </w:rPr>
            </w:pPr>
            <w:r w:rsidRPr="003E0D10">
              <w:rPr>
                <w:rFonts w:ascii="Arial" w:hAnsi="Arial" w:cs="Arial"/>
                <w:color w:val="000000"/>
                <w:sz w:val="20"/>
                <w:szCs w:val="20"/>
                <w:lang w:val="en-US"/>
              </w:rPr>
              <w:t>3</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sz w:val="20"/>
                <w:szCs w:val="20"/>
              </w:rPr>
            </w:pPr>
            <w:r w:rsidRPr="003E0D10">
              <w:rPr>
                <w:rFonts w:ascii="Arial" w:hAnsi="Arial" w:cs="Arial"/>
                <w:color w:val="000000"/>
                <w:sz w:val="20"/>
                <w:szCs w:val="20"/>
                <w:lang w:val="en-US"/>
              </w:rPr>
              <w:t>10</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sz w:val="20"/>
                <w:szCs w:val="20"/>
              </w:rPr>
            </w:pPr>
            <w:r w:rsidRPr="003E0D10">
              <w:rPr>
                <w:rFonts w:ascii="Arial" w:hAnsi="Arial" w:cs="Arial"/>
                <w:color w:val="000000"/>
                <w:sz w:val="20"/>
                <w:szCs w:val="20"/>
                <w:lang w:val="en-US"/>
              </w:rPr>
              <w:t>3</w:t>
            </w:r>
          </w:p>
        </w:tc>
        <w:tc>
          <w:tcPr>
            <w:tcW w:w="1231" w:type="dxa"/>
            <w:tcBorders>
              <w:left w:val="single" w:sz="4" w:space="0" w:color="auto"/>
            </w:tcBorders>
            <w:shd w:val="clear" w:color="auto" w:fill="auto"/>
            <w:vAlign w:val="center"/>
          </w:tcPr>
          <w:p w:rsidR="00C60153" w:rsidRPr="003E0D10" w:rsidRDefault="00C60153" w:rsidP="00C60153">
            <w:pPr>
              <w:spacing w:line="360" w:lineRule="auto"/>
              <w:ind w:leftChars="-16" w:left="-8" w:hangingChars="15" w:hanging="30"/>
              <w:jc w:val="center"/>
              <w:rPr>
                <w:rFonts w:ascii="Arial" w:hAnsi="Arial" w:cs="Arial"/>
                <w:color w:val="000000"/>
                <w:sz w:val="20"/>
                <w:szCs w:val="20"/>
              </w:rPr>
            </w:pPr>
            <w:r w:rsidRPr="003E0D10">
              <w:rPr>
                <w:rFonts w:ascii="Arial" w:hAnsi="Arial" w:cs="Arial"/>
                <w:color w:val="000000"/>
                <w:sz w:val="20"/>
                <w:szCs w:val="20"/>
                <w:lang w:val="en-US"/>
              </w:rPr>
              <w:t>5</w:t>
            </w:r>
          </w:p>
        </w:tc>
      </w:tr>
      <w:tr w:rsidR="00C60153" w:rsidRPr="00B53664" w:rsidTr="00283CE4">
        <w:trPr>
          <w:trHeight w:val="425"/>
        </w:trPr>
        <w:tc>
          <w:tcPr>
            <w:tcW w:w="1389" w:type="dxa"/>
            <w:tcBorders>
              <w:right w:val="single" w:sz="4" w:space="0" w:color="auto"/>
            </w:tcBorders>
            <w:shd w:val="clear" w:color="auto" w:fill="auto"/>
            <w:vAlign w:val="center"/>
          </w:tcPr>
          <w:p w:rsidR="00C60153" w:rsidRPr="003E0D10" w:rsidRDefault="00C60153" w:rsidP="00283CE4">
            <w:pPr>
              <w:spacing w:line="360" w:lineRule="auto"/>
              <w:rPr>
                <w:rFonts w:ascii="Arial" w:hAnsi="Arial" w:cs="Arial"/>
                <w:sz w:val="20"/>
                <w:szCs w:val="20"/>
              </w:rPr>
            </w:pPr>
            <w:r w:rsidRPr="003E0D10">
              <w:rPr>
                <w:rFonts w:ascii="Arial" w:hAnsi="Arial" w:cs="Arial"/>
                <w:sz w:val="20"/>
                <w:szCs w:val="20"/>
              </w:rPr>
              <w:t>Toplam</w:t>
            </w:r>
          </w:p>
        </w:tc>
        <w:tc>
          <w:tcPr>
            <w:tcW w:w="1042"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color w:val="000000"/>
                <w:sz w:val="20"/>
                <w:szCs w:val="20"/>
                <w:lang w:val="en-US"/>
              </w:rPr>
              <w:t>60</w:t>
            </w:r>
          </w:p>
        </w:tc>
        <w:tc>
          <w:tcPr>
            <w:tcW w:w="1231" w:type="dxa"/>
            <w:tcBorders>
              <w:lef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color w:val="000000"/>
                <w:sz w:val="20"/>
                <w:szCs w:val="20"/>
                <w:lang w:val="en-US"/>
              </w:rPr>
              <w:t>100</w:t>
            </w:r>
          </w:p>
        </w:tc>
      </w:tr>
      <w:tr w:rsidR="00C60153" w:rsidRPr="00B53664" w:rsidTr="00283CE4">
        <w:trPr>
          <w:trHeight w:val="425"/>
        </w:trPr>
        <w:tc>
          <w:tcPr>
            <w:tcW w:w="8106" w:type="dxa"/>
            <w:gridSpan w:val="7"/>
            <w:shd w:val="clear" w:color="auto" w:fill="auto"/>
            <w:vAlign w:val="center"/>
          </w:tcPr>
          <w:p w:rsidR="00C60153" w:rsidRPr="003E0D10" w:rsidRDefault="00C60153" w:rsidP="00283CE4">
            <w:pPr>
              <w:spacing w:line="360" w:lineRule="auto"/>
              <w:rPr>
                <w:rFonts w:ascii="Arial" w:hAnsi="Arial" w:cs="Arial"/>
                <w:sz w:val="20"/>
                <w:szCs w:val="20"/>
              </w:rPr>
            </w:pPr>
            <w:r w:rsidRPr="003E0D10">
              <w:rPr>
                <w:rFonts w:ascii="Arial" w:hAnsi="Arial" w:cs="Arial"/>
                <w:sz w:val="20"/>
                <w:szCs w:val="20"/>
              </w:rPr>
              <w:t xml:space="preserve">χ ² = </w:t>
            </w:r>
            <w:r w:rsidRPr="003E0D10">
              <w:rPr>
                <w:rFonts w:ascii="Arial" w:hAnsi="Arial" w:cs="Arial"/>
                <w:color w:val="000000"/>
                <w:sz w:val="20"/>
                <w:szCs w:val="20"/>
                <w:lang w:val="en-US"/>
              </w:rPr>
              <w:t>3.15</w:t>
            </w:r>
            <w:r w:rsidRPr="003E0D10">
              <w:rPr>
                <w:rFonts w:ascii="Arial" w:hAnsi="Arial" w:cs="Arial"/>
                <w:sz w:val="20"/>
                <w:szCs w:val="20"/>
              </w:rPr>
              <w:t xml:space="preserve">    p = </w:t>
            </w:r>
            <w:r w:rsidRPr="003E0D10">
              <w:rPr>
                <w:rFonts w:ascii="Arial" w:hAnsi="Arial" w:cs="Arial"/>
                <w:color w:val="000000"/>
                <w:sz w:val="20"/>
                <w:szCs w:val="20"/>
                <w:lang w:val="en-US"/>
              </w:rPr>
              <w:t>0.237</w:t>
            </w:r>
          </w:p>
        </w:tc>
      </w:tr>
    </w:tbl>
    <w:p w:rsidR="00C60153" w:rsidRPr="006A23DA" w:rsidRDefault="00C60153" w:rsidP="00C60153">
      <w:pPr>
        <w:rPr>
          <w:rFonts w:ascii="Arial" w:hAnsi="Arial" w:cs="Arial"/>
          <w:sz w:val="22"/>
          <w:szCs w:val="22"/>
        </w:rPr>
      </w:pPr>
      <w:r w:rsidRPr="006A23DA">
        <w:rPr>
          <w:rFonts w:ascii="Arial" w:hAnsi="Arial" w:cs="Arial"/>
          <w:sz w:val="22"/>
          <w:szCs w:val="22"/>
        </w:rPr>
        <w:t>χ ²  testi ve Fisher’s Exact test uygulanmıştır. p &lt; 0.05 anlamlıdır.</w:t>
      </w:r>
    </w:p>
    <w:p w:rsidR="00C60153" w:rsidRPr="006A23DA" w:rsidRDefault="00C60153" w:rsidP="006A23DA">
      <w:pPr>
        <w:spacing w:line="360" w:lineRule="auto"/>
        <w:contextualSpacing/>
        <w:jc w:val="both"/>
        <w:rPr>
          <w:rFonts w:ascii="Arial" w:hAnsi="Arial" w:cs="Arial"/>
          <w:sz w:val="22"/>
          <w:szCs w:val="22"/>
          <w:shd w:val="clear" w:color="auto" w:fill="FFFFFF"/>
        </w:rPr>
      </w:pPr>
      <w:r w:rsidRPr="006A23DA">
        <w:rPr>
          <w:rFonts w:ascii="Arial" w:hAnsi="Arial" w:cs="Arial"/>
          <w:sz w:val="22"/>
          <w:szCs w:val="22"/>
          <w:shd w:val="clear" w:color="auto" w:fill="FFFFFF"/>
        </w:rPr>
        <w:t>*Vefat etmiş ebeveyn bulunan aileler parçalanmış aileye dahil edilmiştir.</w:t>
      </w:r>
    </w:p>
    <w:p w:rsidR="006A23DA" w:rsidRPr="006A23DA" w:rsidRDefault="006A23DA" w:rsidP="006A23DA">
      <w:pPr>
        <w:spacing w:line="360" w:lineRule="auto"/>
        <w:contextualSpacing/>
        <w:jc w:val="both"/>
        <w:rPr>
          <w:rFonts w:ascii="Arial" w:hAnsi="Arial" w:cs="Arial"/>
          <w:shd w:val="clear" w:color="auto" w:fill="FFFFFF"/>
        </w:rPr>
      </w:pPr>
    </w:p>
    <w:p w:rsidR="00C60153" w:rsidRPr="007E63B8" w:rsidRDefault="00C60153" w:rsidP="00C60153">
      <w:pPr>
        <w:spacing w:line="360" w:lineRule="auto"/>
        <w:ind w:firstLine="567"/>
        <w:contextualSpacing/>
        <w:jc w:val="both"/>
        <w:rPr>
          <w:rFonts w:ascii="Arial" w:hAnsi="Arial" w:cs="Arial"/>
          <w:b/>
          <w:sz w:val="22"/>
          <w:szCs w:val="22"/>
          <w:shd w:val="clear" w:color="auto" w:fill="FFFFFF"/>
        </w:rPr>
      </w:pPr>
      <w:r w:rsidRPr="007E63B8">
        <w:rPr>
          <w:rFonts w:ascii="Arial" w:hAnsi="Arial" w:cs="Arial"/>
          <w:b/>
          <w:sz w:val="22"/>
          <w:szCs w:val="22"/>
          <w:shd w:val="clear" w:color="auto" w:fill="FFFFFF"/>
        </w:rPr>
        <w:t>Ailenin Gelir Düzeyi</w:t>
      </w:r>
    </w:p>
    <w:p w:rsidR="00C60153" w:rsidRPr="007E63B8" w:rsidRDefault="00C60153" w:rsidP="00C60153">
      <w:pPr>
        <w:spacing w:line="360" w:lineRule="auto"/>
        <w:ind w:firstLine="567"/>
        <w:contextualSpacing/>
        <w:jc w:val="both"/>
        <w:rPr>
          <w:rFonts w:ascii="Arial" w:hAnsi="Arial" w:cs="Arial"/>
          <w:sz w:val="22"/>
          <w:szCs w:val="22"/>
        </w:rPr>
      </w:pPr>
      <w:r w:rsidRPr="007E63B8">
        <w:rPr>
          <w:rFonts w:ascii="Arial" w:hAnsi="Arial" w:cs="Arial"/>
          <w:sz w:val="22"/>
          <w:szCs w:val="22"/>
        </w:rPr>
        <w:t xml:space="preserve">Aylık gelir düzeyi ailenin belirlemesi esas alınarak 1000 TL’den az, 1000-3000 TL arası, 3000-5000 TL arası ve 5000 TL’den fazla olarak gruplandırılmıştır. </w:t>
      </w:r>
      <w:r w:rsidRPr="007E63B8">
        <w:rPr>
          <w:rFonts w:ascii="Arial" w:hAnsi="Arial" w:cs="Arial"/>
          <w:color w:val="000000" w:themeColor="text1"/>
          <w:sz w:val="22"/>
          <w:szCs w:val="22"/>
        </w:rPr>
        <w:t>Olgu grubundaki çocukların aile gelir düzeyleri değerlendirildiğinde; %3.3’ü (n=1) 1000 TL’den az, %66.7'si (n=20) 1000-3000 TL arası, %23.3'ü (n=7) 3000-5000 TL arası, %6.7’si (n=2) 5000 TL’den fazla olarak saptanmıştır</w:t>
      </w:r>
      <w:r w:rsidRPr="007E63B8">
        <w:rPr>
          <w:rFonts w:ascii="Arial" w:hAnsi="Arial" w:cs="Arial"/>
          <w:color w:val="FF0000"/>
          <w:sz w:val="22"/>
          <w:szCs w:val="22"/>
        </w:rPr>
        <w:t xml:space="preserve">. </w:t>
      </w:r>
      <w:r w:rsidRPr="007E63B8">
        <w:rPr>
          <w:rFonts w:ascii="Arial" w:hAnsi="Arial" w:cs="Arial"/>
          <w:sz w:val="22"/>
          <w:szCs w:val="22"/>
        </w:rPr>
        <w:t>Kontrol grubundaki</w:t>
      </w:r>
      <w:r w:rsidRPr="007E63B8">
        <w:rPr>
          <w:rFonts w:ascii="Arial" w:hAnsi="Arial" w:cs="Arial"/>
          <w:color w:val="000000" w:themeColor="text1"/>
          <w:sz w:val="22"/>
          <w:szCs w:val="22"/>
        </w:rPr>
        <w:t xml:space="preserve"> katılımcıların ise %3.3'ünün (n=1) ailesinin gelir düzeyi 1000 TL’den az, %66.7'sinin (n=20) 1000-3000 TL arasında, %20.0'ının (n=6) ise 3000-5000 TL arasında, %10.0’ının (n=3) 5000 TL’den fazla olduğu</w:t>
      </w:r>
      <w:r w:rsidRPr="007E63B8">
        <w:rPr>
          <w:rFonts w:ascii="Arial" w:hAnsi="Arial" w:cs="Arial"/>
          <w:sz w:val="22"/>
          <w:szCs w:val="22"/>
        </w:rPr>
        <w:t xml:space="preserve"> bulunmuştur. Grupları aylık gelir düzeyleri açısından karşılaştırmak üzere, 3000</w:t>
      </w:r>
      <w:r w:rsidRPr="007E63B8">
        <w:rPr>
          <w:rFonts w:ascii="Arial" w:hAnsi="Arial" w:cs="Arial"/>
          <w:color w:val="222222"/>
          <w:sz w:val="22"/>
          <w:szCs w:val="22"/>
          <w:shd w:val="clear" w:color="auto" w:fill="FFFFFF"/>
        </w:rPr>
        <w:t>₺</w:t>
      </w:r>
      <w:r w:rsidRPr="007E63B8">
        <w:rPr>
          <w:rFonts w:ascii="Arial" w:hAnsi="Arial" w:cs="Arial"/>
          <w:sz w:val="22"/>
          <w:szCs w:val="22"/>
        </w:rPr>
        <w:t xml:space="preserve"> ve altı ile 3001</w:t>
      </w:r>
      <w:r w:rsidRPr="007E63B8">
        <w:rPr>
          <w:rFonts w:ascii="Arial" w:hAnsi="Arial" w:cs="Arial"/>
          <w:color w:val="222222"/>
          <w:sz w:val="22"/>
          <w:szCs w:val="22"/>
          <w:shd w:val="clear" w:color="auto" w:fill="FFFFFF"/>
        </w:rPr>
        <w:t>₺</w:t>
      </w:r>
      <w:r w:rsidRPr="007E63B8">
        <w:rPr>
          <w:rFonts w:ascii="Arial" w:hAnsi="Arial" w:cs="Arial"/>
          <w:sz w:val="22"/>
          <w:szCs w:val="22"/>
        </w:rPr>
        <w:t xml:space="preserve"> ve üzeri olarak iki alt gruba bölündü. Olgu ve kontrol grupları aylık gelir düzeyleri açısından eşit olarak bulundu (Tablo 9).</w:t>
      </w:r>
    </w:p>
    <w:p w:rsidR="00C60153" w:rsidRPr="006A23DA" w:rsidRDefault="00C60153" w:rsidP="00C60153">
      <w:pPr>
        <w:rPr>
          <w:rFonts w:ascii="Arial" w:hAnsi="Arial" w:cs="Arial"/>
          <w:sz w:val="22"/>
          <w:szCs w:val="22"/>
        </w:rPr>
      </w:pPr>
      <w:r w:rsidRPr="006A23DA">
        <w:rPr>
          <w:rFonts w:ascii="Arial" w:hAnsi="Arial" w:cs="Arial"/>
          <w:sz w:val="22"/>
          <w:szCs w:val="22"/>
        </w:rPr>
        <w:lastRenderedPageBreak/>
        <w:t>Tablo 9. Olgu ve kontrol grubundaki çocukların ailelerinin aylık gelir düzeyi</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042"/>
        <w:gridCol w:w="1130"/>
        <w:gridCol w:w="1092"/>
        <w:gridCol w:w="1130"/>
        <w:gridCol w:w="1092"/>
        <w:gridCol w:w="1231"/>
      </w:tblGrid>
      <w:tr w:rsidR="00C60153" w:rsidRPr="00146CD3" w:rsidTr="00283CE4">
        <w:trPr>
          <w:trHeight w:val="425"/>
        </w:trPr>
        <w:tc>
          <w:tcPr>
            <w:tcW w:w="1389" w:type="dxa"/>
            <w:vMerge w:val="restart"/>
            <w:tcBorders>
              <w:bottom w:val="single" w:sz="4" w:space="0" w:color="auto"/>
            </w:tcBorders>
            <w:shd w:val="clear" w:color="auto" w:fill="auto"/>
          </w:tcPr>
          <w:p w:rsidR="00C60153" w:rsidRPr="00146CD3" w:rsidRDefault="00C60153" w:rsidP="00283CE4">
            <w:pPr>
              <w:spacing w:line="360" w:lineRule="auto"/>
              <w:jc w:val="center"/>
              <w:rPr>
                <w:rFonts w:ascii="Arial" w:hAnsi="Arial" w:cs="Arial"/>
                <w:b/>
                <w:sz w:val="20"/>
                <w:szCs w:val="20"/>
              </w:rPr>
            </w:pPr>
          </w:p>
          <w:p w:rsidR="00C60153" w:rsidRPr="00146CD3" w:rsidRDefault="00C60153" w:rsidP="00283CE4">
            <w:pPr>
              <w:spacing w:line="360" w:lineRule="auto"/>
              <w:jc w:val="center"/>
              <w:rPr>
                <w:rFonts w:ascii="Arial" w:hAnsi="Arial" w:cs="Arial"/>
                <w:sz w:val="20"/>
                <w:szCs w:val="20"/>
              </w:rPr>
            </w:pPr>
            <w:r w:rsidRPr="00146CD3">
              <w:rPr>
                <w:rFonts w:ascii="Arial" w:hAnsi="Arial" w:cs="Arial"/>
                <w:b/>
                <w:sz w:val="20"/>
                <w:szCs w:val="20"/>
              </w:rPr>
              <w:t>Aylık Gelir Düzeyi</w:t>
            </w:r>
          </w:p>
        </w:tc>
        <w:tc>
          <w:tcPr>
            <w:tcW w:w="2172" w:type="dxa"/>
            <w:gridSpan w:val="2"/>
            <w:tcBorders>
              <w:bottom w:val="single" w:sz="4" w:space="0" w:color="auto"/>
            </w:tcBorders>
            <w:shd w:val="clear" w:color="auto" w:fill="auto"/>
          </w:tcPr>
          <w:p w:rsidR="00C60153" w:rsidRPr="00146CD3" w:rsidRDefault="00C60153" w:rsidP="00283CE4">
            <w:pPr>
              <w:spacing w:line="360" w:lineRule="auto"/>
              <w:jc w:val="center"/>
              <w:rPr>
                <w:rFonts w:ascii="Arial" w:hAnsi="Arial" w:cs="Arial"/>
                <w:b/>
                <w:sz w:val="20"/>
                <w:szCs w:val="20"/>
              </w:rPr>
            </w:pPr>
            <w:r w:rsidRPr="00146CD3">
              <w:rPr>
                <w:rFonts w:ascii="Arial" w:hAnsi="Arial" w:cs="Arial"/>
                <w:b/>
                <w:sz w:val="20"/>
                <w:szCs w:val="20"/>
              </w:rPr>
              <w:t>Olgu</w:t>
            </w:r>
          </w:p>
        </w:tc>
        <w:tc>
          <w:tcPr>
            <w:tcW w:w="2222" w:type="dxa"/>
            <w:gridSpan w:val="2"/>
            <w:tcBorders>
              <w:bottom w:val="single" w:sz="4" w:space="0" w:color="auto"/>
            </w:tcBorders>
            <w:shd w:val="clear" w:color="auto" w:fill="auto"/>
          </w:tcPr>
          <w:p w:rsidR="00C60153" w:rsidRPr="00146CD3" w:rsidRDefault="00C60153" w:rsidP="00283CE4">
            <w:pPr>
              <w:spacing w:line="360" w:lineRule="auto"/>
              <w:jc w:val="center"/>
              <w:rPr>
                <w:rFonts w:ascii="Arial" w:hAnsi="Arial" w:cs="Arial"/>
                <w:b/>
                <w:sz w:val="20"/>
                <w:szCs w:val="20"/>
              </w:rPr>
            </w:pPr>
            <w:r w:rsidRPr="00146CD3">
              <w:rPr>
                <w:rFonts w:ascii="Arial" w:hAnsi="Arial" w:cs="Arial"/>
                <w:b/>
                <w:sz w:val="20"/>
                <w:szCs w:val="20"/>
              </w:rPr>
              <w:t>Kontrol</w:t>
            </w:r>
          </w:p>
        </w:tc>
        <w:tc>
          <w:tcPr>
            <w:tcW w:w="2323" w:type="dxa"/>
            <w:gridSpan w:val="2"/>
            <w:tcBorders>
              <w:bottom w:val="single" w:sz="4" w:space="0" w:color="auto"/>
            </w:tcBorders>
            <w:shd w:val="clear" w:color="auto" w:fill="auto"/>
          </w:tcPr>
          <w:p w:rsidR="00C60153" w:rsidRPr="00146CD3" w:rsidRDefault="00C60153" w:rsidP="00283CE4">
            <w:pPr>
              <w:jc w:val="center"/>
              <w:rPr>
                <w:rFonts w:ascii="Arial" w:hAnsi="Arial" w:cs="Arial"/>
                <w:b/>
                <w:sz w:val="20"/>
                <w:szCs w:val="20"/>
              </w:rPr>
            </w:pPr>
            <w:r w:rsidRPr="00146CD3">
              <w:rPr>
                <w:rFonts w:ascii="Arial" w:hAnsi="Arial" w:cs="Arial"/>
                <w:b/>
                <w:sz w:val="20"/>
                <w:szCs w:val="20"/>
              </w:rPr>
              <w:t>Toplam</w:t>
            </w:r>
          </w:p>
        </w:tc>
      </w:tr>
      <w:tr w:rsidR="00C60153" w:rsidRPr="00146CD3" w:rsidTr="00283CE4">
        <w:trPr>
          <w:trHeight w:val="425"/>
        </w:trPr>
        <w:tc>
          <w:tcPr>
            <w:tcW w:w="1389" w:type="dxa"/>
            <w:vMerge/>
            <w:tcBorders>
              <w:top w:val="single" w:sz="4" w:space="0" w:color="auto"/>
              <w:right w:val="single" w:sz="4" w:space="0" w:color="auto"/>
            </w:tcBorders>
            <w:shd w:val="clear" w:color="auto" w:fill="auto"/>
          </w:tcPr>
          <w:p w:rsidR="00C60153" w:rsidRPr="00146CD3" w:rsidRDefault="00C60153" w:rsidP="00283CE4">
            <w:pPr>
              <w:spacing w:line="360" w:lineRule="auto"/>
              <w:jc w:val="center"/>
              <w:rPr>
                <w:rFonts w:ascii="Arial" w:hAnsi="Arial" w:cs="Arial"/>
                <w:sz w:val="20"/>
                <w:szCs w:val="20"/>
              </w:rPr>
            </w:pPr>
          </w:p>
        </w:tc>
        <w:tc>
          <w:tcPr>
            <w:tcW w:w="1042" w:type="dxa"/>
            <w:tcBorders>
              <w:top w:val="single" w:sz="4" w:space="0" w:color="auto"/>
              <w:left w:val="single" w:sz="4" w:space="0" w:color="auto"/>
              <w:righ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sz w:val="20"/>
                <w:szCs w:val="20"/>
              </w:rPr>
            </w:pPr>
            <w:r w:rsidRPr="00146CD3">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sz w:val="20"/>
                <w:szCs w:val="20"/>
              </w:rPr>
            </w:pPr>
            <w:r w:rsidRPr="00146CD3">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sz w:val="20"/>
                <w:szCs w:val="20"/>
              </w:rPr>
            </w:pPr>
            <w:r w:rsidRPr="00146CD3">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sz w:val="20"/>
                <w:szCs w:val="20"/>
              </w:rPr>
            </w:pPr>
            <w:r w:rsidRPr="00146CD3">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sz w:val="20"/>
                <w:szCs w:val="20"/>
              </w:rPr>
            </w:pPr>
            <w:r w:rsidRPr="00146CD3">
              <w:rPr>
                <w:rFonts w:ascii="Arial" w:hAnsi="Arial" w:cs="Arial"/>
                <w:sz w:val="20"/>
                <w:szCs w:val="20"/>
              </w:rPr>
              <w:t>n</w:t>
            </w:r>
          </w:p>
        </w:tc>
        <w:tc>
          <w:tcPr>
            <w:tcW w:w="1231" w:type="dxa"/>
            <w:tcBorders>
              <w:top w:val="single" w:sz="4" w:space="0" w:color="auto"/>
              <w:lef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sz w:val="20"/>
                <w:szCs w:val="20"/>
              </w:rPr>
            </w:pPr>
            <w:r w:rsidRPr="00146CD3">
              <w:rPr>
                <w:rFonts w:ascii="Arial" w:hAnsi="Arial" w:cs="Arial"/>
                <w:sz w:val="20"/>
                <w:szCs w:val="20"/>
              </w:rPr>
              <w:t>%</w:t>
            </w:r>
          </w:p>
        </w:tc>
      </w:tr>
      <w:tr w:rsidR="00C60153" w:rsidRPr="00146CD3" w:rsidTr="00283CE4">
        <w:trPr>
          <w:trHeight w:val="425"/>
        </w:trPr>
        <w:tc>
          <w:tcPr>
            <w:tcW w:w="1389" w:type="dxa"/>
            <w:tcBorders>
              <w:right w:val="single" w:sz="4" w:space="0" w:color="auto"/>
            </w:tcBorders>
            <w:shd w:val="clear" w:color="auto" w:fill="auto"/>
            <w:vAlign w:val="center"/>
          </w:tcPr>
          <w:p w:rsidR="00C60153" w:rsidRPr="00146CD3" w:rsidRDefault="00C60153" w:rsidP="00283CE4">
            <w:pPr>
              <w:spacing w:line="360" w:lineRule="auto"/>
              <w:rPr>
                <w:rFonts w:ascii="Arial" w:hAnsi="Arial" w:cs="Arial"/>
                <w:sz w:val="20"/>
                <w:szCs w:val="20"/>
              </w:rPr>
            </w:pPr>
            <w:r w:rsidRPr="00146CD3">
              <w:rPr>
                <w:rFonts w:ascii="Arial" w:hAnsi="Arial" w:cs="Arial"/>
                <w:sz w:val="20"/>
                <w:szCs w:val="20"/>
              </w:rPr>
              <w:t>3000</w:t>
            </w:r>
            <w:r w:rsidRPr="00146CD3">
              <w:rPr>
                <w:rFonts w:ascii="Arial" w:hAnsi="Arial" w:cs="Arial"/>
                <w:color w:val="222222"/>
                <w:shd w:val="clear" w:color="auto" w:fill="FFFFFF"/>
              </w:rPr>
              <w:t>₺</w:t>
            </w:r>
            <w:r w:rsidRPr="00146CD3">
              <w:rPr>
                <w:rFonts w:ascii="Arial" w:hAnsi="Arial" w:cs="Arial"/>
                <w:sz w:val="20"/>
                <w:szCs w:val="20"/>
              </w:rPr>
              <w:t xml:space="preserve"> ve altı</w:t>
            </w:r>
          </w:p>
        </w:tc>
        <w:tc>
          <w:tcPr>
            <w:tcW w:w="1042" w:type="dxa"/>
            <w:tcBorders>
              <w:left w:val="single" w:sz="4" w:space="0" w:color="auto"/>
              <w:righ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color w:val="000000"/>
                <w:sz w:val="20"/>
                <w:szCs w:val="20"/>
              </w:rPr>
            </w:pPr>
            <w:r w:rsidRPr="00146CD3">
              <w:rPr>
                <w:rFonts w:ascii="Arial" w:hAnsi="Arial" w:cs="Arial"/>
                <w:color w:val="000000"/>
                <w:sz w:val="20"/>
                <w:szCs w:val="20"/>
                <w:lang w:val="en-US"/>
              </w:rPr>
              <w:t>21</w:t>
            </w:r>
          </w:p>
        </w:tc>
        <w:tc>
          <w:tcPr>
            <w:tcW w:w="1130" w:type="dxa"/>
            <w:tcBorders>
              <w:left w:val="single" w:sz="4" w:space="0" w:color="auto"/>
              <w:righ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color w:val="000000"/>
                <w:sz w:val="20"/>
                <w:szCs w:val="20"/>
              </w:rPr>
            </w:pPr>
            <w:r w:rsidRPr="00146CD3">
              <w:rPr>
                <w:rFonts w:ascii="Arial" w:hAnsi="Arial" w:cs="Arial"/>
                <w:color w:val="000000"/>
                <w:sz w:val="20"/>
                <w:szCs w:val="20"/>
                <w:lang w:val="en-US"/>
              </w:rPr>
              <w:t>70</w:t>
            </w:r>
          </w:p>
        </w:tc>
        <w:tc>
          <w:tcPr>
            <w:tcW w:w="1092" w:type="dxa"/>
            <w:tcBorders>
              <w:left w:val="single" w:sz="4" w:space="0" w:color="auto"/>
              <w:righ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color w:val="000000"/>
                <w:sz w:val="20"/>
                <w:szCs w:val="20"/>
              </w:rPr>
            </w:pPr>
            <w:r w:rsidRPr="00146CD3">
              <w:rPr>
                <w:rFonts w:ascii="Arial" w:hAnsi="Arial" w:cs="Arial"/>
                <w:color w:val="000000"/>
                <w:sz w:val="20"/>
                <w:szCs w:val="20"/>
                <w:lang w:val="en-US"/>
              </w:rPr>
              <w:t>21</w:t>
            </w:r>
          </w:p>
        </w:tc>
        <w:tc>
          <w:tcPr>
            <w:tcW w:w="1130" w:type="dxa"/>
            <w:tcBorders>
              <w:left w:val="single" w:sz="4" w:space="0" w:color="auto"/>
              <w:righ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color w:val="000000"/>
                <w:sz w:val="20"/>
                <w:szCs w:val="20"/>
              </w:rPr>
            </w:pPr>
            <w:r w:rsidRPr="00146CD3">
              <w:rPr>
                <w:rFonts w:ascii="Arial" w:hAnsi="Arial" w:cs="Arial"/>
                <w:color w:val="000000"/>
                <w:sz w:val="20"/>
                <w:szCs w:val="20"/>
                <w:lang w:val="en-US"/>
              </w:rPr>
              <w:t>70</w:t>
            </w:r>
          </w:p>
        </w:tc>
        <w:tc>
          <w:tcPr>
            <w:tcW w:w="1092" w:type="dxa"/>
            <w:tcBorders>
              <w:left w:val="single" w:sz="4" w:space="0" w:color="auto"/>
              <w:righ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color w:val="000000"/>
                <w:sz w:val="20"/>
                <w:szCs w:val="20"/>
              </w:rPr>
            </w:pPr>
            <w:r w:rsidRPr="00146CD3">
              <w:rPr>
                <w:rFonts w:ascii="Arial" w:hAnsi="Arial" w:cs="Arial"/>
                <w:color w:val="000000"/>
                <w:sz w:val="20"/>
                <w:szCs w:val="20"/>
                <w:lang w:val="en-US"/>
              </w:rPr>
              <w:t>42</w:t>
            </w:r>
          </w:p>
        </w:tc>
        <w:tc>
          <w:tcPr>
            <w:tcW w:w="1231" w:type="dxa"/>
            <w:tcBorders>
              <w:lef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color w:val="000000"/>
                <w:sz w:val="20"/>
                <w:szCs w:val="20"/>
              </w:rPr>
            </w:pPr>
            <w:r w:rsidRPr="00146CD3">
              <w:rPr>
                <w:rFonts w:ascii="Arial" w:hAnsi="Arial" w:cs="Arial"/>
                <w:color w:val="000000"/>
                <w:sz w:val="20"/>
                <w:szCs w:val="20"/>
                <w:lang w:val="en-US"/>
              </w:rPr>
              <w:t>70</w:t>
            </w:r>
          </w:p>
        </w:tc>
      </w:tr>
      <w:tr w:rsidR="00C60153" w:rsidRPr="00146CD3" w:rsidTr="00283CE4">
        <w:trPr>
          <w:trHeight w:val="425"/>
        </w:trPr>
        <w:tc>
          <w:tcPr>
            <w:tcW w:w="1389" w:type="dxa"/>
            <w:tcBorders>
              <w:right w:val="single" w:sz="4" w:space="0" w:color="auto"/>
            </w:tcBorders>
            <w:shd w:val="clear" w:color="auto" w:fill="auto"/>
            <w:vAlign w:val="center"/>
          </w:tcPr>
          <w:p w:rsidR="00C60153" w:rsidRPr="00146CD3" w:rsidRDefault="00C60153" w:rsidP="00283CE4">
            <w:pPr>
              <w:spacing w:line="360" w:lineRule="auto"/>
              <w:rPr>
                <w:rFonts w:ascii="Arial" w:hAnsi="Arial" w:cs="Arial"/>
                <w:sz w:val="20"/>
                <w:szCs w:val="20"/>
              </w:rPr>
            </w:pPr>
            <w:r w:rsidRPr="00146CD3">
              <w:rPr>
                <w:rFonts w:ascii="Arial" w:hAnsi="Arial" w:cs="Arial"/>
                <w:sz w:val="20"/>
                <w:szCs w:val="20"/>
              </w:rPr>
              <w:t>3001</w:t>
            </w:r>
            <w:r w:rsidRPr="00146CD3">
              <w:rPr>
                <w:rFonts w:ascii="Arial" w:hAnsi="Arial" w:cs="Arial"/>
                <w:color w:val="222222"/>
                <w:shd w:val="clear" w:color="auto" w:fill="FFFFFF"/>
              </w:rPr>
              <w:t>₺</w:t>
            </w:r>
            <w:r w:rsidRPr="00146CD3">
              <w:rPr>
                <w:rFonts w:ascii="Arial" w:hAnsi="Arial" w:cs="Arial"/>
                <w:sz w:val="20"/>
                <w:szCs w:val="20"/>
              </w:rPr>
              <w:t xml:space="preserve"> ve üzeri</w:t>
            </w:r>
          </w:p>
        </w:tc>
        <w:tc>
          <w:tcPr>
            <w:tcW w:w="1042" w:type="dxa"/>
            <w:tcBorders>
              <w:left w:val="single" w:sz="4" w:space="0" w:color="auto"/>
              <w:righ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color w:val="000000" w:themeColor="text1"/>
                <w:sz w:val="20"/>
                <w:szCs w:val="20"/>
              </w:rPr>
            </w:pPr>
            <w:r w:rsidRPr="00146CD3">
              <w:rPr>
                <w:rFonts w:ascii="Arial" w:hAnsi="Arial" w:cs="Arial"/>
                <w:color w:val="000000"/>
                <w:sz w:val="20"/>
                <w:szCs w:val="20"/>
                <w:lang w:val="en-US"/>
              </w:rPr>
              <w:t>9</w:t>
            </w:r>
          </w:p>
        </w:tc>
        <w:tc>
          <w:tcPr>
            <w:tcW w:w="1130" w:type="dxa"/>
            <w:tcBorders>
              <w:left w:val="single" w:sz="4" w:space="0" w:color="auto"/>
              <w:right w:val="single" w:sz="4" w:space="0" w:color="auto"/>
            </w:tcBorders>
            <w:shd w:val="clear" w:color="auto" w:fill="auto"/>
            <w:vAlign w:val="center"/>
          </w:tcPr>
          <w:p w:rsidR="00C60153" w:rsidRPr="00146CD3" w:rsidRDefault="00C60153" w:rsidP="00283CE4">
            <w:pPr>
              <w:spacing w:line="360" w:lineRule="auto"/>
              <w:ind w:firstLineChars="5" w:firstLine="10"/>
              <w:jc w:val="center"/>
              <w:rPr>
                <w:rFonts w:ascii="Arial" w:hAnsi="Arial" w:cs="Arial"/>
                <w:color w:val="000000" w:themeColor="text1"/>
                <w:sz w:val="20"/>
                <w:szCs w:val="20"/>
              </w:rPr>
            </w:pPr>
            <w:r w:rsidRPr="00146CD3">
              <w:rPr>
                <w:rFonts w:ascii="Arial" w:hAnsi="Arial" w:cs="Arial"/>
                <w:color w:val="000000"/>
                <w:sz w:val="20"/>
                <w:szCs w:val="20"/>
                <w:lang w:val="en-US"/>
              </w:rPr>
              <w:t>30</w:t>
            </w:r>
          </w:p>
        </w:tc>
        <w:tc>
          <w:tcPr>
            <w:tcW w:w="1092" w:type="dxa"/>
            <w:tcBorders>
              <w:left w:val="single" w:sz="4" w:space="0" w:color="auto"/>
              <w:righ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color w:val="000000"/>
                <w:sz w:val="20"/>
                <w:szCs w:val="20"/>
              </w:rPr>
            </w:pPr>
            <w:r w:rsidRPr="00146CD3">
              <w:rPr>
                <w:rFonts w:ascii="Arial" w:hAnsi="Arial" w:cs="Arial"/>
                <w:color w:val="000000"/>
                <w:sz w:val="20"/>
                <w:szCs w:val="20"/>
                <w:lang w:val="en-US"/>
              </w:rPr>
              <w:t>9</w:t>
            </w:r>
          </w:p>
        </w:tc>
        <w:tc>
          <w:tcPr>
            <w:tcW w:w="1130" w:type="dxa"/>
            <w:tcBorders>
              <w:left w:val="single" w:sz="4" w:space="0" w:color="auto"/>
              <w:righ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color w:val="000000"/>
                <w:sz w:val="20"/>
                <w:szCs w:val="20"/>
              </w:rPr>
            </w:pPr>
            <w:r w:rsidRPr="00146CD3">
              <w:rPr>
                <w:rFonts w:ascii="Arial" w:hAnsi="Arial" w:cs="Arial"/>
                <w:color w:val="000000"/>
                <w:sz w:val="20"/>
                <w:szCs w:val="20"/>
                <w:lang w:val="en-US"/>
              </w:rPr>
              <w:t>30</w:t>
            </w:r>
          </w:p>
        </w:tc>
        <w:tc>
          <w:tcPr>
            <w:tcW w:w="1092" w:type="dxa"/>
            <w:tcBorders>
              <w:left w:val="single" w:sz="4" w:space="0" w:color="auto"/>
              <w:righ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color w:val="000000"/>
                <w:sz w:val="20"/>
                <w:szCs w:val="20"/>
              </w:rPr>
            </w:pPr>
            <w:r w:rsidRPr="00146CD3">
              <w:rPr>
                <w:rFonts w:ascii="Arial" w:hAnsi="Arial" w:cs="Arial"/>
                <w:color w:val="000000"/>
                <w:sz w:val="20"/>
                <w:szCs w:val="20"/>
                <w:lang w:val="en-US"/>
              </w:rPr>
              <w:t>18</w:t>
            </w:r>
          </w:p>
        </w:tc>
        <w:tc>
          <w:tcPr>
            <w:tcW w:w="1231" w:type="dxa"/>
            <w:tcBorders>
              <w:left w:val="single" w:sz="4" w:space="0" w:color="auto"/>
            </w:tcBorders>
            <w:shd w:val="clear" w:color="auto" w:fill="auto"/>
            <w:vAlign w:val="center"/>
          </w:tcPr>
          <w:p w:rsidR="00C60153" w:rsidRPr="00146CD3" w:rsidRDefault="00C60153" w:rsidP="00C60153">
            <w:pPr>
              <w:spacing w:line="360" w:lineRule="auto"/>
              <w:ind w:leftChars="-16" w:left="-8" w:hangingChars="15" w:hanging="30"/>
              <w:jc w:val="center"/>
              <w:rPr>
                <w:rFonts w:ascii="Arial" w:hAnsi="Arial" w:cs="Arial"/>
                <w:color w:val="000000"/>
                <w:sz w:val="20"/>
                <w:szCs w:val="20"/>
              </w:rPr>
            </w:pPr>
            <w:r w:rsidRPr="00146CD3">
              <w:rPr>
                <w:rFonts w:ascii="Arial" w:hAnsi="Arial" w:cs="Arial"/>
                <w:color w:val="000000"/>
                <w:sz w:val="20"/>
                <w:szCs w:val="20"/>
                <w:lang w:val="en-US"/>
              </w:rPr>
              <w:t>30</w:t>
            </w:r>
          </w:p>
        </w:tc>
      </w:tr>
      <w:tr w:rsidR="00C60153" w:rsidRPr="00146CD3" w:rsidTr="00283CE4">
        <w:trPr>
          <w:trHeight w:val="425"/>
        </w:trPr>
        <w:tc>
          <w:tcPr>
            <w:tcW w:w="1389" w:type="dxa"/>
            <w:tcBorders>
              <w:right w:val="single" w:sz="4" w:space="0" w:color="auto"/>
            </w:tcBorders>
            <w:shd w:val="clear" w:color="auto" w:fill="auto"/>
            <w:vAlign w:val="center"/>
          </w:tcPr>
          <w:p w:rsidR="00C60153" w:rsidRPr="00146CD3" w:rsidRDefault="00C60153" w:rsidP="00283CE4">
            <w:pPr>
              <w:spacing w:line="360" w:lineRule="auto"/>
              <w:rPr>
                <w:rFonts w:ascii="Arial" w:hAnsi="Arial" w:cs="Arial"/>
                <w:sz w:val="20"/>
                <w:szCs w:val="20"/>
              </w:rPr>
            </w:pPr>
            <w:r w:rsidRPr="00146CD3">
              <w:rPr>
                <w:rFonts w:ascii="Arial" w:hAnsi="Arial" w:cs="Arial"/>
                <w:sz w:val="20"/>
                <w:szCs w:val="20"/>
              </w:rPr>
              <w:t>Toplam</w:t>
            </w:r>
          </w:p>
        </w:tc>
        <w:tc>
          <w:tcPr>
            <w:tcW w:w="1042" w:type="dxa"/>
            <w:tcBorders>
              <w:left w:val="single" w:sz="4" w:space="0" w:color="auto"/>
              <w:righ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sz w:val="20"/>
                <w:szCs w:val="20"/>
              </w:rPr>
            </w:pPr>
            <w:r w:rsidRPr="00146CD3">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sz w:val="20"/>
                <w:szCs w:val="20"/>
              </w:rPr>
            </w:pPr>
            <w:r w:rsidRPr="00146CD3">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sz w:val="20"/>
                <w:szCs w:val="20"/>
              </w:rPr>
            </w:pPr>
            <w:r w:rsidRPr="00146CD3">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sz w:val="20"/>
                <w:szCs w:val="20"/>
              </w:rPr>
            </w:pPr>
            <w:r w:rsidRPr="00146CD3">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sz w:val="20"/>
                <w:szCs w:val="20"/>
              </w:rPr>
            </w:pPr>
            <w:r w:rsidRPr="00146CD3">
              <w:rPr>
                <w:rFonts w:ascii="Arial" w:hAnsi="Arial" w:cs="Arial"/>
                <w:color w:val="000000"/>
                <w:sz w:val="20"/>
                <w:szCs w:val="20"/>
                <w:lang w:val="en-US"/>
              </w:rPr>
              <w:t>60</w:t>
            </w:r>
          </w:p>
        </w:tc>
        <w:tc>
          <w:tcPr>
            <w:tcW w:w="1231" w:type="dxa"/>
            <w:tcBorders>
              <w:left w:val="single" w:sz="4" w:space="0" w:color="auto"/>
            </w:tcBorders>
            <w:shd w:val="clear" w:color="auto" w:fill="auto"/>
            <w:vAlign w:val="center"/>
          </w:tcPr>
          <w:p w:rsidR="00C60153" w:rsidRPr="00146CD3" w:rsidRDefault="00C60153" w:rsidP="00283CE4">
            <w:pPr>
              <w:spacing w:line="360" w:lineRule="auto"/>
              <w:jc w:val="center"/>
              <w:rPr>
                <w:rFonts w:ascii="Arial" w:hAnsi="Arial" w:cs="Arial"/>
                <w:sz w:val="20"/>
                <w:szCs w:val="20"/>
              </w:rPr>
            </w:pPr>
            <w:r w:rsidRPr="00146CD3">
              <w:rPr>
                <w:rFonts w:ascii="Arial" w:hAnsi="Arial" w:cs="Arial"/>
                <w:color w:val="000000"/>
                <w:sz w:val="20"/>
                <w:szCs w:val="20"/>
                <w:lang w:val="en-US"/>
              </w:rPr>
              <w:t>100</w:t>
            </w:r>
          </w:p>
        </w:tc>
      </w:tr>
      <w:tr w:rsidR="00C60153" w:rsidRPr="00B53664" w:rsidTr="00283CE4">
        <w:trPr>
          <w:trHeight w:val="425"/>
        </w:trPr>
        <w:tc>
          <w:tcPr>
            <w:tcW w:w="8106" w:type="dxa"/>
            <w:gridSpan w:val="7"/>
            <w:shd w:val="clear" w:color="auto" w:fill="auto"/>
            <w:vAlign w:val="center"/>
          </w:tcPr>
          <w:p w:rsidR="00C60153" w:rsidRPr="003E0D10" w:rsidRDefault="00C60153" w:rsidP="00283CE4">
            <w:pPr>
              <w:spacing w:line="360" w:lineRule="auto"/>
              <w:rPr>
                <w:rFonts w:ascii="Arial" w:hAnsi="Arial" w:cs="Arial"/>
                <w:sz w:val="20"/>
                <w:szCs w:val="20"/>
              </w:rPr>
            </w:pPr>
            <w:r w:rsidRPr="00146CD3">
              <w:rPr>
                <w:rFonts w:ascii="Arial" w:hAnsi="Arial" w:cs="Arial"/>
                <w:sz w:val="20"/>
                <w:szCs w:val="20"/>
              </w:rPr>
              <w:t>χ ² = 0</w:t>
            </w:r>
            <w:r w:rsidRPr="00146CD3">
              <w:rPr>
                <w:rFonts w:ascii="Arial" w:hAnsi="Arial" w:cs="Arial"/>
                <w:color w:val="000000"/>
                <w:sz w:val="20"/>
                <w:szCs w:val="20"/>
                <w:lang w:val="en-US"/>
              </w:rPr>
              <w:t>.0</w:t>
            </w:r>
            <w:r w:rsidRPr="00146CD3">
              <w:rPr>
                <w:rFonts w:ascii="Arial" w:hAnsi="Arial" w:cs="Arial"/>
                <w:sz w:val="20"/>
                <w:szCs w:val="20"/>
              </w:rPr>
              <w:t xml:space="preserve">    p = </w:t>
            </w:r>
            <w:r w:rsidRPr="00146CD3">
              <w:rPr>
                <w:rFonts w:ascii="Arial" w:hAnsi="Arial" w:cs="Arial"/>
                <w:color w:val="000000"/>
                <w:sz w:val="20"/>
                <w:szCs w:val="20"/>
                <w:lang w:val="en-US"/>
              </w:rPr>
              <w:t>1.0</w:t>
            </w:r>
          </w:p>
        </w:tc>
      </w:tr>
    </w:tbl>
    <w:p w:rsidR="007E63B8" w:rsidRDefault="007E63B8" w:rsidP="00C60153">
      <w:pPr>
        <w:spacing w:line="360" w:lineRule="auto"/>
        <w:ind w:firstLine="567"/>
        <w:contextualSpacing/>
        <w:jc w:val="both"/>
        <w:rPr>
          <w:rFonts w:ascii="Arial" w:hAnsi="Arial" w:cs="Arial"/>
          <w:b/>
          <w:sz w:val="22"/>
          <w:szCs w:val="22"/>
          <w:shd w:val="clear" w:color="auto" w:fill="FFFFFF"/>
        </w:rPr>
      </w:pPr>
    </w:p>
    <w:p w:rsidR="00C60153" w:rsidRPr="007E63B8" w:rsidRDefault="00C60153" w:rsidP="00C60153">
      <w:pPr>
        <w:spacing w:line="360" w:lineRule="auto"/>
        <w:ind w:firstLine="567"/>
        <w:contextualSpacing/>
        <w:jc w:val="both"/>
        <w:rPr>
          <w:rFonts w:ascii="Arial" w:hAnsi="Arial" w:cs="Arial"/>
          <w:b/>
          <w:sz w:val="22"/>
          <w:szCs w:val="22"/>
          <w:shd w:val="clear" w:color="auto" w:fill="FFFFFF"/>
        </w:rPr>
      </w:pPr>
      <w:r w:rsidRPr="007E63B8">
        <w:rPr>
          <w:rFonts w:ascii="Arial" w:hAnsi="Arial" w:cs="Arial"/>
          <w:b/>
          <w:sz w:val="22"/>
          <w:szCs w:val="22"/>
          <w:shd w:val="clear" w:color="auto" w:fill="FFFFFF"/>
        </w:rPr>
        <w:t>Ailelerin Fiziksel ya da Ruhsal Hastalık Öyküsü</w:t>
      </w:r>
    </w:p>
    <w:p w:rsidR="00C60153" w:rsidRDefault="00C60153" w:rsidP="00C60153">
      <w:pPr>
        <w:spacing w:line="360" w:lineRule="auto"/>
        <w:ind w:firstLine="567"/>
        <w:contextualSpacing/>
        <w:jc w:val="both"/>
        <w:rPr>
          <w:rFonts w:ascii="Arial" w:hAnsi="Arial" w:cs="Arial"/>
          <w:sz w:val="22"/>
          <w:szCs w:val="22"/>
        </w:rPr>
      </w:pPr>
      <w:r w:rsidRPr="007E63B8">
        <w:rPr>
          <w:rFonts w:ascii="Arial" w:hAnsi="Arial" w:cs="Arial"/>
          <w:sz w:val="22"/>
          <w:szCs w:val="22"/>
        </w:rPr>
        <w:t>Birinci derece yakınlardaki fiziksel hastalık tanı oranı olgu grubunda %20.0 (n=6), kontrol grubunda %30.0 (n=11) olarak bulunmuştur. Olgu grubundaki çocukların birinci derece akrabalarında ruhsal bozukluk tanısı alma oranı %30.0 (n=9), kontrol grubundaki çocukların birinci derece akrabalarında ruhsal bozukluk tanısı alma oranı ise %20.0 (n=6) olarak bulunmuştur. Birinci derece yakınlarındaki fiziksel ve ruhsal hastalık mevcudiyeti açısından olgu ve kontrol grupları arasında istatistiksel olarak anlamlı bir fark saptanmamıştır (p &gt; 0.05) (Tablo 10).</w:t>
      </w:r>
    </w:p>
    <w:p w:rsidR="007E63B8" w:rsidRPr="007E63B8" w:rsidRDefault="007E63B8" w:rsidP="00C60153">
      <w:pPr>
        <w:spacing w:line="360" w:lineRule="auto"/>
        <w:ind w:firstLine="567"/>
        <w:contextualSpacing/>
        <w:jc w:val="both"/>
        <w:rPr>
          <w:rFonts w:ascii="Arial" w:hAnsi="Arial" w:cs="Arial"/>
          <w:sz w:val="22"/>
          <w:szCs w:val="22"/>
        </w:rPr>
      </w:pPr>
    </w:p>
    <w:p w:rsidR="00C60153" w:rsidRPr="006A23DA" w:rsidRDefault="00C60153" w:rsidP="00C60153">
      <w:pPr>
        <w:rPr>
          <w:rFonts w:ascii="Arial" w:hAnsi="Arial" w:cs="Arial"/>
          <w:sz w:val="22"/>
          <w:szCs w:val="22"/>
        </w:rPr>
      </w:pPr>
      <w:r w:rsidRPr="006A23DA">
        <w:rPr>
          <w:rFonts w:ascii="Arial" w:hAnsi="Arial" w:cs="Arial"/>
          <w:sz w:val="22"/>
          <w:szCs w:val="22"/>
        </w:rPr>
        <w:t>Tablo 10. Olgu ve kontrol gruplarındaki çocukların birinci derece akrabalarında fiziksel ve ruhsal hastalık tanısı varlığı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020"/>
        <w:gridCol w:w="1020"/>
        <w:gridCol w:w="1020"/>
        <w:gridCol w:w="1020"/>
        <w:gridCol w:w="1020"/>
        <w:gridCol w:w="1137"/>
      </w:tblGrid>
      <w:tr w:rsidR="00C60153" w:rsidRPr="008B6C10" w:rsidTr="00283CE4">
        <w:trPr>
          <w:trHeight w:val="425"/>
        </w:trPr>
        <w:tc>
          <w:tcPr>
            <w:tcW w:w="1985" w:type="dxa"/>
            <w:vMerge w:val="restart"/>
            <w:tcBorders>
              <w:bottom w:val="single" w:sz="4" w:space="0" w:color="auto"/>
            </w:tcBorders>
            <w:shd w:val="clear" w:color="auto" w:fill="auto"/>
          </w:tcPr>
          <w:p w:rsidR="00C60153" w:rsidRPr="009C6987" w:rsidRDefault="00C60153" w:rsidP="00283CE4">
            <w:pPr>
              <w:jc w:val="center"/>
              <w:rPr>
                <w:rFonts w:ascii="Arial" w:hAnsi="Arial" w:cs="Arial"/>
                <w:b/>
                <w:sz w:val="20"/>
                <w:szCs w:val="20"/>
              </w:rPr>
            </w:pPr>
          </w:p>
        </w:tc>
        <w:tc>
          <w:tcPr>
            <w:tcW w:w="2040" w:type="dxa"/>
            <w:gridSpan w:val="2"/>
            <w:tcBorders>
              <w:bottom w:val="single" w:sz="4" w:space="0" w:color="auto"/>
            </w:tcBorders>
            <w:shd w:val="clear" w:color="auto" w:fill="auto"/>
          </w:tcPr>
          <w:p w:rsidR="00C60153" w:rsidRPr="009C6987" w:rsidRDefault="00C60153" w:rsidP="00283CE4">
            <w:pPr>
              <w:jc w:val="center"/>
              <w:rPr>
                <w:rFonts w:ascii="Arial" w:hAnsi="Arial" w:cs="Arial"/>
                <w:b/>
                <w:sz w:val="20"/>
                <w:szCs w:val="20"/>
              </w:rPr>
            </w:pPr>
            <w:r w:rsidRPr="009C6987">
              <w:rPr>
                <w:rFonts w:ascii="Arial" w:hAnsi="Arial" w:cs="Arial"/>
                <w:b/>
                <w:sz w:val="20"/>
                <w:szCs w:val="20"/>
              </w:rPr>
              <w:t>Olgu</w:t>
            </w:r>
          </w:p>
        </w:tc>
        <w:tc>
          <w:tcPr>
            <w:tcW w:w="2040" w:type="dxa"/>
            <w:gridSpan w:val="2"/>
            <w:tcBorders>
              <w:bottom w:val="single" w:sz="4" w:space="0" w:color="auto"/>
            </w:tcBorders>
            <w:shd w:val="clear" w:color="auto" w:fill="auto"/>
          </w:tcPr>
          <w:p w:rsidR="00C60153" w:rsidRPr="009C6987" w:rsidRDefault="00C60153" w:rsidP="00283CE4">
            <w:pPr>
              <w:jc w:val="center"/>
              <w:rPr>
                <w:rFonts w:ascii="Arial" w:hAnsi="Arial" w:cs="Arial"/>
                <w:b/>
                <w:sz w:val="20"/>
                <w:szCs w:val="20"/>
              </w:rPr>
            </w:pPr>
            <w:r w:rsidRPr="009C6987">
              <w:rPr>
                <w:rFonts w:ascii="Arial" w:hAnsi="Arial" w:cs="Arial"/>
                <w:b/>
                <w:sz w:val="20"/>
                <w:szCs w:val="20"/>
              </w:rPr>
              <w:t>Kontrol</w:t>
            </w:r>
          </w:p>
        </w:tc>
        <w:tc>
          <w:tcPr>
            <w:tcW w:w="2157" w:type="dxa"/>
            <w:gridSpan w:val="2"/>
            <w:tcBorders>
              <w:bottom w:val="single" w:sz="4" w:space="0" w:color="auto"/>
            </w:tcBorders>
            <w:shd w:val="clear" w:color="auto" w:fill="auto"/>
          </w:tcPr>
          <w:p w:rsidR="00C60153" w:rsidRPr="009C6987" w:rsidRDefault="00C60153" w:rsidP="00283CE4">
            <w:pPr>
              <w:jc w:val="center"/>
              <w:rPr>
                <w:rFonts w:ascii="Arial" w:hAnsi="Arial" w:cs="Arial"/>
                <w:b/>
                <w:sz w:val="20"/>
                <w:szCs w:val="20"/>
              </w:rPr>
            </w:pPr>
            <w:r w:rsidRPr="009C6987">
              <w:rPr>
                <w:rFonts w:ascii="Arial" w:hAnsi="Arial" w:cs="Arial"/>
                <w:b/>
                <w:sz w:val="20"/>
                <w:szCs w:val="20"/>
              </w:rPr>
              <w:t>Toplam</w:t>
            </w:r>
          </w:p>
        </w:tc>
      </w:tr>
      <w:tr w:rsidR="00C60153" w:rsidRPr="008B6C10" w:rsidTr="00283CE4">
        <w:trPr>
          <w:trHeight w:val="425"/>
        </w:trPr>
        <w:tc>
          <w:tcPr>
            <w:tcW w:w="1985" w:type="dxa"/>
            <w:vMerge/>
            <w:tcBorders>
              <w:top w:val="single" w:sz="4" w:space="0" w:color="auto"/>
              <w:right w:val="single" w:sz="4" w:space="0" w:color="auto"/>
            </w:tcBorders>
            <w:shd w:val="clear" w:color="auto" w:fill="auto"/>
          </w:tcPr>
          <w:p w:rsidR="00C60153" w:rsidRPr="009C6987" w:rsidRDefault="00C60153" w:rsidP="00283CE4">
            <w:pPr>
              <w:spacing w:line="360" w:lineRule="auto"/>
              <w:jc w:val="center"/>
              <w:rPr>
                <w:rFonts w:ascii="Arial" w:hAnsi="Arial" w:cs="Arial"/>
                <w:sz w:val="20"/>
                <w:szCs w:val="20"/>
              </w:rPr>
            </w:pPr>
          </w:p>
        </w:tc>
        <w:tc>
          <w:tcPr>
            <w:tcW w:w="1020" w:type="dxa"/>
            <w:tcBorders>
              <w:top w:val="single" w:sz="4" w:space="0" w:color="auto"/>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sidRPr="009C6987">
              <w:rPr>
                <w:rFonts w:ascii="Arial" w:hAnsi="Arial" w:cs="Arial"/>
                <w:sz w:val="20"/>
                <w:szCs w:val="20"/>
              </w:rPr>
              <w:t>n</w:t>
            </w:r>
          </w:p>
        </w:tc>
        <w:tc>
          <w:tcPr>
            <w:tcW w:w="1020" w:type="dxa"/>
            <w:tcBorders>
              <w:top w:val="single" w:sz="4" w:space="0" w:color="auto"/>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sidRPr="009C6987">
              <w:rPr>
                <w:rFonts w:ascii="Arial" w:hAnsi="Arial" w:cs="Arial"/>
                <w:sz w:val="20"/>
                <w:szCs w:val="20"/>
              </w:rPr>
              <w:t>%</w:t>
            </w:r>
          </w:p>
        </w:tc>
        <w:tc>
          <w:tcPr>
            <w:tcW w:w="1020" w:type="dxa"/>
            <w:tcBorders>
              <w:top w:val="single" w:sz="4" w:space="0" w:color="auto"/>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sidRPr="009C6987">
              <w:rPr>
                <w:rFonts w:ascii="Arial" w:hAnsi="Arial" w:cs="Arial"/>
                <w:sz w:val="20"/>
                <w:szCs w:val="20"/>
              </w:rPr>
              <w:t>n</w:t>
            </w:r>
          </w:p>
        </w:tc>
        <w:tc>
          <w:tcPr>
            <w:tcW w:w="1020" w:type="dxa"/>
            <w:tcBorders>
              <w:top w:val="single" w:sz="4" w:space="0" w:color="auto"/>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sidRPr="009C6987">
              <w:rPr>
                <w:rFonts w:ascii="Arial" w:hAnsi="Arial" w:cs="Arial"/>
                <w:sz w:val="20"/>
                <w:szCs w:val="20"/>
              </w:rPr>
              <w:t>%</w:t>
            </w:r>
          </w:p>
        </w:tc>
        <w:tc>
          <w:tcPr>
            <w:tcW w:w="1020" w:type="dxa"/>
            <w:tcBorders>
              <w:top w:val="single" w:sz="4" w:space="0" w:color="auto"/>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sidRPr="009C6987">
              <w:rPr>
                <w:rFonts w:ascii="Arial" w:hAnsi="Arial" w:cs="Arial"/>
                <w:sz w:val="20"/>
                <w:szCs w:val="20"/>
              </w:rPr>
              <w:t>n</w:t>
            </w:r>
          </w:p>
        </w:tc>
        <w:tc>
          <w:tcPr>
            <w:tcW w:w="1137" w:type="dxa"/>
            <w:tcBorders>
              <w:top w:val="single" w:sz="4" w:space="0" w:color="auto"/>
              <w:lef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sidRPr="009C6987">
              <w:rPr>
                <w:rFonts w:ascii="Arial" w:hAnsi="Arial" w:cs="Arial"/>
                <w:sz w:val="20"/>
                <w:szCs w:val="20"/>
              </w:rPr>
              <w:t>%</w:t>
            </w:r>
          </w:p>
        </w:tc>
      </w:tr>
      <w:tr w:rsidR="00C60153" w:rsidRPr="008B6C10" w:rsidTr="00283CE4">
        <w:trPr>
          <w:trHeight w:val="425"/>
        </w:trPr>
        <w:tc>
          <w:tcPr>
            <w:tcW w:w="8222" w:type="dxa"/>
            <w:gridSpan w:val="7"/>
            <w:shd w:val="clear" w:color="auto" w:fill="auto"/>
            <w:vAlign w:val="center"/>
          </w:tcPr>
          <w:p w:rsidR="00C60153" w:rsidRPr="009C6987" w:rsidRDefault="00C60153" w:rsidP="00283CE4">
            <w:pPr>
              <w:spacing w:line="360" w:lineRule="auto"/>
              <w:rPr>
                <w:rFonts w:ascii="Arial" w:hAnsi="Arial" w:cs="Arial"/>
                <w:b/>
                <w:sz w:val="20"/>
                <w:szCs w:val="20"/>
              </w:rPr>
            </w:pPr>
            <w:r w:rsidRPr="009C6987">
              <w:rPr>
                <w:rFonts w:ascii="Arial" w:hAnsi="Arial" w:cs="Arial"/>
                <w:b/>
                <w:sz w:val="20"/>
                <w:szCs w:val="20"/>
              </w:rPr>
              <w:t>Fiziksel hastalık</w:t>
            </w:r>
          </w:p>
        </w:tc>
      </w:tr>
      <w:tr w:rsidR="00C60153" w:rsidRPr="008B6C10" w:rsidTr="00283CE4">
        <w:trPr>
          <w:trHeight w:val="425"/>
        </w:trPr>
        <w:tc>
          <w:tcPr>
            <w:tcW w:w="1985" w:type="dxa"/>
            <w:tcBorders>
              <w:right w:val="single" w:sz="4" w:space="0" w:color="auto"/>
            </w:tcBorders>
            <w:shd w:val="clear" w:color="auto" w:fill="auto"/>
            <w:vAlign w:val="center"/>
          </w:tcPr>
          <w:p w:rsidR="00C60153" w:rsidRPr="009C6987" w:rsidRDefault="00C60153" w:rsidP="00283CE4">
            <w:pPr>
              <w:spacing w:line="360" w:lineRule="auto"/>
              <w:rPr>
                <w:rFonts w:ascii="Arial" w:hAnsi="Arial" w:cs="Arial"/>
                <w:sz w:val="20"/>
                <w:szCs w:val="20"/>
              </w:rPr>
            </w:pPr>
            <w:r w:rsidRPr="009C6987">
              <w:rPr>
                <w:rFonts w:ascii="Arial" w:hAnsi="Arial" w:cs="Arial"/>
                <w:sz w:val="20"/>
                <w:szCs w:val="20"/>
              </w:rPr>
              <w:t>Var</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Pr>
                <w:rFonts w:ascii="Arial" w:hAnsi="Arial" w:cs="Arial"/>
                <w:sz w:val="20"/>
                <w:szCs w:val="20"/>
              </w:rPr>
              <w:t>6</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ind w:firstLineChars="100" w:firstLine="200"/>
              <w:jc w:val="center"/>
              <w:rPr>
                <w:rFonts w:ascii="Arial" w:hAnsi="Arial" w:cs="Arial"/>
                <w:sz w:val="20"/>
                <w:szCs w:val="20"/>
              </w:rPr>
            </w:pPr>
            <w:r>
              <w:rPr>
                <w:rFonts w:ascii="Arial" w:hAnsi="Arial" w:cs="Arial"/>
                <w:sz w:val="20"/>
                <w:szCs w:val="20"/>
              </w:rPr>
              <w:t>20.0</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Pr>
                <w:rFonts w:ascii="Arial" w:hAnsi="Arial" w:cs="Arial"/>
                <w:sz w:val="20"/>
                <w:szCs w:val="20"/>
              </w:rPr>
              <w:t>9</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ind w:firstLineChars="100" w:firstLine="200"/>
              <w:jc w:val="center"/>
              <w:rPr>
                <w:rFonts w:ascii="Arial" w:hAnsi="Arial" w:cs="Arial"/>
                <w:sz w:val="20"/>
                <w:szCs w:val="20"/>
              </w:rPr>
            </w:pPr>
            <w:r>
              <w:rPr>
                <w:rFonts w:ascii="Arial" w:hAnsi="Arial" w:cs="Arial"/>
                <w:sz w:val="20"/>
                <w:szCs w:val="20"/>
              </w:rPr>
              <w:t>30.0</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sidRPr="009C6987">
              <w:rPr>
                <w:rFonts w:ascii="Arial" w:hAnsi="Arial" w:cs="Arial"/>
                <w:sz w:val="20"/>
                <w:szCs w:val="20"/>
              </w:rPr>
              <w:t>1</w:t>
            </w:r>
            <w:r>
              <w:rPr>
                <w:rFonts w:ascii="Arial" w:hAnsi="Arial" w:cs="Arial"/>
                <w:sz w:val="20"/>
                <w:szCs w:val="20"/>
              </w:rPr>
              <w:t>5</w:t>
            </w:r>
          </w:p>
        </w:tc>
        <w:tc>
          <w:tcPr>
            <w:tcW w:w="1137" w:type="dxa"/>
            <w:tcBorders>
              <w:left w:val="single" w:sz="4" w:space="0" w:color="auto"/>
            </w:tcBorders>
            <w:shd w:val="clear" w:color="auto" w:fill="auto"/>
            <w:vAlign w:val="center"/>
          </w:tcPr>
          <w:p w:rsidR="00C60153" w:rsidRPr="009C6987" w:rsidRDefault="00C60153" w:rsidP="00283CE4">
            <w:pPr>
              <w:spacing w:line="360" w:lineRule="auto"/>
              <w:ind w:firstLineChars="100" w:firstLine="200"/>
              <w:jc w:val="center"/>
              <w:rPr>
                <w:rFonts w:ascii="Arial" w:hAnsi="Arial" w:cs="Arial"/>
                <w:sz w:val="20"/>
                <w:szCs w:val="20"/>
              </w:rPr>
            </w:pPr>
            <w:r>
              <w:rPr>
                <w:rFonts w:ascii="Arial" w:hAnsi="Arial" w:cs="Arial"/>
                <w:sz w:val="20"/>
                <w:szCs w:val="20"/>
              </w:rPr>
              <w:t>25.0</w:t>
            </w:r>
          </w:p>
        </w:tc>
      </w:tr>
      <w:tr w:rsidR="00C60153" w:rsidRPr="008B6C10" w:rsidTr="00283CE4">
        <w:trPr>
          <w:trHeight w:val="425"/>
        </w:trPr>
        <w:tc>
          <w:tcPr>
            <w:tcW w:w="1985" w:type="dxa"/>
            <w:tcBorders>
              <w:right w:val="single" w:sz="4" w:space="0" w:color="auto"/>
            </w:tcBorders>
            <w:shd w:val="clear" w:color="auto" w:fill="auto"/>
            <w:vAlign w:val="center"/>
          </w:tcPr>
          <w:p w:rsidR="00C60153" w:rsidRPr="009C6987" w:rsidRDefault="00C60153" w:rsidP="00283CE4">
            <w:pPr>
              <w:spacing w:line="360" w:lineRule="auto"/>
              <w:rPr>
                <w:rFonts w:ascii="Arial" w:hAnsi="Arial" w:cs="Arial"/>
                <w:sz w:val="20"/>
                <w:szCs w:val="20"/>
              </w:rPr>
            </w:pPr>
            <w:r w:rsidRPr="009C6987">
              <w:rPr>
                <w:rFonts w:ascii="Arial" w:hAnsi="Arial" w:cs="Arial"/>
                <w:sz w:val="20"/>
                <w:szCs w:val="20"/>
              </w:rPr>
              <w:t>Yok</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sidRPr="009C6987">
              <w:rPr>
                <w:rFonts w:ascii="Arial" w:hAnsi="Arial" w:cs="Arial"/>
                <w:sz w:val="20"/>
                <w:szCs w:val="20"/>
              </w:rPr>
              <w:t>2</w:t>
            </w:r>
            <w:r>
              <w:rPr>
                <w:rFonts w:ascii="Arial" w:hAnsi="Arial" w:cs="Arial"/>
                <w:sz w:val="20"/>
                <w:szCs w:val="20"/>
              </w:rPr>
              <w:t>4</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ind w:firstLineChars="100" w:firstLine="200"/>
              <w:jc w:val="center"/>
              <w:rPr>
                <w:rFonts w:ascii="Arial" w:hAnsi="Arial" w:cs="Arial"/>
                <w:sz w:val="20"/>
                <w:szCs w:val="20"/>
              </w:rPr>
            </w:pPr>
            <w:r>
              <w:rPr>
                <w:rFonts w:ascii="Arial" w:hAnsi="Arial" w:cs="Arial"/>
                <w:sz w:val="20"/>
                <w:szCs w:val="20"/>
              </w:rPr>
              <w:t>80.0</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Pr>
                <w:rFonts w:ascii="Arial" w:hAnsi="Arial" w:cs="Arial"/>
                <w:sz w:val="20"/>
                <w:szCs w:val="20"/>
              </w:rPr>
              <w:t>21</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ind w:firstLineChars="100" w:firstLine="200"/>
              <w:jc w:val="center"/>
              <w:rPr>
                <w:rFonts w:ascii="Arial" w:hAnsi="Arial" w:cs="Arial"/>
                <w:sz w:val="20"/>
                <w:szCs w:val="20"/>
              </w:rPr>
            </w:pPr>
            <w:r>
              <w:rPr>
                <w:rFonts w:ascii="Arial" w:hAnsi="Arial" w:cs="Arial"/>
                <w:sz w:val="20"/>
                <w:szCs w:val="20"/>
              </w:rPr>
              <w:t>70.0</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sidRPr="009C6987">
              <w:rPr>
                <w:rFonts w:ascii="Arial" w:hAnsi="Arial" w:cs="Arial"/>
                <w:sz w:val="20"/>
                <w:szCs w:val="20"/>
              </w:rPr>
              <w:t>4</w:t>
            </w:r>
            <w:r>
              <w:rPr>
                <w:rFonts w:ascii="Arial" w:hAnsi="Arial" w:cs="Arial"/>
                <w:sz w:val="20"/>
                <w:szCs w:val="20"/>
              </w:rPr>
              <w:t>5</w:t>
            </w:r>
          </w:p>
        </w:tc>
        <w:tc>
          <w:tcPr>
            <w:tcW w:w="1137" w:type="dxa"/>
            <w:tcBorders>
              <w:left w:val="single" w:sz="4" w:space="0" w:color="auto"/>
            </w:tcBorders>
            <w:shd w:val="clear" w:color="auto" w:fill="auto"/>
            <w:vAlign w:val="center"/>
          </w:tcPr>
          <w:p w:rsidR="00C60153" w:rsidRPr="009C6987" w:rsidRDefault="00C60153" w:rsidP="00283CE4">
            <w:pPr>
              <w:spacing w:line="360" w:lineRule="auto"/>
              <w:ind w:firstLineChars="100" w:firstLine="200"/>
              <w:jc w:val="center"/>
              <w:rPr>
                <w:rFonts w:ascii="Arial" w:hAnsi="Arial" w:cs="Arial"/>
                <w:sz w:val="20"/>
                <w:szCs w:val="20"/>
              </w:rPr>
            </w:pPr>
            <w:r>
              <w:rPr>
                <w:rFonts w:ascii="Arial" w:hAnsi="Arial" w:cs="Arial"/>
                <w:sz w:val="20"/>
                <w:szCs w:val="20"/>
              </w:rPr>
              <w:t>75.0</w:t>
            </w:r>
          </w:p>
        </w:tc>
      </w:tr>
      <w:tr w:rsidR="00C60153" w:rsidRPr="008B6C10" w:rsidTr="00283CE4">
        <w:trPr>
          <w:trHeight w:val="425"/>
        </w:trPr>
        <w:tc>
          <w:tcPr>
            <w:tcW w:w="1985" w:type="dxa"/>
            <w:tcBorders>
              <w:right w:val="single" w:sz="4" w:space="0" w:color="auto"/>
            </w:tcBorders>
            <w:shd w:val="clear" w:color="auto" w:fill="auto"/>
            <w:vAlign w:val="center"/>
          </w:tcPr>
          <w:p w:rsidR="00C60153" w:rsidRPr="009C6987" w:rsidRDefault="00C60153" w:rsidP="00283CE4">
            <w:pPr>
              <w:spacing w:line="360" w:lineRule="auto"/>
              <w:rPr>
                <w:rFonts w:ascii="Arial" w:hAnsi="Arial" w:cs="Arial"/>
                <w:sz w:val="20"/>
                <w:szCs w:val="20"/>
              </w:rPr>
            </w:pPr>
            <w:r w:rsidRPr="009C6987">
              <w:rPr>
                <w:rFonts w:ascii="Arial" w:hAnsi="Arial" w:cs="Arial"/>
                <w:sz w:val="20"/>
                <w:szCs w:val="20"/>
              </w:rPr>
              <w:t>Toplam</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sidRPr="009C6987">
              <w:rPr>
                <w:rFonts w:ascii="Arial" w:hAnsi="Arial" w:cs="Arial"/>
                <w:sz w:val="20"/>
                <w:szCs w:val="20"/>
              </w:rPr>
              <w:t>30</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sidRPr="009C6987">
              <w:rPr>
                <w:rFonts w:ascii="Arial" w:hAnsi="Arial" w:cs="Arial"/>
                <w:sz w:val="20"/>
                <w:szCs w:val="20"/>
              </w:rPr>
              <w:t>100</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Pr>
                <w:rFonts w:ascii="Arial" w:hAnsi="Arial" w:cs="Arial"/>
                <w:sz w:val="20"/>
                <w:szCs w:val="20"/>
              </w:rPr>
              <w:t>30</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sidRPr="009C6987">
              <w:rPr>
                <w:rFonts w:ascii="Arial" w:hAnsi="Arial" w:cs="Arial"/>
                <w:sz w:val="20"/>
                <w:szCs w:val="20"/>
              </w:rPr>
              <w:t>100</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Pr>
                <w:rFonts w:ascii="Arial" w:hAnsi="Arial" w:cs="Arial"/>
                <w:sz w:val="20"/>
                <w:szCs w:val="20"/>
              </w:rPr>
              <w:t>60</w:t>
            </w:r>
          </w:p>
        </w:tc>
        <w:tc>
          <w:tcPr>
            <w:tcW w:w="1137" w:type="dxa"/>
            <w:tcBorders>
              <w:lef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sidRPr="009C6987">
              <w:rPr>
                <w:rFonts w:ascii="Arial" w:hAnsi="Arial" w:cs="Arial"/>
                <w:sz w:val="20"/>
                <w:szCs w:val="20"/>
              </w:rPr>
              <w:t>100</w:t>
            </w:r>
          </w:p>
        </w:tc>
      </w:tr>
      <w:tr w:rsidR="00C60153" w:rsidRPr="008B6C10" w:rsidTr="00283CE4">
        <w:trPr>
          <w:trHeight w:val="425"/>
        </w:trPr>
        <w:tc>
          <w:tcPr>
            <w:tcW w:w="8222" w:type="dxa"/>
            <w:gridSpan w:val="7"/>
            <w:shd w:val="clear" w:color="auto" w:fill="auto"/>
            <w:vAlign w:val="center"/>
          </w:tcPr>
          <w:p w:rsidR="00C60153" w:rsidRPr="009C6987" w:rsidRDefault="00C60153" w:rsidP="00283CE4">
            <w:pPr>
              <w:spacing w:line="360" w:lineRule="auto"/>
              <w:rPr>
                <w:rFonts w:ascii="Arial" w:hAnsi="Arial" w:cs="Arial"/>
                <w:sz w:val="20"/>
                <w:szCs w:val="20"/>
              </w:rPr>
            </w:pPr>
            <w:r w:rsidRPr="009C6987">
              <w:rPr>
                <w:rFonts w:ascii="Arial" w:hAnsi="Arial" w:cs="Arial"/>
                <w:sz w:val="20"/>
                <w:szCs w:val="20"/>
              </w:rPr>
              <w:t>χ ² = 0.</w:t>
            </w:r>
            <w:r>
              <w:rPr>
                <w:rFonts w:ascii="Arial" w:hAnsi="Arial" w:cs="Arial"/>
                <w:sz w:val="20"/>
                <w:szCs w:val="20"/>
              </w:rPr>
              <w:t>800</w:t>
            </w:r>
            <w:r w:rsidRPr="009C6987">
              <w:rPr>
                <w:rFonts w:ascii="Arial" w:hAnsi="Arial" w:cs="Arial"/>
                <w:sz w:val="20"/>
                <w:szCs w:val="20"/>
              </w:rPr>
              <w:t xml:space="preserve">     p = 0.</w:t>
            </w:r>
            <w:r>
              <w:rPr>
                <w:rFonts w:ascii="Arial" w:hAnsi="Arial" w:cs="Arial"/>
                <w:sz w:val="20"/>
                <w:szCs w:val="20"/>
              </w:rPr>
              <w:t>371</w:t>
            </w:r>
          </w:p>
        </w:tc>
      </w:tr>
      <w:tr w:rsidR="00C60153" w:rsidRPr="008B6C10" w:rsidTr="00283CE4">
        <w:trPr>
          <w:trHeight w:val="425"/>
        </w:trPr>
        <w:tc>
          <w:tcPr>
            <w:tcW w:w="822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60153" w:rsidRPr="009C6987" w:rsidRDefault="00C60153" w:rsidP="00283CE4">
            <w:pPr>
              <w:spacing w:line="360" w:lineRule="auto"/>
              <w:rPr>
                <w:rFonts w:ascii="Arial" w:hAnsi="Arial" w:cs="Arial"/>
                <w:b/>
                <w:sz w:val="20"/>
                <w:szCs w:val="20"/>
              </w:rPr>
            </w:pPr>
            <w:r w:rsidRPr="009C6987">
              <w:rPr>
                <w:rFonts w:ascii="Arial" w:hAnsi="Arial" w:cs="Arial"/>
                <w:b/>
                <w:sz w:val="20"/>
                <w:szCs w:val="20"/>
              </w:rPr>
              <w:t>Ruhsal hastalık öyküsü</w:t>
            </w:r>
          </w:p>
        </w:tc>
      </w:tr>
      <w:tr w:rsidR="00C60153" w:rsidRPr="008B6C10" w:rsidTr="00283CE4">
        <w:trPr>
          <w:trHeight w:val="425"/>
        </w:trPr>
        <w:tc>
          <w:tcPr>
            <w:tcW w:w="1985" w:type="dxa"/>
            <w:tcBorders>
              <w:right w:val="single" w:sz="4" w:space="0" w:color="auto"/>
            </w:tcBorders>
            <w:shd w:val="clear" w:color="auto" w:fill="auto"/>
            <w:vAlign w:val="center"/>
          </w:tcPr>
          <w:p w:rsidR="00C60153" w:rsidRPr="009C6987" w:rsidRDefault="00C60153" w:rsidP="00283CE4">
            <w:pPr>
              <w:spacing w:line="360" w:lineRule="auto"/>
              <w:rPr>
                <w:rFonts w:ascii="Arial" w:hAnsi="Arial" w:cs="Arial"/>
                <w:sz w:val="20"/>
                <w:szCs w:val="20"/>
              </w:rPr>
            </w:pPr>
            <w:r w:rsidRPr="009C6987">
              <w:rPr>
                <w:rFonts w:ascii="Arial" w:hAnsi="Arial" w:cs="Arial"/>
                <w:sz w:val="20"/>
                <w:szCs w:val="20"/>
              </w:rPr>
              <w:t>Var</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Pr>
                <w:rFonts w:ascii="Arial" w:hAnsi="Arial" w:cs="Arial"/>
                <w:sz w:val="20"/>
                <w:szCs w:val="20"/>
              </w:rPr>
              <w:t>9</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ind w:firstLineChars="100" w:firstLine="200"/>
              <w:jc w:val="center"/>
              <w:rPr>
                <w:rFonts w:ascii="Arial" w:hAnsi="Arial" w:cs="Arial"/>
                <w:sz w:val="20"/>
                <w:szCs w:val="20"/>
              </w:rPr>
            </w:pPr>
            <w:r>
              <w:rPr>
                <w:rFonts w:ascii="Arial" w:hAnsi="Arial" w:cs="Arial"/>
                <w:sz w:val="20"/>
                <w:szCs w:val="20"/>
              </w:rPr>
              <w:t>30.0</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Pr>
                <w:rFonts w:ascii="Arial" w:hAnsi="Arial" w:cs="Arial"/>
                <w:sz w:val="20"/>
                <w:szCs w:val="20"/>
              </w:rPr>
              <w:t>6</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Pr>
                <w:rFonts w:ascii="Arial" w:hAnsi="Arial" w:cs="Arial"/>
                <w:sz w:val="20"/>
                <w:szCs w:val="20"/>
              </w:rPr>
              <w:t>20.0</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Pr>
                <w:rFonts w:ascii="Arial" w:hAnsi="Arial" w:cs="Arial"/>
                <w:sz w:val="20"/>
                <w:szCs w:val="20"/>
              </w:rPr>
              <w:t>15</w:t>
            </w:r>
          </w:p>
        </w:tc>
        <w:tc>
          <w:tcPr>
            <w:tcW w:w="1137" w:type="dxa"/>
            <w:tcBorders>
              <w:left w:val="single" w:sz="4" w:space="0" w:color="auto"/>
            </w:tcBorders>
            <w:shd w:val="clear" w:color="auto" w:fill="auto"/>
            <w:vAlign w:val="center"/>
          </w:tcPr>
          <w:p w:rsidR="00C60153" w:rsidRPr="009C6987" w:rsidRDefault="00C60153" w:rsidP="00283CE4">
            <w:pPr>
              <w:spacing w:line="360" w:lineRule="auto"/>
              <w:ind w:firstLineChars="100" w:firstLine="200"/>
              <w:jc w:val="center"/>
              <w:rPr>
                <w:rFonts w:ascii="Arial" w:hAnsi="Arial" w:cs="Arial"/>
                <w:sz w:val="20"/>
                <w:szCs w:val="20"/>
              </w:rPr>
            </w:pPr>
            <w:r>
              <w:rPr>
                <w:rFonts w:ascii="Arial" w:hAnsi="Arial" w:cs="Arial"/>
                <w:sz w:val="20"/>
                <w:szCs w:val="20"/>
              </w:rPr>
              <w:t>25.0</w:t>
            </w:r>
          </w:p>
        </w:tc>
      </w:tr>
      <w:tr w:rsidR="00C60153" w:rsidRPr="008B6C10" w:rsidTr="00283CE4">
        <w:trPr>
          <w:trHeight w:val="425"/>
        </w:trPr>
        <w:tc>
          <w:tcPr>
            <w:tcW w:w="1985" w:type="dxa"/>
            <w:tcBorders>
              <w:right w:val="single" w:sz="4" w:space="0" w:color="auto"/>
            </w:tcBorders>
            <w:shd w:val="clear" w:color="auto" w:fill="auto"/>
            <w:vAlign w:val="center"/>
          </w:tcPr>
          <w:p w:rsidR="00C60153" w:rsidRPr="009C6987" w:rsidRDefault="00C60153" w:rsidP="00283CE4">
            <w:pPr>
              <w:spacing w:line="360" w:lineRule="auto"/>
              <w:rPr>
                <w:rFonts w:ascii="Arial" w:hAnsi="Arial" w:cs="Arial"/>
                <w:sz w:val="20"/>
                <w:szCs w:val="20"/>
              </w:rPr>
            </w:pPr>
            <w:r w:rsidRPr="009C6987">
              <w:rPr>
                <w:rFonts w:ascii="Arial" w:hAnsi="Arial" w:cs="Arial"/>
                <w:sz w:val="20"/>
                <w:szCs w:val="20"/>
              </w:rPr>
              <w:t>Yok</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sidRPr="009C6987">
              <w:rPr>
                <w:rFonts w:ascii="Arial" w:hAnsi="Arial" w:cs="Arial"/>
                <w:sz w:val="20"/>
                <w:szCs w:val="20"/>
              </w:rPr>
              <w:t>2</w:t>
            </w:r>
            <w:r>
              <w:rPr>
                <w:rFonts w:ascii="Arial" w:hAnsi="Arial" w:cs="Arial"/>
                <w:sz w:val="20"/>
                <w:szCs w:val="20"/>
              </w:rPr>
              <w:t>1</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ind w:firstLineChars="100" w:firstLine="200"/>
              <w:jc w:val="center"/>
              <w:rPr>
                <w:rFonts w:ascii="Arial" w:hAnsi="Arial" w:cs="Arial"/>
                <w:sz w:val="20"/>
                <w:szCs w:val="20"/>
              </w:rPr>
            </w:pPr>
            <w:r>
              <w:rPr>
                <w:rFonts w:ascii="Arial" w:hAnsi="Arial" w:cs="Arial"/>
                <w:sz w:val="20"/>
                <w:szCs w:val="20"/>
              </w:rPr>
              <w:t>70.0</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Pr>
                <w:rFonts w:ascii="Arial" w:hAnsi="Arial" w:cs="Arial"/>
                <w:sz w:val="20"/>
                <w:szCs w:val="20"/>
              </w:rPr>
              <w:t>24</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Pr>
                <w:rFonts w:ascii="Arial" w:hAnsi="Arial" w:cs="Arial"/>
                <w:sz w:val="20"/>
                <w:szCs w:val="20"/>
              </w:rPr>
              <w:t>80.0</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sidRPr="009C6987">
              <w:rPr>
                <w:rFonts w:ascii="Arial" w:hAnsi="Arial" w:cs="Arial"/>
                <w:sz w:val="20"/>
                <w:szCs w:val="20"/>
              </w:rPr>
              <w:t>45</w:t>
            </w:r>
          </w:p>
        </w:tc>
        <w:tc>
          <w:tcPr>
            <w:tcW w:w="1137" w:type="dxa"/>
            <w:tcBorders>
              <w:left w:val="single" w:sz="4" w:space="0" w:color="auto"/>
            </w:tcBorders>
            <w:shd w:val="clear" w:color="auto" w:fill="auto"/>
            <w:vAlign w:val="center"/>
          </w:tcPr>
          <w:p w:rsidR="00C60153" w:rsidRPr="009C6987" w:rsidRDefault="00C60153" w:rsidP="00283CE4">
            <w:pPr>
              <w:spacing w:line="360" w:lineRule="auto"/>
              <w:ind w:firstLineChars="100" w:firstLine="200"/>
              <w:jc w:val="center"/>
              <w:rPr>
                <w:rFonts w:ascii="Arial" w:hAnsi="Arial" w:cs="Arial"/>
                <w:sz w:val="20"/>
                <w:szCs w:val="20"/>
              </w:rPr>
            </w:pPr>
            <w:r>
              <w:rPr>
                <w:rFonts w:ascii="Arial" w:hAnsi="Arial" w:cs="Arial"/>
                <w:sz w:val="20"/>
                <w:szCs w:val="20"/>
              </w:rPr>
              <w:t>75.0</w:t>
            </w:r>
          </w:p>
        </w:tc>
      </w:tr>
      <w:tr w:rsidR="00C60153" w:rsidRPr="008B6C10" w:rsidTr="00283CE4">
        <w:trPr>
          <w:trHeight w:val="425"/>
        </w:trPr>
        <w:tc>
          <w:tcPr>
            <w:tcW w:w="1985" w:type="dxa"/>
            <w:tcBorders>
              <w:right w:val="single" w:sz="4" w:space="0" w:color="auto"/>
            </w:tcBorders>
            <w:shd w:val="clear" w:color="auto" w:fill="auto"/>
            <w:vAlign w:val="center"/>
          </w:tcPr>
          <w:p w:rsidR="00C60153" w:rsidRPr="009C6987" w:rsidRDefault="00C60153" w:rsidP="00283CE4">
            <w:pPr>
              <w:spacing w:line="360" w:lineRule="auto"/>
              <w:rPr>
                <w:rFonts w:ascii="Arial" w:hAnsi="Arial" w:cs="Arial"/>
                <w:sz w:val="20"/>
                <w:szCs w:val="20"/>
              </w:rPr>
            </w:pPr>
            <w:r w:rsidRPr="009C6987">
              <w:rPr>
                <w:rFonts w:ascii="Arial" w:hAnsi="Arial" w:cs="Arial"/>
                <w:sz w:val="20"/>
                <w:szCs w:val="20"/>
              </w:rPr>
              <w:t>Toplam</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sidRPr="009C6987">
              <w:rPr>
                <w:rFonts w:ascii="Arial" w:hAnsi="Arial" w:cs="Arial"/>
                <w:sz w:val="20"/>
                <w:szCs w:val="20"/>
              </w:rPr>
              <w:t>30</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sidRPr="009C6987">
              <w:rPr>
                <w:rFonts w:ascii="Arial" w:hAnsi="Arial" w:cs="Arial"/>
                <w:sz w:val="20"/>
                <w:szCs w:val="20"/>
              </w:rPr>
              <w:t>100</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Pr>
                <w:rFonts w:ascii="Arial" w:hAnsi="Arial" w:cs="Arial"/>
                <w:sz w:val="20"/>
                <w:szCs w:val="20"/>
              </w:rPr>
              <w:t>30</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sidRPr="009C6987">
              <w:rPr>
                <w:rFonts w:ascii="Arial" w:hAnsi="Arial" w:cs="Arial"/>
                <w:sz w:val="20"/>
                <w:szCs w:val="20"/>
              </w:rPr>
              <w:t>100</w:t>
            </w:r>
          </w:p>
        </w:tc>
        <w:tc>
          <w:tcPr>
            <w:tcW w:w="1020" w:type="dxa"/>
            <w:tcBorders>
              <w:left w:val="single" w:sz="4" w:space="0" w:color="auto"/>
              <w:righ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Pr>
                <w:rFonts w:ascii="Arial" w:hAnsi="Arial" w:cs="Arial"/>
                <w:sz w:val="20"/>
                <w:szCs w:val="20"/>
              </w:rPr>
              <w:t>60</w:t>
            </w:r>
          </w:p>
        </w:tc>
        <w:tc>
          <w:tcPr>
            <w:tcW w:w="1137" w:type="dxa"/>
            <w:tcBorders>
              <w:left w:val="single" w:sz="4" w:space="0" w:color="auto"/>
            </w:tcBorders>
            <w:shd w:val="clear" w:color="auto" w:fill="auto"/>
            <w:vAlign w:val="center"/>
          </w:tcPr>
          <w:p w:rsidR="00C60153" w:rsidRPr="009C6987" w:rsidRDefault="00C60153" w:rsidP="00283CE4">
            <w:pPr>
              <w:spacing w:line="360" w:lineRule="auto"/>
              <w:jc w:val="center"/>
              <w:rPr>
                <w:rFonts w:ascii="Arial" w:hAnsi="Arial" w:cs="Arial"/>
                <w:sz w:val="20"/>
                <w:szCs w:val="20"/>
              </w:rPr>
            </w:pPr>
            <w:r w:rsidRPr="009C6987">
              <w:rPr>
                <w:rFonts w:ascii="Arial" w:hAnsi="Arial" w:cs="Arial"/>
                <w:sz w:val="20"/>
                <w:szCs w:val="20"/>
              </w:rPr>
              <w:t>100</w:t>
            </w:r>
          </w:p>
        </w:tc>
      </w:tr>
      <w:tr w:rsidR="00C60153" w:rsidRPr="008B6C10" w:rsidTr="00283CE4">
        <w:trPr>
          <w:trHeight w:val="425"/>
        </w:trPr>
        <w:tc>
          <w:tcPr>
            <w:tcW w:w="8222" w:type="dxa"/>
            <w:gridSpan w:val="7"/>
            <w:shd w:val="clear" w:color="auto" w:fill="auto"/>
            <w:vAlign w:val="center"/>
          </w:tcPr>
          <w:p w:rsidR="00C60153" w:rsidRPr="009C6987" w:rsidRDefault="00C60153" w:rsidP="00283CE4">
            <w:pPr>
              <w:spacing w:line="360" w:lineRule="auto"/>
              <w:rPr>
                <w:rFonts w:ascii="Arial" w:hAnsi="Arial" w:cs="Arial"/>
                <w:sz w:val="20"/>
                <w:szCs w:val="20"/>
              </w:rPr>
            </w:pPr>
            <w:r w:rsidRPr="009C6987">
              <w:rPr>
                <w:rFonts w:ascii="Arial" w:hAnsi="Arial" w:cs="Arial"/>
                <w:sz w:val="20"/>
                <w:szCs w:val="20"/>
              </w:rPr>
              <w:t>χ ² = 0.</w:t>
            </w:r>
            <w:r>
              <w:rPr>
                <w:rFonts w:ascii="Arial" w:hAnsi="Arial" w:cs="Arial"/>
                <w:sz w:val="20"/>
                <w:szCs w:val="20"/>
              </w:rPr>
              <w:t>800</w:t>
            </w:r>
            <w:r w:rsidRPr="009C6987">
              <w:rPr>
                <w:rFonts w:ascii="Arial" w:hAnsi="Arial" w:cs="Arial"/>
                <w:sz w:val="20"/>
                <w:szCs w:val="20"/>
              </w:rPr>
              <w:t xml:space="preserve">     p = 0.</w:t>
            </w:r>
            <w:r>
              <w:rPr>
                <w:rFonts w:ascii="Arial" w:hAnsi="Arial" w:cs="Arial"/>
                <w:sz w:val="20"/>
                <w:szCs w:val="20"/>
              </w:rPr>
              <w:t>371</w:t>
            </w:r>
          </w:p>
        </w:tc>
      </w:tr>
    </w:tbl>
    <w:p w:rsidR="00C60153" w:rsidRPr="007E63B8" w:rsidRDefault="00C60153" w:rsidP="00C60153">
      <w:pPr>
        <w:rPr>
          <w:rFonts w:ascii="Arial" w:hAnsi="Arial" w:cs="Arial"/>
          <w:sz w:val="22"/>
          <w:szCs w:val="22"/>
        </w:rPr>
      </w:pPr>
      <w:r w:rsidRPr="007E63B8">
        <w:rPr>
          <w:rFonts w:ascii="Arial" w:hAnsi="Arial" w:cs="Arial"/>
          <w:sz w:val="22"/>
          <w:szCs w:val="22"/>
        </w:rPr>
        <w:t>χ ² testi ve Yates süreklilik düzeltmesi yapılmıştır, p &lt; 0.05 anlamlıdır.</w:t>
      </w:r>
    </w:p>
    <w:p w:rsidR="007E63B8" w:rsidRDefault="007E63B8" w:rsidP="00C60153">
      <w:pPr>
        <w:spacing w:line="360" w:lineRule="auto"/>
        <w:ind w:firstLine="567"/>
        <w:contextualSpacing/>
        <w:jc w:val="both"/>
        <w:rPr>
          <w:rFonts w:ascii="Arial" w:hAnsi="Arial" w:cs="Arial"/>
          <w:b/>
          <w:sz w:val="22"/>
          <w:szCs w:val="22"/>
          <w:shd w:val="clear" w:color="auto" w:fill="FFFFFF"/>
        </w:rPr>
      </w:pPr>
    </w:p>
    <w:p w:rsidR="00C60153" w:rsidRPr="007E63B8" w:rsidRDefault="00C60153" w:rsidP="00C60153">
      <w:pPr>
        <w:spacing w:line="360" w:lineRule="auto"/>
        <w:ind w:firstLine="567"/>
        <w:contextualSpacing/>
        <w:jc w:val="both"/>
        <w:rPr>
          <w:rFonts w:ascii="Arial" w:hAnsi="Arial" w:cs="Arial"/>
          <w:b/>
          <w:sz w:val="22"/>
          <w:szCs w:val="22"/>
          <w:shd w:val="clear" w:color="auto" w:fill="FFFFFF"/>
        </w:rPr>
      </w:pPr>
      <w:r w:rsidRPr="007E63B8">
        <w:rPr>
          <w:rFonts w:ascii="Arial" w:hAnsi="Arial" w:cs="Arial"/>
          <w:b/>
          <w:sz w:val="22"/>
          <w:szCs w:val="22"/>
          <w:shd w:val="clear" w:color="auto" w:fill="FFFFFF"/>
        </w:rPr>
        <w:lastRenderedPageBreak/>
        <w:t>Çocukların Doğum Şekli</w:t>
      </w:r>
    </w:p>
    <w:p w:rsidR="00C60153" w:rsidRPr="007E63B8" w:rsidRDefault="00C60153" w:rsidP="00C60153">
      <w:pPr>
        <w:spacing w:line="360" w:lineRule="auto"/>
        <w:ind w:firstLine="567"/>
        <w:contextualSpacing/>
        <w:jc w:val="both"/>
        <w:rPr>
          <w:rFonts w:ascii="Arial" w:hAnsi="Arial" w:cs="Arial"/>
          <w:sz w:val="22"/>
          <w:szCs w:val="22"/>
        </w:rPr>
      </w:pPr>
      <w:r w:rsidRPr="007E63B8">
        <w:rPr>
          <w:rFonts w:ascii="Arial" w:hAnsi="Arial" w:cs="Arial"/>
          <w:sz w:val="22"/>
          <w:szCs w:val="22"/>
        </w:rPr>
        <w:t>Çocukların doğum şekilleri değerlendirildiğinde; olgu grubundakilerin %46.7’sinin (n=14) normal doğum,  %53.3’ünün (n=16) sezaryen doğum ile doğdukları saptanmıştır. Kontrol grubundaki çocukların %43.3’ünün (n=13) normal doğum, %56.7’sinin (n=17) sezaryen doğum ile doğdukları bulunmuştur. Doğum şekilleri açısından her iki grup arasında istatistiksel olarak anlamlı bir fark saptanmamıştır (p &gt; 0.05) (Tablo 11).</w:t>
      </w:r>
    </w:p>
    <w:p w:rsidR="007E63B8" w:rsidRDefault="007E63B8" w:rsidP="00C60153">
      <w:pPr>
        <w:rPr>
          <w:rFonts w:ascii="Arial" w:hAnsi="Arial" w:cs="Arial"/>
          <w:sz w:val="22"/>
          <w:szCs w:val="22"/>
        </w:rPr>
      </w:pPr>
    </w:p>
    <w:p w:rsidR="00C60153" w:rsidRPr="006A23DA" w:rsidRDefault="00C60153" w:rsidP="00C60153">
      <w:pPr>
        <w:rPr>
          <w:rFonts w:ascii="Arial" w:hAnsi="Arial" w:cs="Arial"/>
          <w:sz w:val="22"/>
          <w:szCs w:val="22"/>
        </w:rPr>
      </w:pPr>
      <w:r w:rsidRPr="006A23DA">
        <w:rPr>
          <w:rFonts w:ascii="Arial" w:hAnsi="Arial" w:cs="Arial"/>
          <w:sz w:val="22"/>
          <w:szCs w:val="22"/>
        </w:rPr>
        <w:t>Tablo 11. Olgu ve kontrol grubundaki çocukların doğum şekli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042"/>
        <w:gridCol w:w="1130"/>
        <w:gridCol w:w="1092"/>
        <w:gridCol w:w="1130"/>
        <w:gridCol w:w="1092"/>
        <w:gridCol w:w="1231"/>
      </w:tblGrid>
      <w:tr w:rsidR="00C60153" w:rsidRPr="00B53664" w:rsidTr="00283CE4">
        <w:trPr>
          <w:trHeight w:val="425"/>
        </w:trPr>
        <w:tc>
          <w:tcPr>
            <w:tcW w:w="1389" w:type="dxa"/>
            <w:vMerge w:val="restart"/>
            <w:tcBorders>
              <w:bottom w:val="single" w:sz="4" w:space="0" w:color="auto"/>
            </w:tcBorders>
            <w:shd w:val="clear" w:color="auto" w:fill="auto"/>
          </w:tcPr>
          <w:p w:rsidR="00C60153" w:rsidRPr="003E0D10" w:rsidRDefault="00C60153" w:rsidP="00283CE4">
            <w:pPr>
              <w:jc w:val="center"/>
              <w:rPr>
                <w:rFonts w:ascii="Arial" w:hAnsi="Arial" w:cs="Arial"/>
                <w:b/>
                <w:sz w:val="20"/>
                <w:szCs w:val="20"/>
              </w:rPr>
            </w:pPr>
          </w:p>
          <w:p w:rsidR="00C60153" w:rsidRPr="003E0D10" w:rsidRDefault="00C60153" w:rsidP="00283CE4">
            <w:pPr>
              <w:jc w:val="center"/>
              <w:rPr>
                <w:rFonts w:ascii="Arial" w:hAnsi="Arial" w:cs="Arial"/>
                <w:sz w:val="20"/>
                <w:szCs w:val="20"/>
              </w:rPr>
            </w:pPr>
            <w:r>
              <w:rPr>
                <w:rFonts w:ascii="Arial" w:hAnsi="Arial" w:cs="Arial"/>
                <w:b/>
                <w:sz w:val="20"/>
                <w:szCs w:val="20"/>
              </w:rPr>
              <w:t>Doğum Şekli</w:t>
            </w:r>
          </w:p>
        </w:tc>
        <w:tc>
          <w:tcPr>
            <w:tcW w:w="2172" w:type="dxa"/>
            <w:gridSpan w:val="2"/>
            <w:tcBorders>
              <w:bottom w:val="single" w:sz="4" w:space="0" w:color="auto"/>
            </w:tcBorders>
            <w:shd w:val="clear" w:color="auto" w:fill="auto"/>
          </w:tcPr>
          <w:p w:rsidR="00C60153" w:rsidRPr="003E0D10" w:rsidRDefault="00C60153" w:rsidP="00283CE4">
            <w:pPr>
              <w:jc w:val="center"/>
              <w:rPr>
                <w:rFonts w:ascii="Arial" w:hAnsi="Arial" w:cs="Arial"/>
                <w:b/>
                <w:sz w:val="20"/>
                <w:szCs w:val="20"/>
              </w:rPr>
            </w:pPr>
            <w:r w:rsidRPr="003E0D10">
              <w:rPr>
                <w:rFonts w:ascii="Arial" w:hAnsi="Arial" w:cs="Arial"/>
                <w:b/>
                <w:sz w:val="20"/>
                <w:szCs w:val="20"/>
              </w:rPr>
              <w:t>Olgu</w:t>
            </w:r>
          </w:p>
        </w:tc>
        <w:tc>
          <w:tcPr>
            <w:tcW w:w="2222" w:type="dxa"/>
            <w:gridSpan w:val="2"/>
            <w:tcBorders>
              <w:bottom w:val="single" w:sz="4" w:space="0" w:color="auto"/>
            </w:tcBorders>
            <w:shd w:val="clear" w:color="auto" w:fill="auto"/>
          </w:tcPr>
          <w:p w:rsidR="00C60153" w:rsidRPr="003E0D10" w:rsidRDefault="00C60153" w:rsidP="00283CE4">
            <w:pPr>
              <w:jc w:val="center"/>
              <w:rPr>
                <w:rFonts w:ascii="Arial" w:hAnsi="Arial" w:cs="Arial"/>
                <w:b/>
                <w:sz w:val="20"/>
                <w:szCs w:val="20"/>
              </w:rPr>
            </w:pPr>
            <w:r w:rsidRPr="003E0D10">
              <w:rPr>
                <w:rFonts w:ascii="Arial" w:hAnsi="Arial" w:cs="Arial"/>
                <w:b/>
                <w:sz w:val="20"/>
                <w:szCs w:val="20"/>
              </w:rPr>
              <w:t>Kontrol</w:t>
            </w:r>
          </w:p>
        </w:tc>
        <w:tc>
          <w:tcPr>
            <w:tcW w:w="2323" w:type="dxa"/>
            <w:gridSpan w:val="2"/>
            <w:tcBorders>
              <w:bottom w:val="single" w:sz="4" w:space="0" w:color="auto"/>
            </w:tcBorders>
            <w:shd w:val="clear" w:color="auto" w:fill="auto"/>
          </w:tcPr>
          <w:p w:rsidR="00C60153" w:rsidRPr="003E0D10" w:rsidRDefault="00C60153" w:rsidP="00283CE4">
            <w:pPr>
              <w:jc w:val="center"/>
              <w:rPr>
                <w:rFonts w:ascii="Arial" w:hAnsi="Arial" w:cs="Arial"/>
                <w:b/>
                <w:sz w:val="20"/>
                <w:szCs w:val="20"/>
              </w:rPr>
            </w:pPr>
            <w:r w:rsidRPr="003E0D10">
              <w:rPr>
                <w:rFonts w:ascii="Arial" w:hAnsi="Arial" w:cs="Arial"/>
                <w:b/>
                <w:sz w:val="20"/>
                <w:szCs w:val="20"/>
              </w:rPr>
              <w:t>Toplam</w:t>
            </w:r>
          </w:p>
        </w:tc>
      </w:tr>
      <w:tr w:rsidR="00C60153" w:rsidRPr="00B53664" w:rsidTr="00283CE4">
        <w:trPr>
          <w:trHeight w:val="425"/>
        </w:trPr>
        <w:tc>
          <w:tcPr>
            <w:tcW w:w="1389" w:type="dxa"/>
            <w:vMerge/>
            <w:tcBorders>
              <w:top w:val="single" w:sz="4" w:space="0" w:color="auto"/>
              <w:right w:val="single" w:sz="4" w:space="0" w:color="auto"/>
            </w:tcBorders>
            <w:shd w:val="clear" w:color="auto" w:fill="auto"/>
          </w:tcPr>
          <w:p w:rsidR="00C60153" w:rsidRPr="003E0D10" w:rsidRDefault="00C60153" w:rsidP="00283CE4">
            <w:pPr>
              <w:spacing w:line="360" w:lineRule="auto"/>
              <w:jc w:val="center"/>
              <w:rPr>
                <w:rFonts w:ascii="Arial" w:hAnsi="Arial" w:cs="Arial"/>
                <w:sz w:val="20"/>
                <w:szCs w:val="20"/>
              </w:rPr>
            </w:pPr>
          </w:p>
        </w:tc>
        <w:tc>
          <w:tcPr>
            <w:tcW w:w="1042"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sz w:val="20"/>
                <w:szCs w:val="20"/>
              </w:rPr>
              <w:t>n</w:t>
            </w:r>
          </w:p>
        </w:tc>
        <w:tc>
          <w:tcPr>
            <w:tcW w:w="1231" w:type="dxa"/>
            <w:tcBorders>
              <w:top w:val="single" w:sz="4" w:space="0" w:color="auto"/>
              <w:lef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sz w:val="20"/>
                <w:szCs w:val="20"/>
              </w:rPr>
              <w:t>%</w:t>
            </w:r>
          </w:p>
        </w:tc>
      </w:tr>
      <w:tr w:rsidR="00C60153" w:rsidRPr="00B53664" w:rsidTr="00283CE4">
        <w:trPr>
          <w:trHeight w:val="425"/>
        </w:trPr>
        <w:tc>
          <w:tcPr>
            <w:tcW w:w="1389" w:type="dxa"/>
            <w:tcBorders>
              <w:right w:val="single" w:sz="4" w:space="0" w:color="auto"/>
            </w:tcBorders>
            <w:shd w:val="clear" w:color="auto" w:fill="auto"/>
            <w:vAlign w:val="center"/>
          </w:tcPr>
          <w:p w:rsidR="00C60153" w:rsidRPr="003E0D10" w:rsidRDefault="00C60153" w:rsidP="00283CE4">
            <w:pPr>
              <w:spacing w:line="360" w:lineRule="auto"/>
              <w:rPr>
                <w:rFonts w:ascii="Arial" w:hAnsi="Arial" w:cs="Arial"/>
                <w:sz w:val="20"/>
                <w:szCs w:val="20"/>
              </w:rPr>
            </w:pPr>
            <w:r>
              <w:rPr>
                <w:rFonts w:ascii="Arial" w:hAnsi="Arial" w:cs="Arial"/>
                <w:sz w:val="20"/>
                <w:szCs w:val="20"/>
              </w:rPr>
              <w:t>Normal</w:t>
            </w:r>
          </w:p>
        </w:tc>
        <w:tc>
          <w:tcPr>
            <w:tcW w:w="1042"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14</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46.7</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13</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43.3</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27</w:t>
            </w:r>
          </w:p>
        </w:tc>
        <w:tc>
          <w:tcPr>
            <w:tcW w:w="1231" w:type="dxa"/>
            <w:tcBorders>
              <w:lef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45.0</w:t>
            </w:r>
          </w:p>
        </w:tc>
      </w:tr>
      <w:tr w:rsidR="00C60153" w:rsidRPr="00B53664" w:rsidTr="00283CE4">
        <w:trPr>
          <w:trHeight w:val="425"/>
        </w:trPr>
        <w:tc>
          <w:tcPr>
            <w:tcW w:w="1389" w:type="dxa"/>
            <w:tcBorders>
              <w:right w:val="single" w:sz="4" w:space="0" w:color="auto"/>
            </w:tcBorders>
            <w:shd w:val="clear" w:color="auto" w:fill="auto"/>
            <w:vAlign w:val="center"/>
          </w:tcPr>
          <w:p w:rsidR="00C60153" w:rsidRPr="003E0D10" w:rsidRDefault="00C60153" w:rsidP="00283CE4">
            <w:pPr>
              <w:spacing w:line="360" w:lineRule="auto"/>
              <w:rPr>
                <w:rFonts w:ascii="Arial" w:hAnsi="Arial" w:cs="Arial"/>
                <w:sz w:val="20"/>
                <w:szCs w:val="20"/>
              </w:rPr>
            </w:pPr>
            <w:r>
              <w:rPr>
                <w:rFonts w:ascii="Arial" w:hAnsi="Arial" w:cs="Arial"/>
                <w:sz w:val="20"/>
                <w:szCs w:val="20"/>
              </w:rPr>
              <w:t>Sezaryen</w:t>
            </w:r>
          </w:p>
        </w:tc>
        <w:tc>
          <w:tcPr>
            <w:tcW w:w="1042"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themeColor="text1"/>
                <w:sz w:val="20"/>
                <w:szCs w:val="20"/>
              </w:rPr>
            </w:pPr>
            <w:r>
              <w:rPr>
                <w:rFonts w:ascii="Arial" w:hAnsi="Arial" w:cs="Arial"/>
                <w:color w:val="000000"/>
                <w:sz w:val="20"/>
                <w:szCs w:val="20"/>
                <w:lang w:val="en-US"/>
              </w:rPr>
              <w:t>16</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ind w:firstLineChars="5" w:firstLine="10"/>
              <w:jc w:val="center"/>
              <w:rPr>
                <w:rFonts w:ascii="Arial" w:hAnsi="Arial" w:cs="Arial"/>
                <w:color w:val="000000" w:themeColor="text1"/>
                <w:sz w:val="20"/>
                <w:szCs w:val="20"/>
              </w:rPr>
            </w:pPr>
            <w:r>
              <w:rPr>
                <w:rFonts w:ascii="Arial" w:hAnsi="Arial" w:cs="Arial"/>
                <w:color w:val="000000"/>
                <w:sz w:val="20"/>
                <w:szCs w:val="20"/>
                <w:lang w:val="en-US"/>
              </w:rPr>
              <w:t>53.3</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17</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56.7</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color w:val="000000"/>
                <w:sz w:val="20"/>
                <w:szCs w:val="20"/>
              </w:rPr>
            </w:pPr>
            <w:r w:rsidRPr="003E0D10">
              <w:rPr>
                <w:rFonts w:ascii="Arial" w:hAnsi="Arial" w:cs="Arial"/>
                <w:color w:val="000000"/>
                <w:sz w:val="20"/>
                <w:szCs w:val="20"/>
                <w:lang w:val="en-US"/>
              </w:rPr>
              <w:t>3</w:t>
            </w:r>
            <w:r>
              <w:rPr>
                <w:rFonts w:ascii="Arial" w:hAnsi="Arial" w:cs="Arial"/>
                <w:color w:val="000000"/>
                <w:sz w:val="20"/>
                <w:szCs w:val="20"/>
                <w:lang w:val="en-US"/>
              </w:rPr>
              <w:t>3</w:t>
            </w:r>
          </w:p>
        </w:tc>
        <w:tc>
          <w:tcPr>
            <w:tcW w:w="1231" w:type="dxa"/>
            <w:tcBorders>
              <w:left w:val="single" w:sz="4" w:space="0" w:color="auto"/>
            </w:tcBorders>
            <w:shd w:val="clear" w:color="auto" w:fill="auto"/>
            <w:vAlign w:val="center"/>
          </w:tcPr>
          <w:p w:rsidR="00C60153" w:rsidRPr="003E0D10" w:rsidRDefault="00C60153" w:rsidP="00C60153">
            <w:pPr>
              <w:spacing w:line="360" w:lineRule="auto"/>
              <w:ind w:leftChars="-16" w:left="-8" w:hangingChars="15" w:hanging="30"/>
              <w:jc w:val="center"/>
              <w:rPr>
                <w:rFonts w:ascii="Arial" w:hAnsi="Arial" w:cs="Arial"/>
                <w:color w:val="000000"/>
                <w:sz w:val="20"/>
                <w:szCs w:val="20"/>
              </w:rPr>
            </w:pPr>
            <w:r w:rsidRPr="003E0D10">
              <w:rPr>
                <w:rFonts w:ascii="Arial" w:hAnsi="Arial" w:cs="Arial"/>
                <w:color w:val="000000"/>
                <w:sz w:val="20"/>
                <w:szCs w:val="20"/>
                <w:lang w:val="en-US"/>
              </w:rPr>
              <w:t>5</w:t>
            </w:r>
            <w:r>
              <w:rPr>
                <w:rFonts w:ascii="Arial" w:hAnsi="Arial" w:cs="Arial"/>
                <w:color w:val="000000"/>
                <w:sz w:val="20"/>
                <w:szCs w:val="20"/>
                <w:lang w:val="en-US"/>
              </w:rPr>
              <w:t>5.0</w:t>
            </w:r>
          </w:p>
        </w:tc>
      </w:tr>
      <w:tr w:rsidR="00C60153" w:rsidRPr="00B53664" w:rsidTr="00283CE4">
        <w:trPr>
          <w:trHeight w:val="425"/>
        </w:trPr>
        <w:tc>
          <w:tcPr>
            <w:tcW w:w="1389" w:type="dxa"/>
            <w:tcBorders>
              <w:right w:val="single" w:sz="4" w:space="0" w:color="auto"/>
            </w:tcBorders>
            <w:shd w:val="clear" w:color="auto" w:fill="auto"/>
            <w:vAlign w:val="center"/>
          </w:tcPr>
          <w:p w:rsidR="00C60153" w:rsidRPr="003E0D10" w:rsidRDefault="00C60153" w:rsidP="00283CE4">
            <w:pPr>
              <w:spacing w:line="360" w:lineRule="auto"/>
              <w:rPr>
                <w:rFonts w:ascii="Arial" w:hAnsi="Arial" w:cs="Arial"/>
                <w:sz w:val="20"/>
                <w:szCs w:val="20"/>
              </w:rPr>
            </w:pPr>
            <w:r w:rsidRPr="003E0D10">
              <w:rPr>
                <w:rFonts w:ascii="Arial" w:hAnsi="Arial" w:cs="Arial"/>
                <w:sz w:val="20"/>
                <w:szCs w:val="20"/>
              </w:rPr>
              <w:t>Toplam</w:t>
            </w:r>
          </w:p>
        </w:tc>
        <w:tc>
          <w:tcPr>
            <w:tcW w:w="1042"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color w:val="000000"/>
                <w:sz w:val="20"/>
                <w:szCs w:val="20"/>
                <w:lang w:val="en-US"/>
              </w:rPr>
              <w:t>60</w:t>
            </w:r>
          </w:p>
        </w:tc>
        <w:tc>
          <w:tcPr>
            <w:tcW w:w="1231" w:type="dxa"/>
            <w:tcBorders>
              <w:left w:val="single" w:sz="4" w:space="0" w:color="auto"/>
            </w:tcBorders>
            <w:shd w:val="clear" w:color="auto" w:fill="auto"/>
            <w:vAlign w:val="center"/>
          </w:tcPr>
          <w:p w:rsidR="00C60153" w:rsidRPr="003E0D10" w:rsidRDefault="00C60153" w:rsidP="00283CE4">
            <w:pPr>
              <w:spacing w:line="360" w:lineRule="auto"/>
              <w:jc w:val="center"/>
              <w:rPr>
                <w:rFonts w:ascii="Arial" w:hAnsi="Arial" w:cs="Arial"/>
                <w:sz w:val="20"/>
                <w:szCs w:val="20"/>
              </w:rPr>
            </w:pPr>
            <w:r w:rsidRPr="003E0D10">
              <w:rPr>
                <w:rFonts w:ascii="Arial" w:hAnsi="Arial" w:cs="Arial"/>
                <w:color w:val="000000"/>
                <w:sz w:val="20"/>
                <w:szCs w:val="20"/>
                <w:lang w:val="en-US"/>
              </w:rPr>
              <w:t>100</w:t>
            </w:r>
          </w:p>
        </w:tc>
      </w:tr>
      <w:tr w:rsidR="00C60153" w:rsidRPr="00B53664" w:rsidTr="00283CE4">
        <w:trPr>
          <w:trHeight w:val="425"/>
        </w:trPr>
        <w:tc>
          <w:tcPr>
            <w:tcW w:w="8106" w:type="dxa"/>
            <w:gridSpan w:val="7"/>
            <w:shd w:val="clear" w:color="auto" w:fill="auto"/>
            <w:vAlign w:val="center"/>
          </w:tcPr>
          <w:p w:rsidR="00C60153" w:rsidRPr="003E0D10" w:rsidRDefault="00C60153" w:rsidP="00283CE4">
            <w:pPr>
              <w:rPr>
                <w:rFonts w:ascii="Arial" w:hAnsi="Arial" w:cs="Arial"/>
                <w:sz w:val="20"/>
                <w:szCs w:val="20"/>
              </w:rPr>
            </w:pPr>
            <w:r w:rsidRPr="003E0D10">
              <w:rPr>
                <w:rFonts w:ascii="Arial" w:hAnsi="Arial" w:cs="Arial"/>
                <w:sz w:val="20"/>
                <w:szCs w:val="20"/>
              </w:rPr>
              <w:t xml:space="preserve">χ ² = </w:t>
            </w:r>
            <w:r>
              <w:rPr>
                <w:rFonts w:ascii="Arial" w:hAnsi="Arial" w:cs="Arial"/>
                <w:color w:val="000000"/>
                <w:sz w:val="20"/>
                <w:szCs w:val="20"/>
                <w:lang w:val="en-US"/>
              </w:rPr>
              <w:t>0.067</w:t>
            </w:r>
            <w:r w:rsidRPr="003E0D10">
              <w:rPr>
                <w:rFonts w:ascii="Arial" w:hAnsi="Arial" w:cs="Arial"/>
                <w:sz w:val="20"/>
                <w:szCs w:val="20"/>
              </w:rPr>
              <w:t xml:space="preserve">    p = </w:t>
            </w:r>
            <w:r w:rsidRPr="003E0D10">
              <w:rPr>
                <w:rFonts w:ascii="Arial" w:hAnsi="Arial" w:cs="Arial"/>
                <w:color w:val="000000"/>
                <w:sz w:val="20"/>
                <w:szCs w:val="20"/>
                <w:lang w:val="en-US"/>
              </w:rPr>
              <w:t>0.</w:t>
            </w:r>
            <w:r>
              <w:rPr>
                <w:rFonts w:ascii="Arial" w:hAnsi="Arial" w:cs="Arial"/>
                <w:color w:val="000000"/>
                <w:sz w:val="20"/>
                <w:szCs w:val="20"/>
                <w:lang w:val="en-US"/>
              </w:rPr>
              <w:t>795</w:t>
            </w:r>
          </w:p>
        </w:tc>
      </w:tr>
    </w:tbl>
    <w:p w:rsidR="00C60153" w:rsidRPr="007E63B8" w:rsidRDefault="00C60153" w:rsidP="00C60153">
      <w:pPr>
        <w:rPr>
          <w:rFonts w:ascii="Arial" w:hAnsi="Arial" w:cs="Arial"/>
          <w:sz w:val="22"/>
          <w:szCs w:val="22"/>
        </w:rPr>
      </w:pPr>
      <w:r w:rsidRPr="007E63B8">
        <w:rPr>
          <w:rFonts w:ascii="Arial" w:hAnsi="Arial" w:cs="Arial"/>
          <w:sz w:val="22"/>
          <w:szCs w:val="22"/>
        </w:rPr>
        <w:t>χ ² testi ve Yates süreklilik düzeltmesi yapılmıştır. p &lt; 0.05 anlamlıdır.</w:t>
      </w:r>
    </w:p>
    <w:p w:rsidR="00C60153" w:rsidRDefault="00C60153" w:rsidP="00C60153">
      <w:pPr>
        <w:spacing w:line="360" w:lineRule="auto"/>
        <w:contextualSpacing/>
        <w:jc w:val="both"/>
        <w:rPr>
          <w:rFonts w:ascii="Arial" w:hAnsi="Arial" w:cs="Arial"/>
          <w:b/>
          <w:shd w:val="clear" w:color="auto" w:fill="FFFFFF"/>
        </w:rPr>
      </w:pPr>
    </w:p>
    <w:p w:rsidR="00C60153" w:rsidRPr="007E63B8" w:rsidRDefault="00C60153" w:rsidP="00C60153">
      <w:pPr>
        <w:spacing w:line="360" w:lineRule="auto"/>
        <w:ind w:firstLine="567"/>
        <w:contextualSpacing/>
        <w:jc w:val="both"/>
        <w:rPr>
          <w:rFonts w:ascii="Arial" w:hAnsi="Arial" w:cs="Arial"/>
          <w:b/>
          <w:sz w:val="22"/>
          <w:szCs w:val="22"/>
          <w:shd w:val="clear" w:color="auto" w:fill="FFFFFF"/>
        </w:rPr>
      </w:pPr>
      <w:r w:rsidRPr="007E63B8">
        <w:rPr>
          <w:rFonts w:ascii="Arial" w:hAnsi="Arial" w:cs="Arial"/>
          <w:b/>
          <w:sz w:val="22"/>
          <w:szCs w:val="22"/>
          <w:shd w:val="clear" w:color="auto" w:fill="FFFFFF"/>
        </w:rPr>
        <w:t>Çocukların Doğum Haftaları</w:t>
      </w:r>
    </w:p>
    <w:p w:rsidR="007E63B8" w:rsidRDefault="00C60153" w:rsidP="007E63B8">
      <w:pPr>
        <w:spacing w:line="360" w:lineRule="auto"/>
        <w:ind w:firstLine="567"/>
        <w:contextualSpacing/>
        <w:jc w:val="both"/>
        <w:rPr>
          <w:rFonts w:ascii="Arial" w:hAnsi="Arial" w:cs="Arial"/>
          <w:sz w:val="22"/>
          <w:szCs w:val="22"/>
        </w:rPr>
      </w:pPr>
      <w:r w:rsidRPr="007E63B8">
        <w:rPr>
          <w:rFonts w:ascii="Arial" w:hAnsi="Arial" w:cs="Arial"/>
          <w:sz w:val="22"/>
          <w:szCs w:val="22"/>
        </w:rPr>
        <w:t>Olgu grubundaki çocukların %83.3’ünün (n=25) term, %16.7’sinin (n=5) preterm doğdukları bulunmuştur. Kontrol grubundaki çocukların %93.3’ünün (n=25) term, %6.7’sinin (n=2) preterm doğdukları bulunmuştur. Term ve preterm doğum açısından her iki grup arasında istatistiksel olarak anlamlı bir fark saptanmamıştır (p &gt; 0.05) (Tablo 12).</w:t>
      </w:r>
    </w:p>
    <w:p w:rsidR="007E63B8" w:rsidRPr="007E63B8" w:rsidRDefault="007E63B8" w:rsidP="007E63B8">
      <w:pPr>
        <w:spacing w:line="360" w:lineRule="auto"/>
        <w:ind w:firstLine="567"/>
        <w:contextualSpacing/>
        <w:jc w:val="both"/>
        <w:rPr>
          <w:rFonts w:ascii="Arial" w:hAnsi="Arial" w:cs="Arial"/>
          <w:sz w:val="22"/>
          <w:szCs w:val="22"/>
        </w:rPr>
      </w:pPr>
    </w:p>
    <w:p w:rsidR="00C60153" w:rsidRPr="007E63B8" w:rsidRDefault="00C60153" w:rsidP="00C60153">
      <w:pPr>
        <w:rPr>
          <w:rFonts w:ascii="Arial" w:hAnsi="Arial" w:cs="Arial"/>
          <w:sz w:val="22"/>
          <w:szCs w:val="22"/>
        </w:rPr>
      </w:pPr>
      <w:r w:rsidRPr="007E63B8">
        <w:rPr>
          <w:rFonts w:ascii="Arial" w:hAnsi="Arial" w:cs="Arial"/>
          <w:sz w:val="22"/>
          <w:szCs w:val="22"/>
        </w:rPr>
        <w:t>Tablo 12. Olgu ve kontrol grubundaki çocukların doğum haftaları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042"/>
        <w:gridCol w:w="1130"/>
        <w:gridCol w:w="1092"/>
        <w:gridCol w:w="1130"/>
        <w:gridCol w:w="1092"/>
        <w:gridCol w:w="1231"/>
      </w:tblGrid>
      <w:tr w:rsidR="00C60153" w:rsidRPr="00B53664" w:rsidTr="00283CE4">
        <w:trPr>
          <w:trHeight w:val="425"/>
        </w:trPr>
        <w:tc>
          <w:tcPr>
            <w:tcW w:w="1389" w:type="dxa"/>
            <w:vMerge w:val="restart"/>
            <w:tcBorders>
              <w:bottom w:val="single" w:sz="4" w:space="0" w:color="auto"/>
            </w:tcBorders>
            <w:shd w:val="clear" w:color="auto" w:fill="auto"/>
          </w:tcPr>
          <w:p w:rsidR="00C60153" w:rsidRPr="003E0D10" w:rsidRDefault="00C60153" w:rsidP="00283CE4">
            <w:pPr>
              <w:jc w:val="center"/>
              <w:rPr>
                <w:rFonts w:ascii="Arial" w:hAnsi="Arial" w:cs="Arial"/>
                <w:b/>
                <w:sz w:val="20"/>
                <w:szCs w:val="20"/>
              </w:rPr>
            </w:pPr>
          </w:p>
          <w:p w:rsidR="00C60153" w:rsidRPr="003E0D10" w:rsidRDefault="00C60153" w:rsidP="00283CE4">
            <w:pPr>
              <w:jc w:val="center"/>
              <w:rPr>
                <w:rFonts w:ascii="Arial" w:hAnsi="Arial" w:cs="Arial"/>
                <w:sz w:val="20"/>
                <w:szCs w:val="20"/>
              </w:rPr>
            </w:pPr>
            <w:r>
              <w:rPr>
                <w:rFonts w:ascii="Arial" w:hAnsi="Arial" w:cs="Arial"/>
                <w:b/>
                <w:sz w:val="20"/>
                <w:szCs w:val="20"/>
              </w:rPr>
              <w:t>Doğum Haftası</w:t>
            </w:r>
          </w:p>
        </w:tc>
        <w:tc>
          <w:tcPr>
            <w:tcW w:w="2172" w:type="dxa"/>
            <w:gridSpan w:val="2"/>
            <w:tcBorders>
              <w:bottom w:val="single" w:sz="4" w:space="0" w:color="auto"/>
            </w:tcBorders>
            <w:shd w:val="clear" w:color="auto" w:fill="auto"/>
          </w:tcPr>
          <w:p w:rsidR="00C60153" w:rsidRPr="003E0D10" w:rsidRDefault="00C60153" w:rsidP="00283CE4">
            <w:pPr>
              <w:jc w:val="center"/>
              <w:rPr>
                <w:rFonts w:ascii="Arial" w:hAnsi="Arial" w:cs="Arial"/>
                <w:b/>
                <w:sz w:val="20"/>
                <w:szCs w:val="20"/>
              </w:rPr>
            </w:pPr>
            <w:r w:rsidRPr="003E0D10">
              <w:rPr>
                <w:rFonts w:ascii="Arial" w:hAnsi="Arial" w:cs="Arial"/>
                <w:b/>
                <w:sz w:val="20"/>
                <w:szCs w:val="20"/>
              </w:rPr>
              <w:t>Olgu</w:t>
            </w:r>
          </w:p>
        </w:tc>
        <w:tc>
          <w:tcPr>
            <w:tcW w:w="2222" w:type="dxa"/>
            <w:gridSpan w:val="2"/>
            <w:tcBorders>
              <w:bottom w:val="single" w:sz="4" w:space="0" w:color="auto"/>
            </w:tcBorders>
            <w:shd w:val="clear" w:color="auto" w:fill="auto"/>
          </w:tcPr>
          <w:p w:rsidR="00C60153" w:rsidRPr="003E0D10" w:rsidRDefault="00C60153" w:rsidP="00283CE4">
            <w:pPr>
              <w:jc w:val="center"/>
              <w:rPr>
                <w:rFonts w:ascii="Arial" w:hAnsi="Arial" w:cs="Arial"/>
                <w:b/>
                <w:sz w:val="20"/>
                <w:szCs w:val="20"/>
              </w:rPr>
            </w:pPr>
            <w:r w:rsidRPr="003E0D10">
              <w:rPr>
                <w:rFonts w:ascii="Arial" w:hAnsi="Arial" w:cs="Arial"/>
                <w:b/>
                <w:sz w:val="20"/>
                <w:szCs w:val="20"/>
              </w:rPr>
              <w:t>Kontrol</w:t>
            </w:r>
          </w:p>
        </w:tc>
        <w:tc>
          <w:tcPr>
            <w:tcW w:w="2323" w:type="dxa"/>
            <w:gridSpan w:val="2"/>
            <w:tcBorders>
              <w:bottom w:val="single" w:sz="4" w:space="0" w:color="auto"/>
            </w:tcBorders>
            <w:shd w:val="clear" w:color="auto" w:fill="auto"/>
          </w:tcPr>
          <w:p w:rsidR="00C60153" w:rsidRPr="003E0D10" w:rsidRDefault="00C60153" w:rsidP="00283CE4">
            <w:pPr>
              <w:jc w:val="center"/>
              <w:rPr>
                <w:rFonts w:ascii="Arial" w:hAnsi="Arial" w:cs="Arial"/>
                <w:b/>
                <w:sz w:val="20"/>
                <w:szCs w:val="20"/>
              </w:rPr>
            </w:pPr>
            <w:r w:rsidRPr="003E0D10">
              <w:rPr>
                <w:rFonts w:ascii="Arial" w:hAnsi="Arial" w:cs="Arial"/>
                <w:b/>
                <w:sz w:val="20"/>
                <w:szCs w:val="20"/>
              </w:rPr>
              <w:t>Toplam</w:t>
            </w:r>
          </w:p>
        </w:tc>
      </w:tr>
      <w:tr w:rsidR="00C60153" w:rsidRPr="00B53664" w:rsidTr="00283CE4">
        <w:trPr>
          <w:trHeight w:val="425"/>
        </w:trPr>
        <w:tc>
          <w:tcPr>
            <w:tcW w:w="1389" w:type="dxa"/>
            <w:vMerge/>
            <w:tcBorders>
              <w:top w:val="single" w:sz="4" w:space="0" w:color="auto"/>
              <w:right w:val="single" w:sz="4" w:space="0" w:color="auto"/>
            </w:tcBorders>
            <w:shd w:val="clear" w:color="auto" w:fill="auto"/>
          </w:tcPr>
          <w:p w:rsidR="00C60153" w:rsidRPr="003E0D10" w:rsidRDefault="00C60153" w:rsidP="00283CE4">
            <w:pPr>
              <w:jc w:val="center"/>
              <w:rPr>
                <w:rFonts w:ascii="Arial" w:hAnsi="Arial" w:cs="Arial"/>
                <w:sz w:val="20"/>
                <w:szCs w:val="20"/>
              </w:rPr>
            </w:pPr>
          </w:p>
        </w:tc>
        <w:tc>
          <w:tcPr>
            <w:tcW w:w="1042"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sz w:val="20"/>
                <w:szCs w:val="20"/>
              </w:rPr>
              <w:t>n</w:t>
            </w:r>
          </w:p>
        </w:tc>
        <w:tc>
          <w:tcPr>
            <w:tcW w:w="1231" w:type="dxa"/>
            <w:tcBorders>
              <w:top w:val="single" w:sz="4" w:space="0" w:color="auto"/>
              <w:lef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sz w:val="20"/>
                <w:szCs w:val="20"/>
              </w:rPr>
              <w:t>%</w:t>
            </w:r>
          </w:p>
        </w:tc>
      </w:tr>
      <w:tr w:rsidR="00C60153" w:rsidRPr="00B53664" w:rsidTr="00283CE4">
        <w:trPr>
          <w:trHeight w:val="425"/>
        </w:trPr>
        <w:tc>
          <w:tcPr>
            <w:tcW w:w="1389" w:type="dxa"/>
            <w:tcBorders>
              <w:right w:val="single" w:sz="4" w:space="0" w:color="auto"/>
            </w:tcBorders>
            <w:shd w:val="clear" w:color="auto" w:fill="auto"/>
            <w:vAlign w:val="center"/>
          </w:tcPr>
          <w:p w:rsidR="00C60153" w:rsidRPr="003E0D10" w:rsidRDefault="00C60153" w:rsidP="00283CE4">
            <w:pPr>
              <w:rPr>
                <w:rFonts w:ascii="Arial" w:hAnsi="Arial" w:cs="Arial"/>
                <w:sz w:val="20"/>
                <w:szCs w:val="20"/>
              </w:rPr>
            </w:pPr>
            <w:r>
              <w:rPr>
                <w:rFonts w:ascii="Arial" w:hAnsi="Arial" w:cs="Arial"/>
                <w:sz w:val="20"/>
                <w:szCs w:val="20"/>
              </w:rPr>
              <w:t>Term</w:t>
            </w:r>
          </w:p>
        </w:tc>
        <w:tc>
          <w:tcPr>
            <w:tcW w:w="1042"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color w:val="000000"/>
                <w:sz w:val="20"/>
                <w:szCs w:val="20"/>
              </w:rPr>
            </w:pPr>
            <w:r>
              <w:rPr>
                <w:rFonts w:ascii="Arial" w:hAnsi="Arial" w:cs="Arial"/>
                <w:color w:val="000000"/>
                <w:sz w:val="20"/>
                <w:szCs w:val="20"/>
                <w:lang w:val="en-US"/>
              </w:rPr>
              <w:t>25</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color w:val="000000"/>
                <w:sz w:val="20"/>
                <w:szCs w:val="20"/>
              </w:rPr>
            </w:pPr>
            <w:r>
              <w:rPr>
                <w:rFonts w:ascii="Arial" w:hAnsi="Arial" w:cs="Arial"/>
                <w:color w:val="000000"/>
                <w:sz w:val="20"/>
                <w:szCs w:val="20"/>
                <w:lang w:val="en-US"/>
              </w:rPr>
              <w:t xml:space="preserve">83.3 </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color w:val="000000"/>
                <w:sz w:val="20"/>
                <w:szCs w:val="20"/>
              </w:rPr>
            </w:pPr>
            <w:r>
              <w:rPr>
                <w:rFonts w:ascii="Arial" w:hAnsi="Arial" w:cs="Arial"/>
                <w:color w:val="000000"/>
                <w:sz w:val="20"/>
                <w:szCs w:val="20"/>
                <w:lang w:val="en-US"/>
              </w:rPr>
              <w:t>28</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color w:val="000000"/>
                <w:sz w:val="20"/>
                <w:szCs w:val="20"/>
              </w:rPr>
            </w:pPr>
            <w:r>
              <w:rPr>
                <w:rFonts w:ascii="Arial" w:hAnsi="Arial" w:cs="Arial"/>
                <w:color w:val="000000"/>
                <w:sz w:val="20"/>
                <w:szCs w:val="20"/>
                <w:lang w:val="en-US"/>
              </w:rPr>
              <w:t>93.3</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color w:val="000000"/>
                <w:sz w:val="20"/>
                <w:szCs w:val="20"/>
              </w:rPr>
            </w:pPr>
            <w:r>
              <w:rPr>
                <w:rFonts w:ascii="Arial" w:hAnsi="Arial" w:cs="Arial"/>
                <w:color w:val="000000"/>
                <w:sz w:val="20"/>
                <w:szCs w:val="20"/>
                <w:lang w:val="en-US"/>
              </w:rPr>
              <w:t>53</w:t>
            </w:r>
          </w:p>
        </w:tc>
        <w:tc>
          <w:tcPr>
            <w:tcW w:w="1231" w:type="dxa"/>
            <w:tcBorders>
              <w:left w:val="single" w:sz="4" w:space="0" w:color="auto"/>
            </w:tcBorders>
            <w:shd w:val="clear" w:color="auto" w:fill="auto"/>
            <w:vAlign w:val="center"/>
          </w:tcPr>
          <w:p w:rsidR="00C60153" w:rsidRPr="003E0D10" w:rsidRDefault="00C60153" w:rsidP="00283CE4">
            <w:pPr>
              <w:jc w:val="center"/>
              <w:rPr>
                <w:rFonts w:ascii="Arial" w:hAnsi="Arial" w:cs="Arial"/>
                <w:color w:val="000000"/>
                <w:sz w:val="20"/>
                <w:szCs w:val="20"/>
              </w:rPr>
            </w:pPr>
            <w:r>
              <w:rPr>
                <w:rFonts w:ascii="Arial" w:hAnsi="Arial" w:cs="Arial"/>
                <w:color w:val="000000"/>
                <w:sz w:val="20"/>
                <w:szCs w:val="20"/>
                <w:lang w:val="en-US"/>
              </w:rPr>
              <w:t>88.3</w:t>
            </w:r>
          </w:p>
        </w:tc>
      </w:tr>
      <w:tr w:rsidR="00C60153" w:rsidRPr="00B53664" w:rsidTr="00283CE4">
        <w:trPr>
          <w:trHeight w:val="425"/>
        </w:trPr>
        <w:tc>
          <w:tcPr>
            <w:tcW w:w="1389" w:type="dxa"/>
            <w:tcBorders>
              <w:right w:val="single" w:sz="4" w:space="0" w:color="auto"/>
            </w:tcBorders>
            <w:shd w:val="clear" w:color="auto" w:fill="auto"/>
            <w:vAlign w:val="center"/>
          </w:tcPr>
          <w:p w:rsidR="00C60153" w:rsidRPr="003E0D10" w:rsidRDefault="00C60153" w:rsidP="00283CE4">
            <w:pPr>
              <w:rPr>
                <w:rFonts w:ascii="Arial" w:hAnsi="Arial" w:cs="Arial"/>
                <w:sz w:val="20"/>
                <w:szCs w:val="20"/>
              </w:rPr>
            </w:pPr>
            <w:r>
              <w:rPr>
                <w:rFonts w:ascii="Arial" w:hAnsi="Arial" w:cs="Arial"/>
                <w:sz w:val="20"/>
                <w:szCs w:val="20"/>
              </w:rPr>
              <w:t>Preterm</w:t>
            </w:r>
          </w:p>
        </w:tc>
        <w:tc>
          <w:tcPr>
            <w:tcW w:w="1042"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color w:val="000000" w:themeColor="text1"/>
                <w:sz w:val="20"/>
                <w:szCs w:val="20"/>
              </w:rPr>
            </w:pPr>
            <w:r>
              <w:rPr>
                <w:rFonts w:ascii="Arial" w:hAnsi="Arial" w:cs="Arial"/>
                <w:color w:val="000000"/>
                <w:sz w:val="20"/>
                <w:szCs w:val="20"/>
                <w:lang w:val="en-US"/>
              </w:rPr>
              <w:t>5</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ind w:firstLineChars="5" w:firstLine="10"/>
              <w:jc w:val="center"/>
              <w:rPr>
                <w:rFonts w:ascii="Arial" w:hAnsi="Arial" w:cs="Arial"/>
                <w:color w:val="000000" w:themeColor="text1"/>
                <w:sz w:val="20"/>
                <w:szCs w:val="20"/>
              </w:rPr>
            </w:pPr>
            <w:r>
              <w:rPr>
                <w:rFonts w:ascii="Arial" w:hAnsi="Arial" w:cs="Arial"/>
                <w:color w:val="000000"/>
                <w:sz w:val="20"/>
                <w:szCs w:val="20"/>
                <w:lang w:val="en-US"/>
              </w:rPr>
              <w:t>16.7</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color w:val="000000"/>
                <w:sz w:val="20"/>
                <w:szCs w:val="20"/>
              </w:rPr>
            </w:pPr>
            <w:r>
              <w:rPr>
                <w:rFonts w:ascii="Arial" w:hAnsi="Arial" w:cs="Arial"/>
                <w:color w:val="000000"/>
                <w:sz w:val="20"/>
                <w:szCs w:val="20"/>
                <w:lang w:val="en-US"/>
              </w:rPr>
              <w:t>2</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color w:val="000000"/>
                <w:sz w:val="20"/>
                <w:szCs w:val="20"/>
              </w:rPr>
            </w:pPr>
            <w:r>
              <w:rPr>
                <w:rFonts w:ascii="Arial" w:hAnsi="Arial" w:cs="Arial"/>
                <w:color w:val="000000"/>
                <w:sz w:val="20"/>
                <w:szCs w:val="20"/>
                <w:lang w:val="en-US"/>
              </w:rPr>
              <w:t>6.7</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color w:val="000000"/>
                <w:sz w:val="20"/>
                <w:szCs w:val="20"/>
              </w:rPr>
            </w:pPr>
            <w:r>
              <w:rPr>
                <w:rFonts w:ascii="Arial" w:hAnsi="Arial" w:cs="Arial"/>
                <w:color w:val="000000"/>
                <w:sz w:val="20"/>
                <w:szCs w:val="20"/>
                <w:lang w:val="en-US"/>
              </w:rPr>
              <w:t>7</w:t>
            </w:r>
          </w:p>
        </w:tc>
        <w:tc>
          <w:tcPr>
            <w:tcW w:w="1231" w:type="dxa"/>
            <w:tcBorders>
              <w:left w:val="single" w:sz="4" w:space="0" w:color="auto"/>
            </w:tcBorders>
            <w:shd w:val="clear" w:color="auto" w:fill="auto"/>
            <w:vAlign w:val="center"/>
          </w:tcPr>
          <w:p w:rsidR="00C60153" w:rsidRPr="003E0D10" w:rsidRDefault="00C60153" w:rsidP="00C60153">
            <w:pPr>
              <w:ind w:leftChars="-16" w:left="-8" w:hangingChars="15" w:hanging="30"/>
              <w:jc w:val="center"/>
              <w:rPr>
                <w:rFonts w:ascii="Arial" w:hAnsi="Arial" w:cs="Arial"/>
                <w:color w:val="000000"/>
                <w:sz w:val="20"/>
                <w:szCs w:val="20"/>
              </w:rPr>
            </w:pPr>
            <w:r>
              <w:rPr>
                <w:rFonts w:ascii="Arial" w:hAnsi="Arial" w:cs="Arial"/>
                <w:color w:val="000000"/>
                <w:sz w:val="20"/>
                <w:szCs w:val="20"/>
                <w:lang w:val="en-US"/>
              </w:rPr>
              <w:t>11.7</w:t>
            </w:r>
          </w:p>
        </w:tc>
      </w:tr>
      <w:tr w:rsidR="00C60153" w:rsidRPr="00B53664" w:rsidTr="00283CE4">
        <w:trPr>
          <w:trHeight w:val="425"/>
        </w:trPr>
        <w:tc>
          <w:tcPr>
            <w:tcW w:w="1389" w:type="dxa"/>
            <w:tcBorders>
              <w:right w:val="single" w:sz="4" w:space="0" w:color="auto"/>
            </w:tcBorders>
            <w:shd w:val="clear" w:color="auto" w:fill="auto"/>
            <w:vAlign w:val="center"/>
          </w:tcPr>
          <w:p w:rsidR="00C60153" w:rsidRPr="003E0D10" w:rsidRDefault="00C60153" w:rsidP="00283CE4">
            <w:pPr>
              <w:rPr>
                <w:rFonts w:ascii="Arial" w:hAnsi="Arial" w:cs="Arial"/>
                <w:sz w:val="20"/>
                <w:szCs w:val="20"/>
              </w:rPr>
            </w:pPr>
            <w:r w:rsidRPr="003E0D10">
              <w:rPr>
                <w:rFonts w:ascii="Arial" w:hAnsi="Arial" w:cs="Arial"/>
                <w:sz w:val="20"/>
                <w:szCs w:val="20"/>
              </w:rPr>
              <w:t>Toplam</w:t>
            </w:r>
          </w:p>
        </w:tc>
        <w:tc>
          <w:tcPr>
            <w:tcW w:w="1042"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color w:val="000000"/>
                <w:sz w:val="20"/>
                <w:szCs w:val="20"/>
                <w:lang w:val="en-US"/>
              </w:rPr>
              <w:t>60</w:t>
            </w:r>
          </w:p>
        </w:tc>
        <w:tc>
          <w:tcPr>
            <w:tcW w:w="1231" w:type="dxa"/>
            <w:tcBorders>
              <w:lef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color w:val="000000"/>
                <w:sz w:val="20"/>
                <w:szCs w:val="20"/>
                <w:lang w:val="en-US"/>
              </w:rPr>
              <w:t>100</w:t>
            </w:r>
          </w:p>
        </w:tc>
      </w:tr>
      <w:tr w:rsidR="00C60153" w:rsidRPr="00B53664" w:rsidTr="00283CE4">
        <w:trPr>
          <w:trHeight w:val="425"/>
        </w:trPr>
        <w:tc>
          <w:tcPr>
            <w:tcW w:w="8106" w:type="dxa"/>
            <w:gridSpan w:val="7"/>
            <w:shd w:val="clear" w:color="auto" w:fill="auto"/>
            <w:vAlign w:val="center"/>
          </w:tcPr>
          <w:p w:rsidR="00C60153" w:rsidRPr="003E0D10" w:rsidRDefault="00C60153" w:rsidP="00283CE4">
            <w:pPr>
              <w:rPr>
                <w:rFonts w:ascii="Arial" w:hAnsi="Arial" w:cs="Arial"/>
                <w:sz w:val="20"/>
                <w:szCs w:val="20"/>
              </w:rPr>
            </w:pPr>
            <w:r w:rsidRPr="003E0D10">
              <w:rPr>
                <w:rFonts w:ascii="Arial" w:hAnsi="Arial" w:cs="Arial"/>
                <w:sz w:val="20"/>
                <w:szCs w:val="20"/>
              </w:rPr>
              <w:t xml:space="preserve">χ ² = </w:t>
            </w:r>
            <w:r>
              <w:rPr>
                <w:rFonts w:ascii="Arial" w:hAnsi="Arial" w:cs="Arial"/>
                <w:color w:val="000000"/>
                <w:sz w:val="20"/>
                <w:szCs w:val="20"/>
                <w:lang w:val="en-US"/>
              </w:rPr>
              <w:t>1.456</w:t>
            </w:r>
            <w:r w:rsidRPr="003E0D10">
              <w:rPr>
                <w:rFonts w:ascii="Arial" w:hAnsi="Arial" w:cs="Arial"/>
                <w:sz w:val="20"/>
                <w:szCs w:val="20"/>
              </w:rPr>
              <w:t xml:space="preserve">    p = </w:t>
            </w:r>
            <w:r w:rsidRPr="003E0D10">
              <w:rPr>
                <w:rFonts w:ascii="Arial" w:hAnsi="Arial" w:cs="Arial"/>
                <w:color w:val="000000"/>
                <w:sz w:val="20"/>
                <w:szCs w:val="20"/>
                <w:lang w:val="en-US"/>
              </w:rPr>
              <w:t>0.</w:t>
            </w:r>
            <w:r>
              <w:rPr>
                <w:rFonts w:ascii="Arial" w:hAnsi="Arial" w:cs="Arial"/>
                <w:color w:val="000000"/>
                <w:sz w:val="20"/>
                <w:szCs w:val="20"/>
                <w:lang w:val="en-US"/>
              </w:rPr>
              <w:t>424</w:t>
            </w:r>
          </w:p>
        </w:tc>
      </w:tr>
    </w:tbl>
    <w:p w:rsidR="00C60153" w:rsidRPr="00E0441B" w:rsidRDefault="00C60153" w:rsidP="00C60153">
      <w:pPr>
        <w:rPr>
          <w:rFonts w:ascii="Arial" w:hAnsi="Arial" w:cs="Arial"/>
        </w:rPr>
      </w:pPr>
      <w:r w:rsidRPr="00E0441B">
        <w:rPr>
          <w:rFonts w:ascii="Arial" w:hAnsi="Arial" w:cs="Arial"/>
        </w:rPr>
        <w:t>χ ²</w:t>
      </w:r>
      <w:r>
        <w:rPr>
          <w:rFonts w:ascii="Arial" w:hAnsi="Arial" w:cs="Arial"/>
        </w:rPr>
        <w:t xml:space="preserve"> testi</w:t>
      </w:r>
      <w:r w:rsidRPr="00E0441B">
        <w:rPr>
          <w:rFonts w:ascii="Arial" w:hAnsi="Arial" w:cs="Arial"/>
        </w:rPr>
        <w:t xml:space="preserve"> </w:t>
      </w:r>
      <w:r>
        <w:rPr>
          <w:rFonts w:ascii="Arial" w:hAnsi="Arial" w:cs="Arial"/>
        </w:rPr>
        <w:t xml:space="preserve">ve </w:t>
      </w:r>
      <w:r w:rsidRPr="00E0441B">
        <w:rPr>
          <w:rFonts w:ascii="Arial" w:hAnsi="Arial" w:cs="Arial"/>
        </w:rPr>
        <w:t>Fisher’s Exact test uygulanmıştır. p &lt; 0.05 anlamlıdır.</w:t>
      </w:r>
    </w:p>
    <w:p w:rsidR="00C60153" w:rsidRDefault="00C60153" w:rsidP="00C60153">
      <w:pPr>
        <w:spacing w:line="360" w:lineRule="auto"/>
        <w:contextualSpacing/>
        <w:jc w:val="both"/>
        <w:rPr>
          <w:rFonts w:ascii="Arial" w:hAnsi="Arial" w:cs="Arial"/>
          <w:b/>
          <w:shd w:val="clear" w:color="auto" w:fill="FFFFFF"/>
        </w:rPr>
      </w:pPr>
    </w:p>
    <w:p w:rsidR="007E63B8" w:rsidRDefault="007E63B8" w:rsidP="00C60153">
      <w:pPr>
        <w:spacing w:line="360" w:lineRule="auto"/>
        <w:contextualSpacing/>
        <w:jc w:val="both"/>
        <w:rPr>
          <w:rFonts w:ascii="Arial" w:hAnsi="Arial" w:cs="Arial"/>
          <w:b/>
          <w:shd w:val="clear" w:color="auto" w:fill="FFFFFF"/>
        </w:rPr>
      </w:pPr>
    </w:p>
    <w:p w:rsidR="007E63B8" w:rsidRDefault="007E63B8" w:rsidP="00C60153">
      <w:pPr>
        <w:spacing w:line="360" w:lineRule="auto"/>
        <w:contextualSpacing/>
        <w:jc w:val="both"/>
        <w:rPr>
          <w:rFonts w:ascii="Arial" w:hAnsi="Arial" w:cs="Arial"/>
          <w:b/>
          <w:shd w:val="clear" w:color="auto" w:fill="FFFFFF"/>
        </w:rPr>
      </w:pPr>
    </w:p>
    <w:p w:rsidR="00C60153" w:rsidRPr="007E63B8" w:rsidRDefault="00C60153" w:rsidP="00C60153">
      <w:pPr>
        <w:spacing w:line="360" w:lineRule="auto"/>
        <w:ind w:firstLine="567"/>
        <w:contextualSpacing/>
        <w:jc w:val="both"/>
        <w:rPr>
          <w:rFonts w:ascii="Arial" w:hAnsi="Arial" w:cs="Arial"/>
          <w:b/>
          <w:sz w:val="22"/>
          <w:szCs w:val="22"/>
          <w:shd w:val="clear" w:color="auto" w:fill="FFFFFF"/>
        </w:rPr>
      </w:pPr>
      <w:r w:rsidRPr="007E63B8">
        <w:rPr>
          <w:rFonts w:ascii="Arial" w:hAnsi="Arial" w:cs="Arial"/>
          <w:b/>
          <w:sz w:val="22"/>
          <w:szCs w:val="22"/>
          <w:shd w:val="clear" w:color="auto" w:fill="FFFFFF"/>
        </w:rPr>
        <w:lastRenderedPageBreak/>
        <w:t xml:space="preserve">Çocukların Doğum </w:t>
      </w:r>
      <w:r w:rsidR="00065FB5">
        <w:rPr>
          <w:rFonts w:ascii="Arial" w:hAnsi="Arial" w:cs="Arial"/>
          <w:b/>
          <w:sz w:val="22"/>
          <w:szCs w:val="22"/>
          <w:shd w:val="clear" w:color="auto" w:fill="FFFFFF"/>
        </w:rPr>
        <w:t>Ağırlıkları</w:t>
      </w:r>
    </w:p>
    <w:p w:rsidR="00C60153" w:rsidRDefault="00C60153" w:rsidP="007E63B8">
      <w:pPr>
        <w:spacing w:line="360" w:lineRule="auto"/>
        <w:ind w:firstLine="567"/>
        <w:contextualSpacing/>
        <w:jc w:val="both"/>
        <w:rPr>
          <w:rFonts w:ascii="Arial" w:hAnsi="Arial" w:cs="Arial"/>
          <w:sz w:val="22"/>
          <w:szCs w:val="22"/>
          <w:shd w:val="clear" w:color="auto" w:fill="FFFFFF"/>
        </w:rPr>
      </w:pPr>
      <w:r w:rsidRPr="007E63B8">
        <w:rPr>
          <w:rFonts w:ascii="Arial" w:hAnsi="Arial" w:cs="Arial"/>
          <w:sz w:val="22"/>
          <w:szCs w:val="22"/>
          <w:shd w:val="clear" w:color="auto" w:fill="FFFFFF"/>
        </w:rPr>
        <w:t xml:space="preserve">Olgu grubundaki çocukların doğum kilolarının gram olarak ortalaması </w:t>
      </w:r>
      <w:r w:rsidRPr="007E63B8">
        <w:rPr>
          <w:rFonts w:ascii="Arial" w:hAnsi="Arial" w:cs="Arial"/>
          <w:sz w:val="22"/>
          <w:szCs w:val="22"/>
        </w:rPr>
        <w:t>3100</w:t>
      </w:r>
      <w:r w:rsidRPr="007E63B8">
        <w:rPr>
          <w:rFonts w:ascii="Arial" w:hAnsi="Arial" w:cs="Arial"/>
          <w:sz w:val="22"/>
          <w:szCs w:val="22"/>
          <w:shd w:val="clear" w:color="auto" w:fill="FFFFFF"/>
        </w:rPr>
        <w:t xml:space="preserve"> (1500-4950), kontrol grubunun doğum kilolarının gram olarak ortalaması ise </w:t>
      </w:r>
      <w:r w:rsidRPr="007E63B8">
        <w:rPr>
          <w:rFonts w:ascii="Arial" w:hAnsi="Arial" w:cs="Arial"/>
          <w:sz w:val="22"/>
          <w:szCs w:val="22"/>
        </w:rPr>
        <w:t>3050</w:t>
      </w:r>
      <w:r w:rsidRPr="007E63B8">
        <w:rPr>
          <w:rFonts w:ascii="Arial" w:hAnsi="Arial" w:cs="Arial"/>
          <w:sz w:val="22"/>
          <w:szCs w:val="22"/>
          <w:shd w:val="clear" w:color="auto" w:fill="FFFFFF"/>
        </w:rPr>
        <w:t xml:space="preserve"> (2500-4000) bulunmuştur. Doğum kiloları açısından iki grup arasında anlamlı farklılık saptanmamıştır (p &gt; 0.05) (Tablo 13).</w:t>
      </w:r>
    </w:p>
    <w:p w:rsidR="007E63B8" w:rsidRPr="007E63B8" w:rsidRDefault="007E63B8" w:rsidP="007E63B8">
      <w:pPr>
        <w:spacing w:line="360" w:lineRule="auto"/>
        <w:ind w:firstLine="567"/>
        <w:contextualSpacing/>
        <w:jc w:val="both"/>
        <w:rPr>
          <w:rFonts w:ascii="Arial" w:hAnsi="Arial" w:cs="Arial"/>
          <w:sz w:val="22"/>
          <w:szCs w:val="22"/>
          <w:shd w:val="clear" w:color="auto" w:fill="FFFFFF"/>
        </w:rPr>
      </w:pPr>
    </w:p>
    <w:p w:rsidR="00C60153" w:rsidRPr="007E63B8" w:rsidRDefault="00C60153" w:rsidP="00C60153">
      <w:pPr>
        <w:rPr>
          <w:rFonts w:ascii="Arial" w:hAnsi="Arial" w:cs="Arial"/>
          <w:sz w:val="22"/>
          <w:szCs w:val="22"/>
        </w:rPr>
      </w:pPr>
      <w:r w:rsidRPr="007E63B8">
        <w:rPr>
          <w:rFonts w:ascii="Arial" w:hAnsi="Arial" w:cs="Arial"/>
          <w:sz w:val="22"/>
          <w:szCs w:val="22"/>
        </w:rPr>
        <w:t xml:space="preserve">Tablo 13. Olgu ve kontrol grubundaki </w:t>
      </w:r>
      <w:r w:rsidR="00065FB5">
        <w:rPr>
          <w:rFonts w:ascii="Arial" w:hAnsi="Arial" w:cs="Arial"/>
          <w:sz w:val="22"/>
          <w:szCs w:val="22"/>
        </w:rPr>
        <w:t>doğum ağırlıkları</w:t>
      </w:r>
    </w:p>
    <w:tbl>
      <w:tblPr>
        <w:tblW w:w="81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1299"/>
        <w:gridCol w:w="1512"/>
        <w:gridCol w:w="1370"/>
        <w:gridCol w:w="851"/>
        <w:gridCol w:w="851"/>
      </w:tblGrid>
      <w:tr w:rsidR="00C60153" w:rsidRPr="000A6EE9" w:rsidTr="00065FB5">
        <w:trPr>
          <w:trHeight w:val="512"/>
        </w:trPr>
        <w:tc>
          <w:tcPr>
            <w:tcW w:w="2311" w:type="dxa"/>
            <w:vMerge w:val="restart"/>
          </w:tcPr>
          <w:p w:rsidR="00C60153" w:rsidRPr="000A6EE9" w:rsidRDefault="00C60153" w:rsidP="00283CE4">
            <w:pPr>
              <w:rPr>
                <w:rFonts w:ascii="Arial" w:hAnsi="Arial" w:cs="Arial"/>
                <w:sz w:val="20"/>
                <w:szCs w:val="20"/>
              </w:rPr>
            </w:pPr>
          </w:p>
          <w:p w:rsidR="00C60153" w:rsidRPr="000A6EE9" w:rsidRDefault="00C60153" w:rsidP="00283CE4">
            <w:pPr>
              <w:rPr>
                <w:rFonts w:ascii="Arial" w:hAnsi="Arial" w:cs="Arial"/>
                <w:sz w:val="20"/>
                <w:szCs w:val="20"/>
              </w:rPr>
            </w:pPr>
          </w:p>
          <w:p w:rsidR="00C60153" w:rsidRPr="000A6EE9" w:rsidRDefault="00C60153" w:rsidP="00283CE4">
            <w:pPr>
              <w:rPr>
                <w:rFonts w:ascii="Arial" w:hAnsi="Arial" w:cs="Arial"/>
                <w:sz w:val="20"/>
                <w:szCs w:val="20"/>
              </w:rPr>
            </w:pPr>
          </w:p>
        </w:tc>
        <w:tc>
          <w:tcPr>
            <w:tcW w:w="1299" w:type="dxa"/>
            <w:vAlign w:val="center"/>
          </w:tcPr>
          <w:p w:rsidR="00C60153" w:rsidRPr="000A6EE9" w:rsidRDefault="00C60153" w:rsidP="00283CE4">
            <w:pPr>
              <w:jc w:val="center"/>
              <w:rPr>
                <w:rFonts w:ascii="Arial" w:hAnsi="Arial" w:cs="Arial"/>
                <w:b/>
                <w:sz w:val="20"/>
                <w:szCs w:val="20"/>
              </w:rPr>
            </w:pPr>
            <w:r w:rsidRPr="000A6EE9">
              <w:rPr>
                <w:rFonts w:ascii="Arial" w:hAnsi="Arial" w:cs="Arial"/>
                <w:b/>
                <w:sz w:val="20"/>
                <w:szCs w:val="20"/>
              </w:rPr>
              <w:t xml:space="preserve">Olgu </w:t>
            </w:r>
          </w:p>
          <w:p w:rsidR="00C60153" w:rsidRPr="000A6EE9" w:rsidRDefault="00C60153" w:rsidP="00283CE4">
            <w:pPr>
              <w:jc w:val="center"/>
              <w:rPr>
                <w:rFonts w:ascii="Arial" w:hAnsi="Arial" w:cs="Arial"/>
                <w:b/>
                <w:sz w:val="20"/>
                <w:szCs w:val="20"/>
              </w:rPr>
            </w:pPr>
            <w:r w:rsidRPr="000A6EE9">
              <w:rPr>
                <w:rFonts w:ascii="Arial" w:hAnsi="Arial" w:cs="Arial"/>
                <w:b/>
                <w:sz w:val="20"/>
                <w:szCs w:val="20"/>
              </w:rPr>
              <w:t>(n=30)</w:t>
            </w:r>
          </w:p>
        </w:tc>
        <w:tc>
          <w:tcPr>
            <w:tcW w:w="1512" w:type="dxa"/>
            <w:vAlign w:val="center"/>
          </w:tcPr>
          <w:p w:rsidR="00C60153" w:rsidRPr="000A6EE9" w:rsidRDefault="00C60153" w:rsidP="00283CE4">
            <w:pPr>
              <w:jc w:val="center"/>
              <w:rPr>
                <w:rFonts w:ascii="Arial" w:hAnsi="Arial" w:cs="Arial"/>
                <w:b/>
                <w:sz w:val="20"/>
                <w:szCs w:val="20"/>
              </w:rPr>
            </w:pPr>
            <w:r w:rsidRPr="000A6EE9">
              <w:rPr>
                <w:rFonts w:ascii="Arial" w:hAnsi="Arial" w:cs="Arial"/>
                <w:b/>
                <w:sz w:val="20"/>
                <w:szCs w:val="20"/>
              </w:rPr>
              <w:t>Kontrol (n=30)</w:t>
            </w:r>
          </w:p>
        </w:tc>
        <w:tc>
          <w:tcPr>
            <w:tcW w:w="1370" w:type="dxa"/>
            <w:vAlign w:val="center"/>
          </w:tcPr>
          <w:p w:rsidR="00C60153" w:rsidRPr="000A6EE9" w:rsidRDefault="00C60153" w:rsidP="00283CE4">
            <w:pPr>
              <w:jc w:val="center"/>
              <w:rPr>
                <w:rFonts w:ascii="Arial" w:hAnsi="Arial" w:cs="Arial"/>
                <w:b/>
                <w:sz w:val="20"/>
                <w:szCs w:val="20"/>
              </w:rPr>
            </w:pPr>
            <w:r w:rsidRPr="000A6EE9">
              <w:rPr>
                <w:rFonts w:ascii="Arial" w:hAnsi="Arial" w:cs="Arial"/>
                <w:b/>
                <w:sz w:val="20"/>
                <w:szCs w:val="20"/>
              </w:rPr>
              <w:t>Toplam (n=60)</w:t>
            </w:r>
          </w:p>
        </w:tc>
        <w:tc>
          <w:tcPr>
            <w:tcW w:w="851" w:type="dxa"/>
            <w:vMerge w:val="restart"/>
            <w:vAlign w:val="center"/>
          </w:tcPr>
          <w:p w:rsidR="00C60153" w:rsidRPr="000A6EE9" w:rsidRDefault="00C60153" w:rsidP="00283CE4">
            <w:pPr>
              <w:jc w:val="center"/>
              <w:rPr>
                <w:rFonts w:ascii="Arial" w:hAnsi="Arial" w:cs="Arial"/>
                <w:b/>
                <w:sz w:val="20"/>
                <w:szCs w:val="20"/>
              </w:rPr>
            </w:pPr>
            <w:r w:rsidRPr="000A6EE9">
              <w:rPr>
                <w:rFonts w:ascii="Arial" w:hAnsi="Arial" w:cs="Arial"/>
                <w:b/>
                <w:sz w:val="20"/>
                <w:szCs w:val="20"/>
              </w:rPr>
              <w:t>p</w:t>
            </w:r>
          </w:p>
        </w:tc>
        <w:tc>
          <w:tcPr>
            <w:tcW w:w="851" w:type="dxa"/>
            <w:vMerge w:val="restart"/>
            <w:vAlign w:val="center"/>
          </w:tcPr>
          <w:p w:rsidR="00C60153" w:rsidRPr="000A6EE9" w:rsidRDefault="00C60153" w:rsidP="00283CE4">
            <w:pPr>
              <w:jc w:val="center"/>
              <w:rPr>
                <w:rFonts w:ascii="Arial" w:hAnsi="Arial" w:cs="Arial"/>
                <w:b/>
                <w:sz w:val="20"/>
                <w:szCs w:val="20"/>
              </w:rPr>
            </w:pPr>
            <w:r w:rsidRPr="000A6EE9">
              <w:rPr>
                <w:rFonts w:ascii="Arial" w:hAnsi="Arial" w:cs="Arial"/>
                <w:b/>
                <w:sz w:val="20"/>
                <w:szCs w:val="20"/>
              </w:rPr>
              <w:t>t</w:t>
            </w:r>
          </w:p>
        </w:tc>
      </w:tr>
      <w:tr w:rsidR="00C60153" w:rsidRPr="000A6EE9" w:rsidTr="00065FB5">
        <w:trPr>
          <w:trHeight w:val="513"/>
        </w:trPr>
        <w:tc>
          <w:tcPr>
            <w:tcW w:w="2311" w:type="dxa"/>
            <w:vMerge/>
          </w:tcPr>
          <w:p w:rsidR="00C60153" w:rsidRPr="000A6EE9" w:rsidRDefault="00C60153" w:rsidP="00283CE4">
            <w:pPr>
              <w:spacing w:line="360" w:lineRule="auto"/>
              <w:rPr>
                <w:rFonts w:ascii="Arial" w:hAnsi="Arial" w:cs="Arial"/>
                <w:sz w:val="20"/>
                <w:szCs w:val="20"/>
              </w:rPr>
            </w:pPr>
          </w:p>
        </w:tc>
        <w:tc>
          <w:tcPr>
            <w:tcW w:w="1299" w:type="dxa"/>
            <w:vAlign w:val="center"/>
          </w:tcPr>
          <w:p w:rsidR="00C60153" w:rsidRPr="000A6EE9" w:rsidRDefault="00C60153" w:rsidP="00283CE4">
            <w:pPr>
              <w:spacing w:line="360" w:lineRule="auto"/>
              <w:jc w:val="center"/>
              <w:rPr>
                <w:rFonts w:ascii="Arial" w:hAnsi="Arial" w:cs="Arial"/>
                <w:b/>
                <w:sz w:val="20"/>
                <w:szCs w:val="20"/>
              </w:rPr>
            </w:pPr>
            <w:r w:rsidRPr="000A6EE9">
              <w:rPr>
                <w:rFonts w:ascii="Arial" w:hAnsi="Arial" w:cs="Arial"/>
                <w:b/>
                <w:sz w:val="20"/>
                <w:szCs w:val="20"/>
              </w:rPr>
              <w:t xml:space="preserve">Ort </w:t>
            </w:r>
            <w:r w:rsidRPr="000A6EE9">
              <w:rPr>
                <w:rFonts w:ascii="Arial" w:hAnsi="Arial" w:cs="Arial"/>
                <w:b/>
                <w:sz w:val="20"/>
                <w:szCs w:val="20"/>
                <w:u w:val="single"/>
              </w:rPr>
              <w:t>+</w:t>
            </w:r>
            <w:r w:rsidRPr="000A6EE9">
              <w:rPr>
                <w:rFonts w:ascii="Arial" w:hAnsi="Arial" w:cs="Arial"/>
                <w:b/>
                <w:sz w:val="20"/>
                <w:szCs w:val="20"/>
              </w:rPr>
              <w:t xml:space="preserve"> SS</w:t>
            </w:r>
          </w:p>
        </w:tc>
        <w:tc>
          <w:tcPr>
            <w:tcW w:w="1512" w:type="dxa"/>
            <w:vAlign w:val="center"/>
          </w:tcPr>
          <w:p w:rsidR="00C60153" w:rsidRPr="000A6EE9" w:rsidRDefault="00C60153" w:rsidP="00283CE4">
            <w:pPr>
              <w:spacing w:line="360" w:lineRule="auto"/>
              <w:jc w:val="center"/>
              <w:rPr>
                <w:rFonts w:ascii="Arial" w:hAnsi="Arial" w:cs="Arial"/>
                <w:b/>
                <w:sz w:val="20"/>
                <w:szCs w:val="20"/>
              </w:rPr>
            </w:pPr>
            <w:r w:rsidRPr="000A6EE9">
              <w:rPr>
                <w:rFonts w:ascii="Arial" w:hAnsi="Arial" w:cs="Arial"/>
                <w:b/>
                <w:sz w:val="20"/>
                <w:szCs w:val="20"/>
              </w:rPr>
              <w:t xml:space="preserve">Ort </w:t>
            </w:r>
            <w:r w:rsidRPr="000A6EE9">
              <w:rPr>
                <w:rFonts w:ascii="Arial" w:hAnsi="Arial" w:cs="Arial"/>
                <w:b/>
                <w:sz w:val="20"/>
                <w:szCs w:val="20"/>
                <w:u w:val="single"/>
              </w:rPr>
              <w:t>+</w:t>
            </w:r>
            <w:r w:rsidRPr="000A6EE9">
              <w:rPr>
                <w:rFonts w:ascii="Arial" w:hAnsi="Arial" w:cs="Arial"/>
                <w:b/>
                <w:sz w:val="20"/>
                <w:szCs w:val="20"/>
              </w:rPr>
              <w:t xml:space="preserve"> SS</w:t>
            </w:r>
          </w:p>
        </w:tc>
        <w:tc>
          <w:tcPr>
            <w:tcW w:w="1370" w:type="dxa"/>
            <w:vAlign w:val="center"/>
          </w:tcPr>
          <w:p w:rsidR="00C60153" w:rsidRPr="000A6EE9" w:rsidRDefault="00C60153" w:rsidP="00283CE4">
            <w:pPr>
              <w:spacing w:line="360" w:lineRule="auto"/>
              <w:jc w:val="center"/>
              <w:rPr>
                <w:rFonts w:ascii="Arial" w:hAnsi="Arial" w:cs="Arial"/>
                <w:b/>
                <w:sz w:val="20"/>
                <w:szCs w:val="20"/>
              </w:rPr>
            </w:pPr>
            <w:r w:rsidRPr="000A6EE9">
              <w:rPr>
                <w:rFonts w:ascii="Arial" w:hAnsi="Arial" w:cs="Arial"/>
                <w:b/>
                <w:sz w:val="20"/>
                <w:szCs w:val="20"/>
              </w:rPr>
              <w:t xml:space="preserve">Ort </w:t>
            </w:r>
            <w:r w:rsidRPr="000A6EE9">
              <w:rPr>
                <w:rFonts w:ascii="Arial" w:hAnsi="Arial" w:cs="Arial"/>
                <w:b/>
                <w:sz w:val="20"/>
                <w:szCs w:val="20"/>
                <w:u w:val="single"/>
              </w:rPr>
              <w:t>+</w:t>
            </w:r>
            <w:r w:rsidRPr="000A6EE9">
              <w:rPr>
                <w:rFonts w:ascii="Arial" w:hAnsi="Arial" w:cs="Arial"/>
                <w:b/>
                <w:sz w:val="20"/>
                <w:szCs w:val="20"/>
              </w:rPr>
              <w:t xml:space="preserve"> SS</w:t>
            </w:r>
          </w:p>
        </w:tc>
        <w:tc>
          <w:tcPr>
            <w:tcW w:w="851" w:type="dxa"/>
            <w:vMerge/>
            <w:vAlign w:val="center"/>
          </w:tcPr>
          <w:p w:rsidR="00C60153" w:rsidRPr="000A6EE9" w:rsidRDefault="00C60153" w:rsidP="00283CE4">
            <w:pPr>
              <w:spacing w:line="360" w:lineRule="auto"/>
              <w:rPr>
                <w:rFonts w:ascii="Arial" w:hAnsi="Arial" w:cs="Arial"/>
                <w:b/>
                <w:sz w:val="20"/>
                <w:szCs w:val="20"/>
              </w:rPr>
            </w:pPr>
          </w:p>
        </w:tc>
        <w:tc>
          <w:tcPr>
            <w:tcW w:w="851" w:type="dxa"/>
            <w:vMerge/>
          </w:tcPr>
          <w:p w:rsidR="00C60153" w:rsidRPr="000A6EE9" w:rsidRDefault="00C60153" w:rsidP="00283CE4">
            <w:pPr>
              <w:spacing w:line="360" w:lineRule="auto"/>
              <w:rPr>
                <w:rFonts w:ascii="Arial" w:hAnsi="Arial" w:cs="Arial"/>
                <w:b/>
                <w:sz w:val="20"/>
                <w:szCs w:val="20"/>
              </w:rPr>
            </w:pPr>
          </w:p>
        </w:tc>
      </w:tr>
      <w:tr w:rsidR="00C60153" w:rsidRPr="00592B8F" w:rsidTr="00065FB5">
        <w:trPr>
          <w:trHeight w:val="425"/>
        </w:trPr>
        <w:tc>
          <w:tcPr>
            <w:tcW w:w="2311" w:type="dxa"/>
            <w:vAlign w:val="center"/>
          </w:tcPr>
          <w:p w:rsidR="00C60153" w:rsidRPr="00065FB5" w:rsidRDefault="00C60153" w:rsidP="00283CE4">
            <w:pPr>
              <w:spacing w:line="360" w:lineRule="auto"/>
              <w:rPr>
                <w:rFonts w:ascii="Arial" w:hAnsi="Arial" w:cs="Arial"/>
                <w:b/>
                <w:sz w:val="20"/>
                <w:szCs w:val="20"/>
              </w:rPr>
            </w:pPr>
            <w:r w:rsidRPr="00065FB5">
              <w:rPr>
                <w:rFonts w:ascii="Arial" w:hAnsi="Arial" w:cs="Arial"/>
                <w:b/>
                <w:sz w:val="20"/>
                <w:szCs w:val="20"/>
              </w:rPr>
              <w:t xml:space="preserve">Doğum </w:t>
            </w:r>
            <w:r w:rsidR="00065FB5" w:rsidRPr="00065FB5">
              <w:rPr>
                <w:rFonts w:ascii="Arial" w:hAnsi="Arial" w:cs="Arial"/>
                <w:b/>
                <w:sz w:val="20"/>
                <w:szCs w:val="20"/>
              </w:rPr>
              <w:t xml:space="preserve">ağırlıkları </w:t>
            </w:r>
            <w:r w:rsidRPr="00065FB5">
              <w:rPr>
                <w:rFonts w:ascii="Arial" w:hAnsi="Arial" w:cs="Arial"/>
                <w:b/>
                <w:sz w:val="20"/>
                <w:szCs w:val="20"/>
              </w:rPr>
              <w:t>(gr)</w:t>
            </w:r>
          </w:p>
        </w:tc>
        <w:tc>
          <w:tcPr>
            <w:tcW w:w="1299" w:type="dxa"/>
            <w:vAlign w:val="center"/>
          </w:tcPr>
          <w:p w:rsidR="00C60153" w:rsidRPr="000A6EE9" w:rsidRDefault="00C60153" w:rsidP="00283CE4">
            <w:pPr>
              <w:spacing w:line="360" w:lineRule="auto"/>
              <w:jc w:val="center"/>
              <w:rPr>
                <w:rFonts w:ascii="Arial" w:hAnsi="Arial" w:cs="Arial"/>
                <w:sz w:val="20"/>
                <w:szCs w:val="20"/>
              </w:rPr>
            </w:pPr>
            <w:r w:rsidRPr="000A6EE9">
              <w:rPr>
                <w:rFonts w:ascii="Arial" w:hAnsi="Arial" w:cs="Arial"/>
                <w:sz w:val="20"/>
                <w:szCs w:val="20"/>
              </w:rPr>
              <w:t xml:space="preserve">3022.6 </w:t>
            </w:r>
            <w:r w:rsidRPr="000A6EE9">
              <w:rPr>
                <w:rFonts w:ascii="Arial" w:hAnsi="Arial" w:cs="Arial"/>
                <w:sz w:val="20"/>
                <w:szCs w:val="20"/>
                <w:u w:val="single"/>
              </w:rPr>
              <w:t>+</w:t>
            </w:r>
            <w:r w:rsidRPr="000A6EE9">
              <w:rPr>
                <w:rFonts w:ascii="Arial" w:hAnsi="Arial" w:cs="Arial"/>
                <w:sz w:val="20"/>
                <w:szCs w:val="20"/>
              </w:rPr>
              <w:t xml:space="preserve"> 784.7</w:t>
            </w:r>
          </w:p>
        </w:tc>
        <w:tc>
          <w:tcPr>
            <w:tcW w:w="1512" w:type="dxa"/>
            <w:vAlign w:val="center"/>
          </w:tcPr>
          <w:p w:rsidR="00C60153" w:rsidRPr="000A6EE9" w:rsidRDefault="00C60153" w:rsidP="00283CE4">
            <w:pPr>
              <w:spacing w:line="360" w:lineRule="auto"/>
              <w:jc w:val="center"/>
              <w:rPr>
                <w:rFonts w:ascii="Arial" w:hAnsi="Arial" w:cs="Arial"/>
                <w:sz w:val="20"/>
                <w:szCs w:val="20"/>
              </w:rPr>
            </w:pPr>
            <w:r w:rsidRPr="000A6EE9">
              <w:rPr>
                <w:rFonts w:ascii="Arial" w:hAnsi="Arial" w:cs="Arial"/>
                <w:sz w:val="20"/>
                <w:szCs w:val="20"/>
              </w:rPr>
              <w:t>3167.8 ± 402.59</w:t>
            </w:r>
          </w:p>
        </w:tc>
        <w:tc>
          <w:tcPr>
            <w:tcW w:w="1370" w:type="dxa"/>
            <w:vAlign w:val="center"/>
          </w:tcPr>
          <w:p w:rsidR="00C60153" w:rsidRPr="000A6EE9" w:rsidRDefault="00C60153" w:rsidP="00283CE4">
            <w:pPr>
              <w:spacing w:line="360" w:lineRule="auto"/>
              <w:jc w:val="center"/>
              <w:rPr>
                <w:rFonts w:ascii="Arial" w:hAnsi="Arial" w:cs="Arial"/>
                <w:sz w:val="20"/>
                <w:szCs w:val="20"/>
              </w:rPr>
            </w:pPr>
            <w:r w:rsidRPr="000A6EE9">
              <w:rPr>
                <w:rFonts w:ascii="Arial" w:hAnsi="Arial" w:cs="Arial"/>
                <w:sz w:val="20"/>
                <w:szCs w:val="20"/>
              </w:rPr>
              <w:t xml:space="preserve">3095.2 </w:t>
            </w:r>
            <w:r w:rsidRPr="000A6EE9">
              <w:rPr>
                <w:rFonts w:ascii="Arial" w:hAnsi="Arial" w:cs="Arial"/>
                <w:sz w:val="20"/>
                <w:szCs w:val="20"/>
                <w:u w:val="single"/>
              </w:rPr>
              <w:t>+</w:t>
            </w:r>
            <w:r w:rsidRPr="000A6EE9">
              <w:rPr>
                <w:rFonts w:ascii="Arial" w:hAnsi="Arial" w:cs="Arial"/>
                <w:sz w:val="20"/>
                <w:szCs w:val="20"/>
              </w:rPr>
              <w:t xml:space="preserve"> 593.65</w:t>
            </w:r>
          </w:p>
        </w:tc>
        <w:tc>
          <w:tcPr>
            <w:tcW w:w="851" w:type="dxa"/>
            <w:vAlign w:val="center"/>
          </w:tcPr>
          <w:p w:rsidR="00C60153" w:rsidRPr="000A6EE9" w:rsidRDefault="00C60153" w:rsidP="00283CE4">
            <w:pPr>
              <w:spacing w:line="360" w:lineRule="auto"/>
              <w:jc w:val="center"/>
              <w:rPr>
                <w:rFonts w:ascii="Arial" w:hAnsi="Arial" w:cs="Arial"/>
                <w:sz w:val="20"/>
                <w:szCs w:val="20"/>
              </w:rPr>
            </w:pPr>
            <w:r w:rsidRPr="000A6EE9">
              <w:rPr>
                <w:rFonts w:ascii="Arial" w:hAnsi="Arial" w:cs="Arial"/>
                <w:sz w:val="20"/>
                <w:szCs w:val="20"/>
              </w:rPr>
              <w:t>0.375</w:t>
            </w:r>
          </w:p>
        </w:tc>
        <w:tc>
          <w:tcPr>
            <w:tcW w:w="851" w:type="dxa"/>
            <w:vAlign w:val="center"/>
          </w:tcPr>
          <w:p w:rsidR="00C60153" w:rsidRPr="000A6EE9" w:rsidRDefault="00C60153" w:rsidP="00283CE4">
            <w:pPr>
              <w:spacing w:line="360" w:lineRule="auto"/>
              <w:jc w:val="center"/>
              <w:rPr>
                <w:rFonts w:ascii="Arial" w:hAnsi="Arial" w:cs="Arial"/>
                <w:sz w:val="20"/>
                <w:szCs w:val="20"/>
              </w:rPr>
            </w:pPr>
            <w:r w:rsidRPr="000A6EE9">
              <w:rPr>
                <w:rFonts w:ascii="Arial" w:hAnsi="Arial" w:cs="Arial"/>
                <w:sz w:val="20"/>
                <w:szCs w:val="20"/>
              </w:rPr>
              <w:t>-0.877</w:t>
            </w:r>
          </w:p>
        </w:tc>
      </w:tr>
    </w:tbl>
    <w:p w:rsidR="00C60153" w:rsidRDefault="00C60153" w:rsidP="00C60153">
      <w:pPr>
        <w:rPr>
          <w:rFonts w:ascii="Arial" w:hAnsi="Arial" w:cs="Arial"/>
          <w:sz w:val="22"/>
          <w:szCs w:val="22"/>
        </w:rPr>
      </w:pPr>
      <w:r w:rsidRPr="007E63B8">
        <w:rPr>
          <w:rFonts w:ascii="Arial" w:hAnsi="Arial" w:cs="Arial"/>
          <w:sz w:val="22"/>
          <w:szCs w:val="22"/>
        </w:rPr>
        <w:t>Student t testi yapılmıştır. p &lt; 0.05 anlamlıdır.</w:t>
      </w:r>
    </w:p>
    <w:p w:rsidR="007E63B8" w:rsidRPr="007E63B8" w:rsidRDefault="007E63B8" w:rsidP="00C60153">
      <w:pPr>
        <w:rPr>
          <w:rFonts w:ascii="Arial" w:hAnsi="Arial" w:cs="Arial"/>
          <w:sz w:val="22"/>
          <w:szCs w:val="22"/>
        </w:rPr>
      </w:pPr>
    </w:p>
    <w:p w:rsidR="00C60153" w:rsidRPr="007E63B8" w:rsidRDefault="00C60153" w:rsidP="00C60153">
      <w:pPr>
        <w:spacing w:line="360" w:lineRule="auto"/>
        <w:ind w:firstLine="567"/>
        <w:contextualSpacing/>
        <w:jc w:val="both"/>
        <w:rPr>
          <w:rFonts w:ascii="Arial" w:hAnsi="Arial" w:cs="Arial"/>
          <w:b/>
          <w:sz w:val="22"/>
          <w:szCs w:val="22"/>
          <w:shd w:val="clear" w:color="auto" w:fill="FFFFFF"/>
        </w:rPr>
      </w:pPr>
      <w:r w:rsidRPr="007E63B8">
        <w:rPr>
          <w:rFonts w:ascii="Arial" w:hAnsi="Arial" w:cs="Arial"/>
          <w:b/>
          <w:sz w:val="22"/>
          <w:szCs w:val="22"/>
          <w:shd w:val="clear" w:color="auto" w:fill="FFFFFF"/>
        </w:rPr>
        <w:t>Intrauterin(IU) Maternal Sigara Maruziyeti</w:t>
      </w:r>
    </w:p>
    <w:p w:rsidR="00C60153" w:rsidRDefault="00C60153" w:rsidP="00C60153">
      <w:pPr>
        <w:spacing w:line="360" w:lineRule="auto"/>
        <w:ind w:firstLine="567"/>
        <w:contextualSpacing/>
        <w:jc w:val="both"/>
        <w:rPr>
          <w:rFonts w:ascii="Arial" w:hAnsi="Arial" w:cs="Arial"/>
          <w:sz w:val="22"/>
          <w:szCs w:val="22"/>
        </w:rPr>
      </w:pPr>
      <w:r w:rsidRPr="007E63B8">
        <w:rPr>
          <w:rFonts w:ascii="Arial" w:hAnsi="Arial" w:cs="Arial"/>
          <w:sz w:val="22"/>
          <w:szCs w:val="22"/>
        </w:rPr>
        <w:t xml:space="preserve">Çocukların IU maternal sigara maruziyeti ailenin belirlemesi esas alınarak maruziyet yok, sigara dumanına maruziyet, günde 1-5 adet ve günde 5 adetten fazla olarak gruplandırılmıştır. </w:t>
      </w:r>
      <w:r w:rsidRPr="007E63B8">
        <w:rPr>
          <w:rFonts w:ascii="Arial" w:hAnsi="Arial" w:cs="Arial"/>
          <w:color w:val="000000" w:themeColor="text1"/>
          <w:sz w:val="22"/>
          <w:szCs w:val="22"/>
        </w:rPr>
        <w:t>Olgu grubundaki çocukların IU maternal sigara maruziyetleri değerlendirildiğinde; %63.3’ünde (n=19) maruziyet olmadığı, %30.0'ında (n=9) sadece duman maruziyeti olduğu, %3.3'ünde (n=1) annenin günde 1-5 adet sigara içtiği, %3.3’ünde (n=1) annenin günde 5 adetten fazla sigara içtiği bulunmuştur.</w:t>
      </w:r>
      <w:r w:rsidRPr="007E63B8">
        <w:rPr>
          <w:rFonts w:ascii="Arial" w:hAnsi="Arial" w:cs="Arial"/>
          <w:color w:val="FF0000"/>
          <w:sz w:val="22"/>
          <w:szCs w:val="22"/>
        </w:rPr>
        <w:t xml:space="preserve"> </w:t>
      </w:r>
      <w:r w:rsidRPr="007E63B8">
        <w:rPr>
          <w:rFonts w:ascii="Arial" w:hAnsi="Arial" w:cs="Arial"/>
          <w:sz w:val="22"/>
          <w:szCs w:val="22"/>
        </w:rPr>
        <w:t>Kontrol grubundaki</w:t>
      </w:r>
      <w:r w:rsidRPr="007E63B8">
        <w:rPr>
          <w:rFonts w:ascii="Arial" w:hAnsi="Arial" w:cs="Arial"/>
          <w:color w:val="000000" w:themeColor="text1"/>
          <w:sz w:val="22"/>
          <w:szCs w:val="22"/>
        </w:rPr>
        <w:t xml:space="preserve"> katılımcıların ise %56.7’sinde (n=17) maruziyet olmadığı, %36.7'sinde (n=11) sadece duman maruziyeti olduğu, %6.7’sinde (n=2) annenin günde 1-5 adet sigara içtiği bulunmuştur. Kontrol grubunda annenin gebelikte günde 5 adetten fazla sigara içtiği katılımcı bulunmamıştır. </w:t>
      </w:r>
      <w:r w:rsidRPr="007E63B8">
        <w:rPr>
          <w:rFonts w:ascii="Arial" w:hAnsi="Arial" w:cs="Arial"/>
          <w:sz w:val="22"/>
          <w:szCs w:val="22"/>
        </w:rPr>
        <w:t>Grupları IU sigara maruziyeti açısından karşılaştırmak üzere; sigara maruziyet öyküsü olanlar ve  olmayanlar olarak iki alt gruba bölünmüştür, sigara dumanı maruziyeti olanla ikinci alt gruba dahil edilmiştir  (Tablo 14).</w:t>
      </w:r>
    </w:p>
    <w:p w:rsidR="007E63B8" w:rsidRDefault="007E63B8" w:rsidP="00C60153">
      <w:pPr>
        <w:spacing w:line="360" w:lineRule="auto"/>
        <w:ind w:firstLine="567"/>
        <w:contextualSpacing/>
        <w:jc w:val="both"/>
        <w:rPr>
          <w:rFonts w:ascii="Arial" w:hAnsi="Arial" w:cs="Arial"/>
          <w:sz w:val="22"/>
          <w:szCs w:val="22"/>
        </w:rPr>
      </w:pPr>
    </w:p>
    <w:p w:rsidR="007E63B8" w:rsidRDefault="007E63B8" w:rsidP="00C60153">
      <w:pPr>
        <w:spacing w:line="360" w:lineRule="auto"/>
        <w:ind w:firstLine="567"/>
        <w:contextualSpacing/>
        <w:jc w:val="both"/>
        <w:rPr>
          <w:rFonts w:ascii="Arial" w:hAnsi="Arial" w:cs="Arial"/>
          <w:sz w:val="22"/>
          <w:szCs w:val="22"/>
        </w:rPr>
      </w:pPr>
    </w:p>
    <w:p w:rsidR="007E63B8" w:rsidRDefault="007E63B8" w:rsidP="00C60153">
      <w:pPr>
        <w:spacing w:line="360" w:lineRule="auto"/>
        <w:ind w:firstLine="567"/>
        <w:contextualSpacing/>
        <w:jc w:val="both"/>
        <w:rPr>
          <w:rFonts w:ascii="Arial" w:hAnsi="Arial" w:cs="Arial"/>
          <w:sz w:val="22"/>
          <w:szCs w:val="22"/>
        </w:rPr>
      </w:pPr>
    </w:p>
    <w:p w:rsidR="007E63B8" w:rsidRDefault="007E63B8" w:rsidP="00C60153">
      <w:pPr>
        <w:spacing w:line="360" w:lineRule="auto"/>
        <w:ind w:firstLine="567"/>
        <w:contextualSpacing/>
        <w:jc w:val="both"/>
        <w:rPr>
          <w:rFonts w:ascii="Arial" w:hAnsi="Arial" w:cs="Arial"/>
          <w:sz w:val="22"/>
          <w:szCs w:val="22"/>
        </w:rPr>
      </w:pPr>
    </w:p>
    <w:p w:rsidR="007E63B8" w:rsidRDefault="007E63B8" w:rsidP="00C60153">
      <w:pPr>
        <w:spacing w:line="360" w:lineRule="auto"/>
        <w:ind w:firstLine="567"/>
        <w:contextualSpacing/>
        <w:jc w:val="both"/>
        <w:rPr>
          <w:rFonts w:ascii="Arial" w:hAnsi="Arial" w:cs="Arial"/>
          <w:sz w:val="22"/>
          <w:szCs w:val="22"/>
        </w:rPr>
      </w:pPr>
    </w:p>
    <w:p w:rsidR="007E63B8" w:rsidRDefault="007E63B8" w:rsidP="00C60153">
      <w:pPr>
        <w:spacing w:line="360" w:lineRule="auto"/>
        <w:ind w:firstLine="567"/>
        <w:contextualSpacing/>
        <w:jc w:val="both"/>
        <w:rPr>
          <w:rFonts w:ascii="Arial" w:hAnsi="Arial" w:cs="Arial"/>
          <w:sz w:val="22"/>
          <w:szCs w:val="22"/>
        </w:rPr>
      </w:pPr>
    </w:p>
    <w:p w:rsidR="007E63B8" w:rsidRDefault="007E63B8" w:rsidP="00C60153">
      <w:pPr>
        <w:spacing w:line="360" w:lineRule="auto"/>
        <w:ind w:firstLine="567"/>
        <w:contextualSpacing/>
        <w:jc w:val="both"/>
        <w:rPr>
          <w:rFonts w:ascii="Arial" w:hAnsi="Arial" w:cs="Arial"/>
          <w:sz w:val="22"/>
          <w:szCs w:val="22"/>
        </w:rPr>
      </w:pPr>
    </w:p>
    <w:p w:rsidR="007E63B8" w:rsidRDefault="007E63B8" w:rsidP="00C60153">
      <w:pPr>
        <w:spacing w:line="360" w:lineRule="auto"/>
        <w:ind w:firstLine="567"/>
        <w:contextualSpacing/>
        <w:jc w:val="both"/>
        <w:rPr>
          <w:rFonts w:ascii="Arial" w:hAnsi="Arial" w:cs="Arial"/>
          <w:sz w:val="22"/>
          <w:szCs w:val="22"/>
        </w:rPr>
      </w:pPr>
    </w:p>
    <w:p w:rsidR="007E63B8" w:rsidRPr="007E63B8" w:rsidRDefault="007E63B8" w:rsidP="00C60153">
      <w:pPr>
        <w:spacing w:line="360" w:lineRule="auto"/>
        <w:ind w:firstLine="567"/>
        <w:contextualSpacing/>
        <w:jc w:val="both"/>
        <w:rPr>
          <w:rFonts w:ascii="Arial" w:hAnsi="Arial" w:cs="Arial"/>
          <w:sz w:val="22"/>
          <w:szCs w:val="22"/>
        </w:rPr>
      </w:pPr>
    </w:p>
    <w:p w:rsidR="00C60153" w:rsidRPr="007E63B8" w:rsidRDefault="00C60153" w:rsidP="00C60153">
      <w:pPr>
        <w:rPr>
          <w:rFonts w:ascii="Arial" w:hAnsi="Arial" w:cs="Arial"/>
          <w:sz w:val="22"/>
          <w:szCs w:val="22"/>
        </w:rPr>
      </w:pPr>
      <w:r w:rsidRPr="007E63B8">
        <w:rPr>
          <w:rFonts w:ascii="Arial" w:hAnsi="Arial" w:cs="Arial"/>
          <w:sz w:val="22"/>
          <w:szCs w:val="22"/>
        </w:rPr>
        <w:lastRenderedPageBreak/>
        <w:t>Tablo 14. Olgu ve kontrol grubundaki çocukların IU maternal sigara maruziyeti</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042"/>
        <w:gridCol w:w="1130"/>
        <w:gridCol w:w="1092"/>
        <w:gridCol w:w="1130"/>
        <w:gridCol w:w="1092"/>
        <w:gridCol w:w="1231"/>
      </w:tblGrid>
      <w:tr w:rsidR="00C60153" w:rsidRPr="00A5101C" w:rsidTr="00283CE4">
        <w:trPr>
          <w:trHeight w:val="425"/>
        </w:trPr>
        <w:tc>
          <w:tcPr>
            <w:tcW w:w="1389" w:type="dxa"/>
            <w:vMerge w:val="restart"/>
            <w:tcBorders>
              <w:bottom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b/>
                <w:sz w:val="20"/>
                <w:szCs w:val="20"/>
              </w:rPr>
              <w:t>IU maternal sigaraya maruziyet</w:t>
            </w:r>
            <w:r>
              <w:rPr>
                <w:rFonts w:ascii="Arial" w:hAnsi="Arial" w:cs="Arial"/>
                <w:b/>
                <w:sz w:val="20"/>
                <w:szCs w:val="20"/>
              </w:rPr>
              <w:t xml:space="preserve"> öyküsü</w:t>
            </w:r>
          </w:p>
        </w:tc>
        <w:tc>
          <w:tcPr>
            <w:tcW w:w="2172" w:type="dxa"/>
            <w:gridSpan w:val="2"/>
            <w:tcBorders>
              <w:bottom w:val="single" w:sz="4" w:space="0" w:color="auto"/>
            </w:tcBorders>
            <w:shd w:val="clear" w:color="auto" w:fill="auto"/>
          </w:tcPr>
          <w:p w:rsidR="00C60153" w:rsidRPr="00CF07C6" w:rsidRDefault="00C60153" w:rsidP="00283CE4">
            <w:pPr>
              <w:spacing w:line="360" w:lineRule="auto"/>
              <w:jc w:val="center"/>
              <w:rPr>
                <w:rFonts w:ascii="Arial" w:hAnsi="Arial" w:cs="Arial"/>
                <w:b/>
                <w:sz w:val="20"/>
                <w:szCs w:val="20"/>
              </w:rPr>
            </w:pPr>
            <w:r w:rsidRPr="00CF07C6">
              <w:rPr>
                <w:rFonts w:ascii="Arial" w:hAnsi="Arial" w:cs="Arial"/>
                <w:b/>
                <w:sz w:val="20"/>
                <w:szCs w:val="20"/>
              </w:rPr>
              <w:t>Olgu</w:t>
            </w:r>
          </w:p>
        </w:tc>
        <w:tc>
          <w:tcPr>
            <w:tcW w:w="2222" w:type="dxa"/>
            <w:gridSpan w:val="2"/>
            <w:tcBorders>
              <w:bottom w:val="single" w:sz="4" w:space="0" w:color="auto"/>
            </w:tcBorders>
            <w:shd w:val="clear" w:color="auto" w:fill="auto"/>
          </w:tcPr>
          <w:p w:rsidR="00C60153" w:rsidRPr="00CF07C6" w:rsidRDefault="00C60153" w:rsidP="00283CE4">
            <w:pPr>
              <w:spacing w:line="360" w:lineRule="auto"/>
              <w:jc w:val="center"/>
              <w:rPr>
                <w:rFonts w:ascii="Arial" w:hAnsi="Arial" w:cs="Arial"/>
                <w:b/>
                <w:sz w:val="20"/>
                <w:szCs w:val="20"/>
              </w:rPr>
            </w:pPr>
            <w:r w:rsidRPr="00CF07C6">
              <w:rPr>
                <w:rFonts w:ascii="Arial" w:hAnsi="Arial" w:cs="Arial"/>
                <w:b/>
                <w:sz w:val="20"/>
                <w:szCs w:val="20"/>
              </w:rPr>
              <w:t>Kontrol</w:t>
            </w:r>
          </w:p>
        </w:tc>
        <w:tc>
          <w:tcPr>
            <w:tcW w:w="2323" w:type="dxa"/>
            <w:gridSpan w:val="2"/>
            <w:tcBorders>
              <w:bottom w:val="single" w:sz="4" w:space="0" w:color="auto"/>
            </w:tcBorders>
            <w:shd w:val="clear" w:color="auto" w:fill="auto"/>
          </w:tcPr>
          <w:p w:rsidR="00C60153" w:rsidRPr="00CF07C6" w:rsidRDefault="00C60153" w:rsidP="00283CE4">
            <w:pPr>
              <w:jc w:val="center"/>
              <w:rPr>
                <w:rFonts w:ascii="Arial" w:hAnsi="Arial" w:cs="Arial"/>
                <w:b/>
                <w:sz w:val="20"/>
                <w:szCs w:val="20"/>
              </w:rPr>
            </w:pPr>
            <w:r w:rsidRPr="00CF07C6">
              <w:rPr>
                <w:rFonts w:ascii="Arial" w:hAnsi="Arial" w:cs="Arial"/>
                <w:b/>
                <w:sz w:val="20"/>
                <w:szCs w:val="20"/>
              </w:rPr>
              <w:t>Toplam</w:t>
            </w:r>
          </w:p>
        </w:tc>
      </w:tr>
      <w:tr w:rsidR="00C60153" w:rsidRPr="00A5101C" w:rsidTr="00283CE4">
        <w:trPr>
          <w:trHeight w:val="425"/>
        </w:trPr>
        <w:tc>
          <w:tcPr>
            <w:tcW w:w="1389" w:type="dxa"/>
            <w:vMerge/>
            <w:tcBorders>
              <w:top w:val="single" w:sz="4" w:space="0" w:color="auto"/>
              <w:right w:val="single" w:sz="4" w:space="0" w:color="auto"/>
            </w:tcBorders>
            <w:shd w:val="clear" w:color="auto" w:fill="auto"/>
          </w:tcPr>
          <w:p w:rsidR="00C60153" w:rsidRPr="00CF07C6" w:rsidRDefault="00C60153" w:rsidP="00283CE4">
            <w:pPr>
              <w:spacing w:line="360" w:lineRule="auto"/>
              <w:jc w:val="center"/>
              <w:rPr>
                <w:rFonts w:ascii="Arial" w:hAnsi="Arial" w:cs="Arial"/>
                <w:sz w:val="20"/>
                <w:szCs w:val="20"/>
              </w:rPr>
            </w:pPr>
          </w:p>
        </w:tc>
        <w:tc>
          <w:tcPr>
            <w:tcW w:w="1042"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n</w:t>
            </w:r>
          </w:p>
        </w:tc>
        <w:tc>
          <w:tcPr>
            <w:tcW w:w="1231" w:type="dxa"/>
            <w:tcBorders>
              <w:top w:val="single" w:sz="4" w:space="0" w:color="auto"/>
              <w:lef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w:t>
            </w:r>
          </w:p>
        </w:tc>
      </w:tr>
      <w:tr w:rsidR="00C60153" w:rsidRPr="00A5101C" w:rsidTr="00283CE4">
        <w:trPr>
          <w:trHeight w:val="425"/>
        </w:trPr>
        <w:tc>
          <w:tcPr>
            <w:tcW w:w="1389" w:type="dxa"/>
            <w:tcBorders>
              <w:right w:val="single" w:sz="4" w:space="0" w:color="auto"/>
            </w:tcBorders>
            <w:shd w:val="clear" w:color="auto" w:fill="auto"/>
            <w:vAlign w:val="center"/>
          </w:tcPr>
          <w:p w:rsidR="00C60153" w:rsidRPr="00CF07C6" w:rsidRDefault="00C60153" w:rsidP="00283CE4">
            <w:pPr>
              <w:spacing w:line="360" w:lineRule="auto"/>
              <w:rPr>
                <w:rFonts w:ascii="Arial" w:hAnsi="Arial" w:cs="Arial"/>
                <w:sz w:val="20"/>
                <w:szCs w:val="20"/>
              </w:rPr>
            </w:pPr>
            <w:r>
              <w:rPr>
                <w:rFonts w:ascii="Arial" w:hAnsi="Arial" w:cs="Arial"/>
                <w:sz w:val="20"/>
                <w:szCs w:val="20"/>
              </w:rPr>
              <w:t>Yok</w:t>
            </w:r>
          </w:p>
        </w:tc>
        <w:tc>
          <w:tcPr>
            <w:tcW w:w="104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sidRPr="00CF07C6">
              <w:rPr>
                <w:rFonts w:ascii="Arial" w:hAnsi="Arial" w:cs="Arial"/>
                <w:color w:val="000000"/>
                <w:sz w:val="20"/>
                <w:szCs w:val="20"/>
                <w:lang w:val="en-US"/>
              </w:rPr>
              <w:t>19</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sidRPr="00CF07C6">
              <w:rPr>
                <w:rFonts w:ascii="Arial" w:hAnsi="Arial" w:cs="Arial"/>
                <w:color w:val="000000"/>
                <w:sz w:val="20"/>
                <w:szCs w:val="20"/>
                <w:lang w:val="en-US"/>
              </w:rPr>
              <w:t>63.3</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sidRPr="00CF07C6">
              <w:rPr>
                <w:rFonts w:ascii="Arial" w:hAnsi="Arial" w:cs="Arial"/>
                <w:color w:val="000000"/>
                <w:sz w:val="20"/>
                <w:szCs w:val="20"/>
                <w:lang w:val="en-US"/>
              </w:rPr>
              <w:t>17</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sidRPr="00CF07C6">
              <w:rPr>
                <w:rFonts w:ascii="Arial" w:hAnsi="Arial" w:cs="Arial"/>
                <w:color w:val="000000"/>
                <w:sz w:val="20"/>
                <w:szCs w:val="20"/>
                <w:lang w:val="en-US"/>
              </w:rPr>
              <w:t>56.7</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sidRPr="00CF07C6">
              <w:rPr>
                <w:rFonts w:ascii="Arial" w:hAnsi="Arial" w:cs="Arial"/>
                <w:color w:val="000000"/>
                <w:sz w:val="20"/>
                <w:szCs w:val="20"/>
                <w:lang w:val="en-US"/>
              </w:rPr>
              <w:t>36</w:t>
            </w:r>
          </w:p>
        </w:tc>
        <w:tc>
          <w:tcPr>
            <w:tcW w:w="1231" w:type="dxa"/>
            <w:tcBorders>
              <w:lef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sidRPr="00CF07C6">
              <w:rPr>
                <w:rFonts w:ascii="Arial" w:hAnsi="Arial" w:cs="Arial"/>
                <w:color w:val="000000"/>
                <w:sz w:val="20"/>
                <w:szCs w:val="20"/>
                <w:lang w:val="en-US"/>
              </w:rPr>
              <w:t>60</w:t>
            </w:r>
          </w:p>
        </w:tc>
      </w:tr>
      <w:tr w:rsidR="00C60153" w:rsidRPr="00A5101C" w:rsidTr="00283CE4">
        <w:trPr>
          <w:trHeight w:val="425"/>
        </w:trPr>
        <w:tc>
          <w:tcPr>
            <w:tcW w:w="1389" w:type="dxa"/>
            <w:tcBorders>
              <w:right w:val="single" w:sz="4" w:space="0" w:color="auto"/>
            </w:tcBorders>
            <w:shd w:val="clear" w:color="auto" w:fill="auto"/>
            <w:vAlign w:val="center"/>
          </w:tcPr>
          <w:p w:rsidR="00C60153" w:rsidRPr="00CF07C6" w:rsidRDefault="00C60153" w:rsidP="00283CE4">
            <w:pPr>
              <w:spacing w:line="360" w:lineRule="auto"/>
              <w:rPr>
                <w:rFonts w:ascii="Arial" w:hAnsi="Arial" w:cs="Arial"/>
                <w:sz w:val="20"/>
                <w:szCs w:val="20"/>
              </w:rPr>
            </w:pPr>
            <w:r>
              <w:rPr>
                <w:rFonts w:ascii="Arial" w:hAnsi="Arial" w:cs="Arial"/>
                <w:sz w:val="20"/>
                <w:szCs w:val="20"/>
              </w:rPr>
              <w:t>Var</w:t>
            </w:r>
          </w:p>
        </w:tc>
        <w:tc>
          <w:tcPr>
            <w:tcW w:w="104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themeColor="text1"/>
                <w:sz w:val="20"/>
                <w:szCs w:val="20"/>
              </w:rPr>
            </w:pPr>
            <w:r w:rsidRPr="00CF07C6">
              <w:rPr>
                <w:rFonts w:ascii="Arial" w:hAnsi="Arial" w:cs="Arial"/>
                <w:color w:val="000000"/>
                <w:sz w:val="20"/>
                <w:szCs w:val="20"/>
                <w:lang w:val="en-US"/>
              </w:rPr>
              <w:t>11</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ind w:firstLineChars="5" w:firstLine="10"/>
              <w:jc w:val="center"/>
              <w:rPr>
                <w:rFonts w:ascii="Arial" w:hAnsi="Arial" w:cs="Arial"/>
                <w:color w:val="000000" w:themeColor="text1"/>
                <w:sz w:val="20"/>
                <w:szCs w:val="20"/>
              </w:rPr>
            </w:pPr>
            <w:r w:rsidRPr="00CF07C6">
              <w:rPr>
                <w:rFonts w:ascii="Arial" w:hAnsi="Arial" w:cs="Arial"/>
                <w:color w:val="000000"/>
                <w:sz w:val="20"/>
                <w:szCs w:val="20"/>
                <w:lang w:val="en-US"/>
              </w:rPr>
              <w:t>36.7</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sidRPr="00CF07C6">
              <w:rPr>
                <w:rFonts w:ascii="Arial" w:hAnsi="Arial" w:cs="Arial"/>
                <w:color w:val="000000"/>
                <w:sz w:val="20"/>
                <w:szCs w:val="20"/>
                <w:lang w:val="en-US"/>
              </w:rPr>
              <w:t>13</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sidRPr="00CF07C6">
              <w:rPr>
                <w:rFonts w:ascii="Arial" w:hAnsi="Arial" w:cs="Arial"/>
                <w:color w:val="000000"/>
                <w:sz w:val="20"/>
                <w:szCs w:val="20"/>
                <w:lang w:val="en-US"/>
              </w:rPr>
              <w:t>43.3</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sidRPr="00CF07C6">
              <w:rPr>
                <w:rFonts w:ascii="Arial" w:hAnsi="Arial" w:cs="Arial"/>
                <w:color w:val="000000"/>
                <w:sz w:val="20"/>
                <w:szCs w:val="20"/>
                <w:lang w:val="en-US"/>
              </w:rPr>
              <w:t>24</w:t>
            </w:r>
          </w:p>
        </w:tc>
        <w:tc>
          <w:tcPr>
            <w:tcW w:w="1231" w:type="dxa"/>
            <w:tcBorders>
              <w:left w:val="single" w:sz="4" w:space="0" w:color="auto"/>
            </w:tcBorders>
            <w:shd w:val="clear" w:color="auto" w:fill="auto"/>
            <w:vAlign w:val="center"/>
          </w:tcPr>
          <w:p w:rsidR="00C60153" w:rsidRPr="00CF07C6" w:rsidRDefault="00C60153" w:rsidP="00C60153">
            <w:pPr>
              <w:spacing w:line="360" w:lineRule="auto"/>
              <w:ind w:leftChars="-16" w:left="-8" w:hangingChars="15" w:hanging="30"/>
              <w:jc w:val="center"/>
              <w:rPr>
                <w:rFonts w:ascii="Arial" w:hAnsi="Arial" w:cs="Arial"/>
                <w:color w:val="000000"/>
                <w:sz w:val="20"/>
                <w:szCs w:val="20"/>
              </w:rPr>
            </w:pPr>
            <w:r w:rsidRPr="00CF07C6">
              <w:rPr>
                <w:rFonts w:ascii="Arial" w:hAnsi="Arial" w:cs="Arial"/>
                <w:color w:val="000000"/>
                <w:sz w:val="20"/>
                <w:szCs w:val="20"/>
                <w:lang w:val="en-US"/>
              </w:rPr>
              <w:t>40</w:t>
            </w:r>
          </w:p>
        </w:tc>
      </w:tr>
      <w:tr w:rsidR="00C60153" w:rsidRPr="00A5101C" w:rsidTr="007E63B8">
        <w:trPr>
          <w:trHeight w:val="425"/>
        </w:trPr>
        <w:tc>
          <w:tcPr>
            <w:tcW w:w="1389" w:type="dxa"/>
            <w:tcBorders>
              <w:bottom w:val="single" w:sz="4" w:space="0" w:color="auto"/>
              <w:right w:val="single" w:sz="4" w:space="0" w:color="auto"/>
            </w:tcBorders>
            <w:shd w:val="clear" w:color="auto" w:fill="auto"/>
            <w:vAlign w:val="center"/>
          </w:tcPr>
          <w:p w:rsidR="00C60153" w:rsidRPr="00CF07C6" w:rsidRDefault="00C60153" w:rsidP="00283CE4">
            <w:pPr>
              <w:spacing w:line="360" w:lineRule="auto"/>
              <w:rPr>
                <w:rFonts w:ascii="Arial" w:hAnsi="Arial" w:cs="Arial"/>
                <w:sz w:val="20"/>
                <w:szCs w:val="20"/>
              </w:rPr>
            </w:pPr>
            <w:r w:rsidRPr="00CF07C6">
              <w:rPr>
                <w:rFonts w:ascii="Arial" w:hAnsi="Arial" w:cs="Arial"/>
                <w:sz w:val="20"/>
                <w:szCs w:val="20"/>
              </w:rPr>
              <w:t>Toplam</w:t>
            </w:r>
          </w:p>
        </w:tc>
        <w:tc>
          <w:tcPr>
            <w:tcW w:w="1042" w:type="dxa"/>
            <w:tcBorders>
              <w:left w:val="single" w:sz="4" w:space="0" w:color="auto"/>
              <w:bottom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30</w:t>
            </w:r>
          </w:p>
        </w:tc>
        <w:tc>
          <w:tcPr>
            <w:tcW w:w="1130" w:type="dxa"/>
            <w:tcBorders>
              <w:left w:val="single" w:sz="4" w:space="0" w:color="auto"/>
              <w:bottom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100</w:t>
            </w:r>
          </w:p>
        </w:tc>
        <w:tc>
          <w:tcPr>
            <w:tcW w:w="1092" w:type="dxa"/>
            <w:tcBorders>
              <w:left w:val="single" w:sz="4" w:space="0" w:color="auto"/>
              <w:bottom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30</w:t>
            </w:r>
          </w:p>
        </w:tc>
        <w:tc>
          <w:tcPr>
            <w:tcW w:w="1130" w:type="dxa"/>
            <w:tcBorders>
              <w:left w:val="single" w:sz="4" w:space="0" w:color="auto"/>
              <w:bottom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100</w:t>
            </w:r>
          </w:p>
        </w:tc>
        <w:tc>
          <w:tcPr>
            <w:tcW w:w="1092" w:type="dxa"/>
            <w:tcBorders>
              <w:left w:val="single" w:sz="4" w:space="0" w:color="auto"/>
              <w:bottom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60</w:t>
            </w:r>
          </w:p>
        </w:tc>
        <w:tc>
          <w:tcPr>
            <w:tcW w:w="1231" w:type="dxa"/>
            <w:tcBorders>
              <w:left w:val="single" w:sz="4" w:space="0" w:color="auto"/>
              <w:bottom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100</w:t>
            </w:r>
          </w:p>
        </w:tc>
      </w:tr>
      <w:tr w:rsidR="00C60153" w:rsidRPr="00B53664" w:rsidTr="007E63B8">
        <w:trPr>
          <w:trHeight w:val="425"/>
        </w:trPr>
        <w:tc>
          <w:tcPr>
            <w:tcW w:w="8106" w:type="dxa"/>
            <w:gridSpan w:val="7"/>
            <w:tcBorders>
              <w:bottom w:val="nil"/>
            </w:tcBorders>
            <w:shd w:val="clear" w:color="auto" w:fill="auto"/>
            <w:vAlign w:val="center"/>
          </w:tcPr>
          <w:p w:rsidR="00C60153" w:rsidRPr="00CF07C6" w:rsidRDefault="00C60153" w:rsidP="00283CE4">
            <w:pPr>
              <w:spacing w:line="360" w:lineRule="auto"/>
              <w:rPr>
                <w:rFonts w:ascii="Arial" w:hAnsi="Arial" w:cs="Arial"/>
                <w:sz w:val="20"/>
                <w:szCs w:val="20"/>
              </w:rPr>
            </w:pPr>
            <w:r w:rsidRPr="00CF07C6">
              <w:rPr>
                <w:rFonts w:ascii="Arial" w:hAnsi="Arial" w:cs="Arial"/>
                <w:sz w:val="20"/>
                <w:szCs w:val="20"/>
              </w:rPr>
              <w:t>χ ² = 0</w:t>
            </w:r>
            <w:r w:rsidRPr="00CF07C6">
              <w:rPr>
                <w:rFonts w:ascii="Arial" w:hAnsi="Arial" w:cs="Arial"/>
                <w:color w:val="000000"/>
                <w:sz w:val="20"/>
                <w:szCs w:val="20"/>
                <w:lang w:val="en-US"/>
              </w:rPr>
              <w:t>.278</w:t>
            </w:r>
            <w:r w:rsidRPr="00CF07C6">
              <w:rPr>
                <w:rFonts w:ascii="Arial" w:hAnsi="Arial" w:cs="Arial"/>
                <w:sz w:val="20"/>
                <w:szCs w:val="20"/>
              </w:rPr>
              <w:t xml:space="preserve">    p = </w:t>
            </w:r>
            <w:r w:rsidRPr="00CF07C6">
              <w:rPr>
                <w:rFonts w:ascii="Arial" w:hAnsi="Arial" w:cs="Arial"/>
                <w:color w:val="000000"/>
                <w:sz w:val="20"/>
                <w:szCs w:val="20"/>
                <w:lang w:val="en-US"/>
              </w:rPr>
              <w:t>0.598</w:t>
            </w:r>
          </w:p>
        </w:tc>
      </w:tr>
    </w:tbl>
    <w:p w:rsidR="00C60153" w:rsidRPr="007E63B8" w:rsidRDefault="00C60153" w:rsidP="00C60153">
      <w:pPr>
        <w:spacing w:line="360" w:lineRule="auto"/>
        <w:contextualSpacing/>
        <w:jc w:val="both"/>
        <w:rPr>
          <w:rFonts w:ascii="Arial" w:hAnsi="Arial" w:cs="Arial"/>
          <w:b/>
          <w:sz w:val="22"/>
          <w:szCs w:val="22"/>
          <w:shd w:val="clear" w:color="auto" w:fill="FFFFFF"/>
        </w:rPr>
      </w:pPr>
      <w:r w:rsidRPr="007E63B8">
        <w:rPr>
          <w:rFonts w:ascii="Arial" w:hAnsi="Arial" w:cs="Arial"/>
          <w:sz w:val="22"/>
          <w:szCs w:val="22"/>
        </w:rPr>
        <w:t>*χ ² testi, Yates süreklilik düzeltmesi yapılmıştır. p &lt; 0,05 anlamlıdır</w:t>
      </w:r>
    </w:p>
    <w:p w:rsidR="007E63B8" w:rsidRDefault="007E63B8" w:rsidP="007E63B8">
      <w:pPr>
        <w:spacing w:line="360" w:lineRule="auto"/>
        <w:ind w:firstLine="567"/>
        <w:contextualSpacing/>
        <w:jc w:val="both"/>
        <w:rPr>
          <w:rFonts w:ascii="Arial" w:hAnsi="Arial" w:cs="Arial"/>
          <w:b/>
          <w:sz w:val="22"/>
          <w:szCs w:val="22"/>
          <w:shd w:val="clear" w:color="auto" w:fill="FFFFFF"/>
        </w:rPr>
      </w:pPr>
    </w:p>
    <w:p w:rsidR="00C60153" w:rsidRPr="007E63B8" w:rsidRDefault="00C60153" w:rsidP="007E63B8">
      <w:pPr>
        <w:spacing w:line="360" w:lineRule="auto"/>
        <w:ind w:firstLine="567"/>
        <w:contextualSpacing/>
        <w:jc w:val="both"/>
        <w:rPr>
          <w:rFonts w:ascii="Arial" w:hAnsi="Arial" w:cs="Arial"/>
          <w:b/>
          <w:sz w:val="22"/>
          <w:szCs w:val="22"/>
          <w:shd w:val="clear" w:color="auto" w:fill="FFFFFF"/>
        </w:rPr>
      </w:pPr>
      <w:r w:rsidRPr="007E63B8">
        <w:rPr>
          <w:rFonts w:ascii="Arial" w:hAnsi="Arial" w:cs="Arial"/>
          <w:b/>
          <w:sz w:val="22"/>
          <w:szCs w:val="22"/>
          <w:shd w:val="clear" w:color="auto" w:fill="FFFFFF"/>
        </w:rPr>
        <w:t>Gebelikte Annenin Geçirdiği Hastalık</w:t>
      </w:r>
    </w:p>
    <w:p w:rsidR="00C60153" w:rsidRPr="007E63B8" w:rsidRDefault="00C60153" w:rsidP="00C60153">
      <w:pPr>
        <w:spacing w:line="360" w:lineRule="auto"/>
        <w:ind w:firstLine="567"/>
        <w:contextualSpacing/>
        <w:jc w:val="both"/>
        <w:rPr>
          <w:rFonts w:ascii="Arial" w:hAnsi="Arial" w:cs="Arial"/>
          <w:sz w:val="22"/>
          <w:szCs w:val="22"/>
        </w:rPr>
      </w:pPr>
      <w:r w:rsidRPr="007E63B8">
        <w:rPr>
          <w:rFonts w:ascii="Arial" w:hAnsi="Arial" w:cs="Arial"/>
          <w:color w:val="000000" w:themeColor="text1"/>
          <w:sz w:val="22"/>
          <w:szCs w:val="22"/>
        </w:rPr>
        <w:t xml:space="preserve">Olgu grubundaki çocukların annelerinin o gebelikte %30.0’ının (n=9), kontrol grubundakilerin %13.3’ünün (n=4) hastalık geçirdiği bulunmuştur. Olgu grubundakilerin %70.0’ının (n=21), kontrol grubundakilerin %86.7’sinin (n=26) gebelikte hastalık geçirmediği bulunmuştur. </w:t>
      </w:r>
      <w:r w:rsidRPr="007E63B8">
        <w:rPr>
          <w:rFonts w:ascii="Arial" w:hAnsi="Arial" w:cs="Arial"/>
          <w:sz w:val="22"/>
          <w:szCs w:val="22"/>
        </w:rPr>
        <w:t xml:space="preserve">  (Tablo 15).</w:t>
      </w:r>
    </w:p>
    <w:p w:rsidR="00C60153" w:rsidRPr="007E63B8" w:rsidRDefault="00C60153" w:rsidP="00C60153">
      <w:pPr>
        <w:spacing w:line="360" w:lineRule="auto"/>
        <w:ind w:firstLine="567"/>
        <w:contextualSpacing/>
        <w:jc w:val="both"/>
        <w:rPr>
          <w:sz w:val="22"/>
          <w:szCs w:val="22"/>
          <w:shd w:val="clear" w:color="auto" w:fill="FFFFFF"/>
        </w:rPr>
      </w:pPr>
    </w:p>
    <w:p w:rsidR="00C60153" w:rsidRPr="007E63B8" w:rsidRDefault="00C60153" w:rsidP="00C60153">
      <w:pPr>
        <w:rPr>
          <w:rFonts w:ascii="Arial" w:hAnsi="Arial" w:cs="Arial"/>
          <w:sz w:val="22"/>
          <w:szCs w:val="22"/>
        </w:rPr>
      </w:pPr>
      <w:r w:rsidRPr="007E63B8">
        <w:rPr>
          <w:rFonts w:ascii="Arial" w:hAnsi="Arial" w:cs="Arial"/>
          <w:sz w:val="22"/>
          <w:szCs w:val="22"/>
        </w:rPr>
        <w:t>Tablo 15. Olgu ve kontrol grubundaki çocukların annelerinde gebelikte hastalık varlığı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042"/>
        <w:gridCol w:w="1130"/>
        <w:gridCol w:w="1092"/>
        <w:gridCol w:w="1130"/>
        <w:gridCol w:w="1092"/>
        <w:gridCol w:w="1231"/>
      </w:tblGrid>
      <w:tr w:rsidR="00C60153" w:rsidRPr="00B53664" w:rsidTr="00283CE4">
        <w:trPr>
          <w:trHeight w:val="425"/>
        </w:trPr>
        <w:tc>
          <w:tcPr>
            <w:tcW w:w="1389" w:type="dxa"/>
            <w:vMerge w:val="restart"/>
            <w:tcBorders>
              <w:bottom w:val="single" w:sz="4" w:space="0" w:color="auto"/>
            </w:tcBorders>
            <w:shd w:val="clear" w:color="auto" w:fill="auto"/>
          </w:tcPr>
          <w:p w:rsidR="00C60153" w:rsidRPr="003E0D10" w:rsidRDefault="00C60153" w:rsidP="00283CE4">
            <w:pPr>
              <w:jc w:val="center"/>
              <w:rPr>
                <w:rFonts w:ascii="Arial" w:hAnsi="Arial" w:cs="Arial"/>
                <w:b/>
                <w:sz w:val="20"/>
                <w:szCs w:val="20"/>
              </w:rPr>
            </w:pPr>
          </w:p>
          <w:p w:rsidR="00C60153" w:rsidRDefault="00C60153" w:rsidP="00283CE4">
            <w:pPr>
              <w:jc w:val="center"/>
              <w:rPr>
                <w:rFonts w:ascii="Arial" w:hAnsi="Arial" w:cs="Arial"/>
                <w:b/>
                <w:sz w:val="20"/>
                <w:szCs w:val="20"/>
              </w:rPr>
            </w:pPr>
            <w:r>
              <w:rPr>
                <w:rFonts w:ascii="Arial" w:hAnsi="Arial" w:cs="Arial"/>
                <w:b/>
                <w:sz w:val="20"/>
                <w:szCs w:val="20"/>
              </w:rPr>
              <w:t>Gebelikte</w:t>
            </w:r>
          </w:p>
          <w:p w:rsidR="00C60153" w:rsidRPr="003E0D10" w:rsidRDefault="00C60153" w:rsidP="00283CE4">
            <w:pPr>
              <w:jc w:val="center"/>
              <w:rPr>
                <w:rFonts w:ascii="Arial" w:hAnsi="Arial" w:cs="Arial"/>
                <w:sz w:val="20"/>
                <w:szCs w:val="20"/>
              </w:rPr>
            </w:pPr>
            <w:r>
              <w:rPr>
                <w:rFonts w:ascii="Arial" w:hAnsi="Arial" w:cs="Arial"/>
                <w:b/>
                <w:sz w:val="20"/>
                <w:szCs w:val="20"/>
              </w:rPr>
              <w:t>hastalık</w:t>
            </w:r>
          </w:p>
        </w:tc>
        <w:tc>
          <w:tcPr>
            <w:tcW w:w="2172" w:type="dxa"/>
            <w:gridSpan w:val="2"/>
            <w:tcBorders>
              <w:bottom w:val="single" w:sz="4" w:space="0" w:color="auto"/>
            </w:tcBorders>
            <w:shd w:val="clear" w:color="auto" w:fill="auto"/>
          </w:tcPr>
          <w:p w:rsidR="00C60153" w:rsidRPr="003E0D10" w:rsidRDefault="00C60153" w:rsidP="00283CE4">
            <w:pPr>
              <w:jc w:val="center"/>
              <w:rPr>
                <w:rFonts w:ascii="Arial" w:hAnsi="Arial" w:cs="Arial"/>
                <w:b/>
                <w:sz w:val="20"/>
                <w:szCs w:val="20"/>
              </w:rPr>
            </w:pPr>
            <w:r w:rsidRPr="003E0D10">
              <w:rPr>
                <w:rFonts w:ascii="Arial" w:hAnsi="Arial" w:cs="Arial"/>
                <w:b/>
                <w:sz w:val="20"/>
                <w:szCs w:val="20"/>
              </w:rPr>
              <w:t>Olgu</w:t>
            </w:r>
          </w:p>
        </w:tc>
        <w:tc>
          <w:tcPr>
            <w:tcW w:w="2222" w:type="dxa"/>
            <w:gridSpan w:val="2"/>
            <w:tcBorders>
              <w:bottom w:val="single" w:sz="4" w:space="0" w:color="auto"/>
            </w:tcBorders>
            <w:shd w:val="clear" w:color="auto" w:fill="auto"/>
          </w:tcPr>
          <w:p w:rsidR="00C60153" w:rsidRPr="003E0D10" w:rsidRDefault="00C60153" w:rsidP="00283CE4">
            <w:pPr>
              <w:jc w:val="center"/>
              <w:rPr>
                <w:rFonts w:ascii="Arial" w:hAnsi="Arial" w:cs="Arial"/>
                <w:b/>
                <w:sz w:val="20"/>
                <w:szCs w:val="20"/>
              </w:rPr>
            </w:pPr>
            <w:r w:rsidRPr="003E0D10">
              <w:rPr>
                <w:rFonts w:ascii="Arial" w:hAnsi="Arial" w:cs="Arial"/>
                <w:b/>
                <w:sz w:val="20"/>
                <w:szCs w:val="20"/>
              </w:rPr>
              <w:t>Kontrol</w:t>
            </w:r>
          </w:p>
        </w:tc>
        <w:tc>
          <w:tcPr>
            <w:tcW w:w="2323" w:type="dxa"/>
            <w:gridSpan w:val="2"/>
            <w:tcBorders>
              <w:bottom w:val="single" w:sz="4" w:space="0" w:color="auto"/>
            </w:tcBorders>
            <w:shd w:val="clear" w:color="auto" w:fill="auto"/>
          </w:tcPr>
          <w:p w:rsidR="00C60153" w:rsidRPr="003E0D10" w:rsidRDefault="00C60153" w:rsidP="00283CE4">
            <w:pPr>
              <w:jc w:val="center"/>
              <w:rPr>
                <w:rFonts w:ascii="Arial" w:hAnsi="Arial" w:cs="Arial"/>
                <w:b/>
                <w:sz w:val="20"/>
                <w:szCs w:val="20"/>
              </w:rPr>
            </w:pPr>
            <w:r w:rsidRPr="003E0D10">
              <w:rPr>
                <w:rFonts w:ascii="Arial" w:hAnsi="Arial" w:cs="Arial"/>
                <w:b/>
                <w:sz w:val="20"/>
                <w:szCs w:val="20"/>
              </w:rPr>
              <w:t>Toplam</w:t>
            </w:r>
          </w:p>
        </w:tc>
      </w:tr>
      <w:tr w:rsidR="00C60153" w:rsidRPr="00B53664" w:rsidTr="00283CE4">
        <w:trPr>
          <w:trHeight w:val="425"/>
        </w:trPr>
        <w:tc>
          <w:tcPr>
            <w:tcW w:w="1389" w:type="dxa"/>
            <w:vMerge/>
            <w:tcBorders>
              <w:top w:val="single" w:sz="4" w:space="0" w:color="auto"/>
              <w:right w:val="single" w:sz="4" w:space="0" w:color="auto"/>
            </w:tcBorders>
            <w:shd w:val="clear" w:color="auto" w:fill="auto"/>
          </w:tcPr>
          <w:p w:rsidR="00C60153" w:rsidRPr="003E0D10" w:rsidRDefault="00C60153" w:rsidP="00283CE4">
            <w:pPr>
              <w:jc w:val="center"/>
              <w:rPr>
                <w:rFonts w:ascii="Arial" w:hAnsi="Arial" w:cs="Arial"/>
                <w:sz w:val="20"/>
                <w:szCs w:val="20"/>
              </w:rPr>
            </w:pPr>
          </w:p>
        </w:tc>
        <w:tc>
          <w:tcPr>
            <w:tcW w:w="1042"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sz w:val="20"/>
                <w:szCs w:val="20"/>
              </w:rPr>
              <w:t>n</w:t>
            </w:r>
          </w:p>
        </w:tc>
        <w:tc>
          <w:tcPr>
            <w:tcW w:w="1231" w:type="dxa"/>
            <w:tcBorders>
              <w:top w:val="single" w:sz="4" w:space="0" w:color="auto"/>
              <w:lef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sz w:val="20"/>
                <w:szCs w:val="20"/>
              </w:rPr>
              <w:t>%</w:t>
            </w:r>
          </w:p>
        </w:tc>
      </w:tr>
      <w:tr w:rsidR="00C60153" w:rsidRPr="00B53664" w:rsidTr="00283CE4">
        <w:trPr>
          <w:trHeight w:val="425"/>
        </w:trPr>
        <w:tc>
          <w:tcPr>
            <w:tcW w:w="1389" w:type="dxa"/>
            <w:tcBorders>
              <w:right w:val="single" w:sz="4" w:space="0" w:color="auto"/>
            </w:tcBorders>
            <w:shd w:val="clear" w:color="auto" w:fill="auto"/>
            <w:vAlign w:val="center"/>
          </w:tcPr>
          <w:p w:rsidR="00C60153" w:rsidRPr="003E0D10" w:rsidRDefault="00C60153" w:rsidP="00283CE4">
            <w:pPr>
              <w:rPr>
                <w:rFonts w:ascii="Arial" w:hAnsi="Arial" w:cs="Arial"/>
                <w:sz w:val="20"/>
                <w:szCs w:val="20"/>
              </w:rPr>
            </w:pPr>
            <w:r>
              <w:rPr>
                <w:rFonts w:ascii="Arial" w:hAnsi="Arial" w:cs="Arial"/>
                <w:sz w:val="20"/>
                <w:szCs w:val="20"/>
              </w:rPr>
              <w:t>Var</w:t>
            </w:r>
          </w:p>
        </w:tc>
        <w:tc>
          <w:tcPr>
            <w:tcW w:w="1042"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color w:val="000000"/>
                <w:sz w:val="20"/>
                <w:szCs w:val="20"/>
              </w:rPr>
            </w:pPr>
            <w:r>
              <w:rPr>
                <w:rFonts w:ascii="Arial" w:hAnsi="Arial" w:cs="Arial"/>
                <w:color w:val="000000"/>
                <w:sz w:val="20"/>
                <w:szCs w:val="20"/>
                <w:lang w:val="en-US"/>
              </w:rPr>
              <w:t>9</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color w:val="000000"/>
                <w:sz w:val="20"/>
                <w:szCs w:val="20"/>
              </w:rPr>
            </w:pPr>
            <w:r>
              <w:rPr>
                <w:rFonts w:ascii="Arial" w:hAnsi="Arial" w:cs="Arial"/>
                <w:color w:val="000000"/>
                <w:sz w:val="20"/>
                <w:szCs w:val="20"/>
                <w:lang w:val="en-US"/>
              </w:rPr>
              <w:t xml:space="preserve">30.0 </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color w:val="000000"/>
                <w:sz w:val="20"/>
                <w:szCs w:val="20"/>
              </w:rPr>
            </w:pPr>
            <w:r>
              <w:rPr>
                <w:rFonts w:ascii="Arial" w:hAnsi="Arial" w:cs="Arial"/>
                <w:color w:val="000000"/>
                <w:sz w:val="20"/>
                <w:szCs w:val="20"/>
                <w:lang w:val="en-US"/>
              </w:rPr>
              <w:t>4</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color w:val="000000"/>
                <w:sz w:val="20"/>
                <w:szCs w:val="20"/>
              </w:rPr>
            </w:pPr>
            <w:r>
              <w:rPr>
                <w:rFonts w:ascii="Arial" w:hAnsi="Arial" w:cs="Arial"/>
                <w:color w:val="000000"/>
                <w:sz w:val="20"/>
                <w:szCs w:val="20"/>
                <w:lang w:val="en-US"/>
              </w:rPr>
              <w:t>13.3</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color w:val="000000"/>
                <w:sz w:val="20"/>
                <w:szCs w:val="20"/>
              </w:rPr>
            </w:pPr>
            <w:r>
              <w:rPr>
                <w:rFonts w:ascii="Arial" w:hAnsi="Arial" w:cs="Arial"/>
                <w:color w:val="000000"/>
                <w:sz w:val="20"/>
                <w:szCs w:val="20"/>
                <w:lang w:val="en-US"/>
              </w:rPr>
              <w:t>13</w:t>
            </w:r>
          </w:p>
        </w:tc>
        <w:tc>
          <w:tcPr>
            <w:tcW w:w="1231" w:type="dxa"/>
            <w:tcBorders>
              <w:left w:val="single" w:sz="4" w:space="0" w:color="auto"/>
            </w:tcBorders>
            <w:shd w:val="clear" w:color="auto" w:fill="auto"/>
            <w:vAlign w:val="center"/>
          </w:tcPr>
          <w:p w:rsidR="00C60153" w:rsidRPr="003E0D10" w:rsidRDefault="00C60153" w:rsidP="00283CE4">
            <w:pPr>
              <w:jc w:val="center"/>
              <w:rPr>
                <w:rFonts w:ascii="Arial" w:hAnsi="Arial" w:cs="Arial"/>
                <w:color w:val="000000"/>
                <w:sz w:val="20"/>
                <w:szCs w:val="20"/>
              </w:rPr>
            </w:pPr>
            <w:r>
              <w:rPr>
                <w:rFonts w:ascii="Arial" w:hAnsi="Arial" w:cs="Arial"/>
                <w:color w:val="000000"/>
                <w:sz w:val="20"/>
                <w:szCs w:val="20"/>
                <w:lang w:val="en-US"/>
              </w:rPr>
              <w:t>21.7</w:t>
            </w:r>
          </w:p>
        </w:tc>
      </w:tr>
      <w:tr w:rsidR="00C60153" w:rsidRPr="00B53664" w:rsidTr="00283CE4">
        <w:trPr>
          <w:trHeight w:val="425"/>
        </w:trPr>
        <w:tc>
          <w:tcPr>
            <w:tcW w:w="1389" w:type="dxa"/>
            <w:tcBorders>
              <w:right w:val="single" w:sz="4" w:space="0" w:color="auto"/>
            </w:tcBorders>
            <w:shd w:val="clear" w:color="auto" w:fill="auto"/>
            <w:vAlign w:val="center"/>
          </w:tcPr>
          <w:p w:rsidR="00C60153" w:rsidRPr="003E0D10" w:rsidRDefault="00C60153" w:rsidP="00283CE4">
            <w:pPr>
              <w:rPr>
                <w:rFonts w:ascii="Arial" w:hAnsi="Arial" w:cs="Arial"/>
                <w:sz w:val="20"/>
                <w:szCs w:val="20"/>
              </w:rPr>
            </w:pPr>
            <w:r>
              <w:rPr>
                <w:rFonts w:ascii="Arial" w:hAnsi="Arial" w:cs="Arial"/>
                <w:sz w:val="20"/>
                <w:szCs w:val="20"/>
              </w:rPr>
              <w:t>Yok</w:t>
            </w:r>
          </w:p>
        </w:tc>
        <w:tc>
          <w:tcPr>
            <w:tcW w:w="1042"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color w:val="000000" w:themeColor="text1"/>
                <w:sz w:val="20"/>
                <w:szCs w:val="20"/>
              </w:rPr>
            </w:pPr>
            <w:r>
              <w:rPr>
                <w:rFonts w:ascii="Arial" w:hAnsi="Arial" w:cs="Arial"/>
                <w:color w:val="000000"/>
                <w:sz w:val="20"/>
                <w:szCs w:val="20"/>
                <w:lang w:val="en-US"/>
              </w:rPr>
              <w:t>21</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ind w:firstLineChars="5" w:firstLine="10"/>
              <w:jc w:val="center"/>
              <w:rPr>
                <w:rFonts w:ascii="Arial" w:hAnsi="Arial" w:cs="Arial"/>
                <w:color w:val="000000" w:themeColor="text1"/>
                <w:sz w:val="20"/>
                <w:szCs w:val="20"/>
              </w:rPr>
            </w:pPr>
            <w:r>
              <w:rPr>
                <w:rFonts w:ascii="Arial" w:hAnsi="Arial" w:cs="Arial"/>
                <w:color w:val="000000"/>
                <w:sz w:val="20"/>
                <w:szCs w:val="20"/>
                <w:lang w:val="en-US"/>
              </w:rPr>
              <w:t>70.0</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color w:val="000000"/>
                <w:sz w:val="20"/>
                <w:szCs w:val="20"/>
              </w:rPr>
            </w:pPr>
            <w:r>
              <w:rPr>
                <w:rFonts w:ascii="Arial" w:hAnsi="Arial" w:cs="Arial"/>
                <w:color w:val="000000"/>
                <w:sz w:val="20"/>
                <w:szCs w:val="20"/>
                <w:lang w:val="en-US"/>
              </w:rPr>
              <w:t>26</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color w:val="000000"/>
                <w:sz w:val="20"/>
                <w:szCs w:val="20"/>
              </w:rPr>
            </w:pPr>
            <w:r>
              <w:rPr>
                <w:rFonts w:ascii="Arial" w:hAnsi="Arial" w:cs="Arial"/>
                <w:color w:val="000000"/>
                <w:sz w:val="20"/>
                <w:szCs w:val="20"/>
                <w:lang w:val="en-US"/>
              </w:rPr>
              <w:t>86.7</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color w:val="000000"/>
                <w:sz w:val="20"/>
                <w:szCs w:val="20"/>
              </w:rPr>
            </w:pPr>
            <w:r>
              <w:rPr>
                <w:rFonts w:ascii="Arial" w:hAnsi="Arial" w:cs="Arial"/>
                <w:color w:val="000000"/>
                <w:sz w:val="20"/>
                <w:szCs w:val="20"/>
                <w:lang w:val="en-US"/>
              </w:rPr>
              <w:t>47</w:t>
            </w:r>
          </w:p>
        </w:tc>
        <w:tc>
          <w:tcPr>
            <w:tcW w:w="1231" w:type="dxa"/>
            <w:tcBorders>
              <w:left w:val="single" w:sz="4" w:space="0" w:color="auto"/>
            </w:tcBorders>
            <w:shd w:val="clear" w:color="auto" w:fill="auto"/>
            <w:vAlign w:val="center"/>
          </w:tcPr>
          <w:p w:rsidR="00C60153" w:rsidRPr="003E0D10" w:rsidRDefault="00C60153" w:rsidP="00C60153">
            <w:pPr>
              <w:ind w:leftChars="-16" w:left="-8" w:hangingChars="15" w:hanging="30"/>
              <w:jc w:val="center"/>
              <w:rPr>
                <w:rFonts w:ascii="Arial" w:hAnsi="Arial" w:cs="Arial"/>
                <w:color w:val="000000"/>
                <w:sz w:val="20"/>
                <w:szCs w:val="20"/>
              </w:rPr>
            </w:pPr>
            <w:r>
              <w:rPr>
                <w:rFonts w:ascii="Arial" w:hAnsi="Arial" w:cs="Arial"/>
                <w:color w:val="000000"/>
                <w:sz w:val="20"/>
                <w:szCs w:val="20"/>
                <w:lang w:val="en-US"/>
              </w:rPr>
              <w:t>78.3</w:t>
            </w:r>
          </w:p>
        </w:tc>
      </w:tr>
      <w:tr w:rsidR="00C60153" w:rsidRPr="00B53664" w:rsidTr="00283CE4">
        <w:trPr>
          <w:trHeight w:val="425"/>
        </w:trPr>
        <w:tc>
          <w:tcPr>
            <w:tcW w:w="1389" w:type="dxa"/>
            <w:tcBorders>
              <w:right w:val="single" w:sz="4" w:space="0" w:color="auto"/>
            </w:tcBorders>
            <w:shd w:val="clear" w:color="auto" w:fill="auto"/>
            <w:vAlign w:val="center"/>
          </w:tcPr>
          <w:p w:rsidR="00C60153" w:rsidRPr="003E0D10" w:rsidRDefault="00C60153" w:rsidP="00283CE4">
            <w:pPr>
              <w:rPr>
                <w:rFonts w:ascii="Arial" w:hAnsi="Arial" w:cs="Arial"/>
                <w:sz w:val="20"/>
                <w:szCs w:val="20"/>
              </w:rPr>
            </w:pPr>
            <w:r w:rsidRPr="003E0D10">
              <w:rPr>
                <w:rFonts w:ascii="Arial" w:hAnsi="Arial" w:cs="Arial"/>
                <w:sz w:val="20"/>
                <w:szCs w:val="20"/>
              </w:rPr>
              <w:t>Toplam</w:t>
            </w:r>
          </w:p>
        </w:tc>
        <w:tc>
          <w:tcPr>
            <w:tcW w:w="1042"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color w:val="000000"/>
                <w:sz w:val="20"/>
                <w:szCs w:val="20"/>
                <w:lang w:val="en-US"/>
              </w:rPr>
              <w:t>60</w:t>
            </w:r>
          </w:p>
        </w:tc>
        <w:tc>
          <w:tcPr>
            <w:tcW w:w="1231" w:type="dxa"/>
            <w:tcBorders>
              <w:left w:val="single" w:sz="4" w:space="0" w:color="auto"/>
            </w:tcBorders>
            <w:shd w:val="clear" w:color="auto" w:fill="auto"/>
            <w:vAlign w:val="center"/>
          </w:tcPr>
          <w:p w:rsidR="00C60153" w:rsidRPr="003E0D10" w:rsidRDefault="00C60153" w:rsidP="00283CE4">
            <w:pPr>
              <w:jc w:val="center"/>
              <w:rPr>
                <w:rFonts w:ascii="Arial" w:hAnsi="Arial" w:cs="Arial"/>
                <w:sz w:val="20"/>
                <w:szCs w:val="20"/>
              </w:rPr>
            </w:pPr>
            <w:r w:rsidRPr="003E0D10">
              <w:rPr>
                <w:rFonts w:ascii="Arial" w:hAnsi="Arial" w:cs="Arial"/>
                <w:color w:val="000000"/>
                <w:sz w:val="20"/>
                <w:szCs w:val="20"/>
                <w:lang w:val="en-US"/>
              </w:rPr>
              <w:t>100</w:t>
            </w:r>
          </w:p>
        </w:tc>
      </w:tr>
      <w:tr w:rsidR="00C60153" w:rsidRPr="00B53664" w:rsidTr="00283CE4">
        <w:trPr>
          <w:trHeight w:val="425"/>
        </w:trPr>
        <w:tc>
          <w:tcPr>
            <w:tcW w:w="8106" w:type="dxa"/>
            <w:gridSpan w:val="7"/>
            <w:shd w:val="clear" w:color="auto" w:fill="auto"/>
            <w:vAlign w:val="center"/>
          </w:tcPr>
          <w:p w:rsidR="00C60153" w:rsidRPr="003E0D10" w:rsidRDefault="00C60153" w:rsidP="00283CE4">
            <w:pPr>
              <w:rPr>
                <w:rFonts w:ascii="Arial" w:hAnsi="Arial" w:cs="Arial"/>
                <w:sz w:val="20"/>
                <w:szCs w:val="20"/>
              </w:rPr>
            </w:pPr>
            <w:r w:rsidRPr="003E0D10">
              <w:rPr>
                <w:rFonts w:ascii="Arial" w:hAnsi="Arial" w:cs="Arial"/>
                <w:sz w:val="20"/>
                <w:szCs w:val="20"/>
              </w:rPr>
              <w:t xml:space="preserve">χ ² = </w:t>
            </w:r>
            <w:r>
              <w:rPr>
                <w:rFonts w:ascii="Arial" w:hAnsi="Arial" w:cs="Arial"/>
                <w:color w:val="000000"/>
                <w:sz w:val="20"/>
                <w:szCs w:val="20"/>
                <w:lang w:val="en-US"/>
              </w:rPr>
              <w:t>2.455</w:t>
            </w:r>
            <w:r w:rsidRPr="003E0D10">
              <w:rPr>
                <w:rFonts w:ascii="Arial" w:hAnsi="Arial" w:cs="Arial"/>
                <w:sz w:val="20"/>
                <w:szCs w:val="20"/>
              </w:rPr>
              <w:t xml:space="preserve">    p = </w:t>
            </w:r>
            <w:r w:rsidRPr="003E0D10">
              <w:rPr>
                <w:rFonts w:ascii="Arial" w:hAnsi="Arial" w:cs="Arial"/>
                <w:color w:val="000000"/>
                <w:sz w:val="20"/>
                <w:szCs w:val="20"/>
                <w:lang w:val="en-US"/>
              </w:rPr>
              <w:t>0.</w:t>
            </w:r>
            <w:r>
              <w:rPr>
                <w:rFonts w:ascii="Arial" w:hAnsi="Arial" w:cs="Arial"/>
                <w:color w:val="000000"/>
                <w:sz w:val="20"/>
                <w:szCs w:val="20"/>
                <w:lang w:val="en-US"/>
              </w:rPr>
              <w:t>117</w:t>
            </w:r>
          </w:p>
        </w:tc>
      </w:tr>
    </w:tbl>
    <w:p w:rsidR="00C60153" w:rsidRPr="007E63B8" w:rsidRDefault="00C60153" w:rsidP="00C60153">
      <w:pPr>
        <w:rPr>
          <w:rFonts w:ascii="Arial" w:hAnsi="Arial" w:cs="Arial"/>
          <w:sz w:val="22"/>
          <w:szCs w:val="22"/>
        </w:rPr>
      </w:pPr>
      <w:r w:rsidRPr="007E63B8">
        <w:rPr>
          <w:rFonts w:ascii="Arial" w:hAnsi="Arial" w:cs="Arial"/>
          <w:sz w:val="22"/>
          <w:szCs w:val="22"/>
        </w:rPr>
        <w:t>χ ² testi ve Yates süreklilik düzeltmesi yapılmıştır. p &lt; 0.05 anlamlıdır.</w:t>
      </w:r>
    </w:p>
    <w:p w:rsidR="00C60153" w:rsidRDefault="00C60153" w:rsidP="00C60153">
      <w:pPr>
        <w:spacing w:line="360" w:lineRule="auto"/>
        <w:ind w:firstLine="567"/>
        <w:contextualSpacing/>
        <w:jc w:val="both"/>
        <w:rPr>
          <w:b/>
          <w:shd w:val="clear" w:color="auto" w:fill="FFFFFF"/>
        </w:rPr>
      </w:pPr>
    </w:p>
    <w:p w:rsidR="00C60153" w:rsidRPr="007E63B8" w:rsidRDefault="00C60153" w:rsidP="00C60153">
      <w:pPr>
        <w:spacing w:line="360" w:lineRule="auto"/>
        <w:ind w:firstLine="567"/>
        <w:contextualSpacing/>
        <w:jc w:val="both"/>
        <w:rPr>
          <w:rFonts w:ascii="Arial" w:hAnsi="Arial" w:cs="Arial"/>
          <w:b/>
          <w:sz w:val="22"/>
          <w:szCs w:val="22"/>
          <w:shd w:val="clear" w:color="auto" w:fill="FFFFFF"/>
        </w:rPr>
      </w:pPr>
      <w:r w:rsidRPr="007E63B8">
        <w:rPr>
          <w:rFonts w:ascii="Arial" w:hAnsi="Arial" w:cs="Arial"/>
          <w:b/>
          <w:sz w:val="22"/>
          <w:szCs w:val="22"/>
          <w:shd w:val="clear" w:color="auto" w:fill="FFFFFF"/>
        </w:rPr>
        <w:t>Ders Başarısı</w:t>
      </w:r>
    </w:p>
    <w:p w:rsidR="00C60153" w:rsidRPr="007E63B8" w:rsidRDefault="00C60153" w:rsidP="00C60153">
      <w:pPr>
        <w:spacing w:line="360" w:lineRule="auto"/>
        <w:ind w:firstLine="567"/>
        <w:contextualSpacing/>
        <w:jc w:val="both"/>
        <w:rPr>
          <w:rFonts w:ascii="Arial" w:hAnsi="Arial" w:cs="Arial"/>
          <w:sz w:val="22"/>
          <w:szCs w:val="22"/>
        </w:rPr>
      </w:pPr>
      <w:r w:rsidRPr="007E63B8">
        <w:rPr>
          <w:rFonts w:ascii="Arial" w:hAnsi="Arial" w:cs="Arial"/>
          <w:sz w:val="22"/>
          <w:szCs w:val="22"/>
        </w:rPr>
        <w:t xml:space="preserve">Çalışmaya dahil edilen çocukların ders başarıları ailenin belirlemesi esas alınarak pek iyi, iyi, orta, ortanın altı ve zayıf olarak gruplanmıştır. Olgu grubundaki çocukların ders başarısı dağılımları, %26.7 (n=8) pek iyi, %20.0 (n=6) iyi, %33.3 (n=10) orta, %16.7 (n=5) ortanın altı ve %3.3 (n=1) zayıf olarak bulunmuştur. Kontrol grubundaki çocukların ders başarısı dağılımları ise, %60.0 (n=18) pek iyi, %30.0 (n=9) iyi ve %10 (n=3) orta olarak saptanmış, bu grupta ders başarısı ortadan az katılımcı olmadığı belirlenmiştir. Ders başarısı açısından grupları karşılaştırmak </w:t>
      </w:r>
      <w:r w:rsidRPr="007E63B8">
        <w:rPr>
          <w:rFonts w:ascii="Arial" w:hAnsi="Arial" w:cs="Arial"/>
          <w:sz w:val="22"/>
          <w:szCs w:val="22"/>
        </w:rPr>
        <w:lastRenderedPageBreak/>
        <w:t>için, ders başarısı iyi ve üzeri olanlar ile orta ve altı olanlar iki alt gruba ayrılmıştır. Olgu grubunda ders başarısı kontrol grubuna göre anlamlı olarak düşük bulunmuştur (p=0.001)  (Tablo 16).</w:t>
      </w:r>
    </w:p>
    <w:p w:rsidR="00C60153" w:rsidRDefault="00C60153" w:rsidP="00C60153">
      <w:pPr>
        <w:spacing w:line="360" w:lineRule="auto"/>
        <w:ind w:firstLine="567"/>
        <w:contextualSpacing/>
        <w:jc w:val="both"/>
      </w:pPr>
    </w:p>
    <w:p w:rsidR="00C60153" w:rsidRPr="007E63B8" w:rsidRDefault="00C60153" w:rsidP="00C60153">
      <w:pPr>
        <w:rPr>
          <w:rFonts w:ascii="Arial" w:hAnsi="Arial" w:cs="Arial"/>
          <w:sz w:val="22"/>
          <w:szCs w:val="22"/>
        </w:rPr>
      </w:pPr>
      <w:r w:rsidRPr="007E63B8">
        <w:rPr>
          <w:rFonts w:ascii="Arial" w:hAnsi="Arial" w:cs="Arial"/>
          <w:sz w:val="22"/>
          <w:szCs w:val="22"/>
        </w:rPr>
        <w:t>Tablo 16. Olgu ve kontrol grubundaki çocukların ders başarısı</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042"/>
        <w:gridCol w:w="1130"/>
        <w:gridCol w:w="1092"/>
        <w:gridCol w:w="1130"/>
        <w:gridCol w:w="1092"/>
        <w:gridCol w:w="1231"/>
      </w:tblGrid>
      <w:tr w:rsidR="00C60153" w:rsidRPr="00CF07C6" w:rsidTr="00283CE4">
        <w:trPr>
          <w:trHeight w:val="425"/>
        </w:trPr>
        <w:tc>
          <w:tcPr>
            <w:tcW w:w="1389" w:type="dxa"/>
            <w:vMerge w:val="restart"/>
            <w:tcBorders>
              <w:bottom w:val="single" w:sz="4" w:space="0" w:color="auto"/>
            </w:tcBorders>
            <w:shd w:val="clear" w:color="auto" w:fill="auto"/>
          </w:tcPr>
          <w:p w:rsidR="00C60153" w:rsidRPr="00CF07C6" w:rsidRDefault="00C60153" w:rsidP="00283CE4">
            <w:pPr>
              <w:spacing w:line="360" w:lineRule="auto"/>
              <w:jc w:val="center"/>
              <w:rPr>
                <w:rFonts w:ascii="Arial" w:hAnsi="Arial" w:cs="Arial"/>
                <w:b/>
                <w:sz w:val="20"/>
                <w:szCs w:val="20"/>
              </w:rPr>
            </w:pPr>
          </w:p>
          <w:p w:rsidR="00C60153" w:rsidRPr="00CF07C6" w:rsidRDefault="00C60153" w:rsidP="00283CE4">
            <w:pPr>
              <w:spacing w:line="360" w:lineRule="auto"/>
              <w:jc w:val="center"/>
              <w:rPr>
                <w:rFonts w:ascii="Arial" w:hAnsi="Arial" w:cs="Arial"/>
                <w:sz w:val="20"/>
                <w:szCs w:val="20"/>
              </w:rPr>
            </w:pPr>
            <w:r w:rsidRPr="00CF07C6">
              <w:rPr>
                <w:rFonts w:ascii="Arial" w:hAnsi="Arial" w:cs="Arial"/>
                <w:b/>
                <w:sz w:val="20"/>
                <w:szCs w:val="20"/>
              </w:rPr>
              <w:t>Ders Başarısı</w:t>
            </w:r>
          </w:p>
        </w:tc>
        <w:tc>
          <w:tcPr>
            <w:tcW w:w="2172" w:type="dxa"/>
            <w:gridSpan w:val="2"/>
            <w:tcBorders>
              <w:bottom w:val="single" w:sz="4" w:space="0" w:color="auto"/>
            </w:tcBorders>
            <w:shd w:val="clear" w:color="auto" w:fill="auto"/>
          </w:tcPr>
          <w:p w:rsidR="00C60153" w:rsidRPr="00CF07C6" w:rsidRDefault="00C60153" w:rsidP="00283CE4">
            <w:pPr>
              <w:spacing w:line="360" w:lineRule="auto"/>
              <w:jc w:val="center"/>
              <w:rPr>
                <w:rFonts w:ascii="Arial" w:hAnsi="Arial" w:cs="Arial"/>
                <w:b/>
                <w:sz w:val="20"/>
                <w:szCs w:val="20"/>
              </w:rPr>
            </w:pPr>
            <w:r w:rsidRPr="00CF07C6">
              <w:rPr>
                <w:rFonts w:ascii="Arial" w:hAnsi="Arial" w:cs="Arial"/>
                <w:b/>
                <w:sz w:val="20"/>
                <w:szCs w:val="20"/>
              </w:rPr>
              <w:t>Olgu</w:t>
            </w:r>
          </w:p>
        </w:tc>
        <w:tc>
          <w:tcPr>
            <w:tcW w:w="2222" w:type="dxa"/>
            <w:gridSpan w:val="2"/>
            <w:tcBorders>
              <w:bottom w:val="single" w:sz="4" w:space="0" w:color="auto"/>
            </w:tcBorders>
            <w:shd w:val="clear" w:color="auto" w:fill="auto"/>
          </w:tcPr>
          <w:p w:rsidR="00C60153" w:rsidRPr="00CF07C6" w:rsidRDefault="00C60153" w:rsidP="00283CE4">
            <w:pPr>
              <w:spacing w:line="360" w:lineRule="auto"/>
              <w:jc w:val="center"/>
              <w:rPr>
                <w:rFonts w:ascii="Arial" w:hAnsi="Arial" w:cs="Arial"/>
                <w:b/>
                <w:sz w:val="20"/>
                <w:szCs w:val="20"/>
              </w:rPr>
            </w:pPr>
            <w:r w:rsidRPr="00CF07C6">
              <w:rPr>
                <w:rFonts w:ascii="Arial" w:hAnsi="Arial" w:cs="Arial"/>
                <w:b/>
                <w:sz w:val="20"/>
                <w:szCs w:val="20"/>
              </w:rPr>
              <w:t>Kontrol</w:t>
            </w:r>
          </w:p>
        </w:tc>
        <w:tc>
          <w:tcPr>
            <w:tcW w:w="2323" w:type="dxa"/>
            <w:gridSpan w:val="2"/>
            <w:tcBorders>
              <w:bottom w:val="single" w:sz="4" w:space="0" w:color="auto"/>
            </w:tcBorders>
            <w:shd w:val="clear" w:color="auto" w:fill="auto"/>
          </w:tcPr>
          <w:p w:rsidR="00C60153" w:rsidRPr="00CF07C6" w:rsidRDefault="00C60153" w:rsidP="00283CE4">
            <w:pPr>
              <w:jc w:val="center"/>
              <w:rPr>
                <w:rFonts w:ascii="Arial" w:hAnsi="Arial" w:cs="Arial"/>
                <w:b/>
                <w:sz w:val="20"/>
                <w:szCs w:val="20"/>
              </w:rPr>
            </w:pPr>
            <w:r w:rsidRPr="00CF07C6">
              <w:rPr>
                <w:rFonts w:ascii="Arial" w:hAnsi="Arial" w:cs="Arial"/>
                <w:b/>
                <w:sz w:val="20"/>
                <w:szCs w:val="20"/>
              </w:rPr>
              <w:t>Toplam</w:t>
            </w:r>
          </w:p>
        </w:tc>
      </w:tr>
      <w:tr w:rsidR="00C60153" w:rsidRPr="00CF07C6" w:rsidTr="00283CE4">
        <w:trPr>
          <w:trHeight w:val="425"/>
        </w:trPr>
        <w:tc>
          <w:tcPr>
            <w:tcW w:w="1389" w:type="dxa"/>
            <w:vMerge/>
            <w:tcBorders>
              <w:top w:val="single" w:sz="4" w:space="0" w:color="auto"/>
              <w:right w:val="single" w:sz="4" w:space="0" w:color="auto"/>
            </w:tcBorders>
            <w:shd w:val="clear" w:color="auto" w:fill="auto"/>
          </w:tcPr>
          <w:p w:rsidR="00C60153" w:rsidRPr="00CF07C6" w:rsidRDefault="00C60153" w:rsidP="00283CE4">
            <w:pPr>
              <w:spacing w:line="360" w:lineRule="auto"/>
              <w:jc w:val="center"/>
              <w:rPr>
                <w:rFonts w:ascii="Arial" w:hAnsi="Arial" w:cs="Arial"/>
                <w:sz w:val="20"/>
                <w:szCs w:val="20"/>
              </w:rPr>
            </w:pPr>
          </w:p>
        </w:tc>
        <w:tc>
          <w:tcPr>
            <w:tcW w:w="1042"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n</w:t>
            </w:r>
          </w:p>
        </w:tc>
        <w:tc>
          <w:tcPr>
            <w:tcW w:w="1231" w:type="dxa"/>
            <w:tcBorders>
              <w:top w:val="single" w:sz="4" w:space="0" w:color="auto"/>
              <w:lef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w:t>
            </w:r>
          </w:p>
        </w:tc>
      </w:tr>
      <w:tr w:rsidR="00C60153" w:rsidRPr="00CF07C6" w:rsidTr="00283CE4">
        <w:trPr>
          <w:trHeight w:val="425"/>
        </w:trPr>
        <w:tc>
          <w:tcPr>
            <w:tcW w:w="1389" w:type="dxa"/>
            <w:tcBorders>
              <w:right w:val="single" w:sz="4" w:space="0" w:color="auto"/>
            </w:tcBorders>
            <w:shd w:val="clear" w:color="auto" w:fill="auto"/>
            <w:vAlign w:val="center"/>
          </w:tcPr>
          <w:p w:rsidR="00C60153" w:rsidRPr="00CF07C6" w:rsidRDefault="00C60153" w:rsidP="00283CE4">
            <w:pPr>
              <w:spacing w:line="360" w:lineRule="auto"/>
              <w:rPr>
                <w:rFonts w:ascii="Arial" w:hAnsi="Arial" w:cs="Arial"/>
                <w:sz w:val="20"/>
                <w:szCs w:val="20"/>
              </w:rPr>
            </w:pPr>
            <w:r w:rsidRPr="00CF07C6">
              <w:rPr>
                <w:rFonts w:ascii="Arial" w:hAnsi="Arial" w:cs="Arial"/>
                <w:sz w:val="20"/>
                <w:szCs w:val="20"/>
              </w:rPr>
              <w:t>İyi ve üzeri</w:t>
            </w:r>
          </w:p>
        </w:tc>
        <w:tc>
          <w:tcPr>
            <w:tcW w:w="104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sidRPr="00CF07C6">
              <w:rPr>
                <w:rFonts w:ascii="Arial" w:hAnsi="Arial" w:cs="Arial"/>
                <w:color w:val="000000"/>
                <w:sz w:val="20"/>
                <w:szCs w:val="20"/>
                <w:lang w:val="en-US"/>
              </w:rPr>
              <w:t>14</w:t>
            </w:r>
          </w:p>
        </w:tc>
        <w:tc>
          <w:tcPr>
            <w:tcW w:w="1130" w:type="dxa"/>
            <w:tcBorders>
              <w:left w:val="single" w:sz="4" w:space="0" w:color="auto"/>
              <w:right w:val="single" w:sz="4" w:space="0" w:color="auto"/>
            </w:tcBorders>
            <w:shd w:val="clear" w:color="auto" w:fill="auto"/>
            <w:vAlign w:val="center"/>
          </w:tcPr>
          <w:p w:rsidR="00C60153" w:rsidRPr="00CF07C6" w:rsidRDefault="00055F30" w:rsidP="00055F30">
            <w:pPr>
              <w:spacing w:line="360" w:lineRule="auto"/>
              <w:jc w:val="center"/>
              <w:rPr>
                <w:rFonts w:ascii="Arial" w:hAnsi="Arial" w:cs="Arial"/>
                <w:color w:val="000000"/>
                <w:sz w:val="20"/>
                <w:szCs w:val="20"/>
              </w:rPr>
            </w:pPr>
            <w:r>
              <w:rPr>
                <w:rFonts w:ascii="Arial" w:hAnsi="Arial" w:cs="Arial"/>
                <w:color w:val="000000"/>
                <w:sz w:val="20"/>
                <w:szCs w:val="20"/>
                <w:lang w:val="en-US"/>
              </w:rPr>
              <w:t>46</w:t>
            </w:r>
            <w:r w:rsidR="00C60153" w:rsidRPr="00CF07C6">
              <w:rPr>
                <w:rFonts w:ascii="Arial" w:hAnsi="Arial" w:cs="Arial"/>
                <w:color w:val="000000"/>
                <w:sz w:val="20"/>
                <w:szCs w:val="20"/>
                <w:lang w:val="en-US"/>
              </w:rPr>
              <w:t>.</w:t>
            </w:r>
            <w:r>
              <w:rPr>
                <w:rFonts w:ascii="Arial" w:hAnsi="Arial" w:cs="Arial"/>
                <w:color w:val="000000"/>
                <w:sz w:val="20"/>
                <w:szCs w:val="20"/>
                <w:lang w:val="en-US"/>
              </w:rPr>
              <w:t>7</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sidRPr="00CF07C6">
              <w:rPr>
                <w:rFonts w:ascii="Arial" w:hAnsi="Arial" w:cs="Arial"/>
                <w:color w:val="000000"/>
                <w:sz w:val="20"/>
                <w:szCs w:val="20"/>
                <w:lang w:val="en-US"/>
              </w:rPr>
              <w:t>27</w:t>
            </w:r>
          </w:p>
        </w:tc>
        <w:tc>
          <w:tcPr>
            <w:tcW w:w="1130" w:type="dxa"/>
            <w:tcBorders>
              <w:left w:val="single" w:sz="4" w:space="0" w:color="auto"/>
              <w:right w:val="single" w:sz="4" w:space="0" w:color="auto"/>
            </w:tcBorders>
            <w:shd w:val="clear" w:color="auto" w:fill="auto"/>
            <w:vAlign w:val="center"/>
          </w:tcPr>
          <w:p w:rsidR="00C60153" w:rsidRPr="00CF07C6" w:rsidRDefault="0014504B" w:rsidP="00283CE4">
            <w:pPr>
              <w:spacing w:line="360" w:lineRule="auto"/>
              <w:jc w:val="center"/>
              <w:rPr>
                <w:rFonts w:ascii="Arial" w:hAnsi="Arial" w:cs="Arial"/>
                <w:color w:val="000000"/>
                <w:sz w:val="20"/>
                <w:szCs w:val="20"/>
              </w:rPr>
            </w:pPr>
            <w:r>
              <w:rPr>
                <w:rFonts w:ascii="Arial" w:hAnsi="Arial" w:cs="Arial"/>
                <w:color w:val="000000"/>
                <w:sz w:val="20"/>
                <w:szCs w:val="20"/>
                <w:lang w:val="en-US"/>
              </w:rPr>
              <w:t>90</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sidRPr="00CF07C6">
              <w:rPr>
                <w:rFonts w:ascii="Arial" w:hAnsi="Arial" w:cs="Arial"/>
                <w:color w:val="000000"/>
                <w:sz w:val="20"/>
                <w:szCs w:val="20"/>
                <w:lang w:val="en-US"/>
              </w:rPr>
              <w:t>41</w:t>
            </w:r>
          </w:p>
        </w:tc>
        <w:tc>
          <w:tcPr>
            <w:tcW w:w="1231" w:type="dxa"/>
            <w:tcBorders>
              <w:left w:val="single" w:sz="4" w:space="0" w:color="auto"/>
            </w:tcBorders>
            <w:shd w:val="clear" w:color="auto" w:fill="auto"/>
            <w:vAlign w:val="center"/>
          </w:tcPr>
          <w:p w:rsidR="00C60153" w:rsidRPr="0014504B" w:rsidRDefault="0014504B" w:rsidP="0014504B">
            <w:pPr>
              <w:spacing w:line="360" w:lineRule="auto"/>
              <w:jc w:val="center"/>
              <w:rPr>
                <w:rFonts w:ascii="Arial" w:hAnsi="Arial" w:cs="Arial"/>
                <w:color w:val="000000"/>
                <w:sz w:val="20"/>
                <w:szCs w:val="20"/>
                <w:lang w:val="en-US"/>
              </w:rPr>
            </w:pPr>
            <w:r w:rsidRPr="0014504B">
              <w:rPr>
                <w:rFonts w:ascii="Arial" w:hAnsi="Arial" w:cs="Arial"/>
                <w:color w:val="000000"/>
                <w:sz w:val="20"/>
                <w:szCs w:val="20"/>
                <w:lang w:val="en-US"/>
              </w:rPr>
              <w:t>6</w:t>
            </w:r>
            <w:r w:rsidRPr="0014504B">
              <w:rPr>
                <w:rFonts w:ascii="Arial" w:hAnsi="Arial" w:cs="Arial"/>
                <w:color w:val="000000"/>
                <w:sz w:val="20"/>
                <w:szCs w:val="20"/>
              </w:rPr>
              <w:t>8.3</w:t>
            </w:r>
            <w:r w:rsidRPr="0014504B">
              <w:rPr>
                <w:rFonts w:ascii="Arial" w:hAnsi="Arial" w:cs="Arial"/>
                <w:color w:val="000000"/>
                <w:sz w:val="20"/>
                <w:szCs w:val="20"/>
                <w:lang w:val="en-US"/>
              </w:rPr>
              <w:t xml:space="preserve"> </w:t>
            </w:r>
          </w:p>
        </w:tc>
      </w:tr>
      <w:tr w:rsidR="00C60153" w:rsidRPr="00CF07C6" w:rsidTr="00283CE4">
        <w:trPr>
          <w:trHeight w:val="425"/>
        </w:trPr>
        <w:tc>
          <w:tcPr>
            <w:tcW w:w="1389" w:type="dxa"/>
            <w:tcBorders>
              <w:right w:val="single" w:sz="4" w:space="0" w:color="auto"/>
            </w:tcBorders>
            <w:shd w:val="clear" w:color="auto" w:fill="auto"/>
            <w:vAlign w:val="center"/>
          </w:tcPr>
          <w:p w:rsidR="00C60153" w:rsidRPr="00CF07C6" w:rsidRDefault="00C60153" w:rsidP="00283CE4">
            <w:pPr>
              <w:spacing w:line="360" w:lineRule="auto"/>
              <w:rPr>
                <w:rFonts w:ascii="Arial" w:hAnsi="Arial" w:cs="Arial"/>
                <w:sz w:val="20"/>
                <w:szCs w:val="20"/>
              </w:rPr>
            </w:pPr>
            <w:r w:rsidRPr="00CF07C6">
              <w:rPr>
                <w:rFonts w:ascii="Arial" w:hAnsi="Arial" w:cs="Arial"/>
                <w:sz w:val="20"/>
                <w:szCs w:val="20"/>
              </w:rPr>
              <w:t>Orta ve altı</w:t>
            </w:r>
          </w:p>
        </w:tc>
        <w:tc>
          <w:tcPr>
            <w:tcW w:w="104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themeColor="text1"/>
                <w:sz w:val="20"/>
                <w:szCs w:val="20"/>
              </w:rPr>
            </w:pPr>
            <w:r w:rsidRPr="00CF07C6">
              <w:rPr>
                <w:rFonts w:ascii="Arial" w:hAnsi="Arial" w:cs="Arial"/>
                <w:color w:val="000000"/>
                <w:sz w:val="20"/>
                <w:szCs w:val="20"/>
                <w:lang w:val="en-US"/>
              </w:rPr>
              <w:t>16</w:t>
            </w:r>
          </w:p>
        </w:tc>
        <w:tc>
          <w:tcPr>
            <w:tcW w:w="1130" w:type="dxa"/>
            <w:tcBorders>
              <w:left w:val="single" w:sz="4" w:space="0" w:color="auto"/>
              <w:right w:val="single" w:sz="4" w:space="0" w:color="auto"/>
            </w:tcBorders>
            <w:shd w:val="clear" w:color="auto" w:fill="auto"/>
            <w:vAlign w:val="center"/>
          </w:tcPr>
          <w:p w:rsidR="00C60153" w:rsidRPr="00CF07C6" w:rsidRDefault="00055F30" w:rsidP="00055F30">
            <w:pPr>
              <w:spacing w:line="360" w:lineRule="auto"/>
              <w:ind w:firstLineChars="5" w:firstLine="10"/>
              <w:jc w:val="center"/>
              <w:rPr>
                <w:rFonts w:ascii="Arial" w:hAnsi="Arial" w:cs="Arial"/>
                <w:color w:val="000000" w:themeColor="text1"/>
                <w:sz w:val="20"/>
                <w:szCs w:val="20"/>
              </w:rPr>
            </w:pPr>
            <w:r>
              <w:rPr>
                <w:rFonts w:ascii="Arial" w:hAnsi="Arial" w:cs="Arial"/>
                <w:color w:val="000000"/>
                <w:sz w:val="20"/>
                <w:szCs w:val="20"/>
                <w:lang w:val="en-US"/>
              </w:rPr>
              <w:t>53</w:t>
            </w:r>
            <w:r w:rsidR="00C60153" w:rsidRPr="00CF07C6">
              <w:rPr>
                <w:rFonts w:ascii="Arial" w:hAnsi="Arial" w:cs="Arial"/>
                <w:color w:val="000000"/>
                <w:sz w:val="20"/>
                <w:szCs w:val="20"/>
                <w:lang w:val="en-US"/>
              </w:rPr>
              <w:t>.</w:t>
            </w:r>
            <w:r>
              <w:rPr>
                <w:rFonts w:ascii="Arial" w:hAnsi="Arial" w:cs="Arial"/>
                <w:color w:val="000000"/>
                <w:sz w:val="20"/>
                <w:szCs w:val="20"/>
                <w:lang w:val="en-US"/>
              </w:rPr>
              <w:t>3</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sidRPr="00CF07C6">
              <w:rPr>
                <w:rFonts w:ascii="Arial" w:hAnsi="Arial" w:cs="Arial"/>
                <w:color w:val="000000"/>
                <w:sz w:val="20"/>
                <w:szCs w:val="20"/>
                <w:lang w:val="en-US"/>
              </w:rPr>
              <w:t>3</w:t>
            </w:r>
          </w:p>
        </w:tc>
        <w:tc>
          <w:tcPr>
            <w:tcW w:w="1130" w:type="dxa"/>
            <w:tcBorders>
              <w:left w:val="single" w:sz="4" w:space="0" w:color="auto"/>
              <w:right w:val="single" w:sz="4" w:space="0" w:color="auto"/>
            </w:tcBorders>
            <w:shd w:val="clear" w:color="auto" w:fill="auto"/>
            <w:vAlign w:val="center"/>
          </w:tcPr>
          <w:p w:rsidR="00C60153" w:rsidRPr="00CF07C6" w:rsidRDefault="0014504B" w:rsidP="00283CE4">
            <w:pPr>
              <w:spacing w:line="360" w:lineRule="auto"/>
              <w:jc w:val="center"/>
              <w:rPr>
                <w:rFonts w:ascii="Arial" w:hAnsi="Arial" w:cs="Arial"/>
                <w:color w:val="000000"/>
                <w:sz w:val="20"/>
                <w:szCs w:val="20"/>
              </w:rPr>
            </w:pPr>
            <w:r>
              <w:rPr>
                <w:rFonts w:ascii="Arial" w:hAnsi="Arial" w:cs="Arial"/>
                <w:color w:val="000000"/>
                <w:sz w:val="20"/>
                <w:szCs w:val="20"/>
                <w:lang w:val="en-US"/>
              </w:rPr>
              <w:t>10</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sidRPr="00CF07C6">
              <w:rPr>
                <w:rFonts w:ascii="Arial" w:hAnsi="Arial" w:cs="Arial"/>
                <w:color w:val="000000"/>
                <w:sz w:val="20"/>
                <w:szCs w:val="20"/>
                <w:lang w:val="en-US"/>
              </w:rPr>
              <w:t>19</w:t>
            </w:r>
          </w:p>
        </w:tc>
        <w:tc>
          <w:tcPr>
            <w:tcW w:w="1231" w:type="dxa"/>
            <w:tcBorders>
              <w:left w:val="single" w:sz="4" w:space="0" w:color="auto"/>
            </w:tcBorders>
            <w:shd w:val="clear" w:color="auto" w:fill="auto"/>
            <w:vAlign w:val="center"/>
          </w:tcPr>
          <w:p w:rsidR="00C60153" w:rsidRPr="0014504B" w:rsidRDefault="0014504B" w:rsidP="0014504B">
            <w:pPr>
              <w:spacing w:line="360" w:lineRule="auto"/>
              <w:ind w:leftChars="-16" w:left="-8" w:hangingChars="15" w:hanging="30"/>
              <w:jc w:val="center"/>
              <w:rPr>
                <w:rFonts w:ascii="Arial" w:hAnsi="Arial" w:cs="Arial"/>
                <w:color w:val="000000"/>
                <w:sz w:val="20"/>
                <w:szCs w:val="20"/>
                <w:lang w:val="en-US"/>
              </w:rPr>
            </w:pPr>
            <w:r w:rsidRPr="0014504B">
              <w:rPr>
                <w:rFonts w:ascii="Arial" w:hAnsi="Arial" w:cs="Arial"/>
                <w:color w:val="000000"/>
                <w:sz w:val="20"/>
                <w:szCs w:val="20"/>
              </w:rPr>
              <w:t>31.7</w:t>
            </w:r>
            <w:r w:rsidRPr="0014504B">
              <w:rPr>
                <w:rFonts w:ascii="Arial" w:hAnsi="Arial" w:cs="Arial"/>
                <w:color w:val="000000"/>
                <w:sz w:val="20"/>
                <w:szCs w:val="20"/>
                <w:lang w:val="en-US"/>
              </w:rPr>
              <w:t xml:space="preserve"> </w:t>
            </w:r>
          </w:p>
        </w:tc>
      </w:tr>
      <w:tr w:rsidR="00C60153" w:rsidRPr="00CF07C6" w:rsidTr="00283CE4">
        <w:trPr>
          <w:trHeight w:val="77"/>
        </w:trPr>
        <w:tc>
          <w:tcPr>
            <w:tcW w:w="1389" w:type="dxa"/>
            <w:tcBorders>
              <w:right w:val="single" w:sz="4" w:space="0" w:color="auto"/>
            </w:tcBorders>
            <w:shd w:val="clear" w:color="auto" w:fill="auto"/>
            <w:vAlign w:val="center"/>
          </w:tcPr>
          <w:p w:rsidR="00C60153" w:rsidRPr="00CF07C6" w:rsidRDefault="00C60153" w:rsidP="00283CE4">
            <w:pPr>
              <w:spacing w:line="360" w:lineRule="auto"/>
              <w:rPr>
                <w:rFonts w:ascii="Arial" w:hAnsi="Arial" w:cs="Arial"/>
                <w:sz w:val="20"/>
                <w:szCs w:val="20"/>
              </w:rPr>
            </w:pPr>
            <w:r w:rsidRPr="00CF07C6">
              <w:rPr>
                <w:rFonts w:ascii="Arial" w:hAnsi="Arial" w:cs="Arial"/>
                <w:sz w:val="20"/>
                <w:szCs w:val="20"/>
              </w:rPr>
              <w:t>Toplam</w:t>
            </w:r>
          </w:p>
        </w:tc>
        <w:tc>
          <w:tcPr>
            <w:tcW w:w="104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60</w:t>
            </w:r>
          </w:p>
        </w:tc>
        <w:tc>
          <w:tcPr>
            <w:tcW w:w="1231" w:type="dxa"/>
            <w:tcBorders>
              <w:lef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100</w:t>
            </w:r>
          </w:p>
        </w:tc>
      </w:tr>
      <w:tr w:rsidR="00C60153" w:rsidRPr="00CF07C6" w:rsidTr="00283CE4">
        <w:trPr>
          <w:trHeight w:val="425"/>
        </w:trPr>
        <w:tc>
          <w:tcPr>
            <w:tcW w:w="8106" w:type="dxa"/>
            <w:gridSpan w:val="7"/>
            <w:shd w:val="clear" w:color="auto" w:fill="auto"/>
            <w:vAlign w:val="center"/>
          </w:tcPr>
          <w:p w:rsidR="00C60153" w:rsidRPr="00CF07C6" w:rsidRDefault="00C60153" w:rsidP="00283CE4">
            <w:pPr>
              <w:spacing w:line="360" w:lineRule="auto"/>
              <w:rPr>
                <w:rFonts w:ascii="Arial" w:hAnsi="Arial" w:cs="Arial"/>
                <w:sz w:val="20"/>
                <w:szCs w:val="20"/>
              </w:rPr>
            </w:pPr>
            <w:r w:rsidRPr="00CF07C6">
              <w:rPr>
                <w:rFonts w:ascii="Arial" w:hAnsi="Arial" w:cs="Arial"/>
                <w:sz w:val="20"/>
                <w:szCs w:val="20"/>
              </w:rPr>
              <w:t>χ ² = 13</w:t>
            </w:r>
            <w:r w:rsidRPr="00CF07C6">
              <w:rPr>
                <w:rFonts w:ascii="Arial" w:hAnsi="Arial" w:cs="Arial"/>
                <w:color w:val="000000"/>
                <w:sz w:val="20"/>
                <w:szCs w:val="20"/>
                <w:lang w:val="en-US"/>
              </w:rPr>
              <w:t>.017</w:t>
            </w:r>
            <w:r w:rsidRPr="00CF07C6">
              <w:rPr>
                <w:rFonts w:ascii="Arial" w:hAnsi="Arial" w:cs="Arial"/>
                <w:sz w:val="20"/>
                <w:szCs w:val="20"/>
              </w:rPr>
              <w:t xml:space="preserve">    p = </w:t>
            </w:r>
            <w:r w:rsidRPr="00CF07C6">
              <w:rPr>
                <w:rFonts w:ascii="Arial" w:hAnsi="Arial" w:cs="Arial"/>
                <w:color w:val="000000"/>
                <w:sz w:val="20"/>
                <w:szCs w:val="20"/>
                <w:lang w:val="en-US"/>
              </w:rPr>
              <w:t>0.001</w:t>
            </w:r>
          </w:p>
        </w:tc>
      </w:tr>
    </w:tbl>
    <w:p w:rsidR="00C60153" w:rsidRPr="007E63B8" w:rsidRDefault="00C60153" w:rsidP="00C60153">
      <w:pPr>
        <w:rPr>
          <w:rFonts w:ascii="Arial" w:hAnsi="Arial" w:cs="Arial"/>
          <w:sz w:val="22"/>
          <w:szCs w:val="22"/>
        </w:rPr>
      </w:pPr>
      <w:r w:rsidRPr="007E63B8">
        <w:rPr>
          <w:rFonts w:ascii="Arial" w:hAnsi="Arial" w:cs="Arial"/>
          <w:sz w:val="22"/>
          <w:szCs w:val="22"/>
        </w:rPr>
        <w:t>χ ² testi ve Yates süreklilik düzeltmesi yapılmıştır. p &lt; 0.05 anlamlıdır.</w:t>
      </w:r>
    </w:p>
    <w:p w:rsidR="00C60153" w:rsidRDefault="00C60153" w:rsidP="00C60153">
      <w:pPr>
        <w:spacing w:line="360" w:lineRule="auto"/>
        <w:contextualSpacing/>
        <w:jc w:val="both"/>
        <w:rPr>
          <w:rFonts w:ascii="Arial" w:hAnsi="Arial" w:cs="Arial"/>
          <w:b/>
          <w:shd w:val="clear" w:color="auto" w:fill="FFFFFF"/>
        </w:rPr>
      </w:pPr>
    </w:p>
    <w:p w:rsidR="00C60153" w:rsidRPr="007E63B8" w:rsidRDefault="00C60153" w:rsidP="00C60153">
      <w:pPr>
        <w:spacing w:line="360" w:lineRule="auto"/>
        <w:ind w:firstLine="567"/>
        <w:contextualSpacing/>
        <w:jc w:val="both"/>
        <w:rPr>
          <w:rFonts w:ascii="Arial" w:hAnsi="Arial" w:cs="Arial"/>
          <w:b/>
          <w:sz w:val="22"/>
          <w:szCs w:val="22"/>
          <w:shd w:val="clear" w:color="auto" w:fill="FFFFFF"/>
        </w:rPr>
      </w:pPr>
      <w:r w:rsidRPr="007E63B8">
        <w:rPr>
          <w:rFonts w:ascii="Arial" w:hAnsi="Arial" w:cs="Arial"/>
          <w:b/>
          <w:sz w:val="22"/>
          <w:szCs w:val="22"/>
          <w:shd w:val="clear" w:color="auto" w:fill="FFFFFF"/>
        </w:rPr>
        <w:t>Okul Ödevlerini Yapabilme Durumları</w:t>
      </w:r>
    </w:p>
    <w:p w:rsidR="00C60153" w:rsidRDefault="00C60153" w:rsidP="007E63B8">
      <w:pPr>
        <w:spacing w:line="360" w:lineRule="auto"/>
        <w:ind w:firstLine="567"/>
        <w:contextualSpacing/>
        <w:jc w:val="both"/>
        <w:rPr>
          <w:rFonts w:ascii="Arial" w:hAnsi="Arial" w:cs="Arial"/>
          <w:sz w:val="22"/>
          <w:szCs w:val="22"/>
        </w:rPr>
      </w:pPr>
      <w:r w:rsidRPr="007E63B8">
        <w:rPr>
          <w:rFonts w:ascii="Arial" w:hAnsi="Arial" w:cs="Arial"/>
          <w:sz w:val="22"/>
          <w:szCs w:val="22"/>
        </w:rPr>
        <w:t>Ailenin belirlemesi esas alınarak çocukların okul ödevlerini yapabilmeleri  çok iyi, iyi, orta, sorunlu ve çok sorunlu olarak gruplara ayrılmıştır. Olgu grubunda çocukların okul ödevlerini yapabilme dağılımları %3.3 (n=1) iyi, ve %33.3 (n=9) orta, %56.7 (n=17) sorunlu ve %10.0 (n=3) çok sorunlu olarak bulunmuştur. Kontrol grubundaki çocukların ise, %73.3 (n=22) çok iyi, %20.0 (n=6) iyi, %3.3 (n=1) orta ve %3.3 (n=1) olarak bulunmuştur. Olgu grubunda ödev yapabilmesi çok iyi olan katılımcı ve kontrol grubunda ödev yapabilmesi çok sorunlu katılımcı saptanmamıştır. Olgu ve kontrol grubu ödev yapabilme durumları açısından karşılaştırılmak üzere, ödev yapabilme durumu iyi ve çok iyi olanlar ile orta ve altı olanlar olmak üzere iki alt gruba ayrılmıştır. Olgu grubunda ödev yapabilme durumu daha kötü saptanmıştır (p&lt;0.001) (Tablo 17).</w:t>
      </w:r>
    </w:p>
    <w:p w:rsidR="007E63B8" w:rsidRDefault="007E63B8" w:rsidP="007E63B8">
      <w:pPr>
        <w:spacing w:line="360" w:lineRule="auto"/>
        <w:ind w:firstLine="567"/>
        <w:contextualSpacing/>
        <w:jc w:val="both"/>
        <w:rPr>
          <w:rFonts w:ascii="Arial" w:hAnsi="Arial" w:cs="Arial"/>
          <w:sz w:val="22"/>
          <w:szCs w:val="22"/>
        </w:rPr>
      </w:pPr>
    </w:p>
    <w:p w:rsidR="007E63B8" w:rsidRDefault="007E63B8" w:rsidP="007E63B8">
      <w:pPr>
        <w:spacing w:line="360" w:lineRule="auto"/>
        <w:ind w:firstLine="567"/>
        <w:contextualSpacing/>
        <w:jc w:val="both"/>
        <w:rPr>
          <w:rFonts w:ascii="Arial" w:hAnsi="Arial" w:cs="Arial"/>
          <w:sz w:val="22"/>
          <w:szCs w:val="22"/>
        </w:rPr>
      </w:pPr>
    </w:p>
    <w:p w:rsidR="007E63B8" w:rsidRDefault="007E63B8" w:rsidP="007E63B8">
      <w:pPr>
        <w:spacing w:line="360" w:lineRule="auto"/>
        <w:ind w:firstLine="567"/>
        <w:contextualSpacing/>
        <w:jc w:val="both"/>
        <w:rPr>
          <w:rFonts w:ascii="Arial" w:hAnsi="Arial" w:cs="Arial"/>
          <w:sz w:val="22"/>
          <w:szCs w:val="22"/>
        </w:rPr>
      </w:pPr>
    </w:p>
    <w:p w:rsidR="00823388" w:rsidRDefault="00823388" w:rsidP="007E63B8">
      <w:pPr>
        <w:spacing w:line="360" w:lineRule="auto"/>
        <w:ind w:firstLine="567"/>
        <w:contextualSpacing/>
        <w:jc w:val="both"/>
        <w:rPr>
          <w:rFonts w:ascii="Arial" w:hAnsi="Arial" w:cs="Arial"/>
          <w:sz w:val="22"/>
          <w:szCs w:val="22"/>
        </w:rPr>
      </w:pPr>
    </w:p>
    <w:p w:rsidR="00823388" w:rsidRDefault="00823388" w:rsidP="007E63B8">
      <w:pPr>
        <w:spacing w:line="360" w:lineRule="auto"/>
        <w:ind w:firstLine="567"/>
        <w:contextualSpacing/>
        <w:jc w:val="both"/>
        <w:rPr>
          <w:rFonts w:ascii="Arial" w:hAnsi="Arial" w:cs="Arial"/>
          <w:sz w:val="22"/>
          <w:szCs w:val="22"/>
        </w:rPr>
      </w:pPr>
    </w:p>
    <w:p w:rsidR="00823388" w:rsidRDefault="00823388" w:rsidP="007E63B8">
      <w:pPr>
        <w:spacing w:line="360" w:lineRule="auto"/>
        <w:ind w:firstLine="567"/>
        <w:contextualSpacing/>
        <w:jc w:val="both"/>
        <w:rPr>
          <w:rFonts w:ascii="Arial" w:hAnsi="Arial" w:cs="Arial"/>
          <w:sz w:val="22"/>
          <w:szCs w:val="22"/>
        </w:rPr>
      </w:pPr>
    </w:p>
    <w:p w:rsidR="007E63B8" w:rsidRDefault="007E63B8" w:rsidP="007E63B8">
      <w:pPr>
        <w:spacing w:line="360" w:lineRule="auto"/>
        <w:ind w:firstLine="567"/>
        <w:contextualSpacing/>
        <w:jc w:val="both"/>
        <w:rPr>
          <w:rFonts w:ascii="Arial" w:hAnsi="Arial" w:cs="Arial"/>
          <w:sz w:val="22"/>
          <w:szCs w:val="22"/>
        </w:rPr>
      </w:pPr>
    </w:p>
    <w:p w:rsidR="007E63B8" w:rsidRDefault="007E63B8" w:rsidP="007E63B8">
      <w:pPr>
        <w:spacing w:line="360" w:lineRule="auto"/>
        <w:ind w:firstLine="567"/>
        <w:contextualSpacing/>
        <w:jc w:val="both"/>
        <w:rPr>
          <w:rFonts w:ascii="Arial" w:hAnsi="Arial" w:cs="Arial"/>
          <w:sz w:val="22"/>
          <w:szCs w:val="22"/>
        </w:rPr>
      </w:pPr>
    </w:p>
    <w:p w:rsidR="007E63B8" w:rsidRDefault="007E63B8" w:rsidP="007E63B8">
      <w:pPr>
        <w:spacing w:line="360" w:lineRule="auto"/>
        <w:ind w:firstLine="567"/>
        <w:contextualSpacing/>
        <w:jc w:val="both"/>
        <w:rPr>
          <w:rFonts w:ascii="Arial" w:hAnsi="Arial" w:cs="Arial"/>
          <w:sz w:val="22"/>
          <w:szCs w:val="22"/>
        </w:rPr>
      </w:pPr>
    </w:p>
    <w:p w:rsidR="007E63B8" w:rsidRDefault="007E63B8" w:rsidP="007E63B8">
      <w:pPr>
        <w:spacing w:line="360" w:lineRule="auto"/>
        <w:ind w:firstLine="567"/>
        <w:contextualSpacing/>
        <w:jc w:val="both"/>
        <w:rPr>
          <w:rFonts w:ascii="Arial" w:hAnsi="Arial" w:cs="Arial"/>
          <w:sz w:val="22"/>
          <w:szCs w:val="22"/>
        </w:rPr>
      </w:pPr>
    </w:p>
    <w:p w:rsidR="00C60153" w:rsidRPr="007E63B8" w:rsidRDefault="00C60153" w:rsidP="00C60153">
      <w:pPr>
        <w:rPr>
          <w:rFonts w:ascii="Arial" w:hAnsi="Arial" w:cs="Arial"/>
          <w:sz w:val="22"/>
          <w:szCs w:val="22"/>
        </w:rPr>
      </w:pPr>
      <w:r w:rsidRPr="007E63B8">
        <w:rPr>
          <w:rFonts w:ascii="Arial" w:hAnsi="Arial" w:cs="Arial"/>
          <w:sz w:val="22"/>
          <w:szCs w:val="22"/>
        </w:rPr>
        <w:lastRenderedPageBreak/>
        <w:t>Tablo 17. Olgu ve kontrol grubundaki çocukların okul ödevlerini yapabilme durumları</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042"/>
        <w:gridCol w:w="1130"/>
        <w:gridCol w:w="1092"/>
        <w:gridCol w:w="1130"/>
        <w:gridCol w:w="1092"/>
        <w:gridCol w:w="1231"/>
      </w:tblGrid>
      <w:tr w:rsidR="00C60153" w:rsidRPr="00CF07C6" w:rsidTr="00283CE4">
        <w:trPr>
          <w:trHeight w:val="425"/>
        </w:trPr>
        <w:tc>
          <w:tcPr>
            <w:tcW w:w="1389" w:type="dxa"/>
            <w:vMerge w:val="restart"/>
            <w:tcBorders>
              <w:bottom w:val="single" w:sz="4" w:space="0" w:color="auto"/>
            </w:tcBorders>
            <w:shd w:val="clear" w:color="auto" w:fill="auto"/>
          </w:tcPr>
          <w:p w:rsidR="00C60153" w:rsidRPr="00CF07C6" w:rsidRDefault="00C60153" w:rsidP="00283CE4">
            <w:pPr>
              <w:spacing w:line="360" w:lineRule="auto"/>
              <w:jc w:val="center"/>
              <w:rPr>
                <w:rFonts w:ascii="Arial" w:hAnsi="Arial" w:cs="Arial"/>
                <w:b/>
                <w:sz w:val="20"/>
                <w:szCs w:val="20"/>
              </w:rPr>
            </w:pPr>
          </w:p>
          <w:p w:rsidR="00C60153" w:rsidRPr="00CF07C6" w:rsidRDefault="00C60153" w:rsidP="00283CE4">
            <w:pPr>
              <w:spacing w:line="360" w:lineRule="auto"/>
              <w:jc w:val="center"/>
              <w:rPr>
                <w:rFonts w:ascii="Arial" w:hAnsi="Arial" w:cs="Arial"/>
                <w:sz w:val="20"/>
                <w:szCs w:val="20"/>
              </w:rPr>
            </w:pPr>
            <w:r>
              <w:rPr>
                <w:rFonts w:ascii="Arial" w:hAnsi="Arial" w:cs="Arial"/>
                <w:b/>
                <w:sz w:val="20"/>
                <w:szCs w:val="20"/>
              </w:rPr>
              <w:t>Ödev yapabilme durumu</w:t>
            </w:r>
          </w:p>
        </w:tc>
        <w:tc>
          <w:tcPr>
            <w:tcW w:w="2172" w:type="dxa"/>
            <w:gridSpan w:val="2"/>
            <w:tcBorders>
              <w:bottom w:val="single" w:sz="4" w:space="0" w:color="auto"/>
            </w:tcBorders>
            <w:shd w:val="clear" w:color="auto" w:fill="auto"/>
          </w:tcPr>
          <w:p w:rsidR="00C60153" w:rsidRPr="00CF07C6" w:rsidRDefault="00C60153" w:rsidP="00283CE4">
            <w:pPr>
              <w:spacing w:line="360" w:lineRule="auto"/>
              <w:jc w:val="center"/>
              <w:rPr>
                <w:rFonts w:ascii="Arial" w:hAnsi="Arial" w:cs="Arial"/>
                <w:b/>
                <w:sz w:val="20"/>
                <w:szCs w:val="20"/>
              </w:rPr>
            </w:pPr>
            <w:r w:rsidRPr="00CF07C6">
              <w:rPr>
                <w:rFonts w:ascii="Arial" w:hAnsi="Arial" w:cs="Arial"/>
                <w:b/>
                <w:sz w:val="20"/>
                <w:szCs w:val="20"/>
              </w:rPr>
              <w:t>Olgu</w:t>
            </w:r>
          </w:p>
        </w:tc>
        <w:tc>
          <w:tcPr>
            <w:tcW w:w="2222" w:type="dxa"/>
            <w:gridSpan w:val="2"/>
            <w:tcBorders>
              <w:bottom w:val="single" w:sz="4" w:space="0" w:color="auto"/>
            </w:tcBorders>
            <w:shd w:val="clear" w:color="auto" w:fill="auto"/>
          </w:tcPr>
          <w:p w:rsidR="00C60153" w:rsidRPr="00CF07C6" w:rsidRDefault="00C60153" w:rsidP="00283CE4">
            <w:pPr>
              <w:spacing w:line="360" w:lineRule="auto"/>
              <w:jc w:val="center"/>
              <w:rPr>
                <w:rFonts w:ascii="Arial" w:hAnsi="Arial" w:cs="Arial"/>
                <w:b/>
                <w:sz w:val="20"/>
                <w:szCs w:val="20"/>
              </w:rPr>
            </w:pPr>
            <w:r w:rsidRPr="00CF07C6">
              <w:rPr>
                <w:rFonts w:ascii="Arial" w:hAnsi="Arial" w:cs="Arial"/>
                <w:b/>
                <w:sz w:val="20"/>
                <w:szCs w:val="20"/>
              </w:rPr>
              <w:t>Kontrol</w:t>
            </w:r>
          </w:p>
        </w:tc>
        <w:tc>
          <w:tcPr>
            <w:tcW w:w="2323" w:type="dxa"/>
            <w:gridSpan w:val="2"/>
            <w:tcBorders>
              <w:bottom w:val="single" w:sz="4" w:space="0" w:color="auto"/>
            </w:tcBorders>
            <w:shd w:val="clear" w:color="auto" w:fill="auto"/>
          </w:tcPr>
          <w:p w:rsidR="00C60153" w:rsidRPr="00CF07C6" w:rsidRDefault="00C60153" w:rsidP="00283CE4">
            <w:pPr>
              <w:jc w:val="center"/>
              <w:rPr>
                <w:rFonts w:ascii="Arial" w:hAnsi="Arial" w:cs="Arial"/>
                <w:b/>
                <w:sz w:val="20"/>
                <w:szCs w:val="20"/>
              </w:rPr>
            </w:pPr>
            <w:r w:rsidRPr="00CF07C6">
              <w:rPr>
                <w:rFonts w:ascii="Arial" w:hAnsi="Arial" w:cs="Arial"/>
                <w:b/>
                <w:sz w:val="20"/>
                <w:szCs w:val="20"/>
              </w:rPr>
              <w:t>Toplam</w:t>
            </w:r>
          </w:p>
        </w:tc>
      </w:tr>
      <w:tr w:rsidR="00C60153" w:rsidRPr="00CF07C6" w:rsidTr="00283CE4">
        <w:trPr>
          <w:trHeight w:val="425"/>
        </w:trPr>
        <w:tc>
          <w:tcPr>
            <w:tcW w:w="1389" w:type="dxa"/>
            <w:vMerge/>
            <w:tcBorders>
              <w:top w:val="single" w:sz="4" w:space="0" w:color="auto"/>
              <w:right w:val="single" w:sz="4" w:space="0" w:color="auto"/>
            </w:tcBorders>
            <w:shd w:val="clear" w:color="auto" w:fill="auto"/>
          </w:tcPr>
          <w:p w:rsidR="00C60153" w:rsidRPr="00CF07C6" w:rsidRDefault="00C60153" w:rsidP="00283CE4">
            <w:pPr>
              <w:spacing w:line="360" w:lineRule="auto"/>
              <w:jc w:val="center"/>
              <w:rPr>
                <w:rFonts w:ascii="Arial" w:hAnsi="Arial" w:cs="Arial"/>
                <w:sz w:val="20"/>
                <w:szCs w:val="20"/>
              </w:rPr>
            </w:pPr>
          </w:p>
        </w:tc>
        <w:tc>
          <w:tcPr>
            <w:tcW w:w="1042"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n</w:t>
            </w:r>
          </w:p>
        </w:tc>
        <w:tc>
          <w:tcPr>
            <w:tcW w:w="1231" w:type="dxa"/>
            <w:tcBorders>
              <w:top w:val="single" w:sz="4" w:space="0" w:color="auto"/>
              <w:lef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w:t>
            </w:r>
          </w:p>
        </w:tc>
      </w:tr>
      <w:tr w:rsidR="00C60153" w:rsidRPr="00CF07C6" w:rsidTr="00283CE4">
        <w:trPr>
          <w:trHeight w:val="425"/>
        </w:trPr>
        <w:tc>
          <w:tcPr>
            <w:tcW w:w="1389" w:type="dxa"/>
            <w:tcBorders>
              <w:right w:val="single" w:sz="4" w:space="0" w:color="auto"/>
            </w:tcBorders>
            <w:shd w:val="clear" w:color="auto" w:fill="auto"/>
            <w:vAlign w:val="center"/>
          </w:tcPr>
          <w:p w:rsidR="00C60153" w:rsidRPr="00CF07C6" w:rsidRDefault="00C60153" w:rsidP="00283CE4">
            <w:pPr>
              <w:spacing w:line="360" w:lineRule="auto"/>
              <w:rPr>
                <w:rFonts w:ascii="Arial" w:hAnsi="Arial" w:cs="Arial"/>
                <w:sz w:val="20"/>
                <w:szCs w:val="20"/>
              </w:rPr>
            </w:pPr>
            <w:r w:rsidRPr="00CF07C6">
              <w:rPr>
                <w:rFonts w:ascii="Arial" w:hAnsi="Arial" w:cs="Arial"/>
                <w:sz w:val="20"/>
                <w:szCs w:val="20"/>
              </w:rPr>
              <w:t>İyi ve üzeri</w:t>
            </w:r>
          </w:p>
        </w:tc>
        <w:tc>
          <w:tcPr>
            <w:tcW w:w="104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1</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3.3</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sidRPr="00CF07C6">
              <w:rPr>
                <w:rFonts w:ascii="Arial" w:hAnsi="Arial" w:cs="Arial"/>
                <w:color w:val="000000"/>
                <w:sz w:val="20"/>
                <w:szCs w:val="20"/>
                <w:lang w:val="en-US"/>
              </w:rPr>
              <w:t>27</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93.3</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28</w:t>
            </w:r>
          </w:p>
        </w:tc>
        <w:tc>
          <w:tcPr>
            <w:tcW w:w="1231" w:type="dxa"/>
            <w:tcBorders>
              <w:lef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48.3</w:t>
            </w:r>
          </w:p>
        </w:tc>
      </w:tr>
      <w:tr w:rsidR="00C60153" w:rsidRPr="00CF07C6" w:rsidTr="00283CE4">
        <w:trPr>
          <w:trHeight w:val="425"/>
        </w:trPr>
        <w:tc>
          <w:tcPr>
            <w:tcW w:w="1389" w:type="dxa"/>
            <w:tcBorders>
              <w:right w:val="single" w:sz="4" w:space="0" w:color="auto"/>
            </w:tcBorders>
            <w:shd w:val="clear" w:color="auto" w:fill="auto"/>
            <w:vAlign w:val="center"/>
          </w:tcPr>
          <w:p w:rsidR="00C60153" w:rsidRPr="00CF07C6" w:rsidRDefault="00C60153" w:rsidP="00283CE4">
            <w:pPr>
              <w:spacing w:line="360" w:lineRule="auto"/>
              <w:rPr>
                <w:rFonts w:ascii="Arial" w:hAnsi="Arial" w:cs="Arial"/>
                <w:sz w:val="20"/>
                <w:szCs w:val="20"/>
              </w:rPr>
            </w:pPr>
            <w:r w:rsidRPr="00CF07C6">
              <w:rPr>
                <w:rFonts w:ascii="Arial" w:hAnsi="Arial" w:cs="Arial"/>
                <w:sz w:val="20"/>
                <w:szCs w:val="20"/>
              </w:rPr>
              <w:t>Orta ve altı</w:t>
            </w:r>
          </w:p>
        </w:tc>
        <w:tc>
          <w:tcPr>
            <w:tcW w:w="104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themeColor="text1"/>
                <w:sz w:val="20"/>
                <w:szCs w:val="20"/>
              </w:rPr>
            </w:pPr>
            <w:r>
              <w:rPr>
                <w:rFonts w:ascii="Arial" w:hAnsi="Arial" w:cs="Arial"/>
                <w:color w:val="000000"/>
                <w:sz w:val="20"/>
                <w:szCs w:val="20"/>
                <w:lang w:val="en-US"/>
              </w:rPr>
              <w:t>29</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ind w:firstLineChars="5" w:firstLine="10"/>
              <w:jc w:val="center"/>
              <w:rPr>
                <w:rFonts w:ascii="Arial" w:hAnsi="Arial" w:cs="Arial"/>
                <w:color w:val="000000" w:themeColor="text1"/>
                <w:sz w:val="20"/>
                <w:szCs w:val="20"/>
              </w:rPr>
            </w:pPr>
            <w:r>
              <w:rPr>
                <w:rFonts w:ascii="Arial" w:hAnsi="Arial" w:cs="Arial"/>
                <w:color w:val="000000"/>
                <w:sz w:val="20"/>
                <w:szCs w:val="20"/>
                <w:lang w:val="en-US"/>
              </w:rPr>
              <w:t>9</w:t>
            </w:r>
            <w:r w:rsidRPr="00CF07C6">
              <w:rPr>
                <w:rFonts w:ascii="Arial" w:hAnsi="Arial" w:cs="Arial"/>
                <w:color w:val="000000"/>
                <w:sz w:val="20"/>
                <w:szCs w:val="20"/>
                <w:lang w:val="en-US"/>
              </w:rPr>
              <w:t>6.7</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sidRPr="00CF07C6">
              <w:rPr>
                <w:rFonts w:ascii="Arial" w:hAnsi="Arial" w:cs="Arial"/>
                <w:color w:val="000000"/>
                <w:sz w:val="20"/>
                <w:szCs w:val="20"/>
                <w:lang w:val="en-US"/>
              </w:rPr>
              <w:t>3</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6.7</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32</w:t>
            </w:r>
          </w:p>
        </w:tc>
        <w:tc>
          <w:tcPr>
            <w:tcW w:w="1231" w:type="dxa"/>
            <w:tcBorders>
              <w:left w:val="single" w:sz="4" w:space="0" w:color="auto"/>
            </w:tcBorders>
            <w:shd w:val="clear" w:color="auto" w:fill="auto"/>
            <w:vAlign w:val="center"/>
          </w:tcPr>
          <w:p w:rsidR="00C60153" w:rsidRPr="00CF07C6" w:rsidRDefault="00C60153" w:rsidP="00C60153">
            <w:pPr>
              <w:spacing w:line="360" w:lineRule="auto"/>
              <w:ind w:leftChars="-16" w:left="-8" w:hangingChars="15" w:hanging="30"/>
              <w:jc w:val="center"/>
              <w:rPr>
                <w:rFonts w:ascii="Arial" w:hAnsi="Arial" w:cs="Arial"/>
                <w:color w:val="000000"/>
                <w:sz w:val="20"/>
                <w:szCs w:val="20"/>
              </w:rPr>
            </w:pPr>
            <w:r>
              <w:rPr>
                <w:rFonts w:ascii="Arial" w:hAnsi="Arial" w:cs="Arial"/>
                <w:color w:val="000000"/>
                <w:sz w:val="20"/>
                <w:szCs w:val="20"/>
                <w:lang w:val="en-US"/>
              </w:rPr>
              <w:t>51.7</w:t>
            </w:r>
          </w:p>
        </w:tc>
      </w:tr>
      <w:tr w:rsidR="00C60153" w:rsidRPr="00CF07C6" w:rsidTr="00283CE4">
        <w:trPr>
          <w:trHeight w:val="77"/>
        </w:trPr>
        <w:tc>
          <w:tcPr>
            <w:tcW w:w="1389" w:type="dxa"/>
            <w:tcBorders>
              <w:right w:val="single" w:sz="4" w:space="0" w:color="auto"/>
            </w:tcBorders>
            <w:shd w:val="clear" w:color="auto" w:fill="auto"/>
            <w:vAlign w:val="center"/>
          </w:tcPr>
          <w:p w:rsidR="00C60153" w:rsidRPr="00CF07C6" w:rsidRDefault="00C60153" w:rsidP="00283CE4">
            <w:pPr>
              <w:spacing w:line="360" w:lineRule="auto"/>
              <w:rPr>
                <w:rFonts w:ascii="Arial" w:hAnsi="Arial" w:cs="Arial"/>
                <w:sz w:val="20"/>
                <w:szCs w:val="20"/>
              </w:rPr>
            </w:pPr>
            <w:r w:rsidRPr="00CF07C6">
              <w:rPr>
                <w:rFonts w:ascii="Arial" w:hAnsi="Arial" w:cs="Arial"/>
                <w:sz w:val="20"/>
                <w:szCs w:val="20"/>
              </w:rPr>
              <w:t>Toplam</w:t>
            </w:r>
          </w:p>
        </w:tc>
        <w:tc>
          <w:tcPr>
            <w:tcW w:w="104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60</w:t>
            </w:r>
          </w:p>
        </w:tc>
        <w:tc>
          <w:tcPr>
            <w:tcW w:w="1231" w:type="dxa"/>
            <w:tcBorders>
              <w:lef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100</w:t>
            </w:r>
          </w:p>
        </w:tc>
      </w:tr>
      <w:tr w:rsidR="00C60153" w:rsidRPr="00CF07C6" w:rsidTr="00283CE4">
        <w:trPr>
          <w:trHeight w:val="425"/>
        </w:trPr>
        <w:tc>
          <w:tcPr>
            <w:tcW w:w="8106" w:type="dxa"/>
            <w:gridSpan w:val="7"/>
            <w:shd w:val="clear" w:color="auto" w:fill="auto"/>
            <w:vAlign w:val="center"/>
          </w:tcPr>
          <w:p w:rsidR="00C60153" w:rsidRPr="00CF07C6" w:rsidRDefault="00C60153" w:rsidP="00283CE4">
            <w:pPr>
              <w:spacing w:line="360" w:lineRule="auto"/>
              <w:rPr>
                <w:rFonts w:ascii="Arial" w:hAnsi="Arial" w:cs="Arial"/>
                <w:sz w:val="20"/>
                <w:szCs w:val="20"/>
              </w:rPr>
            </w:pPr>
            <w:r w:rsidRPr="00CF07C6">
              <w:rPr>
                <w:rFonts w:ascii="Arial" w:hAnsi="Arial" w:cs="Arial"/>
                <w:sz w:val="20"/>
                <w:szCs w:val="20"/>
              </w:rPr>
              <w:t xml:space="preserve">χ ² = </w:t>
            </w:r>
            <w:r>
              <w:rPr>
                <w:rFonts w:ascii="Arial" w:hAnsi="Arial" w:cs="Arial"/>
                <w:sz w:val="20"/>
                <w:szCs w:val="20"/>
              </w:rPr>
              <w:t>48.654    p &lt;</w:t>
            </w:r>
            <w:r w:rsidRPr="00CF07C6">
              <w:rPr>
                <w:rFonts w:ascii="Arial" w:hAnsi="Arial" w:cs="Arial"/>
                <w:sz w:val="20"/>
                <w:szCs w:val="20"/>
              </w:rPr>
              <w:t xml:space="preserve"> </w:t>
            </w:r>
            <w:r w:rsidRPr="00CF07C6">
              <w:rPr>
                <w:rFonts w:ascii="Arial" w:hAnsi="Arial" w:cs="Arial"/>
                <w:color w:val="000000"/>
                <w:sz w:val="20"/>
                <w:szCs w:val="20"/>
                <w:lang w:val="en-US"/>
              </w:rPr>
              <w:t>0.001</w:t>
            </w:r>
          </w:p>
        </w:tc>
      </w:tr>
    </w:tbl>
    <w:p w:rsidR="007E63B8" w:rsidRDefault="007E63B8" w:rsidP="00C60153">
      <w:pPr>
        <w:spacing w:line="360" w:lineRule="auto"/>
        <w:ind w:firstLine="567"/>
        <w:contextualSpacing/>
        <w:jc w:val="both"/>
        <w:rPr>
          <w:rFonts w:ascii="Arial" w:hAnsi="Arial" w:cs="Arial"/>
          <w:b/>
          <w:shd w:val="clear" w:color="auto" w:fill="FFFFFF"/>
        </w:rPr>
      </w:pPr>
    </w:p>
    <w:p w:rsidR="00C60153" w:rsidRPr="007E63B8" w:rsidRDefault="00C60153" w:rsidP="00C60153">
      <w:pPr>
        <w:spacing w:line="360" w:lineRule="auto"/>
        <w:ind w:firstLine="567"/>
        <w:contextualSpacing/>
        <w:jc w:val="both"/>
        <w:rPr>
          <w:rFonts w:ascii="Arial" w:hAnsi="Arial" w:cs="Arial"/>
          <w:b/>
          <w:sz w:val="22"/>
          <w:szCs w:val="22"/>
          <w:shd w:val="clear" w:color="auto" w:fill="FFFFFF"/>
        </w:rPr>
      </w:pPr>
      <w:r w:rsidRPr="007E63B8">
        <w:rPr>
          <w:rFonts w:ascii="Arial" w:hAnsi="Arial" w:cs="Arial"/>
          <w:b/>
          <w:sz w:val="22"/>
          <w:szCs w:val="22"/>
          <w:shd w:val="clear" w:color="auto" w:fill="FFFFFF"/>
        </w:rPr>
        <w:t>Akran İlişkileri</w:t>
      </w:r>
    </w:p>
    <w:p w:rsidR="00C60153" w:rsidRPr="007E63B8" w:rsidRDefault="00C60153" w:rsidP="00C60153">
      <w:pPr>
        <w:spacing w:line="360" w:lineRule="auto"/>
        <w:ind w:firstLine="567"/>
        <w:contextualSpacing/>
        <w:jc w:val="both"/>
        <w:rPr>
          <w:rFonts w:ascii="Arial" w:hAnsi="Arial" w:cs="Arial"/>
          <w:sz w:val="22"/>
          <w:szCs w:val="22"/>
        </w:rPr>
      </w:pPr>
      <w:r w:rsidRPr="007E63B8">
        <w:rPr>
          <w:rFonts w:ascii="Arial" w:hAnsi="Arial" w:cs="Arial"/>
          <w:sz w:val="22"/>
          <w:szCs w:val="22"/>
        </w:rPr>
        <w:t xml:space="preserve">Ailenin belirlemesi esas alınarak çocukların akran ilişkileri  çok iyi, iyi, orta, sorunlu ve çok sorunlu olarak gruplanmıştır. Olgu grubunda çocukların akran ilişkilerinin %3.3’ü (n=1) çok iyi, %33.3’ü (n=10) iyi, ve %33.3’ü (n=10) orta, %30.0’ı (n=5) sorunlu olarak bulunmuştur. Kontrol grubundaki çocukların ise, %60.0’ı (n=18) çok iyi, %33.3’ü (n=10) iyi, %16.7’si (n=2) orta olarak saptanmıştır. Kontrol grubunda akran ilişkisi sorunlu katılımcı ve her iki grupta da çok sorunlu katılımcı olmadığı belirlenmiştir. Katılımcılar akran ilişkileri açısından iyi ve üzeri ile orta ve altı olarak iki alt gruba ayrıldığında, olgu grubunda akran ilişkilerinin daha sorunlu olduğu saptanmıştır (p &lt; </w:t>
      </w:r>
      <w:r w:rsidRPr="007E63B8">
        <w:rPr>
          <w:rFonts w:ascii="Arial" w:hAnsi="Arial" w:cs="Arial"/>
          <w:color w:val="000000"/>
          <w:sz w:val="22"/>
          <w:szCs w:val="22"/>
          <w:lang w:val="en-US"/>
        </w:rPr>
        <w:t>0.001)</w:t>
      </w:r>
      <w:r w:rsidRPr="007E63B8">
        <w:rPr>
          <w:rFonts w:ascii="Arial" w:hAnsi="Arial" w:cs="Arial"/>
          <w:sz w:val="22"/>
          <w:szCs w:val="22"/>
        </w:rPr>
        <w:t xml:space="preserve"> (Tablo 18).</w:t>
      </w:r>
    </w:p>
    <w:p w:rsidR="00C60153" w:rsidRDefault="00C60153" w:rsidP="00C60153">
      <w:pPr>
        <w:spacing w:line="360" w:lineRule="auto"/>
        <w:ind w:firstLine="567"/>
        <w:contextualSpacing/>
        <w:jc w:val="both"/>
        <w:rPr>
          <w:rFonts w:ascii="Arial" w:hAnsi="Arial" w:cs="Arial"/>
        </w:rPr>
      </w:pPr>
    </w:p>
    <w:p w:rsidR="00C60153" w:rsidRPr="007E63B8" w:rsidRDefault="00C60153" w:rsidP="00C60153">
      <w:pPr>
        <w:rPr>
          <w:rFonts w:ascii="Arial" w:hAnsi="Arial" w:cs="Arial"/>
          <w:sz w:val="22"/>
          <w:szCs w:val="22"/>
        </w:rPr>
      </w:pPr>
      <w:r w:rsidRPr="007E63B8">
        <w:rPr>
          <w:rFonts w:ascii="Arial" w:hAnsi="Arial" w:cs="Arial"/>
          <w:sz w:val="22"/>
          <w:szCs w:val="22"/>
        </w:rPr>
        <w:t>Tablo 18. Olgu ve kontrol grubundaki çocukların akran ilişkileri</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042"/>
        <w:gridCol w:w="1130"/>
        <w:gridCol w:w="1092"/>
        <w:gridCol w:w="1130"/>
        <w:gridCol w:w="1092"/>
        <w:gridCol w:w="1231"/>
      </w:tblGrid>
      <w:tr w:rsidR="00C60153" w:rsidRPr="00CF07C6" w:rsidTr="00283CE4">
        <w:trPr>
          <w:trHeight w:val="425"/>
        </w:trPr>
        <w:tc>
          <w:tcPr>
            <w:tcW w:w="1389" w:type="dxa"/>
            <w:vMerge w:val="restart"/>
            <w:tcBorders>
              <w:bottom w:val="single" w:sz="4" w:space="0" w:color="auto"/>
            </w:tcBorders>
            <w:shd w:val="clear" w:color="auto" w:fill="auto"/>
            <w:vAlign w:val="center"/>
          </w:tcPr>
          <w:p w:rsidR="00C60153" w:rsidRPr="00CF07C6" w:rsidRDefault="00C60153" w:rsidP="00283CE4">
            <w:pPr>
              <w:spacing w:line="360" w:lineRule="auto"/>
              <w:jc w:val="center"/>
              <w:rPr>
                <w:rFonts w:ascii="Arial" w:hAnsi="Arial" w:cs="Arial"/>
                <w:b/>
                <w:sz w:val="20"/>
                <w:szCs w:val="20"/>
              </w:rPr>
            </w:pPr>
          </w:p>
          <w:p w:rsidR="00C60153" w:rsidRPr="00CF07C6" w:rsidRDefault="00C60153" w:rsidP="00283CE4">
            <w:pPr>
              <w:spacing w:line="360" w:lineRule="auto"/>
              <w:jc w:val="center"/>
              <w:rPr>
                <w:rFonts w:ascii="Arial" w:hAnsi="Arial" w:cs="Arial"/>
                <w:sz w:val="20"/>
                <w:szCs w:val="20"/>
              </w:rPr>
            </w:pPr>
            <w:r>
              <w:rPr>
                <w:rFonts w:ascii="Arial" w:hAnsi="Arial" w:cs="Arial"/>
                <w:b/>
                <w:sz w:val="20"/>
                <w:szCs w:val="20"/>
              </w:rPr>
              <w:t>Akran ilişkileri</w:t>
            </w:r>
          </w:p>
        </w:tc>
        <w:tc>
          <w:tcPr>
            <w:tcW w:w="2172" w:type="dxa"/>
            <w:gridSpan w:val="2"/>
            <w:tcBorders>
              <w:bottom w:val="single" w:sz="4" w:space="0" w:color="auto"/>
            </w:tcBorders>
            <w:shd w:val="clear" w:color="auto" w:fill="auto"/>
            <w:vAlign w:val="center"/>
          </w:tcPr>
          <w:p w:rsidR="00C60153" w:rsidRPr="00CF07C6" w:rsidRDefault="00C60153" w:rsidP="00283CE4">
            <w:pPr>
              <w:spacing w:line="360" w:lineRule="auto"/>
              <w:jc w:val="center"/>
              <w:rPr>
                <w:rFonts w:ascii="Arial" w:hAnsi="Arial" w:cs="Arial"/>
                <w:b/>
                <w:sz w:val="20"/>
                <w:szCs w:val="20"/>
              </w:rPr>
            </w:pPr>
            <w:r w:rsidRPr="00CF07C6">
              <w:rPr>
                <w:rFonts w:ascii="Arial" w:hAnsi="Arial" w:cs="Arial"/>
                <w:b/>
                <w:sz w:val="20"/>
                <w:szCs w:val="20"/>
              </w:rPr>
              <w:t>Olgu</w:t>
            </w:r>
          </w:p>
        </w:tc>
        <w:tc>
          <w:tcPr>
            <w:tcW w:w="2222" w:type="dxa"/>
            <w:gridSpan w:val="2"/>
            <w:tcBorders>
              <w:bottom w:val="single" w:sz="4" w:space="0" w:color="auto"/>
            </w:tcBorders>
            <w:shd w:val="clear" w:color="auto" w:fill="auto"/>
            <w:vAlign w:val="center"/>
          </w:tcPr>
          <w:p w:rsidR="00C60153" w:rsidRPr="00CF07C6" w:rsidRDefault="00C60153" w:rsidP="00283CE4">
            <w:pPr>
              <w:spacing w:line="360" w:lineRule="auto"/>
              <w:jc w:val="center"/>
              <w:rPr>
                <w:rFonts w:ascii="Arial" w:hAnsi="Arial" w:cs="Arial"/>
                <w:b/>
                <w:sz w:val="20"/>
                <w:szCs w:val="20"/>
              </w:rPr>
            </w:pPr>
            <w:r w:rsidRPr="00CF07C6">
              <w:rPr>
                <w:rFonts w:ascii="Arial" w:hAnsi="Arial" w:cs="Arial"/>
                <w:b/>
                <w:sz w:val="20"/>
                <w:szCs w:val="20"/>
              </w:rPr>
              <w:t>Kontrol</w:t>
            </w:r>
          </w:p>
        </w:tc>
        <w:tc>
          <w:tcPr>
            <w:tcW w:w="2323" w:type="dxa"/>
            <w:gridSpan w:val="2"/>
            <w:tcBorders>
              <w:bottom w:val="single" w:sz="4" w:space="0" w:color="auto"/>
            </w:tcBorders>
            <w:shd w:val="clear" w:color="auto" w:fill="auto"/>
            <w:vAlign w:val="center"/>
          </w:tcPr>
          <w:p w:rsidR="00C60153" w:rsidRPr="00CF07C6" w:rsidRDefault="00C60153" w:rsidP="00283CE4">
            <w:pPr>
              <w:jc w:val="center"/>
              <w:rPr>
                <w:rFonts w:ascii="Arial" w:hAnsi="Arial" w:cs="Arial"/>
                <w:b/>
                <w:sz w:val="20"/>
                <w:szCs w:val="20"/>
              </w:rPr>
            </w:pPr>
            <w:r w:rsidRPr="00CF07C6">
              <w:rPr>
                <w:rFonts w:ascii="Arial" w:hAnsi="Arial" w:cs="Arial"/>
                <w:b/>
                <w:sz w:val="20"/>
                <w:szCs w:val="20"/>
              </w:rPr>
              <w:t>Toplam</w:t>
            </w:r>
          </w:p>
        </w:tc>
      </w:tr>
      <w:tr w:rsidR="00C60153" w:rsidRPr="00CF07C6" w:rsidTr="00283CE4">
        <w:trPr>
          <w:trHeight w:val="425"/>
        </w:trPr>
        <w:tc>
          <w:tcPr>
            <w:tcW w:w="1389" w:type="dxa"/>
            <w:vMerge/>
            <w:tcBorders>
              <w:top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p>
        </w:tc>
        <w:tc>
          <w:tcPr>
            <w:tcW w:w="1042"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n</w:t>
            </w:r>
          </w:p>
        </w:tc>
        <w:tc>
          <w:tcPr>
            <w:tcW w:w="1231" w:type="dxa"/>
            <w:tcBorders>
              <w:top w:val="single" w:sz="4" w:space="0" w:color="auto"/>
              <w:lef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w:t>
            </w:r>
          </w:p>
        </w:tc>
      </w:tr>
      <w:tr w:rsidR="00C60153" w:rsidRPr="00CF07C6" w:rsidTr="00283CE4">
        <w:trPr>
          <w:trHeight w:val="425"/>
        </w:trPr>
        <w:tc>
          <w:tcPr>
            <w:tcW w:w="1389" w:type="dxa"/>
            <w:tcBorders>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İyi ve üzeri</w:t>
            </w:r>
          </w:p>
        </w:tc>
        <w:tc>
          <w:tcPr>
            <w:tcW w:w="104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11</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36.7</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28</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93.3</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39</w:t>
            </w:r>
          </w:p>
        </w:tc>
        <w:tc>
          <w:tcPr>
            <w:tcW w:w="1231" w:type="dxa"/>
            <w:tcBorders>
              <w:lef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65</w:t>
            </w:r>
          </w:p>
        </w:tc>
      </w:tr>
      <w:tr w:rsidR="00C60153" w:rsidRPr="00CF07C6" w:rsidTr="00283CE4">
        <w:trPr>
          <w:trHeight w:val="425"/>
        </w:trPr>
        <w:tc>
          <w:tcPr>
            <w:tcW w:w="1389" w:type="dxa"/>
            <w:tcBorders>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Orta ve altı</w:t>
            </w:r>
          </w:p>
        </w:tc>
        <w:tc>
          <w:tcPr>
            <w:tcW w:w="104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themeColor="text1"/>
                <w:sz w:val="20"/>
                <w:szCs w:val="20"/>
              </w:rPr>
            </w:pPr>
            <w:r>
              <w:rPr>
                <w:rFonts w:ascii="Arial" w:hAnsi="Arial" w:cs="Arial"/>
                <w:color w:val="000000"/>
                <w:sz w:val="20"/>
                <w:szCs w:val="20"/>
                <w:lang w:val="en-US"/>
              </w:rPr>
              <w:t>19</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ind w:firstLineChars="5" w:firstLine="10"/>
              <w:jc w:val="center"/>
              <w:rPr>
                <w:rFonts w:ascii="Arial" w:hAnsi="Arial" w:cs="Arial"/>
                <w:color w:val="000000" w:themeColor="text1"/>
                <w:sz w:val="20"/>
                <w:szCs w:val="20"/>
              </w:rPr>
            </w:pPr>
            <w:r>
              <w:rPr>
                <w:rFonts w:ascii="Arial" w:hAnsi="Arial" w:cs="Arial"/>
                <w:color w:val="000000"/>
                <w:sz w:val="20"/>
                <w:szCs w:val="20"/>
                <w:lang w:val="en-US"/>
              </w:rPr>
              <w:t>63.3</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2</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6.7</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21</w:t>
            </w:r>
          </w:p>
        </w:tc>
        <w:tc>
          <w:tcPr>
            <w:tcW w:w="1231" w:type="dxa"/>
            <w:tcBorders>
              <w:left w:val="single" w:sz="4" w:space="0" w:color="auto"/>
            </w:tcBorders>
            <w:shd w:val="clear" w:color="auto" w:fill="auto"/>
            <w:vAlign w:val="center"/>
          </w:tcPr>
          <w:p w:rsidR="00C60153" w:rsidRPr="00CF07C6" w:rsidRDefault="00C60153" w:rsidP="00C60153">
            <w:pPr>
              <w:spacing w:line="360" w:lineRule="auto"/>
              <w:ind w:leftChars="-16" w:left="-8" w:hangingChars="15" w:hanging="30"/>
              <w:jc w:val="center"/>
              <w:rPr>
                <w:rFonts w:ascii="Arial" w:hAnsi="Arial" w:cs="Arial"/>
                <w:color w:val="000000"/>
                <w:sz w:val="20"/>
                <w:szCs w:val="20"/>
              </w:rPr>
            </w:pPr>
            <w:r>
              <w:rPr>
                <w:rFonts w:ascii="Arial" w:hAnsi="Arial" w:cs="Arial"/>
                <w:color w:val="000000"/>
                <w:sz w:val="20"/>
                <w:szCs w:val="20"/>
                <w:lang w:val="en-US"/>
              </w:rPr>
              <w:t>35</w:t>
            </w:r>
          </w:p>
        </w:tc>
      </w:tr>
      <w:tr w:rsidR="00C60153" w:rsidRPr="00CF07C6" w:rsidTr="00283CE4">
        <w:trPr>
          <w:trHeight w:val="77"/>
        </w:trPr>
        <w:tc>
          <w:tcPr>
            <w:tcW w:w="1389" w:type="dxa"/>
            <w:tcBorders>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Toplam</w:t>
            </w:r>
          </w:p>
        </w:tc>
        <w:tc>
          <w:tcPr>
            <w:tcW w:w="104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60</w:t>
            </w:r>
          </w:p>
        </w:tc>
        <w:tc>
          <w:tcPr>
            <w:tcW w:w="1231" w:type="dxa"/>
            <w:tcBorders>
              <w:lef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100</w:t>
            </w:r>
          </w:p>
        </w:tc>
      </w:tr>
      <w:tr w:rsidR="00055F30" w:rsidRPr="00CF07C6" w:rsidTr="00055F30">
        <w:trPr>
          <w:trHeight w:val="410"/>
        </w:trPr>
        <w:tc>
          <w:tcPr>
            <w:tcW w:w="8106" w:type="dxa"/>
            <w:gridSpan w:val="7"/>
            <w:shd w:val="clear" w:color="auto" w:fill="auto"/>
            <w:vAlign w:val="center"/>
          </w:tcPr>
          <w:p w:rsidR="00055F30" w:rsidRPr="00CF07C6" w:rsidRDefault="00055F30" w:rsidP="00F60880">
            <w:pPr>
              <w:spacing w:line="360" w:lineRule="auto"/>
              <w:rPr>
                <w:rFonts w:ascii="Arial" w:hAnsi="Arial" w:cs="Arial"/>
                <w:sz w:val="20"/>
                <w:szCs w:val="20"/>
              </w:rPr>
            </w:pPr>
            <w:r w:rsidRPr="00CF07C6">
              <w:rPr>
                <w:rFonts w:ascii="Arial" w:hAnsi="Arial" w:cs="Arial"/>
                <w:sz w:val="20"/>
                <w:szCs w:val="20"/>
              </w:rPr>
              <w:t xml:space="preserve">χ ² = </w:t>
            </w:r>
            <w:r w:rsidR="00F60880">
              <w:rPr>
                <w:rFonts w:ascii="Arial" w:hAnsi="Arial" w:cs="Arial"/>
                <w:sz w:val="20"/>
                <w:szCs w:val="20"/>
              </w:rPr>
              <w:t>21.172</w:t>
            </w:r>
            <w:r>
              <w:rPr>
                <w:rFonts w:ascii="Arial" w:hAnsi="Arial" w:cs="Arial"/>
                <w:sz w:val="20"/>
                <w:szCs w:val="20"/>
              </w:rPr>
              <w:t xml:space="preserve">    p &lt;</w:t>
            </w:r>
            <w:r w:rsidRPr="00CF07C6">
              <w:rPr>
                <w:rFonts w:ascii="Arial" w:hAnsi="Arial" w:cs="Arial"/>
                <w:sz w:val="20"/>
                <w:szCs w:val="20"/>
              </w:rPr>
              <w:t xml:space="preserve"> </w:t>
            </w:r>
            <w:r w:rsidRPr="00CF07C6">
              <w:rPr>
                <w:rFonts w:ascii="Arial" w:hAnsi="Arial" w:cs="Arial"/>
                <w:color w:val="000000"/>
                <w:sz w:val="20"/>
                <w:szCs w:val="20"/>
                <w:lang w:val="en-US"/>
              </w:rPr>
              <w:t>0.001</w:t>
            </w:r>
          </w:p>
        </w:tc>
      </w:tr>
    </w:tbl>
    <w:p w:rsidR="007E63B8" w:rsidRDefault="007E63B8" w:rsidP="00C60153">
      <w:pPr>
        <w:spacing w:line="360" w:lineRule="auto"/>
        <w:ind w:firstLine="567"/>
        <w:contextualSpacing/>
        <w:jc w:val="both"/>
        <w:rPr>
          <w:rFonts w:ascii="Arial" w:hAnsi="Arial" w:cs="Arial"/>
          <w:b/>
          <w:shd w:val="clear" w:color="auto" w:fill="FFFFFF"/>
        </w:rPr>
      </w:pPr>
    </w:p>
    <w:p w:rsidR="00C60153" w:rsidRPr="007E63B8" w:rsidRDefault="00C60153" w:rsidP="00C60153">
      <w:pPr>
        <w:spacing w:line="360" w:lineRule="auto"/>
        <w:ind w:firstLine="567"/>
        <w:contextualSpacing/>
        <w:jc w:val="both"/>
        <w:rPr>
          <w:rFonts w:ascii="Arial" w:hAnsi="Arial" w:cs="Arial"/>
          <w:b/>
          <w:sz w:val="22"/>
          <w:szCs w:val="22"/>
          <w:shd w:val="clear" w:color="auto" w:fill="FFFFFF"/>
        </w:rPr>
      </w:pPr>
      <w:r w:rsidRPr="007E63B8">
        <w:rPr>
          <w:rFonts w:ascii="Arial" w:hAnsi="Arial" w:cs="Arial"/>
          <w:b/>
          <w:sz w:val="22"/>
          <w:szCs w:val="22"/>
          <w:shd w:val="clear" w:color="auto" w:fill="FFFFFF"/>
        </w:rPr>
        <w:t>Kardeş İlişkileri</w:t>
      </w:r>
    </w:p>
    <w:p w:rsidR="00C60153" w:rsidRPr="007E63B8" w:rsidRDefault="00C60153" w:rsidP="00C60153">
      <w:pPr>
        <w:spacing w:line="360" w:lineRule="auto"/>
        <w:ind w:firstLine="567"/>
        <w:contextualSpacing/>
        <w:jc w:val="both"/>
        <w:rPr>
          <w:rFonts w:ascii="Arial" w:hAnsi="Arial" w:cs="Arial"/>
          <w:sz w:val="22"/>
          <w:szCs w:val="22"/>
        </w:rPr>
      </w:pPr>
      <w:r w:rsidRPr="007E63B8">
        <w:rPr>
          <w:rFonts w:ascii="Arial" w:hAnsi="Arial" w:cs="Arial"/>
          <w:sz w:val="22"/>
          <w:szCs w:val="22"/>
        </w:rPr>
        <w:t xml:space="preserve">Ailenin belirlemesi esas alınarak çocukların kardeş ilişkileri  çok iyi, iyi, orta, sorunlu ve çok sorunlu olarak gruplanmıştır. Olgu grubunda çocukların kardeş ilişkilerinin %7.4’ü (n=2) çok iyi, %25.9’u (n=7) iyi, ve %37.0’ı (n=10) orta, %25.9’u (n=7) sorunlu, %3.3’ü (n=1) çok sorunlu olarak bulunmuştur. Kontrol grubundaki </w:t>
      </w:r>
      <w:r w:rsidRPr="007E63B8">
        <w:rPr>
          <w:rFonts w:ascii="Arial" w:hAnsi="Arial" w:cs="Arial"/>
          <w:sz w:val="22"/>
          <w:szCs w:val="22"/>
        </w:rPr>
        <w:lastRenderedPageBreak/>
        <w:t xml:space="preserve">çocukların ise, %46.7’si (n=14) çok iyi, %40.0’ı (n=10) iyi, %10.0’ı (n=3) orta, %3.3’ü </w:t>
      </w:r>
      <w:r w:rsidRPr="00572505">
        <w:rPr>
          <w:rFonts w:ascii="Arial" w:hAnsi="Arial" w:cs="Arial"/>
          <w:sz w:val="22"/>
          <w:szCs w:val="22"/>
        </w:rPr>
        <w:t>(n=1) sorunlu olarak saptanmıştır. Bu grupta kardeş ilişkisi çok sorunlu katılımcı</w:t>
      </w:r>
      <w:r w:rsidRPr="007E63B8">
        <w:rPr>
          <w:rFonts w:ascii="Arial" w:hAnsi="Arial" w:cs="Arial"/>
          <w:sz w:val="22"/>
          <w:szCs w:val="22"/>
        </w:rPr>
        <w:t xml:space="preserve"> belirlenmemiştir. Katılımcılar kardeş ilişkileri açısından iyi ve üzeri ile orta ve altı olarak iki alt gruba ayrıldığında, olgu grubunda akran ilişkilerinin daha sorunlu olduğu saptanmıştır (p &lt; </w:t>
      </w:r>
      <w:r w:rsidRPr="007E63B8">
        <w:rPr>
          <w:rFonts w:ascii="Arial" w:hAnsi="Arial" w:cs="Arial"/>
          <w:color w:val="000000"/>
          <w:sz w:val="22"/>
          <w:szCs w:val="22"/>
          <w:lang w:val="en-US"/>
        </w:rPr>
        <w:t>0.001)</w:t>
      </w:r>
      <w:r w:rsidRPr="007E63B8">
        <w:rPr>
          <w:rFonts w:ascii="Arial" w:hAnsi="Arial" w:cs="Arial"/>
          <w:sz w:val="22"/>
          <w:szCs w:val="22"/>
        </w:rPr>
        <w:t xml:space="preserve"> (Tablo 19).</w:t>
      </w:r>
    </w:p>
    <w:p w:rsidR="00C60153" w:rsidRPr="007E63B8" w:rsidRDefault="00C60153" w:rsidP="00C60153">
      <w:pPr>
        <w:spacing w:line="360" w:lineRule="auto"/>
        <w:ind w:firstLine="567"/>
        <w:contextualSpacing/>
        <w:jc w:val="both"/>
        <w:rPr>
          <w:sz w:val="22"/>
          <w:szCs w:val="22"/>
        </w:rPr>
      </w:pPr>
    </w:p>
    <w:p w:rsidR="00C60153" w:rsidRPr="007E63B8" w:rsidRDefault="00C60153" w:rsidP="00C60153">
      <w:pPr>
        <w:rPr>
          <w:rFonts w:ascii="Arial" w:hAnsi="Arial" w:cs="Arial"/>
          <w:sz w:val="22"/>
          <w:szCs w:val="22"/>
        </w:rPr>
      </w:pPr>
      <w:r w:rsidRPr="007E63B8">
        <w:rPr>
          <w:rFonts w:ascii="Arial" w:hAnsi="Arial" w:cs="Arial"/>
          <w:sz w:val="22"/>
          <w:szCs w:val="22"/>
        </w:rPr>
        <w:t>Tablo 19. Olgu ve kontrol grubundaki çocukların akran ilişkileri</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042"/>
        <w:gridCol w:w="1130"/>
        <w:gridCol w:w="1092"/>
        <w:gridCol w:w="1130"/>
        <w:gridCol w:w="1092"/>
        <w:gridCol w:w="1231"/>
      </w:tblGrid>
      <w:tr w:rsidR="00C60153" w:rsidRPr="00CF07C6" w:rsidTr="00283CE4">
        <w:trPr>
          <w:trHeight w:val="425"/>
        </w:trPr>
        <w:tc>
          <w:tcPr>
            <w:tcW w:w="1389" w:type="dxa"/>
            <w:vMerge w:val="restart"/>
            <w:tcBorders>
              <w:bottom w:val="single" w:sz="4" w:space="0" w:color="auto"/>
            </w:tcBorders>
            <w:shd w:val="clear" w:color="auto" w:fill="auto"/>
            <w:vAlign w:val="center"/>
          </w:tcPr>
          <w:p w:rsidR="00C60153" w:rsidRPr="00CF07C6" w:rsidRDefault="00C60153" w:rsidP="00283CE4">
            <w:pPr>
              <w:spacing w:line="360" w:lineRule="auto"/>
              <w:jc w:val="center"/>
              <w:rPr>
                <w:rFonts w:ascii="Arial" w:hAnsi="Arial" w:cs="Arial"/>
                <w:b/>
                <w:sz w:val="20"/>
                <w:szCs w:val="20"/>
              </w:rPr>
            </w:pPr>
          </w:p>
          <w:p w:rsidR="00C60153" w:rsidRPr="00CF07C6" w:rsidRDefault="00C60153" w:rsidP="00283CE4">
            <w:pPr>
              <w:spacing w:line="360" w:lineRule="auto"/>
              <w:jc w:val="center"/>
              <w:rPr>
                <w:rFonts w:ascii="Arial" w:hAnsi="Arial" w:cs="Arial"/>
                <w:sz w:val="20"/>
                <w:szCs w:val="20"/>
              </w:rPr>
            </w:pPr>
            <w:r>
              <w:rPr>
                <w:rFonts w:ascii="Arial" w:hAnsi="Arial" w:cs="Arial"/>
                <w:b/>
                <w:sz w:val="20"/>
                <w:szCs w:val="20"/>
              </w:rPr>
              <w:t>Kardeş ilişkileri</w:t>
            </w:r>
          </w:p>
        </w:tc>
        <w:tc>
          <w:tcPr>
            <w:tcW w:w="2172" w:type="dxa"/>
            <w:gridSpan w:val="2"/>
            <w:tcBorders>
              <w:bottom w:val="single" w:sz="4" w:space="0" w:color="auto"/>
            </w:tcBorders>
            <w:shd w:val="clear" w:color="auto" w:fill="auto"/>
            <w:vAlign w:val="center"/>
          </w:tcPr>
          <w:p w:rsidR="00C60153" w:rsidRPr="00CF07C6" w:rsidRDefault="00C60153" w:rsidP="00283CE4">
            <w:pPr>
              <w:spacing w:line="360" w:lineRule="auto"/>
              <w:jc w:val="center"/>
              <w:rPr>
                <w:rFonts w:ascii="Arial" w:hAnsi="Arial" w:cs="Arial"/>
                <w:b/>
                <w:sz w:val="20"/>
                <w:szCs w:val="20"/>
              </w:rPr>
            </w:pPr>
            <w:r w:rsidRPr="00CF07C6">
              <w:rPr>
                <w:rFonts w:ascii="Arial" w:hAnsi="Arial" w:cs="Arial"/>
                <w:b/>
                <w:sz w:val="20"/>
                <w:szCs w:val="20"/>
              </w:rPr>
              <w:t>Olgu</w:t>
            </w:r>
          </w:p>
        </w:tc>
        <w:tc>
          <w:tcPr>
            <w:tcW w:w="2222" w:type="dxa"/>
            <w:gridSpan w:val="2"/>
            <w:tcBorders>
              <w:bottom w:val="single" w:sz="4" w:space="0" w:color="auto"/>
            </w:tcBorders>
            <w:shd w:val="clear" w:color="auto" w:fill="auto"/>
            <w:vAlign w:val="center"/>
          </w:tcPr>
          <w:p w:rsidR="00C60153" w:rsidRPr="00CF07C6" w:rsidRDefault="00C60153" w:rsidP="00283CE4">
            <w:pPr>
              <w:spacing w:line="360" w:lineRule="auto"/>
              <w:jc w:val="center"/>
              <w:rPr>
                <w:rFonts w:ascii="Arial" w:hAnsi="Arial" w:cs="Arial"/>
                <w:b/>
                <w:sz w:val="20"/>
                <w:szCs w:val="20"/>
              </w:rPr>
            </w:pPr>
            <w:r w:rsidRPr="00CF07C6">
              <w:rPr>
                <w:rFonts w:ascii="Arial" w:hAnsi="Arial" w:cs="Arial"/>
                <w:b/>
                <w:sz w:val="20"/>
                <w:szCs w:val="20"/>
              </w:rPr>
              <w:t>Kontrol</w:t>
            </w:r>
          </w:p>
        </w:tc>
        <w:tc>
          <w:tcPr>
            <w:tcW w:w="2323" w:type="dxa"/>
            <w:gridSpan w:val="2"/>
            <w:tcBorders>
              <w:bottom w:val="single" w:sz="4" w:space="0" w:color="auto"/>
            </w:tcBorders>
            <w:shd w:val="clear" w:color="auto" w:fill="auto"/>
            <w:vAlign w:val="center"/>
          </w:tcPr>
          <w:p w:rsidR="00C60153" w:rsidRPr="00CF07C6" w:rsidRDefault="00C60153" w:rsidP="00283CE4">
            <w:pPr>
              <w:jc w:val="center"/>
              <w:rPr>
                <w:rFonts w:ascii="Arial" w:hAnsi="Arial" w:cs="Arial"/>
                <w:b/>
                <w:sz w:val="20"/>
                <w:szCs w:val="20"/>
              </w:rPr>
            </w:pPr>
            <w:r w:rsidRPr="00CF07C6">
              <w:rPr>
                <w:rFonts w:ascii="Arial" w:hAnsi="Arial" w:cs="Arial"/>
                <w:b/>
                <w:sz w:val="20"/>
                <w:szCs w:val="20"/>
              </w:rPr>
              <w:t>Toplam</w:t>
            </w:r>
          </w:p>
        </w:tc>
      </w:tr>
      <w:tr w:rsidR="00C60153" w:rsidRPr="00CF07C6" w:rsidTr="00283CE4">
        <w:trPr>
          <w:trHeight w:val="425"/>
        </w:trPr>
        <w:tc>
          <w:tcPr>
            <w:tcW w:w="1389" w:type="dxa"/>
            <w:vMerge/>
            <w:tcBorders>
              <w:top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p>
        </w:tc>
        <w:tc>
          <w:tcPr>
            <w:tcW w:w="1042"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n</w:t>
            </w:r>
          </w:p>
        </w:tc>
        <w:tc>
          <w:tcPr>
            <w:tcW w:w="1231" w:type="dxa"/>
            <w:tcBorders>
              <w:top w:val="single" w:sz="4" w:space="0" w:color="auto"/>
              <w:lef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w:t>
            </w:r>
          </w:p>
        </w:tc>
      </w:tr>
      <w:tr w:rsidR="00C60153" w:rsidRPr="00CF07C6" w:rsidTr="00283CE4">
        <w:trPr>
          <w:trHeight w:val="425"/>
        </w:trPr>
        <w:tc>
          <w:tcPr>
            <w:tcW w:w="1389" w:type="dxa"/>
            <w:tcBorders>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İyi ve üzeri</w:t>
            </w:r>
          </w:p>
        </w:tc>
        <w:tc>
          <w:tcPr>
            <w:tcW w:w="104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9</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33.3</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26</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86.7</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35</w:t>
            </w:r>
          </w:p>
        </w:tc>
        <w:tc>
          <w:tcPr>
            <w:tcW w:w="1231" w:type="dxa"/>
            <w:tcBorders>
              <w:lef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61.4</w:t>
            </w:r>
          </w:p>
        </w:tc>
      </w:tr>
      <w:tr w:rsidR="00C60153" w:rsidRPr="00CF07C6" w:rsidTr="00283CE4">
        <w:trPr>
          <w:trHeight w:val="425"/>
        </w:trPr>
        <w:tc>
          <w:tcPr>
            <w:tcW w:w="1389" w:type="dxa"/>
            <w:tcBorders>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Orta ve altı</w:t>
            </w:r>
          </w:p>
        </w:tc>
        <w:tc>
          <w:tcPr>
            <w:tcW w:w="104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themeColor="text1"/>
                <w:sz w:val="20"/>
                <w:szCs w:val="20"/>
              </w:rPr>
            </w:pPr>
            <w:r>
              <w:rPr>
                <w:rFonts w:ascii="Arial" w:hAnsi="Arial" w:cs="Arial"/>
                <w:color w:val="000000"/>
                <w:sz w:val="20"/>
                <w:szCs w:val="20"/>
                <w:lang w:val="en-US"/>
              </w:rPr>
              <w:t>18</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ind w:firstLineChars="5" w:firstLine="10"/>
              <w:jc w:val="center"/>
              <w:rPr>
                <w:rFonts w:ascii="Arial" w:hAnsi="Arial" w:cs="Arial"/>
                <w:color w:val="000000" w:themeColor="text1"/>
                <w:sz w:val="20"/>
                <w:szCs w:val="20"/>
              </w:rPr>
            </w:pPr>
            <w:r>
              <w:rPr>
                <w:rFonts w:ascii="Arial" w:hAnsi="Arial" w:cs="Arial"/>
                <w:color w:val="000000"/>
                <w:sz w:val="20"/>
                <w:szCs w:val="20"/>
                <w:lang w:val="en-US"/>
              </w:rPr>
              <w:t>66.7</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4</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rPr>
              <w:t>13.3</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22</w:t>
            </w:r>
          </w:p>
        </w:tc>
        <w:tc>
          <w:tcPr>
            <w:tcW w:w="1231" w:type="dxa"/>
            <w:tcBorders>
              <w:left w:val="single" w:sz="4" w:space="0" w:color="auto"/>
            </w:tcBorders>
            <w:shd w:val="clear" w:color="auto" w:fill="auto"/>
            <w:vAlign w:val="center"/>
          </w:tcPr>
          <w:p w:rsidR="00C60153" w:rsidRPr="00CF07C6" w:rsidRDefault="00C60153" w:rsidP="00C60153">
            <w:pPr>
              <w:spacing w:line="360" w:lineRule="auto"/>
              <w:ind w:leftChars="-16" w:left="-8" w:hangingChars="15" w:hanging="30"/>
              <w:jc w:val="center"/>
              <w:rPr>
                <w:rFonts w:ascii="Arial" w:hAnsi="Arial" w:cs="Arial"/>
                <w:color w:val="000000"/>
                <w:sz w:val="20"/>
                <w:szCs w:val="20"/>
              </w:rPr>
            </w:pPr>
            <w:r>
              <w:rPr>
                <w:rFonts w:ascii="Arial" w:hAnsi="Arial" w:cs="Arial"/>
                <w:color w:val="000000"/>
                <w:sz w:val="20"/>
                <w:szCs w:val="20"/>
                <w:lang w:val="en-US"/>
              </w:rPr>
              <w:t>38.6</w:t>
            </w:r>
          </w:p>
        </w:tc>
      </w:tr>
      <w:tr w:rsidR="00C60153" w:rsidRPr="00CF07C6" w:rsidTr="00283CE4">
        <w:trPr>
          <w:trHeight w:val="77"/>
        </w:trPr>
        <w:tc>
          <w:tcPr>
            <w:tcW w:w="1389" w:type="dxa"/>
            <w:tcBorders>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Toplam</w:t>
            </w:r>
          </w:p>
        </w:tc>
        <w:tc>
          <w:tcPr>
            <w:tcW w:w="104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Pr>
                <w:rFonts w:ascii="Arial" w:hAnsi="Arial" w:cs="Arial"/>
                <w:color w:val="000000"/>
                <w:sz w:val="20"/>
                <w:szCs w:val="20"/>
                <w:lang w:val="en-US"/>
              </w:rPr>
              <w:t>27</w:t>
            </w:r>
            <w:r w:rsidR="001D1293">
              <w:rPr>
                <w:rFonts w:ascii="Arial" w:hAnsi="Arial" w:cs="Arial"/>
                <w:color w:val="000000"/>
                <w:sz w:val="20"/>
                <w:szCs w:val="20"/>
                <w:lang w:val="en-US"/>
              </w:rPr>
              <w:t>*</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Pr>
                <w:rFonts w:ascii="Arial" w:hAnsi="Arial" w:cs="Arial"/>
                <w:color w:val="000000"/>
                <w:sz w:val="20"/>
                <w:szCs w:val="20"/>
                <w:lang w:val="en-US"/>
              </w:rPr>
              <w:t>57</w:t>
            </w:r>
          </w:p>
        </w:tc>
        <w:tc>
          <w:tcPr>
            <w:tcW w:w="1231" w:type="dxa"/>
            <w:tcBorders>
              <w:lef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100</w:t>
            </w:r>
          </w:p>
        </w:tc>
      </w:tr>
      <w:tr w:rsidR="00C60153" w:rsidRPr="00CF07C6" w:rsidTr="00283CE4">
        <w:trPr>
          <w:trHeight w:val="425"/>
        </w:trPr>
        <w:tc>
          <w:tcPr>
            <w:tcW w:w="8106" w:type="dxa"/>
            <w:gridSpan w:val="7"/>
            <w:shd w:val="clear" w:color="auto" w:fill="auto"/>
            <w:vAlign w:val="center"/>
          </w:tcPr>
          <w:p w:rsidR="00C60153" w:rsidRPr="00CF07C6" w:rsidRDefault="00C60153" w:rsidP="00283CE4">
            <w:pPr>
              <w:spacing w:line="360" w:lineRule="auto"/>
              <w:rPr>
                <w:rFonts w:ascii="Arial" w:hAnsi="Arial" w:cs="Arial"/>
                <w:sz w:val="20"/>
                <w:szCs w:val="20"/>
              </w:rPr>
            </w:pPr>
            <w:r w:rsidRPr="00CF07C6">
              <w:rPr>
                <w:rFonts w:ascii="Arial" w:hAnsi="Arial" w:cs="Arial"/>
                <w:sz w:val="20"/>
                <w:szCs w:val="20"/>
              </w:rPr>
              <w:t xml:space="preserve">χ ² = </w:t>
            </w:r>
            <w:r>
              <w:rPr>
                <w:rFonts w:ascii="Arial" w:hAnsi="Arial" w:cs="Arial"/>
                <w:sz w:val="20"/>
                <w:szCs w:val="20"/>
              </w:rPr>
              <w:t>17.056    p &lt;</w:t>
            </w:r>
            <w:r w:rsidRPr="00CF07C6">
              <w:rPr>
                <w:rFonts w:ascii="Arial" w:hAnsi="Arial" w:cs="Arial"/>
                <w:sz w:val="20"/>
                <w:szCs w:val="20"/>
              </w:rPr>
              <w:t xml:space="preserve"> </w:t>
            </w:r>
            <w:r w:rsidRPr="00CF07C6">
              <w:rPr>
                <w:rFonts w:ascii="Arial" w:hAnsi="Arial" w:cs="Arial"/>
                <w:color w:val="000000"/>
                <w:sz w:val="20"/>
                <w:szCs w:val="20"/>
                <w:lang w:val="en-US"/>
              </w:rPr>
              <w:t>0.001</w:t>
            </w:r>
          </w:p>
        </w:tc>
      </w:tr>
    </w:tbl>
    <w:p w:rsidR="00C60153" w:rsidRPr="007E63B8" w:rsidRDefault="00C60153" w:rsidP="00C60153">
      <w:pPr>
        <w:spacing w:line="360" w:lineRule="auto"/>
        <w:contextualSpacing/>
        <w:jc w:val="both"/>
        <w:rPr>
          <w:rFonts w:ascii="Arial" w:hAnsi="Arial" w:cs="Arial"/>
          <w:sz w:val="22"/>
          <w:szCs w:val="22"/>
          <w:shd w:val="clear" w:color="auto" w:fill="FFFFFF"/>
        </w:rPr>
      </w:pPr>
      <w:r w:rsidRPr="007E63B8">
        <w:rPr>
          <w:rFonts w:ascii="Arial" w:hAnsi="Arial" w:cs="Arial"/>
          <w:sz w:val="22"/>
          <w:szCs w:val="22"/>
          <w:shd w:val="clear" w:color="auto" w:fill="FFFFFF"/>
        </w:rPr>
        <w:t>*Olgu grubundaki 3 katılımcının tek çocuk olması nedeniyle değerlendirilmeye alınmadı.</w:t>
      </w:r>
    </w:p>
    <w:p w:rsidR="00C60153" w:rsidRPr="00572505" w:rsidRDefault="00C60153" w:rsidP="00C60153">
      <w:pPr>
        <w:spacing w:line="360" w:lineRule="auto"/>
        <w:ind w:firstLine="567"/>
        <w:contextualSpacing/>
        <w:jc w:val="both"/>
        <w:rPr>
          <w:b/>
          <w:sz w:val="22"/>
          <w:szCs w:val="22"/>
          <w:shd w:val="clear" w:color="auto" w:fill="FFFFFF"/>
        </w:rPr>
      </w:pPr>
    </w:p>
    <w:p w:rsidR="00C60153" w:rsidRPr="00572505" w:rsidRDefault="00C60153" w:rsidP="00C60153">
      <w:pPr>
        <w:spacing w:line="360" w:lineRule="auto"/>
        <w:ind w:firstLine="567"/>
        <w:contextualSpacing/>
        <w:jc w:val="both"/>
        <w:rPr>
          <w:rFonts w:ascii="Arial" w:hAnsi="Arial" w:cs="Arial"/>
          <w:b/>
          <w:sz w:val="22"/>
          <w:szCs w:val="22"/>
          <w:shd w:val="clear" w:color="auto" w:fill="FFFFFF"/>
        </w:rPr>
      </w:pPr>
      <w:r w:rsidRPr="00572505">
        <w:rPr>
          <w:rFonts w:ascii="Arial" w:hAnsi="Arial" w:cs="Arial"/>
          <w:b/>
          <w:sz w:val="22"/>
          <w:szCs w:val="22"/>
          <w:shd w:val="clear" w:color="auto" w:fill="FFFFFF"/>
        </w:rPr>
        <w:t>Evdeki Genel Durumu</w:t>
      </w:r>
    </w:p>
    <w:p w:rsidR="00C60153" w:rsidRPr="00572505" w:rsidRDefault="00C60153" w:rsidP="00C60153">
      <w:pPr>
        <w:spacing w:line="360" w:lineRule="auto"/>
        <w:ind w:firstLine="567"/>
        <w:contextualSpacing/>
        <w:jc w:val="both"/>
        <w:rPr>
          <w:rFonts w:ascii="Arial" w:hAnsi="Arial" w:cs="Arial"/>
          <w:sz w:val="22"/>
          <w:szCs w:val="22"/>
        </w:rPr>
      </w:pPr>
      <w:r w:rsidRPr="00572505">
        <w:rPr>
          <w:rFonts w:ascii="Arial" w:hAnsi="Arial" w:cs="Arial"/>
          <w:sz w:val="22"/>
          <w:szCs w:val="22"/>
        </w:rPr>
        <w:t>Ailenin belirlemesi esas alınarak çocukların ev içindeki genel durumları  çok iyi, iyi, orta, sorunlu ve çok sorunlu olarak gruplanmıştır. Olgu grubunda çocukların ev içindeki genel durumlarının dağılımları değerlendirildiğinde; %26.7’si (n=8) iyi, %30.0’ı (n=9) orta, %40.0’ı (n=12) sorunlu, %3.3’ü (n=1) çok sorunlu olarak saptanmıştır. Kontrol grubundaki çocukların  dağılımları ise, %53.3’ü (n=16) çok iyi, %36.7’si (n=11) iyi, %6.7’si (n=2) orta, %3.3’ü (n=1) sorunlu olarak saptanmıştır. Bu grupta evdeki genel durumu çok sorunlu katılımcısaptanmamıştır. (Tablo 20).</w:t>
      </w:r>
    </w:p>
    <w:p w:rsidR="00C60153" w:rsidRPr="00572505" w:rsidRDefault="00C60153" w:rsidP="00C60153">
      <w:pPr>
        <w:contextualSpacing/>
        <w:jc w:val="both"/>
        <w:rPr>
          <w:sz w:val="22"/>
          <w:szCs w:val="22"/>
        </w:rPr>
      </w:pPr>
    </w:p>
    <w:p w:rsidR="00C60153" w:rsidRPr="00572505" w:rsidRDefault="00C60153" w:rsidP="00C60153">
      <w:pPr>
        <w:rPr>
          <w:rFonts w:ascii="Arial" w:hAnsi="Arial" w:cs="Arial"/>
          <w:sz w:val="22"/>
          <w:szCs w:val="22"/>
        </w:rPr>
      </w:pPr>
      <w:r w:rsidRPr="00572505">
        <w:rPr>
          <w:rFonts w:ascii="Arial" w:hAnsi="Arial" w:cs="Arial"/>
          <w:sz w:val="22"/>
          <w:szCs w:val="22"/>
        </w:rPr>
        <w:t>Tablo 20. Olgu ve kontrol grubundaki çocukların evdeki durumları</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042"/>
        <w:gridCol w:w="1130"/>
        <w:gridCol w:w="1092"/>
        <w:gridCol w:w="1130"/>
        <w:gridCol w:w="1092"/>
        <w:gridCol w:w="1231"/>
      </w:tblGrid>
      <w:tr w:rsidR="00C60153" w:rsidRPr="00CF07C6" w:rsidTr="00283CE4">
        <w:trPr>
          <w:trHeight w:val="425"/>
        </w:trPr>
        <w:tc>
          <w:tcPr>
            <w:tcW w:w="1389" w:type="dxa"/>
            <w:vMerge w:val="restart"/>
            <w:tcBorders>
              <w:bottom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Pr>
                <w:rFonts w:ascii="Arial" w:hAnsi="Arial" w:cs="Arial"/>
                <w:b/>
                <w:sz w:val="20"/>
                <w:szCs w:val="20"/>
              </w:rPr>
              <w:t>Evdeki genel durumu</w:t>
            </w:r>
          </w:p>
        </w:tc>
        <w:tc>
          <w:tcPr>
            <w:tcW w:w="2172" w:type="dxa"/>
            <w:gridSpan w:val="2"/>
            <w:tcBorders>
              <w:bottom w:val="single" w:sz="4" w:space="0" w:color="auto"/>
            </w:tcBorders>
            <w:shd w:val="clear" w:color="auto" w:fill="auto"/>
            <w:vAlign w:val="center"/>
          </w:tcPr>
          <w:p w:rsidR="00C60153" w:rsidRPr="00CF07C6" w:rsidRDefault="00C60153" w:rsidP="00283CE4">
            <w:pPr>
              <w:spacing w:line="360" w:lineRule="auto"/>
              <w:jc w:val="center"/>
              <w:rPr>
                <w:rFonts w:ascii="Arial" w:hAnsi="Arial" w:cs="Arial"/>
                <w:b/>
                <w:sz w:val="20"/>
                <w:szCs w:val="20"/>
              </w:rPr>
            </w:pPr>
            <w:r w:rsidRPr="00CF07C6">
              <w:rPr>
                <w:rFonts w:ascii="Arial" w:hAnsi="Arial" w:cs="Arial"/>
                <w:b/>
                <w:sz w:val="20"/>
                <w:szCs w:val="20"/>
              </w:rPr>
              <w:t>Olgu</w:t>
            </w:r>
          </w:p>
        </w:tc>
        <w:tc>
          <w:tcPr>
            <w:tcW w:w="2222" w:type="dxa"/>
            <w:gridSpan w:val="2"/>
            <w:tcBorders>
              <w:bottom w:val="single" w:sz="4" w:space="0" w:color="auto"/>
            </w:tcBorders>
            <w:shd w:val="clear" w:color="auto" w:fill="auto"/>
            <w:vAlign w:val="center"/>
          </w:tcPr>
          <w:p w:rsidR="00C60153" w:rsidRPr="00CF07C6" w:rsidRDefault="00C60153" w:rsidP="00283CE4">
            <w:pPr>
              <w:spacing w:line="360" w:lineRule="auto"/>
              <w:jc w:val="center"/>
              <w:rPr>
                <w:rFonts w:ascii="Arial" w:hAnsi="Arial" w:cs="Arial"/>
                <w:b/>
                <w:sz w:val="20"/>
                <w:szCs w:val="20"/>
              </w:rPr>
            </w:pPr>
            <w:r w:rsidRPr="00CF07C6">
              <w:rPr>
                <w:rFonts w:ascii="Arial" w:hAnsi="Arial" w:cs="Arial"/>
                <w:b/>
                <w:sz w:val="20"/>
                <w:szCs w:val="20"/>
              </w:rPr>
              <w:t>Kontrol</w:t>
            </w:r>
          </w:p>
        </w:tc>
        <w:tc>
          <w:tcPr>
            <w:tcW w:w="2323" w:type="dxa"/>
            <w:gridSpan w:val="2"/>
            <w:tcBorders>
              <w:bottom w:val="single" w:sz="4" w:space="0" w:color="auto"/>
            </w:tcBorders>
            <w:shd w:val="clear" w:color="auto" w:fill="auto"/>
            <w:vAlign w:val="center"/>
          </w:tcPr>
          <w:p w:rsidR="00C60153" w:rsidRPr="00CF07C6" w:rsidRDefault="00C60153" w:rsidP="00283CE4">
            <w:pPr>
              <w:jc w:val="center"/>
              <w:rPr>
                <w:rFonts w:ascii="Arial" w:hAnsi="Arial" w:cs="Arial"/>
                <w:b/>
                <w:sz w:val="20"/>
                <w:szCs w:val="20"/>
              </w:rPr>
            </w:pPr>
            <w:r w:rsidRPr="00CF07C6">
              <w:rPr>
                <w:rFonts w:ascii="Arial" w:hAnsi="Arial" w:cs="Arial"/>
                <w:b/>
                <w:sz w:val="20"/>
                <w:szCs w:val="20"/>
              </w:rPr>
              <w:t>Toplam</w:t>
            </w:r>
          </w:p>
        </w:tc>
      </w:tr>
      <w:tr w:rsidR="00C60153" w:rsidRPr="00CF07C6" w:rsidTr="00283CE4">
        <w:trPr>
          <w:trHeight w:val="425"/>
        </w:trPr>
        <w:tc>
          <w:tcPr>
            <w:tcW w:w="1389" w:type="dxa"/>
            <w:vMerge/>
            <w:tcBorders>
              <w:top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p>
        </w:tc>
        <w:tc>
          <w:tcPr>
            <w:tcW w:w="1042"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n</w:t>
            </w:r>
          </w:p>
        </w:tc>
        <w:tc>
          <w:tcPr>
            <w:tcW w:w="1130"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w:t>
            </w:r>
          </w:p>
        </w:tc>
        <w:tc>
          <w:tcPr>
            <w:tcW w:w="1092" w:type="dxa"/>
            <w:tcBorders>
              <w:top w:val="single" w:sz="4" w:space="0" w:color="auto"/>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n</w:t>
            </w:r>
          </w:p>
        </w:tc>
        <w:tc>
          <w:tcPr>
            <w:tcW w:w="1231" w:type="dxa"/>
            <w:tcBorders>
              <w:top w:val="single" w:sz="4" w:space="0" w:color="auto"/>
              <w:lef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w:t>
            </w:r>
          </w:p>
        </w:tc>
      </w:tr>
      <w:tr w:rsidR="00C60153" w:rsidRPr="00CF07C6" w:rsidTr="00283CE4">
        <w:trPr>
          <w:trHeight w:val="425"/>
        </w:trPr>
        <w:tc>
          <w:tcPr>
            <w:tcW w:w="1389" w:type="dxa"/>
            <w:tcBorders>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İyi ve üzeri</w:t>
            </w:r>
          </w:p>
        </w:tc>
        <w:tc>
          <w:tcPr>
            <w:tcW w:w="104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8</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26.7</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27</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90</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35</w:t>
            </w:r>
          </w:p>
        </w:tc>
        <w:tc>
          <w:tcPr>
            <w:tcW w:w="1231" w:type="dxa"/>
            <w:tcBorders>
              <w:lef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58.3</w:t>
            </w:r>
          </w:p>
        </w:tc>
      </w:tr>
      <w:tr w:rsidR="00C60153" w:rsidRPr="00CF07C6" w:rsidTr="00283CE4">
        <w:trPr>
          <w:trHeight w:val="425"/>
        </w:trPr>
        <w:tc>
          <w:tcPr>
            <w:tcW w:w="1389" w:type="dxa"/>
            <w:tcBorders>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Orta ve altı</w:t>
            </w:r>
          </w:p>
        </w:tc>
        <w:tc>
          <w:tcPr>
            <w:tcW w:w="104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themeColor="text1"/>
                <w:sz w:val="20"/>
                <w:szCs w:val="20"/>
              </w:rPr>
            </w:pPr>
            <w:r>
              <w:rPr>
                <w:rFonts w:ascii="Arial" w:hAnsi="Arial" w:cs="Arial"/>
                <w:color w:val="000000"/>
                <w:sz w:val="20"/>
                <w:szCs w:val="20"/>
                <w:lang w:val="en-US"/>
              </w:rPr>
              <w:t>22</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ind w:firstLineChars="5" w:firstLine="10"/>
              <w:jc w:val="center"/>
              <w:rPr>
                <w:rFonts w:ascii="Arial" w:hAnsi="Arial" w:cs="Arial"/>
                <w:color w:val="000000" w:themeColor="text1"/>
                <w:sz w:val="20"/>
                <w:szCs w:val="20"/>
              </w:rPr>
            </w:pPr>
            <w:r>
              <w:rPr>
                <w:rFonts w:ascii="Arial" w:hAnsi="Arial" w:cs="Arial"/>
                <w:color w:val="000000"/>
                <w:sz w:val="20"/>
                <w:szCs w:val="20"/>
                <w:lang w:val="en-US"/>
              </w:rPr>
              <w:t>83.3</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3</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rPr>
              <w:t>10</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color w:val="000000"/>
                <w:sz w:val="20"/>
                <w:szCs w:val="20"/>
              </w:rPr>
            </w:pPr>
            <w:r>
              <w:rPr>
                <w:rFonts w:ascii="Arial" w:hAnsi="Arial" w:cs="Arial"/>
                <w:color w:val="000000"/>
                <w:sz w:val="20"/>
                <w:szCs w:val="20"/>
                <w:lang w:val="en-US"/>
              </w:rPr>
              <w:t>25</w:t>
            </w:r>
          </w:p>
        </w:tc>
        <w:tc>
          <w:tcPr>
            <w:tcW w:w="1231" w:type="dxa"/>
            <w:tcBorders>
              <w:left w:val="single" w:sz="4" w:space="0" w:color="auto"/>
            </w:tcBorders>
            <w:shd w:val="clear" w:color="auto" w:fill="auto"/>
            <w:vAlign w:val="center"/>
          </w:tcPr>
          <w:p w:rsidR="00C60153" w:rsidRPr="00CF07C6" w:rsidRDefault="00C60153" w:rsidP="00C60153">
            <w:pPr>
              <w:spacing w:line="360" w:lineRule="auto"/>
              <w:ind w:leftChars="-16" w:left="-8" w:hangingChars="15" w:hanging="30"/>
              <w:jc w:val="center"/>
              <w:rPr>
                <w:rFonts w:ascii="Arial" w:hAnsi="Arial" w:cs="Arial"/>
                <w:color w:val="000000"/>
                <w:sz w:val="20"/>
                <w:szCs w:val="20"/>
              </w:rPr>
            </w:pPr>
            <w:r>
              <w:rPr>
                <w:rFonts w:ascii="Arial" w:hAnsi="Arial" w:cs="Arial"/>
                <w:color w:val="000000"/>
                <w:sz w:val="20"/>
                <w:szCs w:val="20"/>
                <w:lang w:val="en-US"/>
              </w:rPr>
              <w:t>41.7</w:t>
            </w:r>
          </w:p>
        </w:tc>
      </w:tr>
      <w:tr w:rsidR="00C60153" w:rsidRPr="00CF07C6" w:rsidTr="00283CE4">
        <w:trPr>
          <w:trHeight w:val="77"/>
        </w:trPr>
        <w:tc>
          <w:tcPr>
            <w:tcW w:w="1389" w:type="dxa"/>
            <w:tcBorders>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sz w:val="20"/>
                <w:szCs w:val="20"/>
              </w:rPr>
              <w:t>Toplam</w:t>
            </w:r>
          </w:p>
        </w:tc>
        <w:tc>
          <w:tcPr>
            <w:tcW w:w="104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30</w:t>
            </w:r>
          </w:p>
        </w:tc>
        <w:tc>
          <w:tcPr>
            <w:tcW w:w="1130"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100</w:t>
            </w:r>
          </w:p>
        </w:tc>
        <w:tc>
          <w:tcPr>
            <w:tcW w:w="1092" w:type="dxa"/>
            <w:tcBorders>
              <w:left w:val="single" w:sz="4" w:space="0" w:color="auto"/>
              <w:righ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Pr>
                <w:rFonts w:ascii="Arial" w:hAnsi="Arial" w:cs="Arial"/>
                <w:color w:val="000000"/>
                <w:sz w:val="20"/>
                <w:szCs w:val="20"/>
                <w:lang w:val="en-US"/>
              </w:rPr>
              <w:t>60</w:t>
            </w:r>
          </w:p>
        </w:tc>
        <w:tc>
          <w:tcPr>
            <w:tcW w:w="1231" w:type="dxa"/>
            <w:tcBorders>
              <w:left w:val="single" w:sz="4" w:space="0" w:color="auto"/>
            </w:tcBorders>
            <w:shd w:val="clear" w:color="auto" w:fill="auto"/>
            <w:vAlign w:val="center"/>
          </w:tcPr>
          <w:p w:rsidR="00C60153" w:rsidRPr="00CF07C6" w:rsidRDefault="00C60153" w:rsidP="00283CE4">
            <w:pPr>
              <w:spacing w:line="360" w:lineRule="auto"/>
              <w:jc w:val="center"/>
              <w:rPr>
                <w:rFonts w:ascii="Arial" w:hAnsi="Arial" w:cs="Arial"/>
                <w:sz w:val="20"/>
                <w:szCs w:val="20"/>
              </w:rPr>
            </w:pPr>
            <w:r w:rsidRPr="00CF07C6">
              <w:rPr>
                <w:rFonts w:ascii="Arial" w:hAnsi="Arial" w:cs="Arial"/>
                <w:color w:val="000000"/>
                <w:sz w:val="20"/>
                <w:szCs w:val="20"/>
                <w:lang w:val="en-US"/>
              </w:rPr>
              <w:t>100</w:t>
            </w:r>
          </w:p>
        </w:tc>
      </w:tr>
      <w:tr w:rsidR="00C60153" w:rsidRPr="00CF07C6" w:rsidTr="00283CE4">
        <w:trPr>
          <w:trHeight w:val="425"/>
        </w:trPr>
        <w:tc>
          <w:tcPr>
            <w:tcW w:w="8106" w:type="dxa"/>
            <w:gridSpan w:val="7"/>
            <w:shd w:val="clear" w:color="auto" w:fill="auto"/>
            <w:vAlign w:val="center"/>
          </w:tcPr>
          <w:p w:rsidR="00C60153" w:rsidRPr="00CF07C6" w:rsidRDefault="00C60153" w:rsidP="00283CE4">
            <w:pPr>
              <w:spacing w:line="360" w:lineRule="auto"/>
              <w:rPr>
                <w:rFonts w:ascii="Arial" w:hAnsi="Arial" w:cs="Arial"/>
                <w:sz w:val="20"/>
                <w:szCs w:val="20"/>
              </w:rPr>
            </w:pPr>
            <w:r w:rsidRPr="00CF07C6">
              <w:rPr>
                <w:rFonts w:ascii="Arial" w:hAnsi="Arial" w:cs="Arial"/>
                <w:sz w:val="20"/>
                <w:szCs w:val="20"/>
              </w:rPr>
              <w:t xml:space="preserve">χ ² = </w:t>
            </w:r>
            <w:r>
              <w:rPr>
                <w:rFonts w:ascii="Arial" w:hAnsi="Arial" w:cs="Arial"/>
                <w:sz w:val="20"/>
                <w:szCs w:val="20"/>
              </w:rPr>
              <w:t>24.754    p &lt;</w:t>
            </w:r>
            <w:r w:rsidRPr="00CF07C6">
              <w:rPr>
                <w:rFonts w:ascii="Arial" w:hAnsi="Arial" w:cs="Arial"/>
                <w:sz w:val="20"/>
                <w:szCs w:val="20"/>
              </w:rPr>
              <w:t xml:space="preserve"> </w:t>
            </w:r>
            <w:r w:rsidRPr="00CF07C6">
              <w:rPr>
                <w:rFonts w:ascii="Arial" w:hAnsi="Arial" w:cs="Arial"/>
                <w:color w:val="000000"/>
                <w:sz w:val="20"/>
                <w:szCs w:val="20"/>
                <w:lang w:val="en-US"/>
              </w:rPr>
              <w:t>0.001</w:t>
            </w:r>
          </w:p>
        </w:tc>
      </w:tr>
    </w:tbl>
    <w:p w:rsidR="00C60153" w:rsidRDefault="00C60153" w:rsidP="00C60153">
      <w:pPr>
        <w:spacing w:line="360" w:lineRule="auto"/>
        <w:contextualSpacing/>
        <w:jc w:val="both"/>
        <w:rPr>
          <w:b/>
          <w:shd w:val="clear" w:color="auto" w:fill="FFFFFF"/>
        </w:rPr>
      </w:pPr>
    </w:p>
    <w:p w:rsidR="00C60153" w:rsidRDefault="00C60153" w:rsidP="00C60153">
      <w:pPr>
        <w:spacing w:line="360" w:lineRule="auto"/>
        <w:ind w:firstLine="567"/>
        <w:contextualSpacing/>
        <w:jc w:val="both"/>
        <w:rPr>
          <w:b/>
          <w:shd w:val="clear" w:color="auto" w:fill="FFFFFF"/>
        </w:rPr>
      </w:pPr>
    </w:p>
    <w:p w:rsidR="00C60153" w:rsidRDefault="00C60153" w:rsidP="00C60153">
      <w:pPr>
        <w:spacing w:line="360" w:lineRule="auto"/>
        <w:ind w:firstLine="567"/>
        <w:contextualSpacing/>
        <w:jc w:val="both"/>
        <w:rPr>
          <w:b/>
          <w:shd w:val="clear" w:color="auto" w:fill="FFFFFF"/>
        </w:rPr>
      </w:pPr>
    </w:p>
    <w:p w:rsidR="00C60153" w:rsidRPr="0094050B" w:rsidRDefault="00C60153" w:rsidP="00C60153">
      <w:pPr>
        <w:spacing w:line="360" w:lineRule="auto"/>
        <w:ind w:firstLine="567"/>
        <w:contextualSpacing/>
        <w:jc w:val="both"/>
        <w:rPr>
          <w:rFonts w:ascii="Arial" w:hAnsi="Arial" w:cs="Arial"/>
          <w:b/>
          <w:sz w:val="22"/>
          <w:szCs w:val="22"/>
          <w:shd w:val="clear" w:color="auto" w:fill="FFFFFF"/>
        </w:rPr>
      </w:pPr>
      <w:r w:rsidRPr="0094050B">
        <w:rPr>
          <w:rFonts w:ascii="Arial" w:hAnsi="Arial" w:cs="Arial"/>
          <w:b/>
          <w:sz w:val="22"/>
          <w:szCs w:val="22"/>
          <w:shd w:val="clear" w:color="auto" w:fill="FFFFFF"/>
        </w:rPr>
        <w:t>KATILIMCILARIN KLİNİK ÖZELLİKLERİ</w:t>
      </w:r>
    </w:p>
    <w:p w:rsidR="00C60153" w:rsidRPr="0094050B" w:rsidRDefault="00C60153" w:rsidP="00C60153">
      <w:pPr>
        <w:spacing w:line="360" w:lineRule="auto"/>
        <w:ind w:firstLine="567"/>
        <w:contextualSpacing/>
        <w:jc w:val="both"/>
        <w:rPr>
          <w:rFonts w:ascii="Arial" w:hAnsi="Arial" w:cs="Arial"/>
          <w:sz w:val="22"/>
          <w:szCs w:val="22"/>
          <w:shd w:val="clear" w:color="auto" w:fill="FFFFFF"/>
        </w:rPr>
      </w:pPr>
    </w:p>
    <w:p w:rsidR="00C60153" w:rsidRPr="0094050B" w:rsidRDefault="00C60153" w:rsidP="0094050B">
      <w:pPr>
        <w:spacing w:line="360" w:lineRule="auto"/>
        <w:ind w:firstLine="567"/>
        <w:rPr>
          <w:rFonts w:ascii="Arial" w:hAnsi="Arial" w:cs="Arial"/>
          <w:b/>
          <w:sz w:val="22"/>
          <w:szCs w:val="22"/>
        </w:rPr>
      </w:pPr>
      <w:r w:rsidRPr="0094050B">
        <w:rPr>
          <w:rFonts w:ascii="Arial" w:hAnsi="Arial" w:cs="Arial"/>
          <w:b/>
          <w:sz w:val="22"/>
          <w:szCs w:val="22"/>
        </w:rPr>
        <w:t>Olgu Grubunun Çocuk ve Ergenlerde Yıkıcı Davranım Bozuklukları İçin DSM-IV'e Dayalı Tarama ve Değerlendirme Ölçeği Açısından Değerlendirilmesi</w:t>
      </w:r>
    </w:p>
    <w:p w:rsidR="00C60153" w:rsidRPr="0094050B" w:rsidRDefault="00C60153" w:rsidP="0094050B">
      <w:pPr>
        <w:spacing w:line="360" w:lineRule="auto"/>
        <w:ind w:firstLine="567"/>
        <w:contextualSpacing/>
        <w:jc w:val="both"/>
        <w:rPr>
          <w:rFonts w:ascii="Arial" w:hAnsi="Arial" w:cs="Arial"/>
          <w:sz w:val="22"/>
          <w:szCs w:val="22"/>
          <w:shd w:val="clear" w:color="auto" w:fill="FFFFFF"/>
        </w:rPr>
      </w:pPr>
      <w:r w:rsidRPr="0094050B">
        <w:rPr>
          <w:rFonts w:ascii="Arial" w:hAnsi="Arial" w:cs="Arial"/>
          <w:sz w:val="22"/>
          <w:szCs w:val="22"/>
          <w:shd w:val="clear" w:color="auto" w:fill="FFFFFF"/>
        </w:rPr>
        <w:t>Olgu grubundaki anneleri, babaları ve öğretmenleri tarafından doldurulan tarama ve değerlendirme ölçeklerinde, her bir madde için işaretlenen puanların toplanması ile alt alanların puanları belirlenmiştir. (Tablo 21).</w:t>
      </w:r>
    </w:p>
    <w:p w:rsidR="00C60153" w:rsidRPr="0094050B" w:rsidRDefault="00C60153" w:rsidP="0094050B">
      <w:pPr>
        <w:spacing w:line="360" w:lineRule="auto"/>
        <w:ind w:firstLine="567"/>
        <w:contextualSpacing/>
        <w:jc w:val="both"/>
        <w:rPr>
          <w:rFonts w:ascii="Arial" w:hAnsi="Arial" w:cs="Arial"/>
          <w:sz w:val="22"/>
          <w:szCs w:val="22"/>
          <w:shd w:val="clear" w:color="auto" w:fill="FFFFFF"/>
        </w:rPr>
      </w:pPr>
      <w:r w:rsidRPr="0094050B">
        <w:rPr>
          <w:rFonts w:ascii="Arial" w:hAnsi="Arial" w:cs="Arial"/>
          <w:b/>
          <w:sz w:val="22"/>
          <w:szCs w:val="22"/>
          <w:shd w:val="clear" w:color="auto" w:fill="FFFFFF"/>
        </w:rPr>
        <w:t xml:space="preserve">Olgu Grubunun </w:t>
      </w:r>
      <w:r w:rsidRPr="0094050B">
        <w:rPr>
          <w:rFonts w:ascii="Arial" w:hAnsi="Arial" w:cs="Arial"/>
          <w:b/>
          <w:sz w:val="22"/>
          <w:szCs w:val="22"/>
        </w:rPr>
        <w:t>ACE Uygulaması</w:t>
      </w:r>
      <w:r w:rsidRPr="0094050B">
        <w:rPr>
          <w:rFonts w:ascii="Arial" w:hAnsi="Arial" w:cs="Arial"/>
          <w:b/>
          <w:sz w:val="22"/>
          <w:szCs w:val="22"/>
          <w:shd w:val="clear" w:color="auto" w:fill="FFFFFF"/>
        </w:rPr>
        <w:t xml:space="preserve"> Açısından Değerlendirilmesi</w:t>
      </w:r>
    </w:p>
    <w:p w:rsidR="00C60153" w:rsidRPr="0094050B" w:rsidRDefault="00C60153" w:rsidP="0094050B">
      <w:pPr>
        <w:spacing w:line="360" w:lineRule="auto"/>
        <w:ind w:firstLine="567"/>
        <w:contextualSpacing/>
        <w:jc w:val="both"/>
        <w:rPr>
          <w:rFonts w:ascii="Arial" w:hAnsi="Arial" w:cs="Arial"/>
          <w:sz w:val="22"/>
          <w:szCs w:val="22"/>
          <w:shd w:val="clear" w:color="auto" w:fill="FFFFFF"/>
        </w:rPr>
      </w:pPr>
      <w:r w:rsidRPr="0094050B">
        <w:rPr>
          <w:rFonts w:ascii="Arial" w:hAnsi="Arial" w:cs="Arial"/>
          <w:sz w:val="22"/>
          <w:szCs w:val="22"/>
          <w:shd w:val="clear" w:color="auto" w:fill="FFFFFF"/>
        </w:rPr>
        <w:t xml:space="preserve">Olgu grubundaki katılımcıların anneleri yarı yapılandırılmış bir görüşme şeklinde </w:t>
      </w:r>
      <w:r w:rsidRPr="0094050B">
        <w:rPr>
          <w:rFonts w:ascii="Arial" w:hAnsi="Arial" w:cs="Arial"/>
          <w:sz w:val="22"/>
          <w:szCs w:val="22"/>
        </w:rPr>
        <w:t>dikkat eksikliği, hiperaktivite ve dürtüselliğin temel belirtileriyle örtüşen, cevabı “evet” veya “hayır” şeklinde olan bir dizi sorular sorulmuştur. ACE ile her bir belirti için hem ev hem de okul ortamını sorgulanmıştır. Bu doğrultuda “evet” verilen her cevap için 1 puan verilmiş, “hayır” cevapları için puan verilmemiştir.</w:t>
      </w:r>
      <w:r w:rsidRPr="0094050B">
        <w:rPr>
          <w:rFonts w:ascii="Arial" w:hAnsi="Arial" w:cs="Arial"/>
          <w:sz w:val="22"/>
          <w:szCs w:val="22"/>
          <w:shd w:val="clear" w:color="auto" w:fill="FFFFFF"/>
        </w:rPr>
        <w:t xml:space="preserve"> ACE sadece olgu grubuna uygulanmıştır. (Tablo 22).</w:t>
      </w:r>
    </w:p>
    <w:p w:rsidR="00C60153" w:rsidRPr="0094050B" w:rsidRDefault="00C60153" w:rsidP="00C60153">
      <w:pPr>
        <w:jc w:val="both"/>
        <w:rPr>
          <w:rFonts w:ascii="Arial" w:hAnsi="Arial" w:cs="Arial"/>
          <w:sz w:val="22"/>
          <w:szCs w:val="22"/>
        </w:rPr>
      </w:pPr>
      <w:r w:rsidRPr="0094050B">
        <w:rPr>
          <w:rFonts w:ascii="Arial" w:hAnsi="Arial" w:cs="Arial"/>
          <w:sz w:val="22"/>
          <w:szCs w:val="22"/>
        </w:rPr>
        <w:t>Tablo 21. Çocuk ve Ergenlerde Yıkıcı Davranım Bozuklukları için DSM-IV’e Dayalı Tarama ve Değerlendirme Ölçeğine göre Olgu Grubu katılımcıların durumları</w:t>
      </w:r>
    </w:p>
    <w:tbl>
      <w:tblPr>
        <w:tblStyle w:val="TabloKlavuzu"/>
        <w:tblW w:w="6980" w:type="dxa"/>
        <w:tblLook w:val="04A0" w:firstRow="1" w:lastRow="0" w:firstColumn="1" w:lastColumn="0" w:noHBand="0" w:noVBand="1"/>
      </w:tblPr>
      <w:tblGrid>
        <w:gridCol w:w="2040"/>
        <w:gridCol w:w="1340"/>
        <w:gridCol w:w="1660"/>
        <w:gridCol w:w="1940"/>
      </w:tblGrid>
      <w:tr w:rsidR="00C60153" w:rsidRPr="00007DD0" w:rsidTr="00283CE4">
        <w:trPr>
          <w:trHeight w:val="300"/>
        </w:trPr>
        <w:tc>
          <w:tcPr>
            <w:tcW w:w="2040" w:type="dxa"/>
            <w:vAlign w:val="center"/>
            <w:hideMark/>
          </w:tcPr>
          <w:p w:rsidR="00C60153" w:rsidRPr="0094050B" w:rsidRDefault="00C60153" w:rsidP="00283CE4">
            <w:pPr>
              <w:spacing w:line="360" w:lineRule="auto"/>
              <w:jc w:val="center"/>
              <w:rPr>
                <w:rFonts w:ascii="Arial" w:hAnsi="Arial" w:cs="Arial"/>
                <w:color w:val="000000"/>
                <w:sz w:val="18"/>
                <w:szCs w:val="18"/>
                <w:lang w:val="en-US"/>
              </w:rPr>
            </w:pPr>
          </w:p>
        </w:tc>
        <w:tc>
          <w:tcPr>
            <w:tcW w:w="1340" w:type="dxa"/>
            <w:noWrap/>
            <w:vAlign w:val="center"/>
            <w:hideMark/>
          </w:tcPr>
          <w:p w:rsidR="00C60153" w:rsidRPr="0094050B" w:rsidRDefault="00C60153" w:rsidP="00283CE4">
            <w:pPr>
              <w:spacing w:line="360" w:lineRule="auto"/>
              <w:jc w:val="center"/>
              <w:rPr>
                <w:rFonts w:ascii="Arial" w:hAnsi="Arial" w:cs="Arial"/>
                <w:sz w:val="18"/>
                <w:szCs w:val="18"/>
                <w:lang w:val="en-US"/>
              </w:rPr>
            </w:pPr>
          </w:p>
        </w:tc>
        <w:tc>
          <w:tcPr>
            <w:tcW w:w="1660" w:type="dxa"/>
            <w:noWrap/>
            <w:vAlign w:val="center"/>
            <w:hideMark/>
          </w:tcPr>
          <w:p w:rsidR="00C60153" w:rsidRPr="0094050B" w:rsidRDefault="00C60153" w:rsidP="00283CE4">
            <w:pPr>
              <w:spacing w:line="360" w:lineRule="auto"/>
              <w:jc w:val="center"/>
              <w:rPr>
                <w:rFonts w:ascii="Arial" w:hAnsi="Arial" w:cs="Arial"/>
                <w:b/>
                <w:sz w:val="18"/>
                <w:szCs w:val="18"/>
                <w:lang w:val="en-US"/>
              </w:rPr>
            </w:pPr>
            <w:r w:rsidRPr="0094050B">
              <w:rPr>
                <w:rFonts w:ascii="Arial" w:hAnsi="Arial" w:cs="Arial"/>
                <w:b/>
                <w:sz w:val="18"/>
                <w:szCs w:val="18"/>
              </w:rPr>
              <w:t xml:space="preserve">Ort </w:t>
            </w:r>
            <w:r w:rsidRPr="0094050B">
              <w:rPr>
                <w:rFonts w:ascii="Arial" w:hAnsi="Arial" w:cs="Arial"/>
                <w:b/>
                <w:sz w:val="18"/>
                <w:szCs w:val="18"/>
                <w:u w:val="single"/>
              </w:rPr>
              <w:t>+</w:t>
            </w:r>
            <w:r w:rsidRPr="0094050B">
              <w:rPr>
                <w:rFonts w:ascii="Arial" w:hAnsi="Arial" w:cs="Arial"/>
                <w:b/>
                <w:sz w:val="18"/>
                <w:szCs w:val="18"/>
              </w:rPr>
              <w:t xml:space="preserve"> SS</w:t>
            </w:r>
          </w:p>
        </w:tc>
        <w:tc>
          <w:tcPr>
            <w:tcW w:w="1940" w:type="dxa"/>
            <w:noWrap/>
            <w:vAlign w:val="center"/>
            <w:hideMark/>
          </w:tcPr>
          <w:p w:rsidR="00C60153" w:rsidRPr="0094050B" w:rsidRDefault="00C60153" w:rsidP="00283CE4">
            <w:pPr>
              <w:spacing w:line="360" w:lineRule="auto"/>
              <w:jc w:val="center"/>
              <w:rPr>
                <w:rFonts w:ascii="Arial" w:hAnsi="Arial" w:cs="Arial"/>
                <w:b/>
                <w:sz w:val="18"/>
                <w:szCs w:val="18"/>
                <w:lang w:val="en-US"/>
              </w:rPr>
            </w:pPr>
            <w:r w:rsidRPr="0094050B">
              <w:rPr>
                <w:rFonts w:ascii="Arial" w:hAnsi="Arial" w:cs="Arial"/>
                <w:b/>
                <w:sz w:val="18"/>
                <w:szCs w:val="18"/>
                <w:lang w:val="en-US"/>
              </w:rPr>
              <w:t>Med. (min-max)</w:t>
            </w:r>
          </w:p>
        </w:tc>
      </w:tr>
      <w:tr w:rsidR="00C60153" w:rsidRPr="00007DD0" w:rsidTr="00283CE4">
        <w:trPr>
          <w:trHeight w:val="300"/>
        </w:trPr>
        <w:tc>
          <w:tcPr>
            <w:tcW w:w="2040" w:type="dxa"/>
            <w:vAlign w:val="center"/>
            <w:hideMark/>
          </w:tcPr>
          <w:p w:rsidR="00C60153" w:rsidRPr="0094050B" w:rsidRDefault="00C60153" w:rsidP="00283CE4">
            <w:pPr>
              <w:spacing w:line="360" w:lineRule="auto"/>
              <w:jc w:val="center"/>
              <w:rPr>
                <w:rFonts w:ascii="Arial" w:hAnsi="Arial" w:cs="Arial"/>
                <w:color w:val="000000"/>
                <w:sz w:val="18"/>
                <w:szCs w:val="18"/>
                <w:lang w:val="en-US"/>
              </w:rPr>
            </w:pPr>
            <w:r w:rsidRPr="0094050B">
              <w:rPr>
                <w:rFonts w:ascii="Arial" w:hAnsi="Arial" w:cs="Arial"/>
                <w:color w:val="000000"/>
                <w:sz w:val="18"/>
                <w:szCs w:val="18"/>
                <w:lang w:val="en-US"/>
              </w:rPr>
              <w:t>DE alt alanı (A)</w:t>
            </w:r>
          </w:p>
        </w:tc>
        <w:tc>
          <w:tcPr>
            <w:tcW w:w="134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Olgu</w:t>
            </w:r>
          </w:p>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(n=30)</w:t>
            </w:r>
          </w:p>
        </w:tc>
        <w:tc>
          <w:tcPr>
            <w:tcW w:w="166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5.83 ± 2.29</w:t>
            </w:r>
          </w:p>
        </w:tc>
        <w:tc>
          <w:tcPr>
            <w:tcW w:w="194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6 (1 - 9)</w:t>
            </w:r>
          </w:p>
        </w:tc>
      </w:tr>
      <w:tr w:rsidR="00C60153" w:rsidRPr="00007DD0" w:rsidTr="00283CE4">
        <w:trPr>
          <w:trHeight w:val="300"/>
        </w:trPr>
        <w:tc>
          <w:tcPr>
            <w:tcW w:w="2040" w:type="dxa"/>
            <w:vAlign w:val="center"/>
            <w:hideMark/>
          </w:tcPr>
          <w:p w:rsidR="00C60153" w:rsidRPr="0094050B" w:rsidRDefault="00C60153" w:rsidP="00283CE4">
            <w:pPr>
              <w:spacing w:line="360" w:lineRule="auto"/>
              <w:jc w:val="center"/>
              <w:rPr>
                <w:rFonts w:ascii="Arial" w:hAnsi="Arial" w:cs="Arial"/>
                <w:color w:val="000000"/>
                <w:sz w:val="18"/>
                <w:szCs w:val="18"/>
                <w:lang w:val="en-US"/>
              </w:rPr>
            </w:pPr>
            <w:r w:rsidRPr="0094050B">
              <w:rPr>
                <w:rFonts w:ascii="Arial" w:hAnsi="Arial" w:cs="Arial"/>
                <w:color w:val="000000"/>
                <w:sz w:val="18"/>
                <w:szCs w:val="18"/>
                <w:lang w:val="en-US"/>
              </w:rPr>
              <w:t>HA alt alanı (A)</w:t>
            </w:r>
          </w:p>
        </w:tc>
        <w:tc>
          <w:tcPr>
            <w:tcW w:w="134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Olgu</w:t>
            </w:r>
          </w:p>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(n=30)</w:t>
            </w:r>
          </w:p>
        </w:tc>
        <w:tc>
          <w:tcPr>
            <w:tcW w:w="166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5.6 ± 2.34</w:t>
            </w:r>
          </w:p>
        </w:tc>
        <w:tc>
          <w:tcPr>
            <w:tcW w:w="194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6 (1 - 9)</w:t>
            </w:r>
          </w:p>
        </w:tc>
      </w:tr>
      <w:tr w:rsidR="00C60153" w:rsidRPr="00007DD0" w:rsidTr="00283CE4">
        <w:trPr>
          <w:trHeight w:val="661"/>
        </w:trPr>
        <w:tc>
          <w:tcPr>
            <w:tcW w:w="2040" w:type="dxa"/>
            <w:vAlign w:val="center"/>
            <w:hideMark/>
          </w:tcPr>
          <w:p w:rsidR="00C60153" w:rsidRPr="0094050B" w:rsidRDefault="00C60153" w:rsidP="00283CE4">
            <w:pPr>
              <w:spacing w:line="360" w:lineRule="auto"/>
              <w:jc w:val="center"/>
              <w:rPr>
                <w:rFonts w:ascii="Arial" w:hAnsi="Arial" w:cs="Arial"/>
                <w:color w:val="000000"/>
                <w:sz w:val="18"/>
                <w:szCs w:val="18"/>
                <w:lang w:val="en-US"/>
              </w:rPr>
            </w:pPr>
            <w:r w:rsidRPr="0094050B">
              <w:rPr>
                <w:rFonts w:ascii="Arial" w:hAnsi="Arial" w:cs="Arial"/>
                <w:color w:val="000000"/>
                <w:sz w:val="18"/>
                <w:szCs w:val="18"/>
                <w:lang w:val="en-US"/>
              </w:rPr>
              <w:t>Toplam (A)</w:t>
            </w:r>
          </w:p>
        </w:tc>
        <w:tc>
          <w:tcPr>
            <w:tcW w:w="134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Olgu</w:t>
            </w:r>
          </w:p>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(n=30)</w:t>
            </w:r>
          </w:p>
        </w:tc>
        <w:tc>
          <w:tcPr>
            <w:tcW w:w="166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11 ± 3.89</w:t>
            </w:r>
          </w:p>
        </w:tc>
        <w:tc>
          <w:tcPr>
            <w:tcW w:w="194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10 (5 – 18)</w:t>
            </w:r>
          </w:p>
        </w:tc>
      </w:tr>
      <w:tr w:rsidR="00C60153" w:rsidRPr="00007DD0" w:rsidTr="00283CE4">
        <w:trPr>
          <w:trHeight w:val="300"/>
        </w:trPr>
        <w:tc>
          <w:tcPr>
            <w:tcW w:w="2040" w:type="dxa"/>
            <w:vAlign w:val="center"/>
            <w:hideMark/>
          </w:tcPr>
          <w:p w:rsidR="00C60153" w:rsidRPr="0094050B" w:rsidRDefault="00C60153" w:rsidP="00283CE4">
            <w:pPr>
              <w:spacing w:line="360" w:lineRule="auto"/>
              <w:jc w:val="center"/>
              <w:rPr>
                <w:rFonts w:ascii="Arial" w:hAnsi="Arial" w:cs="Arial"/>
                <w:color w:val="000000"/>
                <w:sz w:val="18"/>
                <w:szCs w:val="18"/>
                <w:lang w:val="en-US"/>
              </w:rPr>
            </w:pPr>
            <w:r w:rsidRPr="0094050B">
              <w:rPr>
                <w:rFonts w:ascii="Arial" w:hAnsi="Arial" w:cs="Arial"/>
                <w:color w:val="000000"/>
                <w:sz w:val="18"/>
                <w:szCs w:val="18"/>
                <w:lang w:val="en-US"/>
              </w:rPr>
              <w:t>DE alt alanı (B)</w:t>
            </w:r>
          </w:p>
        </w:tc>
        <w:tc>
          <w:tcPr>
            <w:tcW w:w="134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Olgu</w:t>
            </w:r>
          </w:p>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(n=27)</w:t>
            </w:r>
          </w:p>
        </w:tc>
        <w:tc>
          <w:tcPr>
            <w:tcW w:w="166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5 ± 2.96</w:t>
            </w:r>
          </w:p>
        </w:tc>
        <w:tc>
          <w:tcPr>
            <w:tcW w:w="194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5 (0 - 9)</w:t>
            </w:r>
          </w:p>
        </w:tc>
      </w:tr>
      <w:tr w:rsidR="00C60153" w:rsidRPr="00007DD0" w:rsidTr="00283CE4">
        <w:trPr>
          <w:trHeight w:val="300"/>
        </w:trPr>
        <w:tc>
          <w:tcPr>
            <w:tcW w:w="2040" w:type="dxa"/>
            <w:vAlign w:val="center"/>
            <w:hideMark/>
          </w:tcPr>
          <w:p w:rsidR="00C60153" w:rsidRPr="0094050B" w:rsidRDefault="00C60153" w:rsidP="00283CE4">
            <w:pPr>
              <w:spacing w:line="360" w:lineRule="auto"/>
              <w:jc w:val="center"/>
              <w:rPr>
                <w:rFonts w:ascii="Arial" w:hAnsi="Arial" w:cs="Arial"/>
                <w:color w:val="000000"/>
                <w:sz w:val="18"/>
                <w:szCs w:val="18"/>
                <w:lang w:val="en-US"/>
              </w:rPr>
            </w:pPr>
            <w:r w:rsidRPr="0094050B">
              <w:rPr>
                <w:rFonts w:ascii="Arial" w:hAnsi="Arial" w:cs="Arial"/>
                <w:color w:val="000000"/>
                <w:sz w:val="18"/>
                <w:szCs w:val="18"/>
                <w:lang w:val="en-US"/>
              </w:rPr>
              <w:t>HA alt alanı (B)</w:t>
            </w:r>
          </w:p>
        </w:tc>
        <w:tc>
          <w:tcPr>
            <w:tcW w:w="134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Olgu</w:t>
            </w:r>
          </w:p>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(n=27)</w:t>
            </w:r>
          </w:p>
        </w:tc>
        <w:tc>
          <w:tcPr>
            <w:tcW w:w="166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5,19 ± 2.79</w:t>
            </w:r>
          </w:p>
        </w:tc>
        <w:tc>
          <w:tcPr>
            <w:tcW w:w="194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5 (0 - 9)</w:t>
            </w:r>
          </w:p>
        </w:tc>
      </w:tr>
      <w:tr w:rsidR="00C60153" w:rsidRPr="00007DD0" w:rsidTr="00283CE4">
        <w:trPr>
          <w:trHeight w:val="661"/>
        </w:trPr>
        <w:tc>
          <w:tcPr>
            <w:tcW w:w="2040" w:type="dxa"/>
            <w:vAlign w:val="center"/>
            <w:hideMark/>
          </w:tcPr>
          <w:p w:rsidR="00C60153" w:rsidRPr="0094050B" w:rsidRDefault="00C60153" w:rsidP="00283CE4">
            <w:pPr>
              <w:spacing w:line="360" w:lineRule="auto"/>
              <w:jc w:val="center"/>
              <w:rPr>
                <w:rFonts w:ascii="Arial" w:hAnsi="Arial" w:cs="Arial"/>
                <w:color w:val="000000"/>
                <w:sz w:val="18"/>
                <w:szCs w:val="18"/>
                <w:lang w:val="en-US"/>
              </w:rPr>
            </w:pPr>
            <w:r w:rsidRPr="0094050B">
              <w:rPr>
                <w:rFonts w:ascii="Arial" w:hAnsi="Arial" w:cs="Arial"/>
                <w:color w:val="000000"/>
                <w:sz w:val="18"/>
                <w:szCs w:val="18"/>
                <w:lang w:val="en-US"/>
              </w:rPr>
              <w:t>Toplam (B)</w:t>
            </w:r>
          </w:p>
        </w:tc>
        <w:tc>
          <w:tcPr>
            <w:tcW w:w="134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Olgu</w:t>
            </w:r>
          </w:p>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(n=27)</w:t>
            </w:r>
          </w:p>
        </w:tc>
        <w:tc>
          <w:tcPr>
            <w:tcW w:w="166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9.7 ± 4.61</w:t>
            </w:r>
          </w:p>
        </w:tc>
        <w:tc>
          <w:tcPr>
            <w:tcW w:w="194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9 (0 – 18)</w:t>
            </w:r>
          </w:p>
        </w:tc>
      </w:tr>
      <w:tr w:rsidR="00C60153" w:rsidRPr="00007DD0" w:rsidTr="00283CE4">
        <w:trPr>
          <w:trHeight w:val="300"/>
        </w:trPr>
        <w:tc>
          <w:tcPr>
            <w:tcW w:w="2040" w:type="dxa"/>
            <w:vAlign w:val="center"/>
            <w:hideMark/>
          </w:tcPr>
          <w:p w:rsidR="00C60153" w:rsidRPr="0094050B" w:rsidRDefault="00C60153" w:rsidP="00283CE4">
            <w:pPr>
              <w:spacing w:line="360" w:lineRule="auto"/>
              <w:jc w:val="center"/>
              <w:rPr>
                <w:rFonts w:ascii="Arial" w:hAnsi="Arial" w:cs="Arial"/>
                <w:color w:val="000000"/>
                <w:sz w:val="18"/>
                <w:szCs w:val="18"/>
                <w:lang w:val="en-US"/>
              </w:rPr>
            </w:pPr>
            <w:r w:rsidRPr="0094050B">
              <w:rPr>
                <w:rFonts w:ascii="Arial" w:hAnsi="Arial" w:cs="Arial"/>
                <w:color w:val="000000"/>
                <w:sz w:val="18"/>
                <w:szCs w:val="18"/>
                <w:lang w:val="en-US"/>
              </w:rPr>
              <w:t>DE alt alanı (Ö)</w:t>
            </w:r>
          </w:p>
        </w:tc>
        <w:tc>
          <w:tcPr>
            <w:tcW w:w="134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Olgu</w:t>
            </w:r>
          </w:p>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(n=21)</w:t>
            </w:r>
          </w:p>
        </w:tc>
        <w:tc>
          <w:tcPr>
            <w:tcW w:w="166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6 ± 3.03</w:t>
            </w:r>
          </w:p>
        </w:tc>
        <w:tc>
          <w:tcPr>
            <w:tcW w:w="194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8 (1 - 9)</w:t>
            </w:r>
          </w:p>
        </w:tc>
      </w:tr>
      <w:tr w:rsidR="00C60153" w:rsidRPr="00007DD0" w:rsidTr="00283CE4">
        <w:trPr>
          <w:trHeight w:val="300"/>
        </w:trPr>
        <w:tc>
          <w:tcPr>
            <w:tcW w:w="2040" w:type="dxa"/>
            <w:vAlign w:val="center"/>
            <w:hideMark/>
          </w:tcPr>
          <w:p w:rsidR="00C60153" w:rsidRPr="0094050B" w:rsidRDefault="00C60153" w:rsidP="00283CE4">
            <w:pPr>
              <w:spacing w:line="360" w:lineRule="auto"/>
              <w:jc w:val="center"/>
              <w:rPr>
                <w:rFonts w:ascii="Arial" w:hAnsi="Arial" w:cs="Arial"/>
                <w:color w:val="000000"/>
                <w:sz w:val="18"/>
                <w:szCs w:val="18"/>
                <w:lang w:val="en-US"/>
              </w:rPr>
            </w:pPr>
            <w:r w:rsidRPr="0094050B">
              <w:rPr>
                <w:rFonts w:ascii="Arial" w:hAnsi="Arial" w:cs="Arial"/>
                <w:color w:val="000000"/>
                <w:sz w:val="18"/>
                <w:szCs w:val="18"/>
                <w:lang w:val="en-US"/>
              </w:rPr>
              <w:t>HA alt alanı (Ö)</w:t>
            </w:r>
          </w:p>
        </w:tc>
        <w:tc>
          <w:tcPr>
            <w:tcW w:w="134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Olgu</w:t>
            </w:r>
          </w:p>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(n=21)</w:t>
            </w:r>
          </w:p>
        </w:tc>
        <w:tc>
          <w:tcPr>
            <w:tcW w:w="166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5.76 ± 3.13</w:t>
            </w:r>
          </w:p>
        </w:tc>
        <w:tc>
          <w:tcPr>
            <w:tcW w:w="194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6 (0 - 9)</w:t>
            </w:r>
          </w:p>
        </w:tc>
      </w:tr>
      <w:tr w:rsidR="00C60153" w:rsidRPr="00007DD0" w:rsidTr="00283CE4">
        <w:trPr>
          <w:trHeight w:val="652"/>
        </w:trPr>
        <w:tc>
          <w:tcPr>
            <w:tcW w:w="2040" w:type="dxa"/>
            <w:vAlign w:val="center"/>
            <w:hideMark/>
          </w:tcPr>
          <w:p w:rsidR="00C60153" w:rsidRPr="0094050B" w:rsidRDefault="00C60153" w:rsidP="00283CE4">
            <w:pPr>
              <w:spacing w:line="360" w:lineRule="auto"/>
              <w:jc w:val="center"/>
              <w:rPr>
                <w:rFonts w:ascii="Arial" w:hAnsi="Arial" w:cs="Arial"/>
                <w:color w:val="000000"/>
                <w:sz w:val="18"/>
                <w:szCs w:val="18"/>
                <w:lang w:val="en-US"/>
              </w:rPr>
            </w:pPr>
            <w:r w:rsidRPr="0094050B">
              <w:rPr>
                <w:rFonts w:ascii="Arial" w:hAnsi="Arial" w:cs="Arial"/>
                <w:color w:val="000000"/>
                <w:sz w:val="18"/>
                <w:szCs w:val="18"/>
                <w:lang w:val="en-US"/>
              </w:rPr>
              <w:t>Toplam (Ö)</w:t>
            </w:r>
          </w:p>
        </w:tc>
        <w:tc>
          <w:tcPr>
            <w:tcW w:w="134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Olgu</w:t>
            </w:r>
          </w:p>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(n=21)</w:t>
            </w:r>
          </w:p>
        </w:tc>
        <w:tc>
          <w:tcPr>
            <w:tcW w:w="166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11.45 ± 4.83</w:t>
            </w:r>
          </w:p>
        </w:tc>
        <w:tc>
          <w:tcPr>
            <w:tcW w:w="1940" w:type="dxa"/>
            <w:noWrap/>
            <w:vAlign w:val="center"/>
            <w:hideMark/>
          </w:tcPr>
          <w:p w:rsidR="00C60153" w:rsidRPr="0094050B" w:rsidRDefault="00C60153" w:rsidP="00283CE4">
            <w:pPr>
              <w:spacing w:line="360" w:lineRule="auto"/>
              <w:jc w:val="center"/>
              <w:rPr>
                <w:rFonts w:ascii="Arial" w:hAnsi="Arial" w:cs="Arial"/>
                <w:sz w:val="18"/>
                <w:szCs w:val="18"/>
                <w:lang w:val="en-US"/>
              </w:rPr>
            </w:pPr>
            <w:r w:rsidRPr="0094050B">
              <w:rPr>
                <w:rFonts w:ascii="Arial" w:hAnsi="Arial" w:cs="Arial"/>
                <w:sz w:val="18"/>
                <w:szCs w:val="18"/>
                <w:lang w:val="en-US"/>
              </w:rPr>
              <w:t>11 (3 – 18)</w:t>
            </w:r>
          </w:p>
        </w:tc>
      </w:tr>
    </w:tbl>
    <w:p w:rsidR="00C60153" w:rsidRPr="0094050B" w:rsidRDefault="00C60153" w:rsidP="0094050B">
      <w:pPr>
        <w:contextualSpacing/>
        <w:jc w:val="both"/>
        <w:rPr>
          <w:rFonts w:ascii="Arial" w:hAnsi="Arial" w:cs="Arial"/>
          <w:sz w:val="22"/>
          <w:szCs w:val="22"/>
          <w:shd w:val="clear" w:color="auto" w:fill="FFFFFF"/>
        </w:rPr>
      </w:pPr>
      <w:r w:rsidRPr="0094050B">
        <w:rPr>
          <w:rFonts w:ascii="Arial" w:hAnsi="Arial" w:cs="Arial"/>
          <w:sz w:val="22"/>
          <w:szCs w:val="22"/>
          <w:shd w:val="clear" w:color="auto" w:fill="FFFFFF"/>
        </w:rPr>
        <w:t>A: Anne, B:Baba, Ö: Öğretmen tarafından doldurulan ölçekler. DE: Dikkat eksikliği alt alanı puanları, HA: Hiperaktivite / Dürtüsellik alt alanı puanları.</w:t>
      </w:r>
    </w:p>
    <w:p w:rsidR="00BB3360" w:rsidRDefault="00BB3360" w:rsidP="00C60153">
      <w:pPr>
        <w:rPr>
          <w:rFonts w:ascii="Arial" w:hAnsi="Arial" w:cs="Arial"/>
          <w:sz w:val="22"/>
          <w:szCs w:val="22"/>
        </w:rPr>
      </w:pPr>
    </w:p>
    <w:p w:rsidR="00BB3360" w:rsidRDefault="00BB3360" w:rsidP="00C60153">
      <w:pPr>
        <w:rPr>
          <w:rFonts w:ascii="Arial" w:hAnsi="Arial" w:cs="Arial"/>
          <w:sz w:val="22"/>
          <w:szCs w:val="22"/>
        </w:rPr>
      </w:pPr>
    </w:p>
    <w:p w:rsidR="00C60153" w:rsidRPr="0094050B" w:rsidRDefault="00C60153" w:rsidP="00C60153">
      <w:pPr>
        <w:rPr>
          <w:rFonts w:ascii="Arial" w:hAnsi="Arial" w:cs="Arial"/>
          <w:sz w:val="22"/>
          <w:szCs w:val="22"/>
        </w:rPr>
      </w:pPr>
      <w:r w:rsidRPr="0094050B">
        <w:rPr>
          <w:rFonts w:ascii="Arial" w:hAnsi="Arial" w:cs="Arial"/>
          <w:sz w:val="22"/>
          <w:szCs w:val="22"/>
        </w:rPr>
        <w:lastRenderedPageBreak/>
        <w:t>Tablo 22. Olgu grubunun ACE uygulaması açısından durumları</w:t>
      </w:r>
    </w:p>
    <w:tbl>
      <w:tblPr>
        <w:tblStyle w:val="TabloKlavuzu"/>
        <w:tblW w:w="6980" w:type="dxa"/>
        <w:tblLook w:val="04A0" w:firstRow="1" w:lastRow="0" w:firstColumn="1" w:lastColumn="0" w:noHBand="0" w:noVBand="1"/>
      </w:tblPr>
      <w:tblGrid>
        <w:gridCol w:w="2040"/>
        <w:gridCol w:w="1340"/>
        <w:gridCol w:w="1660"/>
        <w:gridCol w:w="1940"/>
      </w:tblGrid>
      <w:tr w:rsidR="00C60153" w:rsidRPr="003F35E9" w:rsidTr="00283CE4">
        <w:trPr>
          <w:trHeight w:val="300"/>
        </w:trPr>
        <w:tc>
          <w:tcPr>
            <w:tcW w:w="2040" w:type="dxa"/>
            <w:vAlign w:val="center"/>
            <w:hideMark/>
          </w:tcPr>
          <w:p w:rsidR="00C60153" w:rsidRPr="003F35E9" w:rsidRDefault="00C60153" w:rsidP="00283CE4">
            <w:pPr>
              <w:spacing w:line="360" w:lineRule="auto"/>
              <w:jc w:val="center"/>
              <w:rPr>
                <w:rFonts w:ascii="Arial" w:hAnsi="Arial" w:cs="Arial"/>
                <w:color w:val="000000"/>
                <w:sz w:val="20"/>
                <w:szCs w:val="20"/>
                <w:lang w:val="en-US"/>
              </w:rPr>
            </w:pPr>
          </w:p>
        </w:tc>
        <w:tc>
          <w:tcPr>
            <w:tcW w:w="1340" w:type="dxa"/>
            <w:noWrap/>
            <w:vAlign w:val="center"/>
            <w:hideMark/>
          </w:tcPr>
          <w:p w:rsidR="00C60153" w:rsidRPr="003F35E9" w:rsidRDefault="00C60153" w:rsidP="00283CE4">
            <w:pPr>
              <w:spacing w:line="360" w:lineRule="auto"/>
              <w:jc w:val="center"/>
              <w:rPr>
                <w:rFonts w:ascii="Arial" w:hAnsi="Arial" w:cs="Arial"/>
                <w:sz w:val="20"/>
                <w:szCs w:val="20"/>
                <w:lang w:val="en-US"/>
              </w:rPr>
            </w:pPr>
          </w:p>
        </w:tc>
        <w:tc>
          <w:tcPr>
            <w:tcW w:w="1660" w:type="dxa"/>
            <w:noWrap/>
            <w:vAlign w:val="center"/>
            <w:hideMark/>
          </w:tcPr>
          <w:p w:rsidR="00C60153" w:rsidRPr="003F35E9" w:rsidRDefault="00C60153" w:rsidP="00283CE4">
            <w:pPr>
              <w:spacing w:line="360" w:lineRule="auto"/>
              <w:jc w:val="center"/>
              <w:rPr>
                <w:rFonts w:ascii="Arial" w:hAnsi="Arial" w:cs="Arial"/>
                <w:b/>
                <w:sz w:val="20"/>
                <w:szCs w:val="20"/>
                <w:lang w:val="en-US"/>
              </w:rPr>
            </w:pPr>
            <w:r w:rsidRPr="00E0441B">
              <w:rPr>
                <w:rFonts w:ascii="Arial" w:hAnsi="Arial" w:cs="Arial"/>
                <w:b/>
                <w:sz w:val="20"/>
                <w:szCs w:val="20"/>
              </w:rPr>
              <w:t xml:space="preserve">Ort </w:t>
            </w:r>
            <w:r w:rsidRPr="00E0441B">
              <w:rPr>
                <w:rFonts w:ascii="Arial" w:hAnsi="Arial" w:cs="Arial"/>
                <w:b/>
                <w:sz w:val="20"/>
                <w:szCs w:val="20"/>
                <w:u w:val="single"/>
              </w:rPr>
              <w:t>+</w:t>
            </w:r>
            <w:r w:rsidRPr="00E0441B">
              <w:rPr>
                <w:rFonts w:ascii="Arial" w:hAnsi="Arial" w:cs="Arial"/>
                <w:b/>
                <w:sz w:val="20"/>
                <w:szCs w:val="20"/>
              </w:rPr>
              <w:t xml:space="preserve"> SS</w:t>
            </w:r>
          </w:p>
        </w:tc>
        <w:tc>
          <w:tcPr>
            <w:tcW w:w="1940" w:type="dxa"/>
            <w:noWrap/>
            <w:vAlign w:val="center"/>
            <w:hideMark/>
          </w:tcPr>
          <w:p w:rsidR="00C60153" w:rsidRPr="003F35E9" w:rsidRDefault="00C60153" w:rsidP="00283CE4">
            <w:pPr>
              <w:tabs>
                <w:tab w:val="center" w:pos="862"/>
              </w:tabs>
              <w:spacing w:line="360" w:lineRule="auto"/>
              <w:jc w:val="center"/>
              <w:rPr>
                <w:rFonts w:ascii="Arial" w:hAnsi="Arial" w:cs="Arial"/>
                <w:b/>
                <w:sz w:val="20"/>
                <w:szCs w:val="20"/>
                <w:lang w:val="en-US"/>
              </w:rPr>
            </w:pPr>
            <w:r w:rsidRPr="003F35E9">
              <w:rPr>
                <w:rFonts w:ascii="Arial" w:hAnsi="Arial" w:cs="Arial"/>
                <w:b/>
                <w:sz w:val="20"/>
                <w:szCs w:val="20"/>
                <w:lang w:val="en-US"/>
              </w:rPr>
              <w:t>Med</w:t>
            </w:r>
            <w:r>
              <w:rPr>
                <w:rFonts w:ascii="Arial" w:hAnsi="Arial" w:cs="Arial"/>
                <w:b/>
                <w:sz w:val="20"/>
                <w:szCs w:val="20"/>
                <w:lang w:val="en-US"/>
              </w:rPr>
              <w:t>.</w:t>
            </w:r>
            <w:r w:rsidRPr="003F35E9">
              <w:rPr>
                <w:rFonts w:ascii="Arial" w:hAnsi="Arial" w:cs="Arial"/>
                <w:b/>
                <w:sz w:val="20"/>
                <w:szCs w:val="20"/>
                <w:lang w:val="en-US"/>
              </w:rPr>
              <w:t>(min-max)</w:t>
            </w:r>
          </w:p>
        </w:tc>
      </w:tr>
      <w:tr w:rsidR="00C60153" w:rsidRPr="003F35E9" w:rsidTr="00283CE4">
        <w:trPr>
          <w:trHeight w:val="300"/>
        </w:trPr>
        <w:tc>
          <w:tcPr>
            <w:tcW w:w="2040" w:type="dxa"/>
            <w:vAlign w:val="center"/>
            <w:hideMark/>
          </w:tcPr>
          <w:p w:rsidR="00C60153" w:rsidRPr="003F35E9" w:rsidRDefault="00C60153" w:rsidP="00283CE4">
            <w:pPr>
              <w:spacing w:line="360" w:lineRule="auto"/>
              <w:jc w:val="center"/>
              <w:rPr>
                <w:rFonts w:ascii="Arial" w:hAnsi="Arial" w:cs="Arial"/>
                <w:color w:val="000000"/>
                <w:sz w:val="20"/>
                <w:szCs w:val="20"/>
                <w:lang w:val="en-US"/>
              </w:rPr>
            </w:pPr>
            <w:r>
              <w:rPr>
                <w:rFonts w:ascii="Arial" w:hAnsi="Arial" w:cs="Arial"/>
                <w:color w:val="000000"/>
                <w:sz w:val="20"/>
                <w:szCs w:val="20"/>
                <w:lang w:val="en-US"/>
              </w:rPr>
              <w:t>DE Alt alanı Ev</w:t>
            </w:r>
          </w:p>
        </w:tc>
        <w:tc>
          <w:tcPr>
            <w:tcW w:w="1340" w:type="dxa"/>
            <w:noWrap/>
            <w:vAlign w:val="center"/>
            <w:hideMark/>
          </w:tcPr>
          <w:p w:rsidR="00C60153" w:rsidRPr="003F35E9" w:rsidRDefault="00C60153" w:rsidP="00283CE4">
            <w:pPr>
              <w:spacing w:line="360" w:lineRule="auto"/>
              <w:jc w:val="center"/>
              <w:rPr>
                <w:rFonts w:ascii="Arial" w:hAnsi="Arial" w:cs="Arial"/>
                <w:sz w:val="20"/>
                <w:szCs w:val="20"/>
                <w:lang w:val="en-US"/>
              </w:rPr>
            </w:pPr>
            <w:r w:rsidRPr="003F35E9">
              <w:rPr>
                <w:rFonts w:ascii="Arial" w:hAnsi="Arial" w:cs="Arial"/>
                <w:sz w:val="20"/>
                <w:szCs w:val="20"/>
                <w:lang w:val="en-US"/>
              </w:rPr>
              <w:t>hasta (n=30)</w:t>
            </w:r>
          </w:p>
        </w:tc>
        <w:tc>
          <w:tcPr>
            <w:tcW w:w="1660" w:type="dxa"/>
            <w:noWrap/>
            <w:vAlign w:val="center"/>
            <w:hideMark/>
          </w:tcPr>
          <w:p w:rsidR="00C60153" w:rsidRPr="003F35E9"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6.</w:t>
            </w:r>
            <w:r w:rsidRPr="003F35E9">
              <w:rPr>
                <w:rFonts w:ascii="Arial" w:hAnsi="Arial" w:cs="Arial"/>
                <w:sz w:val="20"/>
                <w:szCs w:val="20"/>
                <w:lang w:val="en-US"/>
              </w:rPr>
              <w:t>93 ± 1</w:t>
            </w:r>
            <w:r>
              <w:rPr>
                <w:rFonts w:ascii="Arial" w:hAnsi="Arial" w:cs="Arial"/>
                <w:sz w:val="20"/>
                <w:szCs w:val="20"/>
                <w:lang w:val="en-US"/>
              </w:rPr>
              <w:t>.</w:t>
            </w:r>
            <w:r w:rsidRPr="003F35E9">
              <w:rPr>
                <w:rFonts w:ascii="Arial" w:hAnsi="Arial" w:cs="Arial"/>
                <w:sz w:val="20"/>
                <w:szCs w:val="20"/>
                <w:lang w:val="en-US"/>
              </w:rPr>
              <w:t>6</w:t>
            </w:r>
          </w:p>
        </w:tc>
        <w:tc>
          <w:tcPr>
            <w:tcW w:w="1940" w:type="dxa"/>
            <w:noWrap/>
            <w:vAlign w:val="center"/>
            <w:hideMark/>
          </w:tcPr>
          <w:p w:rsidR="00C60153" w:rsidRPr="003F35E9" w:rsidRDefault="00C60153" w:rsidP="00283CE4">
            <w:pPr>
              <w:spacing w:line="360" w:lineRule="auto"/>
              <w:jc w:val="center"/>
              <w:rPr>
                <w:rFonts w:ascii="Arial" w:hAnsi="Arial" w:cs="Arial"/>
                <w:sz w:val="20"/>
                <w:szCs w:val="20"/>
                <w:lang w:val="en-US"/>
              </w:rPr>
            </w:pPr>
            <w:r w:rsidRPr="003F35E9">
              <w:rPr>
                <w:rFonts w:ascii="Arial" w:hAnsi="Arial" w:cs="Arial"/>
                <w:sz w:val="20"/>
                <w:szCs w:val="20"/>
                <w:lang w:val="en-US"/>
              </w:rPr>
              <w:t>7 (4 - 9)</w:t>
            </w:r>
          </w:p>
        </w:tc>
      </w:tr>
      <w:tr w:rsidR="00C60153" w:rsidRPr="003F35E9" w:rsidTr="00283CE4">
        <w:trPr>
          <w:trHeight w:val="300"/>
        </w:trPr>
        <w:tc>
          <w:tcPr>
            <w:tcW w:w="2040" w:type="dxa"/>
            <w:vAlign w:val="center"/>
            <w:hideMark/>
          </w:tcPr>
          <w:p w:rsidR="00C60153" w:rsidRPr="003F35E9" w:rsidRDefault="00C60153" w:rsidP="00283CE4">
            <w:pPr>
              <w:spacing w:line="360" w:lineRule="auto"/>
              <w:jc w:val="center"/>
              <w:rPr>
                <w:rFonts w:ascii="Arial" w:hAnsi="Arial" w:cs="Arial"/>
                <w:color w:val="000000"/>
                <w:sz w:val="20"/>
                <w:szCs w:val="20"/>
                <w:lang w:val="en-US"/>
              </w:rPr>
            </w:pPr>
            <w:r>
              <w:rPr>
                <w:rFonts w:ascii="Arial" w:hAnsi="Arial" w:cs="Arial"/>
                <w:color w:val="000000"/>
                <w:sz w:val="20"/>
                <w:szCs w:val="20"/>
                <w:lang w:val="en-US"/>
              </w:rPr>
              <w:t>DE Alt alanı Okul</w:t>
            </w:r>
          </w:p>
        </w:tc>
        <w:tc>
          <w:tcPr>
            <w:tcW w:w="1340" w:type="dxa"/>
            <w:noWrap/>
            <w:vAlign w:val="center"/>
            <w:hideMark/>
          </w:tcPr>
          <w:p w:rsidR="00C60153" w:rsidRPr="003F35E9" w:rsidRDefault="00C60153" w:rsidP="00283CE4">
            <w:pPr>
              <w:spacing w:line="360" w:lineRule="auto"/>
              <w:jc w:val="center"/>
              <w:rPr>
                <w:rFonts w:ascii="Arial" w:hAnsi="Arial" w:cs="Arial"/>
                <w:sz w:val="20"/>
                <w:szCs w:val="20"/>
                <w:lang w:val="en-US"/>
              </w:rPr>
            </w:pPr>
            <w:r w:rsidRPr="003F35E9">
              <w:rPr>
                <w:rFonts w:ascii="Arial" w:hAnsi="Arial" w:cs="Arial"/>
                <w:sz w:val="20"/>
                <w:szCs w:val="20"/>
                <w:lang w:val="en-US"/>
              </w:rPr>
              <w:t>hasta (n=30)</w:t>
            </w:r>
          </w:p>
        </w:tc>
        <w:tc>
          <w:tcPr>
            <w:tcW w:w="1660" w:type="dxa"/>
            <w:noWrap/>
            <w:vAlign w:val="center"/>
            <w:hideMark/>
          </w:tcPr>
          <w:p w:rsidR="00C60153" w:rsidRPr="003F35E9"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6.93 ± 1.</w:t>
            </w:r>
            <w:r w:rsidRPr="003F35E9">
              <w:rPr>
                <w:rFonts w:ascii="Arial" w:hAnsi="Arial" w:cs="Arial"/>
                <w:sz w:val="20"/>
                <w:szCs w:val="20"/>
                <w:lang w:val="en-US"/>
              </w:rPr>
              <w:t>82</w:t>
            </w:r>
          </w:p>
        </w:tc>
        <w:tc>
          <w:tcPr>
            <w:tcW w:w="1940" w:type="dxa"/>
            <w:noWrap/>
            <w:vAlign w:val="center"/>
            <w:hideMark/>
          </w:tcPr>
          <w:p w:rsidR="00C60153" w:rsidRPr="003F35E9" w:rsidRDefault="00C60153" w:rsidP="00283CE4">
            <w:pPr>
              <w:spacing w:line="360" w:lineRule="auto"/>
              <w:jc w:val="center"/>
              <w:rPr>
                <w:rFonts w:ascii="Arial" w:hAnsi="Arial" w:cs="Arial"/>
                <w:sz w:val="20"/>
                <w:szCs w:val="20"/>
                <w:lang w:val="en-US"/>
              </w:rPr>
            </w:pPr>
            <w:r w:rsidRPr="003F35E9">
              <w:rPr>
                <w:rFonts w:ascii="Arial" w:hAnsi="Arial" w:cs="Arial"/>
                <w:sz w:val="20"/>
                <w:szCs w:val="20"/>
                <w:lang w:val="en-US"/>
              </w:rPr>
              <w:t>7 (2 - 9)</w:t>
            </w:r>
          </w:p>
        </w:tc>
      </w:tr>
      <w:tr w:rsidR="00C60153" w:rsidRPr="003F35E9" w:rsidTr="00283CE4">
        <w:trPr>
          <w:trHeight w:val="300"/>
        </w:trPr>
        <w:tc>
          <w:tcPr>
            <w:tcW w:w="2040" w:type="dxa"/>
            <w:vAlign w:val="center"/>
            <w:hideMark/>
          </w:tcPr>
          <w:p w:rsidR="00C60153" w:rsidRPr="003F35E9" w:rsidRDefault="00C60153" w:rsidP="00283CE4">
            <w:pPr>
              <w:spacing w:line="360" w:lineRule="auto"/>
              <w:jc w:val="center"/>
              <w:rPr>
                <w:rFonts w:ascii="Arial" w:hAnsi="Arial" w:cs="Arial"/>
                <w:color w:val="000000"/>
                <w:sz w:val="20"/>
                <w:szCs w:val="20"/>
                <w:lang w:val="en-US"/>
              </w:rPr>
            </w:pPr>
            <w:r>
              <w:rPr>
                <w:rFonts w:ascii="Arial" w:hAnsi="Arial" w:cs="Arial"/>
                <w:color w:val="000000"/>
                <w:sz w:val="20"/>
                <w:szCs w:val="20"/>
                <w:lang w:val="en-US"/>
              </w:rPr>
              <w:t>HA Alt alanı Ev</w:t>
            </w:r>
          </w:p>
        </w:tc>
        <w:tc>
          <w:tcPr>
            <w:tcW w:w="1340" w:type="dxa"/>
            <w:noWrap/>
            <w:vAlign w:val="center"/>
            <w:hideMark/>
          </w:tcPr>
          <w:p w:rsidR="00C60153" w:rsidRPr="003F35E9" w:rsidRDefault="00C60153" w:rsidP="00283CE4">
            <w:pPr>
              <w:spacing w:line="360" w:lineRule="auto"/>
              <w:jc w:val="center"/>
              <w:rPr>
                <w:rFonts w:ascii="Arial" w:hAnsi="Arial" w:cs="Arial"/>
                <w:sz w:val="20"/>
                <w:szCs w:val="20"/>
                <w:lang w:val="en-US"/>
              </w:rPr>
            </w:pPr>
            <w:r w:rsidRPr="003F35E9">
              <w:rPr>
                <w:rFonts w:ascii="Arial" w:hAnsi="Arial" w:cs="Arial"/>
                <w:sz w:val="20"/>
                <w:szCs w:val="20"/>
                <w:lang w:val="en-US"/>
              </w:rPr>
              <w:t>hasta (n=30)</w:t>
            </w:r>
          </w:p>
        </w:tc>
        <w:tc>
          <w:tcPr>
            <w:tcW w:w="1660" w:type="dxa"/>
            <w:noWrap/>
            <w:vAlign w:val="center"/>
            <w:hideMark/>
          </w:tcPr>
          <w:p w:rsidR="00C60153" w:rsidRPr="003F35E9"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6.43 ± 1.7</w:t>
            </w:r>
            <w:r w:rsidRPr="003F35E9">
              <w:rPr>
                <w:rFonts w:ascii="Arial" w:hAnsi="Arial" w:cs="Arial"/>
                <w:sz w:val="20"/>
                <w:szCs w:val="20"/>
                <w:lang w:val="en-US"/>
              </w:rPr>
              <w:t>4</w:t>
            </w:r>
          </w:p>
        </w:tc>
        <w:tc>
          <w:tcPr>
            <w:tcW w:w="1940" w:type="dxa"/>
            <w:noWrap/>
            <w:vAlign w:val="center"/>
            <w:hideMark/>
          </w:tcPr>
          <w:p w:rsidR="00C60153" w:rsidRPr="003F35E9" w:rsidRDefault="00C60153" w:rsidP="00283CE4">
            <w:pPr>
              <w:spacing w:line="360" w:lineRule="auto"/>
              <w:jc w:val="center"/>
              <w:rPr>
                <w:rFonts w:ascii="Arial" w:hAnsi="Arial" w:cs="Arial"/>
                <w:sz w:val="20"/>
                <w:szCs w:val="20"/>
                <w:lang w:val="en-US"/>
              </w:rPr>
            </w:pPr>
            <w:r w:rsidRPr="003F35E9">
              <w:rPr>
                <w:rFonts w:ascii="Arial" w:hAnsi="Arial" w:cs="Arial"/>
                <w:sz w:val="20"/>
                <w:szCs w:val="20"/>
                <w:lang w:val="en-US"/>
              </w:rPr>
              <w:t>6</w:t>
            </w:r>
            <w:r>
              <w:rPr>
                <w:rFonts w:ascii="Arial" w:hAnsi="Arial" w:cs="Arial"/>
                <w:sz w:val="20"/>
                <w:szCs w:val="20"/>
                <w:lang w:val="en-US"/>
              </w:rPr>
              <w:t>.</w:t>
            </w:r>
            <w:r w:rsidRPr="003F35E9">
              <w:rPr>
                <w:rFonts w:ascii="Arial" w:hAnsi="Arial" w:cs="Arial"/>
                <w:sz w:val="20"/>
                <w:szCs w:val="20"/>
                <w:lang w:val="en-US"/>
              </w:rPr>
              <w:t>5 (3 - 9)</w:t>
            </w:r>
          </w:p>
        </w:tc>
      </w:tr>
      <w:tr w:rsidR="00C60153" w:rsidRPr="003F35E9" w:rsidTr="00283CE4">
        <w:trPr>
          <w:trHeight w:val="300"/>
        </w:trPr>
        <w:tc>
          <w:tcPr>
            <w:tcW w:w="2040" w:type="dxa"/>
            <w:vAlign w:val="center"/>
            <w:hideMark/>
          </w:tcPr>
          <w:p w:rsidR="00C60153" w:rsidRPr="003F35E9" w:rsidRDefault="00C60153" w:rsidP="00283CE4">
            <w:pPr>
              <w:spacing w:line="360" w:lineRule="auto"/>
              <w:jc w:val="center"/>
              <w:rPr>
                <w:rFonts w:ascii="Arial" w:hAnsi="Arial" w:cs="Arial"/>
                <w:color w:val="000000"/>
                <w:sz w:val="20"/>
                <w:szCs w:val="20"/>
                <w:lang w:val="en-US"/>
              </w:rPr>
            </w:pPr>
            <w:r>
              <w:rPr>
                <w:rFonts w:ascii="Arial" w:hAnsi="Arial" w:cs="Arial"/>
                <w:color w:val="000000"/>
                <w:sz w:val="20"/>
                <w:szCs w:val="20"/>
                <w:lang w:val="en-US"/>
              </w:rPr>
              <w:t>HA Alt alanı Okul</w:t>
            </w:r>
          </w:p>
        </w:tc>
        <w:tc>
          <w:tcPr>
            <w:tcW w:w="1340" w:type="dxa"/>
            <w:noWrap/>
            <w:vAlign w:val="center"/>
            <w:hideMark/>
          </w:tcPr>
          <w:p w:rsidR="00C60153" w:rsidRPr="003F35E9" w:rsidRDefault="00C60153" w:rsidP="00283CE4">
            <w:pPr>
              <w:spacing w:line="360" w:lineRule="auto"/>
              <w:jc w:val="center"/>
              <w:rPr>
                <w:rFonts w:ascii="Arial" w:hAnsi="Arial" w:cs="Arial"/>
                <w:sz w:val="20"/>
                <w:szCs w:val="20"/>
                <w:lang w:val="en-US"/>
              </w:rPr>
            </w:pPr>
            <w:r w:rsidRPr="003F35E9">
              <w:rPr>
                <w:rFonts w:ascii="Arial" w:hAnsi="Arial" w:cs="Arial"/>
                <w:sz w:val="20"/>
                <w:szCs w:val="20"/>
                <w:lang w:val="en-US"/>
              </w:rPr>
              <w:t>hasta (n=30)</w:t>
            </w:r>
          </w:p>
        </w:tc>
        <w:tc>
          <w:tcPr>
            <w:tcW w:w="1660" w:type="dxa"/>
            <w:noWrap/>
            <w:vAlign w:val="center"/>
            <w:hideMark/>
          </w:tcPr>
          <w:p w:rsidR="00C60153" w:rsidRPr="003F35E9"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5.</w:t>
            </w:r>
            <w:r w:rsidRPr="003F35E9">
              <w:rPr>
                <w:rFonts w:ascii="Arial" w:hAnsi="Arial" w:cs="Arial"/>
                <w:sz w:val="20"/>
                <w:szCs w:val="20"/>
                <w:lang w:val="en-US"/>
              </w:rPr>
              <w:t>97 ± 2</w:t>
            </w:r>
            <w:r>
              <w:rPr>
                <w:rFonts w:ascii="Arial" w:hAnsi="Arial" w:cs="Arial"/>
                <w:sz w:val="20"/>
                <w:szCs w:val="20"/>
                <w:lang w:val="en-US"/>
              </w:rPr>
              <w:t>.</w:t>
            </w:r>
            <w:r w:rsidRPr="003F35E9">
              <w:rPr>
                <w:rFonts w:ascii="Arial" w:hAnsi="Arial" w:cs="Arial"/>
                <w:sz w:val="20"/>
                <w:szCs w:val="20"/>
                <w:lang w:val="en-US"/>
              </w:rPr>
              <w:t>16</w:t>
            </w:r>
          </w:p>
        </w:tc>
        <w:tc>
          <w:tcPr>
            <w:tcW w:w="1940" w:type="dxa"/>
            <w:noWrap/>
            <w:vAlign w:val="center"/>
            <w:hideMark/>
          </w:tcPr>
          <w:p w:rsidR="00C60153" w:rsidRPr="003F35E9" w:rsidRDefault="00C60153" w:rsidP="00283CE4">
            <w:pPr>
              <w:spacing w:line="360" w:lineRule="auto"/>
              <w:jc w:val="center"/>
              <w:rPr>
                <w:rFonts w:ascii="Arial" w:hAnsi="Arial" w:cs="Arial"/>
                <w:sz w:val="20"/>
                <w:szCs w:val="20"/>
                <w:lang w:val="en-US"/>
              </w:rPr>
            </w:pPr>
            <w:r w:rsidRPr="003F35E9">
              <w:rPr>
                <w:rFonts w:ascii="Arial" w:hAnsi="Arial" w:cs="Arial"/>
                <w:sz w:val="20"/>
                <w:szCs w:val="20"/>
                <w:lang w:val="en-US"/>
              </w:rPr>
              <w:t>6 (2 - 9)</w:t>
            </w:r>
          </w:p>
        </w:tc>
      </w:tr>
    </w:tbl>
    <w:p w:rsidR="00C60153" w:rsidRPr="0094050B" w:rsidRDefault="00C60153" w:rsidP="00C60153">
      <w:pPr>
        <w:contextualSpacing/>
        <w:jc w:val="both"/>
        <w:rPr>
          <w:rFonts w:ascii="Arial" w:hAnsi="Arial" w:cs="Arial"/>
          <w:sz w:val="22"/>
          <w:szCs w:val="22"/>
          <w:shd w:val="clear" w:color="auto" w:fill="FFFFFF"/>
        </w:rPr>
      </w:pPr>
      <w:r w:rsidRPr="0094050B">
        <w:rPr>
          <w:rFonts w:ascii="Arial" w:hAnsi="Arial" w:cs="Arial"/>
          <w:sz w:val="22"/>
          <w:szCs w:val="22"/>
          <w:shd w:val="clear" w:color="auto" w:fill="FFFFFF"/>
        </w:rPr>
        <w:t xml:space="preserve">DE: ACE uygulamasının dikkat eksikliği alt alanı HA: hiperaktivite / dürtüsellik alt alanı. Ev: Ev ortamında gözlenen belirtiler, Okul: Okul ortamında gözlenenler. </w:t>
      </w:r>
    </w:p>
    <w:p w:rsidR="00C60153" w:rsidRDefault="00C60153" w:rsidP="00C60153">
      <w:pPr>
        <w:spacing w:line="360" w:lineRule="auto"/>
        <w:ind w:firstLine="567"/>
        <w:contextualSpacing/>
        <w:jc w:val="both"/>
        <w:rPr>
          <w:rFonts w:ascii="Arial" w:hAnsi="Arial" w:cs="Arial"/>
          <w:i/>
        </w:rPr>
      </w:pPr>
    </w:p>
    <w:p w:rsidR="00C60153" w:rsidRPr="0094050B" w:rsidRDefault="00C60153" w:rsidP="00C60153">
      <w:pPr>
        <w:spacing w:line="360" w:lineRule="auto"/>
        <w:ind w:firstLine="567"/>
        <w:contextualSpacing/>
        <w:jc w:val="both"/>
        <w:rPr>
          <w:rFonts w:ascii="Arial" w:hAnsi="Arial" w:cs="Arial"/>
          <w:b/>
          <w:sz w:val="22"/>
          <w:szCs w:val="22"/>
        </w:rPr>
      </w:pPr>
      <w:r w:rsidRPr="0094050B">
        <w:rPr>
          <w:rFonts w:ascii="Arial" w:hAnsi="Arial" w:cs="Arial"/>
          <w:b/>
          <w:sz w:val="22"/>
          <w:szCs w:val="22"/>
        </w:rPr>
        <w:t>Katılımcılardan Elde Edilen Örneklerin Total RNA konsantrasyonları ve A260 / A 280 oranları</w:t>
      </w:r>
    </w:p>
    <w:p w:rsidR="00C60153" w:rsidRDefault="00C60153" w:rsidP="00C60153">
      <w:pPr>
        <w:spacing w:line="360" w:lineRule="auto"/>
        <w:ind w:firstLine="567"/>
        <w:jc w:val="both"/>
        <w:rPr>
          <w:rFonts w:ascii="Arial" w:hAnsi="Arial" w:cs="Arial"/>
          <w:color w:val="000000" w:themeColor="text1"/>
          <w:sz w:val="22"/>
          <w:szCs w:val="22"/>
        </w:rPr>
      </w:pPr>
      <w:r w:rsidRPr="0094050B">
        <w:rPr>
          <w:rFonts w:ascii="Arial" w:hAnsi="Arial" w:cs="Arial"/>
          <w:sz w:val="22"/>
          <w:szCs w:val="22"/>
          <w:shd w:val="clear" w:color="auto" w:fill="FFFFFF"/>
        </w:rPr>
        <w:t xml:space="preserve">Katılımcıların periferik kan örneklerinden </w:t>
      </w:r>
      <w:r w:rsidRPr="0094050B">
        <w:rPr>
          <w:rFonts w:ascii="Arial" w:hAnsi="Arial" w:cs="Arial"/>
          <w:color w:val="000000"/>
          <w:sz w:val="22"/>
          <w:szCs w:val="22"/>
        </w:rPr>
        <w:t>RNA izolasyonu sonrası elde edilen total RNA konsantrasyonları ve A260 / A280 oranları ölçülmüştür (Tablo 23 ve 24).</w:t>
      </w:r>
      <w:r w:rsidRPr="0094050B">
        <w:rPr>
          <w:rFonts w:ascii="Arial" w:hAnsi="Arial" w:cs="Arial"/>
          <w:sz w:val="22"/>
          <w:szCs w:val="22"/>
        </w:rPr>
        <w:t xml:space="preserve"> cDNA sentezi basamağında bu total RNA konsantrasyonları göz önüne alınarak her bir örneğin </w:t>
      </w:r>
      <w:r w:rsidRPr="0094050B">
        <w:rPr>
          <w:rFonts w:ascii="Arial" w:hAnsi="Arial" w:cs="Arial"/>
          <w:color w:val="000000" w:themeColor="text1"/>
          <w:sz w:val="22"/>
          <w:szCs w:val="22"/>
        </w:rPr>
        <w:t xml:space="preserve">“nuclease free water” ile </w:t>
      </w:r>
      <w:r w:rsidRPr="0094050B">
        <w:rPr>
          <w:rFonts w:ascii="Arial" w:hAnsi="Arial" w:cs="Arial"/>
          <w:sz w:val="22"/>
          <w:szCs w:val="22"/>
        </w:rPr>
        <w:t xml:space="preserve">20 </w:t>
      </w:r>
      <w:r w:rsidRPr="0094050B">
        <w:rPr>
          <w:rFonts w:ascii="Arial" w:hAnsi="Arial" w:cs="Arial"/>
          <w:color w:val="000000" w:themeColor="text1"/>
          <w:sz w:val="22"/>
          <w:szCs w:val="22"/>
        </w:rPr>
        <w:t>ng/µl şablon RNA konsantrasyonu içerecek şekilde ayarlanması sağlanmıştır.</w:t>
      </w:r>
    </w:p>
    <w:p w:rsidR="00766CEC" w:rsidRDefault="00766CEC" w:rsidP="00C60153">
      <w:pPr>
        <w:spacing w:line="360" w:lineRule="auto"/>
        <w:ind w:firstLine="567"/>
        <w:jc w:val="both"/>
        <w:rPr>
          <w:rFonts w:ascii="Arial" w:hAnsi="Arial" w:cs="Arial"/>
          <w:color w:val="000000" w:themeColor="text1"/>
          <w:sz w:val="22"/>
          <w:szCs w:val="22"/>
        </w:rPr>
      </w:pPr>
    </w:p>
    <w:p w:rsidR="00766CEC" w:rsidRDefault="00766CEC" w:rsidP="00C60153">
      <w:pPr>
        <w:spacing w:line="360" w:lineRule="auto"/>
        <w:ind w:firstLine="567"/>
        <w:jc w:val="both"/>
        <w:rPr>
          <w:rFonts w:ascii="Arial" w:hAnsi="Arial" w:cs="Arial"/>
          <w:color w:val="000000" w:themeColor="text1"/>
          <w:sz w:val="22"/>
          <w:szCs w:val="22"/>
        </w:rPr>
      </w:pPr>
    </w:p>
    <w:p w:rsidR="00766CEC" w:rsidRDefault="00766CEC" w:rsidP="00C60153">
      <w:pPr>
        <w:spacing w:line="360" w:lineRule="auto"/>
        <w:ind w:firstLine="567"/>
        <w:jc w:val="both"/>
        <w:rPr>
          <w:rFonts w:ascii="Arial" w:hAnsi="Arial" w:cs="Arial"/>
          <w:color w:val="000000" w:themeColor="text1"/>
          <w:sz w:val="22"/>
          <w:szCs w:val="22"/>
        </w:rPr>
      </w:pPr>
    </w:p>
    <w:p w:rsidR="00766CEC" w:rsidRDefault="00766CEC" w:rsidP="00C60153">
      <w:pPr>
        <w:spacing w:line="360" w:lineRule="auto"/>
        <w:ind w:firstLine="567"/>
        <w:jc w:val="both"/>
        <w:rPr>
          <w:rFonts w:ascii="Arial" w:hAnsi="Arial" w:cs="Arial"/>
          <w:color w:val="000000" w:themeColor="text1"/>
          <w:sz w:val="22"/>
          <w:szCs w:val="22"/>
        </w:rPr>
      </w:pPr>
    </w:p>
    <w:p w:rsidR="00766CEC" w:rsidRDefault="00766CEC" w:rsidP="00C60153">
      <w:pPr>
        <w:spacing w:line="360" w:lineRule="auto"/>
        <w:ind w:firstLine="567"/>
        <w:jc w:val="both"/>
        <w:rPr>
          <w:rFonts w:ascii="Arial" w:hAnsi="Arial" w:cs="Arial"/>
          <w:color w:val="000000" w:themeColor="text1"/>
          <w:sz w:val="22"/>
          <w:szCs w:val="22"/>
        </w:rPr>
      </w:pPr>
    </w:p>
    <w:p w:rsidR="00766CEC" w:rsidRDefault="00766CEC" w:rsidP="00C60153">
      <w:pPr>
        <w:spacing w:line="360" w:lineRule="auto"/>
        <w:ind w:firstLine="567"/>
        <w:jc w:val="both"/>
        <w:rPr>
          <w:rFonts w:ascii="Arial" w:hAnsi="Arial" w:cs="Arial"/>
          <w:color w:val="000000" w:themeColor="text1"/>
          <w:sz w:val="22"/>
          <w:szCs w:val="22"/>
        </w:rPr>
      </w:pPr>
    </w:p>
    <w:p w:rsidR="00766CEC" w:rsidRDefault="00766CEC" w:rsidP="00C60153">
      <w:pPr>
        <w:spacing w:line="360" w:lineRule="auto"/>
        <w:ind w:firstLine="567"/>
        <w:jc w:val="both"/>
        <w:rPr>
          <w:rFonts w:ascii="Arial" w:hAnsi="Arial" w:cs="Arial"/>
          <w:color w:val="000000" w:themeColor="text1"/>
          <w:sz w:val="22"/>
          <w:szCs w:val="22"/>
        </w:rPr>
      </w:pPr>
    </w:p>
    <w:p w:rsidR="00766CEC" w:rsidRDefault="00766CEC" w:rsidP="00C60153">
      <w:pPr>
        <w:spacing w:line="360" w:lineRule="auto"/>
        <w:ind w:firstLine="567"/>
        <w:jc w:val="both"/>
        <w:rPr>
          <w:rFonts w:ascii="Arial" w:hAnsi="Arial" w:cs="Arial"/>
          <w:color w:val="000000" w:themeColor="text1"/>
          <w:sz w:val="22"/>
          <w:szCs w:val="22"/>
        </w:rPr>
      </w:pPr>
    </w:p>
    <w:p w:rsidR="00766CEC" w:rsidRDefault="00766CEC" w:rsidP="00C60153">
      <w:pPr>
        <w:spacing w:line="360" w:lineRule="auto"/>
        <w:ind w:firstLine="567"/>
        <w:jc w:val="both"/>
        <w:rPr>
          <w:rFonts w:ascii="Arial" w:hAnsi="Arial" w:cs="Arial"/>
          <w:color w:val="000000" w:themeColor="text1"/>
          <w:sz w:val="22"/>
          <w:szCs w:val="22"/>
        </w:rPr>
      </w:pPr>
    </w:p>
    <w:p w:rsidR="00766CEC" w:rsidRDefault="00766CEC" w:rsidP="00C60153">
      <w:pPr>
        <w:spacing w:line="360" w:lineRule="auto"/>
        <w:ind w:firstLine="567"/>
        <w:jc w:val="both"/>
        <w:rPr>
          <w:rFonts w:ascii="Arial" w:hAnsi="Arial" w:cs="Arial"/>
          <w:color w:val="000000" w:themeColor="text1"/>
          <w:sz w:val="22"/>
          <w:szCs w:val="22"/>
        </w:rPr>
      </w:pPr>
    </w:p>
    <w:p w:rsidR="00766CEC" w:rsidRDefault="00766CEC" w:rsidP="00C60153">
      <w:pPr>
        <w:spacing w:line="360" w:lineRule="auto"/>
        <w:ind w:firstLine="567"/>
        <w:jc w:val="both"/>
        <w:rPr>
          <w:rFonts w:ascii="Arial" w:hAnsi="Arial" w:cs="Arial"/>
          <w:color w:val="000000" w:themeColor="text1"/>
          <w:sz w:val="22"/>
          <w:szCs w:val="22"/>
        </w:rPr>
      </w:pPr>
    </w:p>
    <w:p w:rsidR="00766CEC" w:rsidRDefault="00766CEC" w:rsidP="00C60153">
      <w:pPr>
        <w:spacing w:line="360" w:lineRule="auto"/>
        <w:ind w:firstLine="567"/>
        <w:jc w:val="both"/>
        <w:rPr>
          <w:rFonts w:ascii="Arial" w:hAnsi="Arial" w:cs="Arial"/>
          <w:color w:val="000000" w:themeColor="text1"/>
          <w:sz w:val="22"/>
          <w:szCs w:val="22"/>
        </w:rPr>
      </w:pPr>
    </w:p>
    <w:p w:rsidR="00766CEC" w:rsidRDefault="00766CEC" w:rsidP="00C60153">
      <w:pPr>
        <w:spacing w:line="360" w:lineRule="auto"/>
        <w:ind w:firstLine="567"/>
        <w:jc w:val="both"/>
        <w:rPr>
          <w:rFonts w:ascii="Arial" w:hAnsi="Arial" w:cs="Arial"/>
          <w:color w:val="000000" w:themeColor="text1"/>
          <w:sz w:val="22"/>
          <w:szCs w:val="22"/>
        </w:rPr>
      </w:pPr>
    </w:p>
    <w:p w:rsidR="00766CEC" w:rsidRDefault="00766CEC" w:rsidP="00C60153">
      <w:pPr>
        <w:spacing w:line="360" w:lineRule="auto"/>
        <w:ind w:firstLine="567"/>
        <w:jc w:val="both"/>
        <w:rPr>
          <w:rFonts w:ascii="Arial" w:hAnsi="Arial" w:cs="Arial"/>
          <w:color w:val="000000" w:themeColor="text1"/>
          <w:sz w:val="22"/>
          <w:szCs w:val="22"/>
        </w:rPr>
      </w:pPr>
    </w:p>
    <w:p w:rsidR="00766CEC" w:rsidRDefault="00766CEC" w:rsidP="00C60153">
      <w:pPr>
        <w:spacing w:line="360" w:lineRule="auto"/>
        <w:ind w:firstLine="567"/>
        <w:jc w:val="both"/>
        <w:rPr>
          <w:rFonts w:ascii="Arial" w:hAnsi="Arial" w:cs="Arial"/>
          <w:color w:val="000000" w:themeColor="text1"/>
          <w:sz w:val="22"/>
          <w:szCs w:val="22"/>
        </w:rPr>
      </w:pPr>
    </w:p>
    <w:p w:rsidR="00766CEC" w:rsidRDefault="00766CEC" w:rsidP="00C60153">
      <w:pPr>
        <w:spacing w:line="360" w:lineRule="auto"/>
        <w:ind w:firstLine="567"/>
        <w:jc w:val="both"/>
        <w:rPr>
          <w:rFonts w:ascii="Arial" w:hAnsi="Arial" w:cs="Arial"/>
          <w:color w:val="000000" w:themeColor="text1"/>
          <w:sz w:val="22"/>
          <w:szCs w:val="22"/>
        </w:rPr>
      </w:pPr>
    </w:p>
    <w:p w:rsidR="00766CEC" w:rsidRPr="0094050B" w:rsidRDefault="00766CEC" w:rsidP="00C60153">
      <w:pPr>
        <w:spacing w:line="360" w:lineRule="auto"/>
        <w:ind w:firstLine="567"/>
        <w:jc w:val="both"/>
        <w:rPr>
          <w:rFonts w:ascii="Arial" w:hAnsi="Arial" w:cs="Arial"/>
          <w:color w:val="000000" w:themeColor="text1"/>
          <w:sz w:val="22"/>
          <w:szCs w:val="22"/>
        </w:rPr>
      </w:pPr>
    </w:p>
    <w:p w:rsidR="00C60153" w:rsidRPr="0094050B" w:rsidRDefault="00C60153" w:rsidP="00C60153">
      <w:pPr>
        <w:rPr>
          <w:rFonts w:ascii="Arial" w:hAnsi="Arial" w:cs="Arial"/>
          <w:sz w:val="22"/>
          <w:szCs w:val="22"/>
          <w:u w:val="single"/>
        </w:rPr>
      </w:pPr>
      <w:r w:rsidRPr="0094050B">
        <w:rPr>
          <w:rFonts w:ascii="Arial" w:hAnsi="Arial" w:cs="Arial"/>
          <w:sz w:val="22"/>
          <w:szCs w:val="22"/>
        </w:rPr>
        <w:lastRenderedPageBreak/>
        <w:t>Tablo 23. Olgu grubu total RNA konstrasyonları ve A260 / A280 oranları</w:t>
      </w:r>
    </w:p>
    <w:tbl>
      <w:tblPr>
        <w:tblStyle w:val="TabloKlavuzu"/>
        <w:tblW w:w="0" w:type="auto"/>
        <w:tblLook w:val="04A0" w:firstRow="1" w:lastRow="0" w:firstColumn="1" w:lastColumn="0" w:noHBand="0" w:noVBand="1"/>
      </w:tblPr>
      <w:tblGrid>
        <w:gridCol w:w="2760"/>
        <w:gridCol w:w="2893"/>
        <w:gridCol w:w="2783"/>
      </w:tblGrid>
      <w:tr w:rsidR="00C60153" w:rsidRPr="009B1688" w:rsidTr="00283CE4">
        <w:tc>
          <w:tcPr>
            <w:tcW w:w="3070" w:type="dxa"/>
            <w:shd w:val="clear" w:color="auto" w:fill="000000" w:themeFill="text1"/>
            <w:vAlign w:val="center"/>
          </w:tcPr>
          <w:p w:rsidR="00C60153" w:rsidRPr="008371C8" w:rsidRDefault="00C60153" w:rsidP="00283CE4">
            <w:pPr>
              <w:spacing w:line="360" w:lineRule="auto"/>
              <w:jc w:val="center"/>
              <w:rPr>
                <w:rFonts w:ascii="Arial" w:hAnsi="Arial" w:cs="Arial"/>
                <w:b/>
                <w:sz w:val="20"/>
                <w:szCs w:val="20"/>
              </w:rPr>
            </w:pPr>
            <w:r>
              <w:rPr>
                <w:rFonts w:ascii="Arial" w:hAnsi="Arial" w:cs="Arial"/>
                <w:b/>
                <w:sz w:val="20"/>
                <w:szCs w:val="20"/>
              </w:rPr>
              <w:t>OLGU</w:t>
            </w:r>
            <w:r w:rsidRPr="008371C8">
              <w:rPr>
                <w:rFonts w:ascii="Arial" w:hAnsi="Arial" w:cs="Arial"/>
                <w:b/>
                <w:sz w:val="20"/>
                <w:szCs w:val="20"/>
              </w:rPr>
              <w:t xml:space="preserve"> NO</w:t>
            </w:r>
          </w:p>
        </w:tc>
        <w:tc>
          <w:tcPr>
            <w:tcW w:w="3071" w:type="dxa"/>
            <w:shd w:val="clear" w:color="auto" w:fill="000000" w:themeFill="text1"/>
            <w:vAlign w:val="center"/>
          </w:tcPr>
          <w:p w:rsidR="00C60153" w:rsidRPr="008371C8" w:rsidRDefault="00C60153" w:rsidP="00283CE4">
            <w:pPr>
              <w:spacing w:line="360" w:lineRule="auto"/>
              <w:jc w:val="center"/>
              <w:rPr>
                <w:rFonts w:ascii="Arial" w:hAnsi="Arial" w:cs="Arial"/>
                <w:b/>
                <w:color w:val="FFFFFF" w:themeColor="background1"/>
                <w:sz w:val="20"/>
                <w:szCs w:val="20"/>
              </w:rPr>
            </w:pPr>
            <w:r w:rsidRPr="008371C8">
              <w:rPr>
                <w:rFonts w:ascii="Arial" w:hAnsi="Arial" w:cs="Arial"/>
                <w:b/>
                <w:sz w:val="20"/>
                <w:szCs w:val="20"/>
              </w:rPr>
              <w:t>Total RNA konsantrasyonu (ng</w:t>
            </w:r>
            <w:r w:rsidRPr="008371C8">
              <w:rPr>
                <w:rFonts w:ascii="Arial" w:hAnsi="Arial" w:cs="Arial"/>
                <w:b/>
                <w:color w:val="FFFFFF" w:themeColor="background1"/>
                <w:sz w:val="20"/>
                <w:szCs w:val="20"/>
              </w:rPr>
              <w:t>/µl)</w:t>
            </w:r>
          </w:p>
        </w:tc>
        <w:tc>
          <w:tcPr>
            <w:tcW w:w="3071" w:type="dxa"/>
            <w:shd w:val="clear" w:color="auto" w:fill="000000" w:themeFill="text1"/>
            <w:vAlign w:val="center"/>
          </w:tcPr>
          <w:p w:rsidR="00C60153" w:rsidRPr="008371C8" w:rsidRDefault="00C60153" w:rsidP="00283CE4">
            <w:pPr>
              <w:spacing w:line="360" w:lineRule="auto"/>
              <w:jc w:val="center"/>
              <w:rPr>
                <w:rFonts w:ascii="Arial" w:hAnsi="Arial" w:cs="Arial"/>
                <w:b/>
                <w:sz w:val="20"/>
                <w:szCs w:val="20"/>
              </w:rPr>
            </w:pPr>
            <w:r w:rsidRPr="008371C8">
              <w:rPr>
                <w:rFonts w:ascii="Arial" w:hAnsi="Arial" w:cs="Arial"/>
                <w:b/>
                <w:sz w:val="20"/>
                <w:szCs w:val="20"/>
              </w:rPr>
              <w:t>A260 / A280</w:t>
            </w:r>
          </w:p>
          <w:p w:rsidR="00C60153" w:rsidRPr="008371C8" w:rsidRDefault="00C60153" w:rsidP="00283CE4">
            <w:pPr>
              <w:spacing w:line="360" w:lineRule="auto"/>
              <w:jc w:val="center"/>
              <w:rPr>
                <w:rFonts w:ascii="Arial" w:hAnsi="Arial" w:cs="Arial"/>
                <w:b/>
                <w:sz w:val="20"/>
                <w:szCs w:val="20"/>
              </w:rPr>
            </w:pPr>
            <w:r w:rsidRPr="008371C8">
              <w:rPr>
                <w:rFonts w:ascii="Arial" w:hAnsi="Arial" w:cs="Arial"/>
                <w:b/>
                <w:sz w:val="20"/>
                <w:szCs w:val="20"/>
              </w:rPr>
              <w:t>oranları</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1</w:t>
            </w:r>
          </w:p>
        </w:tc>
        <w:tc>
          <w:tcPr>
            <w:tcW w:w="3071"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16</w:t>
            </w:r>
            <w:r>
              <w:rPr>
                <w:rFonts w:ascii="Arial" w:hAnsi="Arial" w:cs="Arial"/>
                <w:sz w:val="20"/>
                <w:szCs w:val="20"/>
              </w:rPr>
              <w:t>.</w:t>
            </w:r>
            <w:r w:rsidRPr="008371C8">
              <w:rPr>
                <w:rFonts w:ascii="Arial" w:hAnsi="Arial" w:cs="Arial"/>
                <w:sz w:val="20"/>
                <w:szCs w:val="20"/>
              </w:rPr>
              <w:t>4</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w:t>
            </w:r>
            <w:r w:rsidRPr="008371C8">
              <w:rPr>
                <w:rFonts w:ascii="Arial" w:hAnsi="Arial" w:cs="Arial"/>
                <w:sz w:val="20"/>
                <w:szCs w:val="20"/>
              </w:rPr>
              <w:t>98</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2</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12.</w:t>
            </w:r>
            <w:r w:rsidRPr="008371C8">
              <w:rPr>
                <w:rFonts w:ascii="Arial" w:hAnsi="Arial" w:cs="Arial"/>
                <w:sz w:val="20"/>
                <w:szCs w:val="20"/>
              </w:rPr>
              <w:t>8</w:t>
            </w:r>
          </w:p>
        </w:tc>
        <w:tc>
          <w:tcPr>
            <w:tcW w:w="3071"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1</w:t>
            </w:r>
            <w:r>
              <w:rPr>
                <w:rFonts w:ascii="Arial" w:hAnsi="Arial" w:cs="Arial"/>
                <w:sz w:val="20"/>
                <w:szCs w:val="20"/>
              </w:rPr>
              <w:t>.</w:t>
            </w:r>
            <w:r w:rsidRPr="008371C8">
              <w:rPr>
                <w:rFonts w:ascii="Arial" w:hAnsi="Arial" w:cs="Arial"/>
                <w:sz w:val="20"/>
                <w:szCs w:val="20"/>
              </w:rPr>
              <w:t>8</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3</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17.</w:t>
            </w:r>
            <w:r w:rsidRPr="008371C8">
              <w:rPr>
                <w:rFonts w:ascii="Arial" w:hAnsi="Arial" w:cs="Arial"/>
                <w:sz w:val="20"/>
                <w:szCs w:val="20"/>
              </w:rPr>
              <w:t>8</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2.</w:t>
            </w:r>
            <w:r w:rsidRPr="008371C8">
              <w:rPr>
                <w:rFonts w:ascii="Arial" w:hAnsi="Arial" w:cs="Arial"/>
                <w:sz w:val="20"/>
                <w:szCs w:val="20"/>
              </w:rPr>
              <w:t>02</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4</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14.</w:t>
            </w:r>
            <w:r w:rsidRPr="008371C8">
              <w:rPr>
                <w:rFonts w:ascii="Arial" w:hAnsi="Arial" w:cs="Arial"/>
                <w:sz w:val="20"/>
                <w:szCs w:val="20"/>
              </w:rPr>
              <w:t>1</w:t>
            </w:r>
          </w:p>
        </w:tc>
        <w:tc>
          <w:tcPr>
            <w:tcW w:w="3071"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2</w:t>
            </w:r>
            <w:r>
              <w:rPr>
                <w:rFonts w:ascii="Arial" w:hAnsi="Arial" w:cs="Arial"/>
                <w:sz w:val="20"/>
                <w:szCs w:val="20"/>
              </w:rPr>
              <w:t>.</w:t>
            </w:r>
            <w:r w:rsidRPr="008371C8">
              <w:rPr>
                <w:rFonts w:ascii="Arial" w:hAnsi="Arial" w:cs="Arial"/>
                <w:sz w:val="20"/>
                <w:szCs w:val="20"/>
              </w:rPr>
              <w:t>3</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5</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17.</w:t>
            </w:r>
            <w:r w:rsidRPr="008371C8">
              <w:rPr>
                <w:rFonts w:ascii="Arial" w:hAnsi="Arial" w:cs="Arial"/>
                <w:sz w:val="20"/>
                <w:szCs w:val="20"/>
              </w:rPr>
              <w:t>1</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w:t>
            </w:r>
            <w:r w:rsidRPr="008371C8">
              <w:rPr>
                <w:rFonts w:ascii="Arial" w:hAnsi="Arial" w:cs="Arial"/>
                <w:sz w:val="20"/>
                <w:szCs w:val="20"/>
              </w:rPr>
              <w:t>9</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6</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15.</w:t>
            </w:r>
            <w:r w:rsidRPr="008371C8">
              <w:rPr>
                <w:rFonts w:ascii="Arial" w:hAnsi="Arial" w:cs="Arial"/>
                <w:sz w:val="20"/>
                <w:szCs w:val="20"/>
              </w:rPr>
              <w:t>2</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2.</w:t>
            </w:r>
            <w:r w:rsidRPr="008371C8">
              <w:rPr>
                <w:rFonts w:ascii="Arial" w:hAnsi="Arial" w:cs="Arial"/>
                <w:sz w:val="20"/>
                <w:szCs w:val="20"/>
              </w:rPr>
              <w:t>03</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7</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12.</w:t>
            </w:r>
            <w:r w:rsidRPr="008371C8">
              <w:rPr>
                <w:rFonts w:ascii="Arial" w:hAnsi="Arial" w:cs="Arial"/>
                <w:sz w:val="20"/>
                <w:szCs w:val="20"/>
              </w:rPr>
              <w:t>7</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w:t>
            </w:r>
            <w:r w:rsidRPr="008371C8">
              <w:rPr>
                <w:rFonts w:ascii="Arial" w:hAnsi="Arial" w:cs="Arial"/>
                <w:sz w:val="20"/>
                <w:szCs w:val="20"/>
              </w:rPr>
              <w:t>95</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8</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17.</w:t>
            </w:r>
            <w:r w:rsidRPr="008371C8">
              <w:rPr>
                <w:rFonts w:ascii="Arial" w:hAnsi="Arial" w:cs="Arial"/>
                <w:sz w:val="20"/>
                <w:szCs w:val="20"/>
              </w:rPr>
              <w:t>2</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w:t>
            </w:r>
            <w:r w:rsidRPr="008371C8">
              <w:rPr>
                <w:rFonts w:ascii="Arial" w:hAnsi="Arial" w:cs="Arial"/>
                <w:sz w:val="20"/>
                <w:szCs w:val="20"/>
              </w:rPr>
              <w:t>87</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9</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15.</w:t>
            </w:r>
            <w:r w:rsidRPr="008371C8">
              <w:rPr>
                <w:rFonts w:ascii="Arial" w:hAnsi="Arial" w:cs="Arial"/>
                <w:sz w:val="20"/>
                <w:szCs w:val="20"/>
              </w:rPr>
              <w:t>3</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w:t>
            </w:r>
            <w:r w:rsidRPr="008371C8">
              <w:rPr>
                <w:rFonts w:ascii="Arial" w:hAnsi="Arial" w:cs="Arial"/>
                <w:sz w:val="20"/>
                <w:szCs w:val="20"/>
              </w:rPr>
              <w:t>59</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10</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14.</w:t>
            </w:r>
            <w:r w:rsidRPr="008371C8">
              <w:rPr>
                <w:rFonts w:ascii="Arial" w:hAnsi="Arial" w:cs="Arial"/>
                <w:sz w:val="20"/>
                <w:szCs w:val="20"/>
              </w:rPr>
              <w:t>1</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w:t>
            </w:r>
            <w:r w:rsidRPr="008371C8">
              <w:rPr>
                <w:rFonts w:ascii="Arial" w:hAnsi="Arial" w:cs="Arial"/>
                <w:sz w:val="20"/>
                <w:szCs w:val="20"/>
              </w:rPr>
              <w:t>78</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11</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9.</w:t>
            </w:r>
            <w:r w:rsidRPr="008371C8">
              <w:rPr>
                <w:rFonts w:ascii="Arial" w:hAnsi="Arial" w:cs="Arial"/>
                <w:sz w:val="20"/>
                <w:szCs w:val="20"/>
              </w:rPr>
              <w:t>9</w:t>
            </w:r>
          </w:p>
        </w:tc>
        <w:tc>
          <w:tcPr>
            <w:tcW w:w="3071"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2</w:t>
            </w:r>
            <w:r>
              <w:rPr>
                <w:rFonts w:ascii="Arial" w:hAnsi="Arial" w:cs="Arial"/>
                <w:sz w:val="20"/>
                <w:szCs w:val="20"/>
              </w:rPr>
              <w:t>.</w:t>
            </w:r>
            <w:r w:rsidRPr="008371C8">
              <w:rPr>
                <w:rFonts w:ascii="Arial" w:hAnsi="Arial" w:cs="Arial"/>
                <w:sz w:val="20"/>
                <w:szCs w:val="20"/>
              </w:rPr>
              <w:t>2</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12</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14.</w:t>
            </w:r>
            <w:r w:rsidRPr="008371C8">
              <w:rPr>
                <w:rFonts w:ascii="Arial" w:hAnsi="Arial" w:cs="Arial"/>
                <w:sz w:val="20"/>
                <w:szCs w:val="20"/>
              </w:rPr>
              <w:t>3</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18</w:t>
            </w:r>
            <w:r w:rsidRPr="008371C8">
              <w:rPr>
                <w:rFonts w:ascii="Arial" w:hAnsi="Arial" w:cs="Arial"/>
                <w:sz w:val="20"/>
                <w:szCs w:val="20"/>
              </w:rPr>
              <w:t>6</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13</w:t>
            </w:r>
          </w:p>
        </w:tc>
        <w:tc>
          <w:tcPr>
            <w:tcW w:w="3071"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16</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2.</w:t>
            </w:r>
            <w:r w:rsidRPr="008371C8">
              <w:rPr>
                <w:rFonts w:ascii="Arial" w:hAnsi="Arial" w:cs="Arial"/>
                <w:sz w:val="20"/>
                <w:szCs w:val="20"/>
              </w:rPr>
              <w:t>15</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14</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14.</w:t>
            </w:r>
            <w:r w:rsidRPr="008371C8">
              <w:rPr>
                <w:rFonts w:ascii="Arial" w:hAnsi="Arial" w:cs="Arial"/>
                <w:sz w:val="20"/>
                <w:szCs w:val="20"/>
              </w:rPr>
              <w:t>4</w:t>
            </w:r>
          </w:p>
        </w:tc>
        <w:tc>
          <w:tcPr>
            <w:tcW w:w="3071"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1</w:t>
            </w:r>
            <w:r>
              <w:rPr>
                <w:rFonts w:ascii="Arial" w:hAnsi="Arial" w:cs="Arial"/>
                <w:sz w:val="20"/>
                <w:szCs w:val="20"/>
              </w:rPr>
              <w:t>.</w:t>
            </w:r>
            <w:r w:rsidRPr="008371C8">
              <w:rPr>
                <w:rFonts w:ascii="Arial" w:hAnsi="Arial" w:cs="Arial"/>
                <w:sz w:val="20"/>
                <w:szCs w:val="20"/>
              </w:rPr>
              <w:t>97</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15</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16.</w:t>
            </w:r>
            <w:r w:rsidRPr="008371C8">
              <w:rPr>
                <w:rFonts w:ascii="Arial" w:hAnsi="Arial" w:cs="Arial"/>
                <w:sz w:val="20"/>
                <w:szCs w:val="20"/>
              </w:rPr>
              <w:t>1</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2.</w:t>
            </w:r>
            <w:r w:rsidRPr="008371C8">
              <w:rPr>
                <w:rFonts w:ascii="Arial" w:hAnsi="Arial" w:cs="Arial"/>
                <w:sz w:val="20"/>
                <w:szCs w:val="20"/>
              </w:rPr>
              <w:t>04</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16</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14.</w:t>
            </w:r>
            <w:r w:rsidRPr="008371C8">
              <w:rPr>
                <w:rFonts w:ascii="Arial" w:hAnsi="Arial" w:cs="Arial"/>
                <w:sz w:val="20"/>
                <w:szCs w:val="20"/>
              </w:rPr>
              <w:t>7</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2.</w:t>
            </w:r>
            <w:r w:rsidRPr="008371C8">
              <w:rPr>
                <w:rFonts w:ascii="Arial" w:hAnsi="Arial" w:cs="Arial"/>
                <w:sz w:val="20"/>
                <w:szCs w:val="20"/>
              </w:rPr>
              <w:t>01</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17</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15.</w:t>
            </w:r>
            <w:r w:rsidRPr="008371C8">
              <w:rPr>
                <w:rFonts w:ascii="Arial" w:hAnsi="Arial" w:cs="Arial"/>
                <w:sz w:val="20"/>
                <w:szCs w:val="20"/>
              </w:rPr>
              <w:t>5</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w:t>
            </w:r>
            <w:r w:rsidRPr="008371C8">
              <w:rPr>
                <w:rFonts w:ascii="Arial" w:hAnsi="Arial" w:cs="Arial"/>
                <w:sz w:val="20"/>
                <w:szCs w:val="20"/>
              </w:rPr>
              <w:t>99</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18</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18.</w:t>
            </w:r>
            <w:r w:rsidRPr="008371C8">
              <w:rPr>
                <w:rFonts w:ascii="Arial" w:hAnsi="Arial" w:cs="Arial"/>
                <w:sz w:val="20"/>
                <w:szCs w:val="20"/>
              </w:rPr>
              <w:t>5</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w:t>
            </w:r>
            <w:r w:rsidRPr="008371C8">
              <w:rPr>
                <w:rFonts w:ascii="Arial" w:hAnsi="Arial" w:cs="Arial"/>
                <w:sz w:val="20"/>
                <w:szCs w:val="20"/>
              </w:rPr>
              <w:t>12</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19</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15.</w:t>
            </w:r>
            <w:r w:rsidRPr="008371C8">
              <w:rPr>
                <w:rFonts w:ascii="Arial" w:hAnsi="Arial" w:cs="Arial"/>
                <w:sz w:val="20"/>
                <w:szCs w:val="20"/>
              </w:rPr>
              <w:t>8</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2.</w:t>
            </w:r>
            <w:r w:rsidRPr="008371C8">
              <w:rPr>
                <w:rFonts w:ascii="Arial" w:hAnsi="Arial" w:cs="Arial"/>
                <w:sz w:val="20"/>
                <w:szCs w:val="20"/>
              </w:rPr>
              <w:t>09</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20</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13.</w:t>
            </w:r>
            <w:r w:rsidRPr="008371C8">
              <w:rPr>
                <w:rFonts w:ascii="Arial" w:hAnsi="Arial" w:cs="Arial"/>
                <w:sz w:val="20"/>
                <w:szCs w:val="20"/>
              </w:rPr>
              <w:t>1</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2.</w:t>
            </w:r>
            <w:r w:rsidRPr="008371C8">
              <w:rPr>
                <w:rFonts w:ascii="Arial" w:hAnsi="Arial" w:cs="Arial"/>
                <w:sz w:val="20"/>
                <w:szCs w:val="20"/>
              </w:rPr>
              <w:t>21</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21</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13.</w:t>
            </w:r>
            <w:r w:rsidRPr="008371C8">
              <w:rPr>
                <w:rFonts w:ascii="Arial" w:hAnsi="Arial" w:cs="Arial"/>
                <w:sz w:val="20"/>
                <w:szCs w:val="20"/>
              </w:rPr>
              <w:t>4</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2.</w:t>
            </w:r>
            <w:r w:rsidRPr="008371C8">
              <w:rPr>
                <w:rFonts w:ascii="Arial" w:hAnsi="Arial" w:cs="Arial"/>
                <w:sz w:val="20"/>
                <w:szCs w:val="20"/>
              </w:rPr>
              <w:t>04</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22</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14.</w:t>
            </w:r>
            <w:r w:rsidRPr="008371C8">
              <w:rPr>
                <w:rFonts w:ascii="Arial" w:hAnsi="Arial" w:cs="Arial"/>
                <w:sz w:val="20"/>
                <w:szCs w:val="20"/>
              </w:rPr>
              <w:t>8</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2.</w:t>
            </w:r>
            <w:r w:rsidRPr="008371C8">
              <w:rPr>
                <w:rFonts w:ascii="Arial" w:hAnsi="Arial" w:cs="Arial"/>
                <w:sz w:val="20"/>
                <w:szCs w:val="20"/>
              </w:rPr>
              <w:t>04</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23</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16.</w:t>
            </w:r>
            <w:r w:rsidRPr="008371C8">
              <w:rPr>
                <w:rFonts w:ascii="Arial" w:hAnsi="Arial" w:cs="Arial"/>
                <w:sz w:val="20"/>
                <w:szCs w:val="20"/>
              </w:rPr>
              <w:t>3</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w:t>
            </w:r>
            <w:r w:rsidRPr="008371C8">
              <w:rPr>
                <w:rFonts w:ascii="Arial" w:hAnsi="Arial" w:cs="Arial"/>
                <w:sz w:val="20"/>
                <w:szCs w:val="20"/>
              </w:rPr>
              <w:t>77</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24</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9.</w:t>
            </w:r>
            <w:r w:rsidRPr="008371C8">
              <w:rPr>
                <w:rFonts w:ascii="Arial" w:hAnsi="Arial" w:cs="Arial"/>
                <w:sz w:val="20"/>
                <w:szCs w:val="20"/>
              </w:rPr>
              <w:t>4</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w:t>
            </w:r>
            <w:r w:rsidRPr="008371C8">
              <w:rPr>
                <w:rFonts w:ascii="Arial" w:hAnsi="Arial" w:cs="Arial"/>
                <w:sz w:val="20"/>
                <w:szCs w:val="20"/>
              </w:rPr>
              <w:t>98</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25</w:t>
            </w:r>
          </w:p>
        </w:tc>
        <w:tc>
          <w:tcPr>
            <w:tcW w:w="3071"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12</w:t>
            </w:r>
            <w:r>
              <w:rPr>
                <w:rFonts w:ascii="Arial" w:hAnsi="Arial" w:cs="Arial"/>
                <w:sz w:val="20"/>
                <w:szCs w:val="20"/>
              </w:rPr>
              <w:t>.</w:t>
            </w:r>
            <w:r w:rsidRPr="008371C8">
              <w:rPr>
                <w:rFonts w:ascii="Arial" w:hAnsi="Arial" w:cs="Arial"/>
                <w:sz w:val="20"/>
                <w:szCs w:val="20"/>
              </w:rPr>
              <w:t>4</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2.</w:t>
            </w:r>
            <w:r w:rsidRPr="008371C8">
              <w:rPr>
                <w:rFonts w:ascii="Arial" w:hAnsi="Arial" w:cs="Arial"/>
                <w:sz w:val="20"/>
                <w:szCs w:val="20"/>
              </w:rPr>
              <w:t>56</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26</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16.</w:t>
            </w:r>
            <w:r w:rsidRPr="008371C8">
              <w:rPr>
                <w:rFonts w:ascii="Arial" w:hAnsi="Arial" w:cs="Arial"/>
                <w:sz w:val="20"/>
                <w:szCs w:val="20"/>
              </w:rPr>
              <w:t>4</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w:t>
            </w:r>
            <w:r w:rsidRPr="008371C8">
              <w:rPr>
                <w:rFonts w:ascii="Arial" w:hAnsi="Arial" w:cs="Arial"/>
                <w:sz w:val="20"/>
                <w:szCs w:val="20"/>
              </w:rPr>
              <w:t>99</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27</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15.</w:t>
            </w:r>
            <w:r w:rsidRPr="008371C8">
              <w:rPr>
                <w:rFonts w:ascii="Arial" w:hAnsi="Arial" w:cs="Arial"/>
                <w:sz w:val="20"/>
                <w:szCs w:val="20"/>
              </w:rPr>
              <w:t>5</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w:t>
            </w:r>
            <w:r w:rsidRPr="008371C8">
              <w:rPr>
                <w:rFonts w:ascii="Arial" w:hAnsi="Arial" w:cs="Arial"/>
                <w:sz w:val="20"/>
                <w:szCs w:val="20"/>
              </w:rPr>
              <w:t>88</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28</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11.</w:t>
            </w:r>
            <w:r w:rsidRPr="008371C8">
              <w:rPr>
                <w:rFonts w:ascii="Arial" w:hAnsi="Arial" w:cs="Arial"/>
                <w:sz w:val="20"/>
                <w:szCs w:val="20"/>
              </w:rPr>
              <w:t>3</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2.</w:t>
            </w:r>
            <w:r w:rsidRPr="008371C8">
              <w:rPr>
                <w:rFonts w:ascii="Arial" w:hAnsi="Arial" w:cs="Arial"/>
                <w:sz w:val="20"/>
                <w:szCs w:val="20"/>
              </w:rPr>
              <w:t>02</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29</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14.</w:t>
            </w:r>
            <w:r w:rsidRPr="008371C8">
              <w:rPr>
                <w:rFonts w:ascii="Arial" w:hAnsi="Arial" w:cs="Arial"/>
                <w:sz w:val="20"/>
                <w:szCs w:val="20"/>
              </w:rPr>
              <w:t>2</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w:t>
            </w:r>
            <w:r w:rsidRPr="008371C8">
              <w:rPr>
                <w:rFonts w:ascii="Arial" w:hAnsi="Arial" w:cs="Arial"/>
                <w:sz w:val="20"/>
                <w:szCs w:val="20"/>
              </w:rPr>
              <w:t>88</w:t>
            </w:r>
          </w:p>
        </w:tc>
      </w:tr>
      <w:tr w:rsidR="00C60153" w:rsidRPr="009B1688" w:rsidTr="00283CE4">
        <w:tc>
          <w:tcPr>
            <w:tcW w:w="3070" w:type="dxa"/>
            <w:vAlign w:val="center"/>
          </w:tcPr>
          <w:p w:rsidR="00C60153" w:rsidRPr="008371C8" w:rsidRDefault="00C60153" w:rsidP="00283CE4">
            <w:pPr>
              <w:spacing w:line="360" w:lineRule="auto"/>
              <w:jc w:val="center"/>
              <w:rPr>
                <w:rFonts w:ascii="Arial" w:hAnsi="Arial" w:cs="Arial"/>
                <w:sz w:val="20"/>
                <w:szCs w:val="20"/>
              </w:rPr>
            </w:pPr>
            <w:r w:rsidRPr="008371C8">
              <w:rPr>
                <w:rFonts w:ascii="Arial" w:hAnsi="Arial" w:cs="Arial"/>
                <w:sz w:val="20"/>
                <w:szCs w:val="20"/>
              </w:rPr>
              <w:t>30</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13.</w:t>
            </w:r>
            <w:r w:rsidRPr="008371C8">
              <w:rPr>
                <w:rFonts w:ascii="Arial" w:hAnsi="Arial" w:cs="Arial"/>
                <w:sz w:val="20"/>
                <w:szCs w:val="20"/>
              </w:rPr>
              <w:t>8</w:t>
            </w:r>
          </w:p>
        </w:tc>
        <w:tc>
          <w:tcPr>
            <w:tcW w:w="3071" w:type="dxa"/>
            <w:vAlign w:val="center"/>
          </w:tcPr>
          <w:p w:rsidR="00C60153" w:rsidRPr="008371C8" w:rsidRDefault="00C60153" w:rsidP="00283CE4">
            <w:pPr>
              <w:spacing w:line="360" w:lineRule="auto"/>
              <w:jc w:val="center"/>
              <w:rPr>
                <w:rFonts w:ascii="Arial" w:hAnsi="Arial" w:cs="Arial"/>
                <w:sz w:val="20"/>
                <w:szCs w:val="20"/>
              </w:rPr>
            </w:pPr>
            <w:r>
              <w:rPr>
                <w:rFonts w:ascii="Arial" w:hAnsi="Arial" w:cs="Arial"/>
                <w:sz w:val="20"/>
                <w:szCs w:val="20"/>
              </w:rPr>
              <w:t>1.</w:t>
            </w:r>
            <w:r w:rsidRPr="008371C8">
              <w:rPr>
                <w:rFonts w:ascii="Arial" w:hAnsi="Arial" w:cs="Arial"/>
                <w:sz w:val="20"/>
                <w:szCs w:val="20"/>
              </w:rPr>
              <w:t>99</w:t>
            </w:r>
          </w:p>
        </w:tc>
      </w:tr>
    </w:tbl>
    <w:p w:rsidR="00C60153" w:rsidRDefault="00C60153" w:rsidP="00C60153">
      <w:pPr>
        <w:spacing w:line="360" w:lineRule="auto"/>
        <w:contextualSpacing/>
        <w:jc w:val="both"/>
        <w:rPr>
          <w:rFonts w:ascii="Arial" w:hAnsi="Arial" w:cs="Arial"/>
          <w:i/>
        </w:rPr>
      </w:pPr>
    </w:p>
    <w:p w:rsidR="00C60153" w:rsidRDefault="00C60153" w:rsidP="00C60153">
      <w:pPr>
        <w:spacing w:line="360" w:lineRule="auto"/>
        <w:rPr>
          <w:rFonts w:ascii="Arial" w:hAnsi="Arial" w:cs="Arial"/>
        </w:rPr>
      </w:pPr>
    </w:p>
    <w:p w:rsidR="00766CEC" w:rsidRDefault="00766CEC" w:rsidP="00C60153">
      <w:pPr>
        <w:spacing w:line="360" w:lineRule="auto"/>
        <w:rPr>
          <w:rFonts w:ascii="Arial" w:hAnsi="Arial" w:cs="Arial"/>
        </w:rPr>
      </w:pPr>
    </w:p>
    <w:p w:rsidR="00766CEC" w:rsidRDefault="00766CEC" w:rsidP="00C60153">
      <w:pPr>
        <w:spacing w:line="360" w:lineRule="auto"/>
        <w:rPr>
          <w:rFonts w:ascii="Arial" w:hAnsi="Arial" w:cs="Arial"/>
        </w:rPr>
      </w:pPr>
    </w:p>
    <w:p w:rsidR="00C60153" w:rsidRPr="008371C8" w:rsidRDefault="00C60153" w:rsidP="00C60153">
      <w:pPr>
        <w:rPr>
          <w:rFonts w:ascii="Arial" w:hAnsi="Arial" w:cs="Arial"/>
        </w:rPr>
      </w:pPr>
      <w:r w:rsidRPr="008371C8">
        <w:rPr>
          <w:rFonts w:ascii="Arial" w:hAnsi="Arial" w:cs="Arial"/>
        </w:rPr>
        <w:lastRenderedPageBreak/>
        <w:t>Tablo</w:t>
      </w:r>
      <w:r>
        <w:rPr>
          <w:rFonts w:ascii="Arial" w:hAnsi="Arial" w:cs="Arial"/>
        </w:rPr>
        <w:t xml:space="preserve"> </w:t>
      </w:r>
      <w:r w:rsidRPr="008371C8">
        <w:rPr>
          <w:rFonts w:ascii="Arial" w:hAnsi="Arial" w:cs="Arial"/>
        </w:rPr>
        <w:t>2</w:t>
      </w:r>
      <w:r>
        <w:rPr>
          <w:rFonts w:ascii="Arial" w:hAnsi="Arial" w:cs="Arial"/>
        </w:rPr>
        <w:t xml:space="preserve">4. </w:t>
      </w:r>
      <w:r w:rsidRPr="008371C8">
        <w:rPr>
          <w:rFonts w:ascii="Arial" w:hAnsi="Arial" w:cs="Arial"/>
        </w:rPr>
        <w:t xml:space="preserve">Kontrol </w:t>
      </w:r>
      <w:r>
        <w:rPr>
          <w:rFonts w:ascii="Arial" w:hAnsi="Arial" w:cs="Arial"/>
        </w:rPr>
        <w:t xml:space="preserve">grubu </w:t>
      </w:r>
      <w:r w:rsidRPr="008371C8">
        <w:rPr>
          <w:rFonts w:ascii="Arial" w:hAnsi="Arial" w:cs="Arial"/>
        </w:rPr>
        <w:t>total RNA konstrasyonları ve A 260 / A280 oranları</w:t>
      </w:r>
    </w:p>
    <w:tbl>
      <w:tblPr>
        <w:tblStyle w:val="TabloKlavuzu"/>
        <w:tblW w:w="0" w:type="auto"/>
        <w:tblLook w:val="04A0" w:firstRow="1" w:lastRow="0" w:firstColumn="1" w:lastColumn="0" w:noHBand="0" w:noVBand="1"/>
      </w:tblPr>
      <w:tblGrid>
        <w:gridCol w:w="2797"/>
        <w:gridCol w:w="2879"/>
        <w:gridCol w:w="2760"/>
      </w:tblGrid>
      <w:tr w:rsidR="00C60153" w:rsidRPr="009B1688" w:rsidTr="00283CE4">
        <w:tc>
          <w:tcPr>
            <w:tcW w:w="3070" w:type="dxa"/>
            <w:shd w:val="clear" w:color="auto" w:fill="000000" w:themeFill="text1"/>
            <w:vAlign w:val="center"/>
          </w:tcPr>
          <w:p w:rsidR="00C60153" w:rsidRPr="00E33CE2" w:rsidRDefault="00C60153" w:rsidP="00283CE4">
            <w:pPr>
              <w:spacing w:line="360" w:lineRule="auto"/>
              <w:jc w:val="center"/>
              <w:rPr>
                <w:rFonts w:ascii="Arial" w:hAnsi="Arial" w:cs="Arial"/>
                <w:b/>
                <w:sz w:val="20"/>
                <w:szCs w:val="20"/>
              </w:rPr>
            </w:pPr>
            <w:r w:rsidRPr="00E33CE2">
              <w:rPr>
                <w:rFonts w:ascii="Arial" w:hAnsi="Arial" w:cs="Arial"/>
                <w:b/>
                <w:sz w:val="20"/>
                <w:szCs w:val="20"/>
              </w:rPr>
              <w:t>KONTROL NO</w:t>
            </w:r>
          </w:p>
        </w:tc>
        <w:tc>
          <w:tcPr>
            <w:tcW w:w="3071" w:type="dxa"/>
            <w:shd w:val="clear" w:color="auto" w:fill="000000" w:themeFill="text1"/>
            <w:vAlign w:val="center"/>
          </w:tcPr>
          <w:p w:rsidR="00C60153" w:rsidRPr="00E33CE2" w:rsidRDefault="00C60153" w:rsidP="00283CE4">
            <w:pPr>
              <w:spacing w:line="360" w:lineRule="auto"/>
              <w:jc w:val="center"/>
              <w:rPr>
                <w:rFonts w:ascii="Arial" w:hAnsi="Arial" w:cs="Arial"/>
                <w:b/>
                <w:color w:val="FFFFFF" w:themeColor="background1"/>
                <w:sz w:val="20"/>
                <w:szCs w:val="20"/>
              </w:rPr>
            </w:pPr>
            <w:r w:rsidRPr="00E33CE2">
              <w:rPr>
                <w:rFonts w:ascii="Arial" w:hAnsi="Arial" w:cs="Arial"/>
                <w:b/>
                <w:sz w:val="20"/>
                <w:szCs w:val="20"/>
              </w:rPr>
              <w:t>Total RNA konsantrasyonu (ng</w:t>
            </w:r>
            <w:r w:rsidRPr="00E33CE2">
              <w:rPr>
                <w:rFonts w:ascii="Arial" w:hAnsi="Arial" w:cs="Arial"/>
                <w:b/>
                <w:color w:val="FFFFFF" w:themeColor="background1"/>
                <w:sz w:val="20"/>
                <w:szCs w:val="20"/>
              </w:rPr>
              <w:t>/ µl)</w:t>
            </w:r>
          </w:p>
        </w:tc>
        <w:tc>
          <w:tcPr>
            <w:tcW w:w="3071" w:type="dxa"/>
            <w:shd w:val="clear" w:color="auto" w:fill="000000" w:themeFill="text1"/>
            <w:vAlign w:val="center"/>
          </w:tcPr>
          <w:p w:rsidR="00C60153" w:rsidRPr="00E33CE2" w:rsidRDefault="00C60153" w:rsidP="00283CE4">
            <w:pPr>
              <w:spacing w:line="360" w:lineRule="auto"/>
              <w:jc w:val="center"/>
              <w:rPr>
                <w:rFonts w:ascii="Arial" w:hAnsi="Arial" w:cs="Arial"/>
                <w:b/>
                <w:sz w:val="20"/>
                <w:szCs w:val="20"/>
              </w:rPr>
            </w:pPr>
            <w:r w:rsidRPr="00E33CE2">
              <w:rPr>
                <w:rFonts w:ascii="Arial" w:hAnsi="Arial" w:cs="Arial"/>
                <w:b/>
                <w:sz w:val="20"/>
                <w:szCs w:val="20"/>
              </w:rPr>
              <w:t>A260 / A280</w:t>
            </w:r>
          </w:p>
          <w:p w:rsidR="00C60153" w:rsidRPr="00E33CE2" w:rsidRDefault="00C60153" w:rsidP="00283CE4">
            <w:pPr>
              <w:spacing w:line="360" w:lineRule="auto"/>
              <w:jc w:val="center"/>
              <w:rPr>
                <w:rFonts w:ascii="Arial" w:hAnsi="Arial" w:cs="Arial"/>
                <w:b/>
                <w:sz w:val="20"/>
                <w:szCs w:val="20"/>
              </w:rPr>
            </w:pPr>
            <w:r w:rsidRPr="00E33CE2">
              <w:rPr>
                <w:rFonts w:ascii="Arial" w:hAnsi="Arial" w:cs="Arial"/>
                <w:b/>
                <w:sz w:val="20"/>
                <w:szCs w:val="20"/>
              </w:rPr>
              <w:t>oranları</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w:t>
            </w:r>
          </w:p>
        </w:tc>
        <w:tc>
          <w:tcPr>
            <w:tcW w:w="3071"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11</w:t>
            </w:r>
            <w:r>
              <w:rPr>
                <w:rFonts w:ascii="Arial" w:hAnsi="Arial" w:cs="Arial"/>
                <w:sz w:val="20"/>
                <w:szCs w:val="20"/>
              </w:rPr>
              <w:t>.</w:t>
            </w:r>
            <w:r w:rsidRPr="00E33CE2">
              <w:rPr>
                <w:rFonts w:ascii="Arial" w:hAnsi="Arial" w:cs="Arial"/>
                <w:sz w:val="20"/>
                <w:szCs w:val="20"/>
              </w:rPr>
              <w:t>6</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2.</w:t>
            </w:r>
            <w:r w:rsidRPr="00E33CE2">
              <w:rPr>
                <w:rFonts w:ascii="Arial" w:hAnsi="Arial" w:cs="Arial"/>
                <w:sz w:val="20"/>
                <w:szCs w:val="20"/>
              </w:rPr>
              <w:t>41</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2</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10.</w:t>
            </w:r>
            <w:r w:rsidRPr="00E33CE2">
              <w:rPr>
                <w:rFonts w:ascii="Arial" w:hAnsi="Arial" w:cs="Arial"/>
                <w:sz w:val="20"/>
                <w:szCs w:val="20"/>
              </w:rPr>
              <w:t>2</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2.</w:t>
            </w:r>
            <w:r w:rsidRPr="00E33CE2">
              <w:rPr>
                <w:rFonts w:ascii="Arial" w:hAnsi="Arial" w:cs="Arial"/>
                <w:sz w:val="20"/>
                <w:szCs w:val="20"/>
              </w:rPr>
              <w:t>02</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3</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7.</w:t>
            </w:r>
            <w:r w:rsidRPr="00E33CE2">
              <w:rPr>
                <w:rFonts w:ascii="Arial" w:hAnsi="Arial" w:cs="Arial"/>
                <w:sz w:val="20"/>
                <w:szCs w:val="20"/>
              </w:rPr>
              <w:t>3</w:t>
            </w:r>
          </w:p>
        </w:tc>
        <w:tc>
          <w:tcPr>
            <w:tcW w:w="3071"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2</w:t>
            </w:r>
            <w:r>
              <w:rPr>
                <w:rFonts w:ascii="Arial" w:hAnsi="Arial" w:cs="Arial"/>
                <w:sz w:val="20"/>
                <w:szCs w:val="20"/>
              </w:rPr>
              <w:t>.</w:t>
            </w:r>
            <w:r w:rsidRPr="00E33CE2">
              <w:rPr>
                <w:rFonts w:ascii="Arial" w:hAnsi="Arial" w:cs="Arial"/>
                <w:sz w:val="20"/>
                <w:szCs w:val="20"/>
              </w:rPr>
              <w:t>2</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4</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10.</w:t>
            </w:r>
            <w:r w:rsidRPr="00E33CE2">
              <w:rPr>
                <w:rFonts w:ascii="Arial" w:hAnsi="Arial" w:cs="Arial"/>
                <w:sz w:val="20"/>
                <w:szCs w:val="20"/>
              </w:rPr>
              <w:t>2</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2.</w:t>
            </w:r>
            <w:r w:rsidRPr="00E33CE2">
              <w:rPr>
                <w:rFonts w:ascii="Arial" w:hAnsi="Arial" w:cs="Arial"/>
                <w:sz w:val="20"/>
                <w:szCs w:val="20"/>
              </w:rPr>
              <w:t>23</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5</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12.</w:t>
            </w:r>
            <w:r w:rsidRPr="00E33CE2">
              <w:rPr>
                <w:rFonts w:ascii="Arial" w:hAnsi="Arial" w:cs="Arial"/>
                <w:sz w:val="20"/>
                <w:szCs w:val="20"/>
              </w:rPr>
              <w:t>2</w:t>
            </w:r>
          </w:p>
        </w:tc>
        <w:tc>
          <w:tcPr>
            <w:tcW w:w="3071"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2</w:t>
            </w:r>
            <w:r>
              <w:rPr>
                <w:rFonts w:ascii="Arial" w:hAnsi="Arial" w:cs="Arial"/>
                <w:sz w:val="20"/>
                <w:szCs w:val="20"/>
              </w:rPr>
              <w:t>.</w:t>
            </w:r>
            <w:r w:rsidRPr="00E33CE2">
              <w:rPr>
                <w:rFonts w:ascii="Arial" w:hAnsi="Arial" w:cs="Arial"/>
                <w:sz w:val="20"/>
                <w:szCs w:val="20"/>
              </w:rPr>
              <w:t>1</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6</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12.</w:t>
            </w:r>
            <w:r w:rsidRPr="00E33CE2">
              <w:rPr>
                <w:rFonts w:ascii="Arial" w:hAnsi="Arial" w:cs="Arial"/>
                <w:sz w:val="20"/>
                <w:szCs w:val="20"/>
              </w:rPr>
              <w:t>6</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w:t>
            </w:r>
            <w:r w:rsidRPr="00E33CE2">
              <w:rPr>
                <w:rFonts w:ascii="Arial" w:hAnsi="Arial" w:cs="Arial"/>
                <w:sz w:val="20"/>
                <w:szCs w:val="20"/>
              </w:rPr>
              <w:t>99</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7</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14.</w:t>
            </w:r>
            <w:r w:rsidRPr="00E33CE2">
              <w:rPr>
                <w:rFonts w:ascii="Arial" w:hAnsi="Arial" w:cs="Arial"/>
                <w:sz w:val="20"/>
                <w:szCs w:val="20"/>
              </w:rPr>
              <w:t>6</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2.</w:t>
            </w:r>
            <w:r w:rsidRPr="00E33CE2">
              <w:rPr>
                <w:rFonts w:ascii="Arial" w:hAnsi="Arial" w:cs="Arial"/>
                <w:sz w:val="20"/>
                <w:szCs w:val="20"/>
              </w:rPr>
              <w:t>03</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8</w:t>
            </w:r>
          </w:p>
        </w:tc>
        <w:tc>
          <w:tcPr>
            <w:tcW w:w="3071"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w:t>
            </w:r>
            <w:r>
              <w:rPr>
                <w:rFonts w:ascii="Arial" w:hAnsi="Arial" w:cs="Arial"/>
                <w:sz w:val="20"/>
                <w:szCs w:val="20"/>
              </w:rPr>
              <w:t>2</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2.</w:t>
            </w:r>
            <w:r w:rsidRPr="00E33CE2">
              <w:rPr>
                <w:rFonts w:ascii="Arial" w:hAnsi="Arial" w:cs="Arial"/>
                <w:sz w:val="20"/>
                <w:szCs w:val="20"/>
              </w:rPr>
              <w:t>05</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9</w:t>
            </w:r>
          </w:p>
        </w:tc>
        <w:tc>
          <w:tcPr>
            <w:tcW w:w="3071"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12</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2.</w:t>
            </w:r>
            <w:r w:rsidRPr="00E33CE2">
              <w:rPr>
                <w:rFonts w:ascii="Arial" w:hAnsi="Arial" w:cs="Arial"/>
                <w:sz w:val="20"/>
                <w:szCs w:val="20"/>
              </w:rPr>
              <w:t>12</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10</w:t>
            </w:r>
          </w:p>
        </w:tc>
        <w:tc>
          <w:tcPr>
            <w:tcW w:w="3071"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8</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2.</w:t>
            </w:r>
            <w:r w:rsidRPr="00E33CE2">
              <w:rPr>
                <w:rFonts w:ascii="Arial" w:hAnsi="Arial" w:cs="Arial"/>
                <w:sz w:val="20"/>
                <w:szCs w:val="20"/>
              </w:rPr>
              <w:t>17</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11</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10.</w:t>
            </w:r>
            <w:r w:rsidRPr="00E33CE2">
              <w:rPr>
                <w:rFonts w:ascii="Arial" w:hAnsi="Arial" w:cs="Arial"/>
                <w:sz w:val="20"/>
                <w:szCs w:val="20"/>
              </w:rPr>
              <w:t>3</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2.</w:t>
            </w:r>
            <w:r w:rsidRPr="00E33CE2">
              <w:rPr>
                <w:rFonts w:ascii="Arial" w:hAnsi="Arial" w:cs="Arial"/>
                <w:sz w:val="20"/>
                <w:szCs w:val="20"/>
              </w:rPr>
              <w:t>18</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12</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12.</w:t>
            </w:r>
            <w:r w:rsidRPr="00E33CE2">
              <w:rPr>
                <w:rFonts w:ascii="Arial" w:hAnsi="Arial" w:cs="Arial"/>
                <w:sz w:val="20"/>
                <w:szCs w:val="20"/>
              </w:rPr>
              <w:t>8</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2.</w:t>
            </w:r>
            <w:r w:rsidRPr="00E33CE2">
              <w:rPr>
                <w:rFonts w:ascii="Arial" w:hAnsi="Arial" w:cs="Arial"/>
                <w:sz w:val="20"/>
                <w:szCs w:val="20"/>
              </w:rPr>
              <w:t>05</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13</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15.</w:t>
            </w:r>
            <w:r w:rsidRPr="00E33CE2">
              <w:rPr>
                <w:rFonts w:ascii="Arial" w:hAnsi="Arial" w:cs="Arial"/>
                <w:sz w:val="20"/>
                <w:szCs w:val="20"/>
              </w:rPr>
              <w:t>6</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2.</w:t>
            </w:r>
            <w:r w:rsidRPr="00E33CE2">
              <w:rPr>
                <w:rFonts w:ascii="Arial" w:hAnsi="Arial" w:cs="Arial"/>
                <w:sz w:val="20"/>
                <w:szCs w:val="20"/>
              </w:rPr>
              <w:t>05</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14</w:t>
            </w:r>
          </w:p>
        </w:tc>
        <w:tc>
          <w:tcPr>
            <w:tcW w:w="3071"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11</w:t>
            </w:r>
          </w:p>
        </w:tc>
        <w:tc>
          <w:tcPr>
            <w:tcW w:w="3071"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2</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15</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6.</w:t>
            </w:r>
            <w:r w:rsidRPr="00E33CE2">
              <w:rPr>
                <w:rFonts w:ascii="Arial" w:hAnsi="Arial" w:cs="Arial"/>
                <w:sz w:val="20"/>
                <w:szCs w:val="20"/>
              </w:rPr>
              <w:t>3</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1.9</w:t>
            </w:r>
            <w:r w:rsidRPr="00E33CE2">
              <w:rPr>
                <w:rFonts w:ascii="Arial" w:hAnsi="Arial" w:cs="Arial"/>
                <w:sz w:val="20"/>
                <w:szCs w:val="20"/>
              </w:rPr>
              <w:t>6</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16</w:t>
            </w:r>
          </w:p>
        </w:tc>
        <w:tc>
          <w:tcPr>
            <w:tcW w:w="3071"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16</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2.</w:t>
            </w:r>
            <w:r w:rsidRPr="00E33CE2">
              <w:rPr>
                <w:rFonts w:ascii="Arial" w:hAnsi="Arial" w:cs="Arial"/>
                <w:sz w:val="20"/>
                <w:szCs w:val="20"/>
              </w:rPr>
              <w:t>03</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17</w:t>
            </w:r>
          </w:p>
        </w:tc>
        <w:tc>
          <w:tcPr>
            <w:tcW w:w="3071"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13</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2.</w:t>
            </w:r>
            <w:r w:rsidRPr="00E33CE2">
              <w:rPr>
                <w:rFonts w:ascii="Arial" w:hAnsi="Arial" w:cs="Arial"/>
                <w:sz w:val="20"/>
                <w:szCs w:val="20"/>
              </w:rPr>
              <w:t>29</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18</w:t>
            </w:r>
          </w:p>
        </w:tc>
        <w:tc>
          <w:tcPr>
            <w:tcW w:w="3071"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12</w:t>
            </w:r>
            <w:r>
              <w:rPr>
                <w:rFonts w:ascii="Arial" w:hAnsi="Arial" w:cs="Arial"/>
                <w:sz w:val="20"/>
                <w:szCs w:val="20"/>
              </w:rPr>
              <w:t>.</w:t>
            </w:r>
            <w:r w:rsidRPr="00E33CE2">
              <w:rPr>
                <w:rFonts w:ascii="Arial" w:hAnsi="Arial" w:cs="Arial"/>
                <w:sz w:val="20"/>
                <w:szCs w:val="20"/>
              </w:rPr>
              <w:t>5</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2.</w:t>
            </w:r>
            <w:r w:rsidRPr="00E33CE2">
              <w:rPr>
                <w:rFonts w:ascii="Arial" w:hAnsi="Arial" w:cs="Arial"/>
                <w:sz w:val="20"/>
                <w:szCs w:val="20"/>
              </w:rPr>
              <w:t>05</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19</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12.</w:t>
            </w:r>
            <w:r w:rsidRPr="00E33CE2">
              <w:rPr>
                <w:rFonts w:ascii="Arial" w:hAnsi="Arial" w:cs="Arial"/>
                <w:sz w:val="20"/>
                <w:szCs w:val="20"/>
              </w:rPr>
              <w:t>7</w:t>
            </w:r>
          </w:p>
        </w:tc>
        <w:tc>
          <w:tcPr>
            <w:tcW w:w="3071"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2</w:t>
            </w:r>
            <w:r>
              <w:rPr>
                <w:rFonts w:ascii="Arial" w:hAnsi="Arial" w:cs="Arial"/>
                <w:sz w:val="20"/>
                <w:szCs w:val="20"/>
              </w:rPr>
              <w:t>.</w:t>
            </w:r>
            <w:r w:rsidRPr="00E33CE2">
              <w:rPr>
                <w:rFonts w:ascii="Arial" w:hAnsi="Arial" w:cs="Arial"/>
                <w:sz w:val="20"/>
                <w:szCs w:val="20"/>
              </w:rPr>
              <w:t>0</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20</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12.</w:t>
            </w:r>
            <w:r w:rsidRPr="00E33CE2">
              <w:rPr>
                <w:rFonts w:ascii="Arial" w:hAnsi="Arial" w:cs="Arial"/>
                <w:sz w:val="20"/>
                <w:szCs w:val="20"/>
              </w:rPr>
              <w:t>3</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w:t>
            </w:r>
            <w:r w:rsidRPr="00E33CE2">
              <w:rPr>
                <w:rFonts w:ascii="Arial" w:hAnsi="Arial" w:cs="Arial"/>
                <w:sz w:val="20"/>
                <w:szCs w:val="20"/>
              </w:rPr>
              <w:t>83</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21</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8.</w:t>
            </w:r>
            <w:r w:rsidRPr="00E33CE2">
              <w:rPr>
                <w:rFonts w:ascii="Arial" w:hAnsi="Arial" w:cs="Arial"/>
                <w:sz w:val="20"/>
                <w:szCs w:val="20"/>
              </w:rPr>
              <w:t>1</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2.</w:t>
            </w:r>
            <w:r w:rsidRPr="00E33CE2">
              <w:rPr>
                <w:rFonts w:ascii="Arial" w:hAnsi="Arial" w:cs="Arial"/>
                <w:sz w:val="20"/>
                <w:szCs w:val="20"/>
              </w:rPr>
              <w:t>28</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22</w:t>
            </w:r>
          </w:p>
        </w:tc>
        <w:tc>
          <w:tcPr>
            <w:tcW w:w="3071"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10</w:t>
            </w:r>
            <w:r>
              <w:rPr>
                <w:rFonts w:ascii="Arial" w:hAnsi="Arial" w:cs="Arial"/>
                <w:sz w:val="20"/>
                <w:szCs w:val="20"/>
              </w:rPr>
              <w:t>.</w:t>
            </w:r>
            <w:r w:rsidRPr="00E33CE2">
              <w:rPr>
                <w:rFonts w:ascii="Arial" w:hAnsi="Arial" w:cs="Arial"/>
                <w:sz w:val="20"/>
                <w:szCs w:val="20"/>
              </w:rPr>
              <w:t>9</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2.</w:t>
            </w:r>
            <w:r w:rsidRPr="00E33CE2">
              <w:rPr>
                <w:rFonts w:ascii="Arial" w:hAnsi="Arial" w:cs="Arial"/>
                <w:sz w:val="20"/>
                <w:szCs w:val="20"/>
              </w:rPr>
              <w:t>11</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23</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8.</w:t>
            </w:r>
            <w:r w:rsidRPr="00E33CE2">
              <w:rPr>
                <w:rFonts w:ascii="Arial" w:hAnsi="Arial" w:cs="Arial"/>
                <w:sz w:val="20"/>
                <w:szCs w:val="20"/>
              </w:rPr>
              <w:t>7</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2.</w:t>
            </w:r>
            <w:r w:rsidRPr="00E33CE2">
              <w:rPr>
                <w:rFonts w:ascii="Arial" w:hAnsi="Arial" w:cs="Arial"/>
                <w:sz w:val="20"/>
                <w:szCs w:val="20"/>
              </w:rPr>
              <w:t>35</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24</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12.</w:t>
            </w:r>
            <w:r w:rsidRPr="00E33CE2">
              <w:rPr>
                <w:rFonts w:ascii="Arial" w:hAnsi="Arial" w:cs="Arial"/>
                <w:sz w:val="20"/>
                <w:szCs w:val="20"/>
              </w:rPr>
              <w:t>4</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w:t>
            </w:r>
            <w:r w:rsidRPr="00E33CE2">
              <w:rPr>
                <w:rFonts w:ascii="Arial" w:hAnsi="Arial" w:cs="Arial"/>
                <w:sz w:val="20"/>
                <w:szCs w:val="20"/>
              </w:rPr>
              <w:t>66</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25</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9.</w:t>
            </w:r>
            <w:r w:rsidRPr="00E33CE2">
              <w:rPr>
                <w:rFonts w:ascii="Arial" w:hAnsi="Arial" w:cs="Arial"/>
                <w:sz w:val="20"/>
                <w:szCs w:val="20"/>
              </w:rPr>
              <w:t>6</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w:t>
            </w:r>
            <w:r w:rsidRPr="00E33CE2">
              <w:rPr>
                <w:rFonts w:ascii="Arial" w:hAnsi="Arial" w:cs="Arial"/>
                <w:sz w:val="20"/>
                <w:szCs w:val="20"/>
              </w:rPr>
              <w:t>75</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26</w:t>
            </w:r>
          </w:p>
        </w:tc>
        <w:tc>
          <w:tcPr>
            <w:tcW w:w="3071"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10</w:t>
            </w:r>
            <w:r>
              <w:rPr>
                <w:rFonts w:ascii="Arial" w:hAnsi="Arial" w:cs="Arial"/>
                <w:sz w:val="20"/>
                <w:szCs w:val="20"/>
              </w:rPr>
              <w:t>.</w:t>
            </w:r>
            <w:r w:rsidRPr="00E33CE2">
              <w:rPr>
                <w:rFonts w:ascii="Arial" w:hAnsi="Arial" w:cs="Arial"/>
                <w:sz w:val="20"/>
                <w:szCs w:val="20"/>
              </w:rPr>
              <w:t>4</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w:t>
            </w:r>
            <w:r w:rsidRPr="00E33CE2">
              <w:rPr>
                <w:rFonts w:ascii="Arial" w:hAnsi="Arial" w:cs="Arial"/>
                <w:sz w:val="20"/>
                <w:szCs w:val="20"/>
              </w:rPr>
              <w:t>97</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27</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11.</w:t>
            </w:r>
            <w:r w:rsidRPr="00E33CE2">
              <w:rPr>
                <w:rFonts w:ascii="Arial" w:hAnsi="Arial" w:cs="Arial"/>
                <w:sz w:val="20"/>
                <w:szCs w:val="20"/>
              </w:rPr>
              <w:t>4</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w:t>
            </w:r>
            <w:r w:rsidRPr="00E33CE2">
              <w:rPr>
                <w:rFonts w:ascii="Arial" w:hAnsi="Arial" w:cs="Arial"/>
                <w:sz w:val="20"/>
                <w:szCs w:val="20"/>
              </w:rPr>
              <w:t>83</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28</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12.</w:t>
            </w:r>
            <w:r w:rsidRPr="00E33CE2">
              <w:rPr>
                <w:rFonts w:ascii="Arial" w:hAnsi="Arial" w:cs="Arial"/>
                <w:sz w:val="20"/>
                <w:szCs w:val="20"/>
              </w:rPr>
              <w:t>7</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w:t>
            </w:r>
            <w:r w:rsidRPr="00E33CE2">
              <w:rPr>
                <w:rFonts w:ascii="Arial" w:hAnsi="Arial" w:cs="Arial"/>
                <w:sz w:val="20"/>
                <w:szCs w:val="20"/>
              </w:rPr>
              <w:t>87</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29</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11.</w:t>
            </w:r>
            <w:r w:rsidRPr="00E33CE2">
              <w:rPr>
                <w:rFonts w:ascii="Arial" w:hAnsi="Arial" w:cs="Arial"/>
                <w:sz w:val="20"/>
                <w:szCs w:val="20"/>
              </w:rPr>
              <w:t>6</w:t>
            </w:r>
          </w:p>
        </w:tc>
        <w:tc>
          <w:tcPr>
            <w:tcW w:w="3071" w:type="dxa"/>
            <w:vAlign w:val="center"/>
          </w:tcPr>
          <w:p w:rsidR="00C60153" w:rsidRPr="00E33CE2" w:rsidRDefault="00C60153" w:rsidP="00283CE4">
            <w:pPr>
              <w:spacing w:line="360" w:lineRule="auto"/>
              <w:jc w:val="center"/>
              <w:rPr>
                <w:rFonts w:ascii="Arial" w:hAnsi="Arial" w:cs="Arial"/>
                <w:sz w:val="20"/>
                <w:szCs w:val="20"/>
              </w:rPr>
            </w:pPr>
            <w:r>
              <w:rPr>
                <w:rFonts w:ascii="Arial" w:hAnsi="Arial" w:cs="Arial"/>
                <w:sz w:val="20"/>
                <w:szCs w:val="20"/>
              </w:rPr>
              <w:t>1.</w:t>
            </w:r>
            <w:r w:rsidRPr="00E33CE2">
              <w:rPr>
                <w:rFonts w:ascii="Arial" w:hAnsi="Arial" w:cs="Arial"/>
                <w:sz w:val="20"/>
                <w:szCs w:val="20"/>
              </w:rPr>
              <w:t>78</w:t>
            </w:r>
          </w:p>
        </w:tc>
      </w:tr>
      <w:tr w:rsidR="00C60153" w:rsidRPr="009B1688" w:rsidTr="00283CE4">
        <w:tc>
          <w:tcPr>
            <w:tcW w:w="3070"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30</w:t>
            </w:r>
          </w:p>
        </w:tc>
        <w:tc>
          <w:tcPr>
            <w:tcW w:w="3071"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17</w:t>
            </w:r>
          </w:p>
        </w:tc>
        <w:tc>
          <w:tcPr>
            <w:tcW w:w="3071" w:type="dxa"/>
            <w:vAlign w:val="center"/>
          </w:tcPr>
          <w:p w:rsidR="00C60153" w:rsidRPr="00E33CE2" w:rsidRDefault="00C60153" w:rsidP="00283CE4">
            <w:pPr>
              <w:spacing w:line="360" w:lineRule="auto"/>
              <w:jc w:val="center"/>
              <w:rPr>
                <w:rFonts w:ascii="Arial" w:hAnsi="Arial" w:cs="Arial"/>
                <w:sz w:val="20"/>
                <w:szCs w:val="20"/>
              </w:rPr>
            </w:pPr>
            <w:r w:rsidRPr="00E33CE2">
              <w:rPr>
                <w:rFonts w:ascii="Arial" w:hAnsi="Arial" w:cs="Arial"/>
                <w:sz w:val="20"/>
                <w:szCs w:val="20"/>
              </w:rPr>
              <w:t>1</w:t>
            </w:r>
            <w:r>
              <w:rPr>
                <w:rFonts w:ascii="Arial" w:hAnsi="Arial" w:cs="Arial"/>
                <w:sz w:val="20"/>
                <w:szCs w:val="20"/>
              </w:rPr>
              <w:t>.</w:t>
            </w:r>
            <w:r w:rsidRPr="00E33CE2">
              <w:rPr>
                <w:rFonts w:ascii="Arial" w:hAnsi="Arial" w:cs="Arial"/>
                <w:sz w:val="20"/>
                <w:szCs w:val="20"/>
              </w:rPr>
              <w:t>9</w:t>
            </w:r>
          </w:p>
        </w:tc>
      </w:tr>
    </w:tbl>
    <w:p w:rsidR="00C60153" w:rsidRDefault="00C60153" w:rsidP="00C60153">
      <w:pPr>
        <w:spacing w:line="360" w:lineRule="auto"/>
        <w:ind w:firstLine="567"/>
        <w:contextualSpacing/>
        <w:jc w:val="both"/>
        <w:rPr>
          <w:b/>
          <w:shd w:val="clear" w:color="auto" w:fill="FFFFFF"/>
        </w:rPr>
      </w:pPr>
    </w:p>
    <w:p w:rsidR="00C60153" w:rsidRDefault="00C60153" w:rsidP="00C60153">
      <w:pPr>
        <w:spacing w:line="360" w:lineRule="auto"/>
        <w:ind w:firstLine="567"/>
        <w:contextualSpacing/>
        <w:jc w:val="both"/>
        <w:rPr>
          <w:b/>
          <w:shd w:val="clear" w:color="auto" w:fill="FFFFFF"/>
        </w:rPr>
      </w:pPr>
    </w:p>
    <w:p w:rsidR="00C60153" w:rsidRDefault="00C60153" w:rsidP="00C60153">
      <w:pPr>
        <w:spacing w:line="360" w:lineRule="auto"/>
        <w:ind w:firstLine="567"/>
        <w:contextualSpacing/>
        <w:jc w:val="both"/>
        <w:rPr>
          <w:b/>
          <w:shd w:val="clear" w:color="auto" w:fill="FFFFFF"/>
        </w:rPr>
      </w:pPr>
    </w:p>
    <w:p w:rsidR="00C60153" w:rsidRPr="00766CEC" w:rsidRDefault="00C60153" w:rsidP="00C60153">
      <w:pPr>
        <w:spacing w:line="360" w:lineRule="auto"/>
        <w:ind w:firstLine="567"/>
        <w:contextualSpacing/>
        <w:jc w:val="both"/>
        <w:rPr>
          <w:rFonts w:ascii="Arial" w:hAnsi="Arial" w:cs="Arial"/>
          <w:b/>
          <w:sz w:val="22"/>
          <w:szCs w:val="22"/>
          <w:shd w:val="clear" w:color="auto" w:fill="FFFFFF"/>
        </w:rPr>
      </w:pPr>
      <w:r w:rsidRPr="00766CEC">
        <w:rPr>
          <w:rFonts w:ascii="Arial" w:hAnsi="Arial" w:cs="Arial"/>
          <w:b/>
          <w:sz w:val="22"/>
          <w:szCs w:val="22"/>
          <w:shd w:val="clear" w:color="auto" w:fill="FFFFFF"/>
        </w:rPr>
        <w:lastRenderedPageBreak/>
        <w:t>PERİFERİK KAN miR-5692b, miR-let-7d, miR-124-3p, miR-107, miR-4447’nin RELATİF KANTİTASYON DEĞERLERİNE GÖRE BULGULAR</w:t>
      </w:r>
    </w:p>
    <w:p w:rsidR="00C60153" w:rsidRPr="00766CEC" w:rsidRDefault="00C60153" w:rsidP="00C60153">
      <w:pPr>
        <w:spacing w:line="360" w:lineRule="auto"/>
        <w:ind w:firstLine="567"/>
        <w:contextualSpacing/>
        <w:jc w:val="both"/>
        <w:rPr>
          <w:rFonts w:ascii="Arial" w:hAnsi="Arial" w:cs="Arial"/>
          <w:sz w:val="22"/>
          <w:szCs w:val="22"/>
        </w:rPr>
      </w:pPr>
      <w:r w:rsidRPr="00766CEC">
        <w:rPr>
          <w:rFonts w:ascii="Arial" w:hAnsi="Arial" w:cs="Arial"/>
          <w:sz w:val="22"/>
          <w:szCs w:val="22"/>
          <w:shd w:val="clear" w:color="auto" w:fill="FFFFFF"/>
        </w:rPr>
        <w:t xml:space="preserve">Örneklemin tamamı miR-5692b relatif kantitasyon değerleri açısından değerlendirildiğinde, olgu grubundaki çocukların aritmetik ortalaması </w:t>
      </w:r>
      <w:r w:rsidRPr="00766CEC">
        <w:rPr>
          <w:rFonts w:ascii="Arial" w:hAnsi="Arial" w:cs="Arial"/>
          <w:sz w:val="22"/>
          <w:szCs w:val="22"/>
          <w:lang w:val="en-US" w:eastAsia="en-US"/>
        </w:rPr>
        <w:t>928.41 ± 1563.13,</w:t>
      </w:r>
      <w:r w:rsidRPr="00766CEC">
        <w:rPr>
          <w:rFonts w:ascii="Arial" w:hAnsi="Arial" w:cs="Arial"/>
          <w:sz w:val="22"/>
          <w:szCs w:val="22"/>
        </w:rPr>
        <w:t xml:space="preserve"> kontrol grubundaki çocukların aritmetik ortalaması ise </w:t>
      </w:r>
      <w:r w:rsidRPr="00766CEC">
        <w:rPr>
          <w:rFonts w:ascii="Arial" w:hAnsi="Arial" w:cs="Arial"/>
          <w:sz w:val="22"/>
          <w:szCs w:val="22"/>
          <w:lang w:val="en-US" w:eastAsia="en-US"/>
        </w:rPr>
        <w:t>126.69 ± 187.72</w:t>
      </w:r>
      <w:r w:rsidRPr="00766CEC">
        <w:rPr>
          <w:rFonts w:ascii="Arial" w:hAnsi="Arial" w:cs="Arial"/>
          <w:sz w:val="22"/>
          <w:szCs w:val="22"/>
        </w:rPr>
        <w:t xml:space="preserve"> saptanmıştır.</w:t>
      </w:r>
      <w:r w:rsidRPr="00766CEC">
        <w:rPr>
          <w:rFonts w:ascii="Arial" w:hAnsi="Arial" w:cs="Arial"/>
          <w:sz w:val="22"/>
          <w:szCs w:val="22"/>
          <w:shd w:val="clear" w:color="auto" w:fill="FFFFFF"/>
        </w:rPr>
        <w:t xml:space="preserve"> Olgu grubunda ortanca değer 344.05, minimum değer 0, maksimum değer 5367.37, kontrol grubunda ortanca değer 4.98, minimum değer 0, maksimum değer 596.34 olarak bulunmuştur</w:t>
      </w:r>
      <w:r w:rsidRPr="00766CEC">
        <w:rPr>
          <w:rFonts w:ascii="Arial" w:hAnsi="Arial" w:cs="Arial"/>
          <w:sz w:val="22"/>
          <w:szCs w:val="22"/>
        </w:rPr>
        <w:t>. miR</w:t>
      </w:r>
      <w:r w:rsidRPr="00766CEC">
        <w:rPr>
          <w:rFonts w:ascii="Arial" w:hAnsi="Arial" w:cs="Arial"/>
          <w:sz w:val="22"/>
          <w:szCs w:val="22"/>
          <w:shd w:val="clear" w:color="auto" w:fill="FFFFFF"/>
        </w:rPr>
        <w:t xml:space="preserve">-5692b relatif kantitasyon değerleri açısından </w:t>
      </w:r>
      <w:r w:rsidRPr="00766CEC">
        <w:rPr>
          <w:rFonts w:ascii="Arial" w:hAnsi="Arial" w:cs="Arial"/>
          <w:sz w:val="22"/>
          <w:szCs w:val="22"/>
        </w:rPr>
        <w:t>olgu ve kontrol grupları karşılaştırıldığında istatistiksel olarak anlamlı fark olduğu saptanmış, olgu grubunun düzeyleri kontrol grubuna göre daha yüksek saptanmıştır (</w:t>
      </w:r>
      <w:r w:rsidRPr="00766CEC">
        <w:rPr>
          <w:rFonts w:ascii="Arial" w:hAnsi="Arial" w:cs="Arial"/>
          <w:b/>
          <w:sz w:val="22"/>
          <w:szCs w:val="22"/>
        </w:rPr>
        <w:t>p = 0.006</w:t>
      </w:r>
      <w:r w:rsidRPr="00766CEC">
        <w:rPr>
          <w:rFonts w:ascii="Arial" w:hAnsi="Arial" w:cs="Arial"/>
          <w:sz w:val="22"/>
          <w:szCs w:val="22"/>
        </w:rPr>
        <w:t>) (Tablo 25).</w:t>
      </w:r>
    </w:p>
    <w:p w:rsidR="00C60153" w:rsidRPr="00766CEC" w:rsidRDefault="00C60153" w:rsidP="00C60153">
      <w:pPr>
        <w:spacing w:line="360" w:lineRule="auto"/>
        <w:ind w:firstLine="567"/>
        <w:contextualSpacing/>
        <w:jc w:val="both"/>
        <w:rPr>
          <w:rFonts w:ascii="Arial" w:hAnsi="Arial" w:cs="Arial"/>
          <w:sz w:val="22"/>
          <w:szCs w:val="22"/>
        </w:rPr>
      </w:pPr>
      <w:r w:rsidRPr="00766CEC">
        <w:rPr>
          <w:rFonts w:ascii="Arial" w:hAnsi="Arial" w:cs="Arial"/>
          <w:sz w:val="22"/>
          <w:szCs w:val="22"/>
          <w:shd w:val="clear" w:color="auto" w:fill="FFFFFF"/>
        </w:rPr>
        <w:t xml:space="preserve">Bütün örneklem miR-let-7d relatif kantitasyon değerleri açısından değerlendirildiğinde, olgu grubundaki çocukların aritmetik ortalaması </w:t>
      </w:r>
      <w:r w:rsidRPr="00766CEC">
        <w:rPr>
          <w:rFonts w:ascii="Arial" w:hAnsi="Arial" w:cs="Arial"/>
          <w:sz w:val="22"/>
          <w:szCs w:val="22"/>
          <w:lang w:val="en-US" w:eastAsia="en-US"/>
        </w:rPr>
        <w:t>2.54 ± 2.09,</w:t>
      </w:r>
      <w:r w:rsidRPr="00766CEC">
        <w:rPr>
          <w:rFonts w:ascii="Arial" w:hAnsi="Arial" w:cs="Arial"/>
          <w:sz w:val="22"/>
          <w:szCs w:val="22"/>
        </w:rPr>
        <w:t xml:space="preserve"> kontrol grubundaki çocukların aritmetik ortalaması ise </w:t>
      </w:r>
      <w:r w:rsidRPr="00766CEC">
        <w:rPr>
          <w:rFonts w:ascii="Arial" w:hAnsi="Arial" w:cs="Arial"/>
          <w:sz w:val="22"/>
          <w:szCs w:val="22"/>
          <w:lang w:val="en-US" w:eastAsia="en-US"/>
        </w:rPr>
        <w:t xml:space="preserve">9.83 ± 34.16 </w:t>
      </w:r>
      <w:r w:rsidRPr="00766CEC">
        <w:rPr>
          <w:rFonts w:ascii="Arial" w:hAnsi="Arial" w:cs="Arial"/>
          <w:sz w:val="22"/>
          <w:szCs w:val="22"/>
        </w:rPr>
        <w:t>saptanmıştır.</w:t>
      </w:r>
      <w:r w:rsidRPr="00766CEC">
        <w:rPr>
          <w:rFonts w:ascii="Arial" w:hAnsi="Arial" w:cs="Arial"/>
          <w:sz w:val="22"/>
          <w:szCs w:val="22"/>
          <w:shd w:val="clear" w:color="auto" w:fill="FFFFFF"/>
        </w:rPr>
        <w:t xml:space="preserve"> Olgu grubunda ortanca değer </w:t>
      </w:r>
      <w:r w:rsidRPr="00766CEC">
        <w:rPr>
          <w:rFonts w:ascii="Arial" w:hAnsi="Arial" w:cs="Arial"/>
          <w:sz w:val="22"/>
          <w:szCs w:val="22"/>
          <w:lang w:val="en-US" w:eastAsia="en-US"/>
        </w:rPr>
        <w:t>1.75</w:t>
      </w:r>
      <w:r w:rsidRPr="00766CEC">
        <w:rPr>
          <w:rFonts w:ascii="Arial" w:hAnsi="Arial" w:cs="Arial"/>
          <w:sz w:val="22"/>
          <w:szCs w:val="22"/>
          <w:shd w:val="clear" w:color="auto" w:fill="FFFFFF"/>
        </w:rPr>
        <w:t>, minimum değer 0.49, maksimum değer 8.11, kontrol grubunda ortanca değer 2.58, minimum değer 0.08, maksimum değer 190.02 olarak bulunmuştur</w:t>
      </w:r>
      <w:r w:rsidRPr="00766CEC">
        <w:rPr>
          <w:rFonts w:ascii="Arial" w:hAnsi="Arial" w:cs="Arial"/>
          <w:sz w:val="22"/>
          <w:szCs w:val="22"/>
        </w:rPr>
        <w:t xml:space="preserve">. </w:t>
      </w:r>
      <w:r w:rsidRPr="00766CEC">
        <w:rPr>
          <w:rFonts w:ascii="Arial" w:hAnsi="Arial" w:cs="Arial"/>
          <w:sz w:val="22"/>
          <w:szCs w:val="22"/>
          <w:shd w:val="clear" w:color="auto" w:fill="FFFFFF"/>
        </w:rPr>
        <w:t xml:space="preserve">miR-let-7d relatif kantitasyon değerleri açısından </w:t>
      </w:r>
      <w:r w:rsidRPr="00766CEC">
        <w:rPr>
          <w:rFonts w:ascii="Arial" w:hAnsi="Arial" w:cs="Arial"/>
          <w:sz w:val="22"/>
          <w:szCs w:val="22"/>
        </w:rPr>
        <w:t>olgu ve kontrol grupları karşılaştırıldığında istatistiksel olarak anlamlı fark olduğu bulunmuş, olgu grubunun düzeyleri kontrol grubuna göre daha düşük saptanmıştır (</w:t>
      </w:r>
      <w:r w:rsidRPr="00766CEC">
        <w:rPr>
          <w:rFonts w:ascii="Arial" w:hAnsi="Arial" w:cs="Arial"/>
          <w:b/>
          <w:sz w:val="22"/>
          <w:szCs w:val="22"/>
        </w:rPr>
        <w:t>p = 0.017</w:t>
      </w:r>
      <w:r w:rsidRPr="00766CEC">
        <w:rPr>
          <w:rFonts w:ascii="Arial" w:hAnsi="Arial" w:cs="Arial"/>
          <w:sz w:val="22"/>
          <w:szCs w:val="22"/>
        </w:rPr>
        <w:t>) (Tablo 25).</w:t>
      </w:r>
    </w:p>
    <w:p w:rsidR="00C60153" w:rsidRPr="00766CEC" w:rsidRDefault="00C60153" w:rsidP="00C60153">
      <w:pPr>
        <w:spacing w:line="360" w:lineRule="auto"/>
        <w:ind w:firstLine="567"/>
        <w:contextualSpacing/>
        <w:jc w:val="both"/>
        <w:rPr>
          <w:rFonts w:ascii="Arial" w:hAnsi="Arial" w:cs="Arial"/>
          <w:sz w:val="22"/>
          <w:szCs w:val="22"/>
        </w:rPr>
      </w:pPr>
      <w:r w:rsidRPr="00766CEC">
        <w:rPr>
          <w:rFonts w:ascii="Arial" w:hAnsi="Arial" w:cs="Arial"/>
          <w:sz w:val="22"/>
          <w:szCs w:val="22"/>
        </w:rPr>
        <w:t xml:space="preserve">Örneklemin tamamı miR-124-3p </w:t>
      </w:r>
      <w:r w:rsidRPr="00766CEC">
        <w:rPr>
          <w:rFonts w:ascii="Arial" w:hAnsi="Arial" w:cs="Arial"/>
          <w:sz w:val="22"/>
          <w:szCs w:val="22"/>
          <w:shd w:val="clear" w:color="auto" w:fill="FFFFFF"/>
        </w:rPr>
        <w:t>relatif kantitasyon değerleri açısından</w:t>
      </w:r>
      <w:r w:rsidRPr="00766CEC">
        <w:rPr>
          <w:rFonts w:ascii="Arial" w:hAnsi="Arial" w:cs="Arial"/>
          <w:sz w:val="22"/>
          <w:szCs w:val="22"/>
        </w:rPr>
        <w:t xml:space="preserve"> değerlendirildiğinde, </w:t>
      </w:r>
      <w:r w:rsidRPr="00766CEC">
        <w:rPr>
          <w:rFonts w:ascii="Arial" w:hAnsi="Arial" w:cs="Arial"/>
          <w:sz w:val="22"/>
          <w:szCs w:val="22"/>
          <w:shd w:val="clear" w:color="auto" w:fill="FFFFFF"/>
        </w:rPr>
        <w:t xml:space="preserve">olgu grubundaki çocukların aritmetik ortalaması </w:t>
      </w:r>
      <w:r w:rsidRPr="00766CEC">
        <w:rPr>
          <w:rFonts w:ascii="Arial" w:hAnsi="Arial" w:cs="Arial"/>
          <w:sz w:val="22"/>
          <w:szCs w:val="22"/>
          <w:lang w:val="en-US" w:eastAsia="en-US"/>
        </w:rPr>
        <w:t>1066.6 ± 2198.44,</w:t>
      </w:r>
      <w:r w:rsidRPr="00766CEC">
        <w:rPr>
          <w:rFonts w:ascii="Arial" w:hAnsi="Arial" w:cs="Arial"/>
          <w:sz w:val="22"/>
          <w:szCs w:val="22"/>
        </w:rPr>
        <w:t xml:space="preserve"> kontrol grubundaki çocukların aritmetik ortalaması ise </w:t>
      </w:r>
      <w:r w:rsidRPr="00766CEC">
        <w:rPr>
          <w:rFonts w:ascii="Arial" w:hAnsi="Arial" w:cs="Arial"/>
          <w:sz w:val="22"/>
          <w:szCs w:val="22"/>
          <w:lang w:val="en-US" w:eastAsia="en-US"/>
        </w:rPr>
        <w:t xml:space="preserve">32.82 ± 97.51 </w:t>
      </w:r>
      <w:r w:rsidRPr="00766CEC">
        <w:rPr>
          <w:rFonts w:ascii="Arial" w:hAnsi="Arial" w:cs="Arial"/>
          <w:sz w:val="22"/>
          <w:szCs w:val="22"/>
        </w:rPr>
        <w:t>saptanmıştır.</w:t>
      </w:r>
      <w:r w:rsidRPr="00766CEC">
        <w:rPr>
          <w:rFonts w:ascii="Arial" w:hAnsi="Arial" w:cs="Arial"/>
          <w:sz w:val="22"/>
          <w:szCs w:val="22"/>
          <w:shd w:val="clear" w:color="auto" w:fill="FFFFFF"/>
        </w:rPr>
        <w:t xml:space="preserve"> Olgu grubunda ortanca değer </w:t>
      </w:r>
      <w:r w:rsidRPr="00766CEC">
        <w:rPr>
          <w:rFonts w:ascii="Arial" w:hAnsi="Arial" w:cs="Arial"/>
          <w:sz w:val="22"/>
          <w:szCs w:val="22"/>
          <w:lang w:val="en-US" w:eastAsia="en-US"/>
        </w:rPr>
        <w:t>0.64</w:t>
      </w:r>
      <w:r w:rsidRPr="00766CEC">
        <w:rPr>
          <w:rFonts w:ascii="Arial" w:hAnsi="Arial" w:cs="Arial"/>
          <w:sz w:val="22"/>
          <w:szCs w:val="22"/>
          <w:shd w:val="clear" w:color="auto" w:fill="FFFFFF"/>
        </w:rPr>
        <w:t>, minimum değer 0, maksimum değer 8248.98, kontrol grubunda ortanca değer 0, minimum değer 0, maksimum değer 430.54 olarak bulunmuştur</w:t>
      </w:r>
      <w:r w:rsidRPr="00766CEC">
        <w:rPr>
          <w:rFonts w:ascii="Arial" w:hAnsi="Arial" w:cs="Arial"/>
          <w:sz w:val="22"/>
          <w:szCs w:val="22"/>
        </w:rPr>
        <w:t>. miR-124-3p</w:t>
      </w:r>
      <w:r w:rsidRPr="00766CEC">
        <w:rPr>
          <w:rFonts w:ascii="Arial" w:hAnsi="Arial" w:cs="Arial"/>
          <w:sz w:val="22"/>
          <w:szCs w:val="22"/>
          <w:shd w:val="clear" w:color="auto" w:fill="FFFFFF"/>
        </w:rPr>
        <w:t xml:space="preserve"> relatif kantitasyon değerleri açısından </w:t>
      </w:r>
      <w:r w:rsidRPr="00766CEC">
        <w:rPr>
          <w:rFonts w:ascii="Arial" w:hAnsi="Arial" w:cs="Arial"/>
          <w:sz w:val="22"/>
          <w:szCs w:val="22"/>
        </w:rPr>
        <w:t>olgu ve kontrol grupları karşılaştırıldığında istatistiksel olarak anlamlı bir farklılığa rastlanmamıştır (p &gt; 0.05) (Tablo 25).</w:t>
      </w:r>
    </w:p>
    <w:p w:rsidR="00C60153" w:rsidRPr="00766CEC" w:rsidRDefault="00C60153" w:rsidP="00C60153">
      <w:pPr>
        <w:spacing w:line="360" w:lineRule="auto"/>
        <w:ind w:firstLine="567"/>
        <w:contextualSpacing/>
        <w:jc w:val="both"/>
        <w:rPr>
          <w:rFonts w:ascii="Arial" w:hAnsi="Arial" w:cs="Arial"/>
          <w:sz w:val="22"/>
          <w:szCs w:val="22"/>
        </w:rPr>
      </w:pPr>
      <w:r w:rsidRPr="00766CEC">
        <w:rPr>
          <w:rFonts w:ascii="Arial" w:hAnsi="Arial" w:cs="Arial"/>
          <w:sz w:val="22"/>
          <w:szCs w:val="22"/>
        </w:rPr>
        <w:t xml:space="preserve">Örneklemin tümü miR-107 </w:t>
      </w:r>
      <w:r w:rsidRPr="00766CEC">
        <w:rPr>
          <w:rFonts w:ascii="Arial" w:hAnsi="Arial" w:cs="Arial"/>
          <w:sz w:val="22"/>
          <w:szCs w:val="22"/>
          <w:shd w:val="clear" w:color="auto" w:fill="FFFFFF"/>
        </w:rPr>
        <w:t>relatif kantitasyon değerleri açısından</w:t>
      </w:r>
      <w:r w:rsidRPr="00766CEC">
        <w:rPr>
          <w:rFonts w:ascii="Arial" w:hAnsi="Arial" w:cs="Arial"/>
          <w:sz w:val="22"/>
          <w:szCs w:val="22"/>
        </w:rPr>
        <w:t xml:space="preserve"> değerlendirildiğinde , </w:t>
      </w:r>
      <w:r w:rsidRPr="00766CEC">
        <w:rPr>
          <w:rFonts w:ascii="Arial" w:hAnsi="Arial" w:cs="Arial"/>
          <w:sz w:val="22"/>
          <w:szCs w:val="22"/>
          <w:shd w:val="clear" w:color="auto" w:fill="FFFFFF"/>
        </w:rPr>
        <w:t xml:space="preserve">olgu grubundaki çocukların aritmetik ortalaması </w:t>
      </w:r>
      <w:r w:rsidRPr="00766CEC">
        <w:rPr>
          <w:rFonts w:ascii="Arial" w:hAnsi="Arial" w:cs="Arial"/>
          <w:sz w:val="22"/>
          <w:szCs w:val="22"/>
          <w:lang w:val="en-US" w:eastAsia="en-US"/>
        </w:rPr>
        <w:t>9.67 ± 15.23,</w:t>
      </w:r>
      <w:r w:rsidRPr="00766CEC">
        <w:rPr>
          <w:rFonts w:ascii="Arial" w:hAnsi="Arial" w:cs="Arial"/>
          <w:sz w:val="22"/>
          <w:szCs w:val="22"/>
        </w:rPr>
        <w:t xml:space="preserve"> kontrol grubundaki çocukların aritmetik ortalaması ise </w:t>
      </w:r>
      <w:r w:rsidRPr="00766CEC">
        <w:rPr>
          <w:rFonts w:ascii="Arial" w:hAnsi="Arial" w:cs="Arial"/>
          <w:sz w:val="22"/>
          <w:szCs w:val="22"/>
          <w:lang w:val="en-US" w:eastAsia="en-US"/>
        </w:rPr>
        <w:t xml:space="preserve">8.57 ± 6.51 </w:t>
      </w:r>
      <w:r w:rsidRPr="00766CEC">
        <w:rPr>
          <w:rFonts w:ascii="Arial" w:hAnsi="Arial" w:cs="Arial"/>
          <w:sz w:val="22"/>
          <w:szCs w:val="22"/>
        </w:rPr>
        <w:t>saptanmıştır.</w:t>
      </w:r>
      <w:r w:rsidRPr="00766CEC">
        <w:rPr>
          <w:rFonts w:ascii="Arial" w:hAnsi="Arial" w:cs="Arial"/>
          <w:sz w:val="22"/>
          <w:szCs w:val="22"/>
          <w:shd w:val="clear" w:color="auto" w:fill="FFFFFF"/>
        </w:rPr>
        <w:t xml:space="preserve"> Olgu grubunda ortanca değer </w:t>
      </w:r>
      <w:r w:rsidRPr="00766CEC">
        <w:rPr>
          <w:rFonts w:ascii="Arial" w:hAnsi="Arial" w:cs="Arial"/>
          <w:sz w:val="22"/>
          <w:szCs w:val="22"/>
          <w:lang w:val="en-US" w:eastAsia="en-US"/>
        </w:rPr>
        <w:t>4.42</w:t>
      </w:r>
      <w:r w:rsidRPr="00766CEC">
        <w:rPr>
          <w:rFonts w:ascii="Arial" w:hAnsi="Arial" w:cs="Arial"/>
          <w:sz w:val="22"/>
          <w:szCs w:val="22"/>
          <w:shd w:val="clear" w:color="auto" w:fill="FFFFFF"/>
        </w:rPr>
        <w:t>, minimum değer 1.49, maksimum değer 83.87, kontrol grubunda ortanca değer 7.52, minimum değer 0.13, maksimum değer 31.56 olarak bulunmuştur</w:t>
      </w:r>
      <w:r w:rsidRPr="00766CEC">
        <w:rPr>
          <w:rFonts w:ascii="Arial" w:hAnsi="Arial" w:cs="Arial"/>
          <w:sz w:val="22"/>
          <w:szCs w:val="22"/>
        </w:rPr>
        <w:t xml:space="preserve">. miR-107 </w:t>
      </w:r>
      <w:r w:rsidRPr="00766CEC">
        <w:rPr>
          <w:rFonts w:ascii="Arial" w:hAnsi="Arial" w:cs="Arial"/>
          <w:sz w:val="22"/>
          <w:szCs w:val="22"/>
          <w:shd w:val="clear" w:color="auto" w:fill="FFFFFF"/>
        </w:rPr>
        <w:t xml:space="preserve">relatif kantitasyon değerleri açısından </w:t>
      </w:r>
      <w:r w:rsidRPr="00766CEC">
        <w:rPr>
          <w:rFonts w:ascii="Arial" w:hAnsi="Arial" w:cs="Arial"/>
          <w:sz w:val="22"/>
          <w:szCs w:val="22"/>
        </w:rPr>
        <w:t xml:space="preserve">olgu ve kontrol grupları </w:t>
      </w:r>
      <w:r w:rsidRPr="00766CEC">
        <w:rPr>
          <w:rFonts w:ascii="Arial" w:hAnsi="Arial" w:cs="Arial"/>
          <w:sz w:val="22"/>
          <w:szCs w:val="22"/>
        </w:rPr>
        <w:lastRenderedPageBreak/>
        <w:t>karşılaştırıldığında istatistiksel olarak anlamlı bir farklılığa rastlanmamıştır (p &gt; 0.05)  (Tablo 25).</w:t>
      </w:r>
    </w:p>
    <w:p w:rsidR="00C60153" w:rsidRPr="00766CEC" w:rsidRDefault="00C60153" w:rsidP="00C60153">
      <w:pPr>
        <w:spacing w:line="360" w:lineRule="auto"/>
        <w:ind w:firstLine="567"/>
        <w:contextualSpacing/>
        <w:jc w:val="both"/>
        <w:rPr>
          <w:rFonts w:ascii="Arial" w:hAnsi="Arial" w:cs="Arial"/>
          <w:sz w:val="22"/>
          <w:szCs w:val="22"/>
        </w:rPr>
      </w:pPr>
      <w:r w:rsidRPr="00766CEC">
        <w:rPr>
          <w:rFonts w:ascii="Arial" w:hAnsi="Arial" w:cs="Arial"/>
          <w:sz w:val="22"/>
          <w:szCs w:val="22"/>
        </w:rPr>
        <w:t xml:space="preserve">Bütün örneklem miR-4447 </w:t>
      </w:r>
      <w:r w:rsidRPr="00766CEC">
        <w:rPr>
          <w:rFonts w:ascii="Arial" w:hAnsi="Arial" w:cs="Arial"/>
          <w:sz w:val="22"/>
          <w:szCs w:val="22"/>
          <w:shd w:val="clear" w:color="auto" w:fill="FFFFFF"/>
        </w:rPr>
        <w:t>relatif kantitasyon değerleri açısından</w:t>
      </w:r>
      <w:r w:rsidRPr="00766CEC">
        <w:rPr>
          <w:rFonts w:ascii="Arial" w:hAnsi="Arial" w:cs="Arial"/>
          <w:sz w:val="22"/>
          <w:szCs w:val="22"/>
        </w:rPr>
        <w:t xml:space="preserve"> değerlendirildiğinde , </w:t>
      </w:r>
      <w:r w:rsidRPr="00766CEC">
        <w:rPr>
          <w:rFonts w:ascii="Arial" w:hAnsi="Arial" w:cs="Arial"/>
          <w:sz w:val="22"/>
          <w:szCs w:val="22"/>
          <w:shd w:val="clear" w:color="auto" w:fill="FFFFFF"/>
        </w:rPr>
        <w:t xml:space="preserve">olgu grubundaki çocukların aritmetik ortalaması </w:t>
      </w:r>
      <w:r w:rsidRPr="00766CEC">
        <w:rPr>
          <w:rFonts w:ascii="Arial" w:hAnsi="Arial" w:cs="Arial"/>
          <w:sz w:val="22"/>
          <w:szCs w:val="22"/>
          <w:lang w:val="en-US" w:eastAsia="en-US"/>
        </w:rPr>
        <w:t>527.08 ± 1079.85,</w:t>
      </w:r>
      <w:r w:rsidRPr="00766CEC">
        <w:rPr>
          <w:rFonts w:ascii="Arial" w:hAnsi="Arial" w:cs="Arial"/>
          <w:sz w:val="22"/>
          <w:szCs w:val="22"/>
        </w:rPr>
        <w:t xml:space="preserve"> kontrol grubundaki çocukların aritmetik ortalaması ise </w:t>
      </w:r>
      <w:r w:rsidRPr="00766CEC">
        <w:rPr>
          <w:rFonts w:ascii="Arial" w:hAnsi="Arial" w:cs="Arial"/>
          <w:sz w:val="22"/>
          <w:szCs w:val="22"/>
          <w:lang w:val="en-US" w:eastAsia="en-US"/>
        </w:rPr>
        <w:t xml:space="preserve">417.6 ± 615.35 </w:t>
      </w:r>
      <w:r w:rsidRPr="00766CEC">
        <w:rPr>
          <w:rFonts w:ascii="Arial" w:hAnsi="Arial" w:cs="Arial"/>
          <w:sz w:val="22"/>
          <w:szCs w:val="22"/>
        </w:rPr>
        <w:t>saptanmıştır.</w:t>
      </w:r>
      <w:r w:rsidRPr="00766CEC">
        <w:rPr>
          <w:rFonts w:ascii="Arial" w:hAnsi="Arial" w:cs="Arial"/>
          <w:sz w:val="22"/>
          <w:szCs w:val="22"/>
          <w:shd w:val="clear" w:color="auto" w:fill="FFFFFF"/>
        </w:rPr>
        <w:t xml:space="preserve"> Olgu grubunda ortanca değer </w:t>
      </w:r>
      <w:r w:rsidRPr="00766CEC">
        <w:rPr>
          <w:rFonts w:ascii="Arial" w:hAnsi="Arial" w:cs="Arial"/>
          <w:sz w:val="22"/>
          <w:szCs w:val="22"/>
          <w:lang w:val="en-US" w:eastAsia="en-US"/>
        </w:rPr>
        <w:t>50.52</w:t>
      </w:r>
      <w:r w:rsidRPr="00766CEC">
        <w:rPr>
          <w:rFonts w:ascii="Arial" w:hAnsi="Arial" w:cs="Arial"/>
          <w:sz w:val="22"/>
          <w:szCs w:val="22"/>
          <w:shd w:val="clear" w:color="auto" w:fill="FFFFFF"/>
        </w:rPr>
        <w:t>, minimum değer 0, maksimum değer 5148.73, kontrol grubunda ortanca değer 163.21, minimum değer 0, maksimum değer 2876.3 olarak bulunmuştur</w:t>
      </w:r>
      <w:r w:rsidRPr="00766CEC">
        <w:rPr>
          <w:rFonts w:ascii="Arial" w:hAnsi="Arial" w:cs="Arial"/>
          <w:sz w:val="22"/>
          <w:szCs w:val="22"/>
        </w:rPr>
        <w:t xml:space="preserve">. miR-107 </w:t>
      </w:r>
      <w:r w:rsidRPr="00766CEC">
        <w:rPr>
          <w:rFonts w:ascii="Arial" w:hAnsi="Arial" w:cs="Arial"/>
          <w:sz w:val="22"/>
          <w:szCs w:val="22"/>
          <w:shd w:val="clear" w:color="auto" w:fill="FFFFFF"/>
        </w:rPr>
        <w:t xml:space="preserve">relatif kantitasyon değerleri açısından </w:t>
      </w:r>
      <w:r w:rsidRPr="00766CEC">
        <w:rPr>
          <w:rFonts w:ascii="Arial" w:hAnsi="Arial" w:cs="Arial"/>
          <w:sz w:val="22"/>
          <w:szCs w:val="22"/>
        </w:rPr>
        <w:t>olgu ve kontrol grupları karşılaştırıldığında istatistiksel olarak anlamlı bir farklılığa rastlanmamıştır (p &gt; 0.05)  (Tablo 25).</w:t>
      </w:r>
    </w:p>
    <w:p w:rsidR="00C60153" w:rsidRDefault="00C60153" w:rsidP="00C60153">
      <w:pPr>
        <w:tabs>
          <w:tab w:val="left" w:pos="5960"/>
        </w:tabs>
        <w:rPr>
          <w:rFonts w:ascii="Arial" w:hAnsi="Arial" w:cs="Arial"/>
        </w:rPr>
      </w:pPr>
    </w:p>
    <w:p w:rsidR="00C60153" w:rsidRPr="00766CEC" w:rsidRDefault="00C60153" w:rsidP="00C60153">
      <w:pPr>
        <w:tabs>
          <w:tab w:val="left" w:pos="5960"/>
        </w:tabs>
        <w:rPr>
          <w:rFonts w:ascii="Arial" w:hAnsi="Arial" w:cs="Arial"/>
          <w:sz w:val="22"/>
          <w:szCs w:val="22"/>
          <w:shd w:val="clear" w:color="auto" w:fill="FFFFFF"/>
        </w:rPr>
      </w:pPr>
      <w:r w:rsidRPr="00766CEC">
        <w:rPr>
          <w:rFonts w:ascii="Arial" w:hAnsi="Arial" w:cs="Arial"/>
          <w:sz w:val="22"/>
          <w:szCs w:val="22"/>
        </w:rPr>
        <w:t xml:space="preserve">Tablo 25. Olgu ve kontrol gruplarının periferik kan </w:t>
      </w:r>
      <w:r w:rsidRPr="00766CEC">
        <w:rPr>
          <w:rFonts w:ascii="Arial" w:hAnsi="Arial" w:cs="Arial"/>
          <w:sz w:val="22"/>
          <w:szCs w:val="22"/>
          <w:shd w:val="clear" w:color="auto" w:fill="FFFFFF"/>
        </w:rPr>
        <w:t>miR-5692b, miR-let-7d, miR-124-3p, miR-107, miR-4447’nin relatif kantitasyon değerlerine göre karşılaştırılması</w:t>
      </w:r>
    </w:p>
    <w:tbl>
      <w:tblPr>
        <w:tblStyle w:val="TabloKlavuzu"/>
        <w:tblW w:w="8733" w:type="dxa"/>
        <w:tblLook w:val="04A0" w:firstRow="1" w:lastRow="0" w:firstColumn="1" w:lastColumn="0" w:noHBand="0" w:noVBand="1"/>
      </w:tblPr>
      <w:tblGrid>
        <w:gridCol w:w="1754"/>
        <w:gridCol w:w="1340"/>
        <w:gridCol w:w="1660"/>
        <w:gridCol w:w="2209"/>
        <w:gridCol w:w="885"/>
        <w:gridCol w:w="885"/>
      </w:tblGrid>
      <w:tr w:rsidR="00C60153" w:rsidRPr="00B15EAF" w:rsidTr="00283CE4">
        <w:trPr>
          <w:trHeight w:val="472"/>
        </w:trPr>
        <w:tc>
          <w:tcPr>
            <w:tcW w:w="1754" w:type="dxa"/>
            <w:vAlign w:val="center"/>
            <w:hideMark/>
          </w:tcPr>
          <w:p w:rsidR="00C60153" w:rsidRPr="000A2C1F" w:rsidRDefault="00C60153" w:rsidP="00283CE4">
            <w:pPr>
              <w:spacing w:line="360" w:lineRule="auto"/>
              <w:jc w:val="center"/>
              <w:rPr>
                <w:rFonts w:ascii="Arial" w:hAnsi="Arial" w:cs="Arial"/>
                <w:b/>
                <w:color w:val="000000"/>
                <w:sz w:val="20"/>
                <w:szCs w:val="20"/>
                <w:lang w:val="en-US"/>
              </w:rPr>
            </w:pPr>
          </w:p>
        </w:tc>
        <w:tc>
          <w:tcPr>
            <w:tcW w:w="1340" w:type="dxa"/>
            <w:noWrap/>
            <w:vAlign w:val="center"/>
            <w:hideMark/>
          </w:tcPr>
          <w:p w:rsidR="00C60153" w:rsidRPr="000A2C1F" w:rsidRDefault="00C60153" w:rsidP="00283CE4">
            <w:pPr>
              <w:spacing w:line="360" w:lineRule="auto"/>
              <w:jc w:val="center"/>
              <w:rPr>
                <w:rFonts w:ascii="Arial" w:hAnsi="Arial" w:cs="Arial"/>
                <w:b/>
                <w:sz w:val="20"/>
                <w:szCs w:val="20"/>
                <w:lang w:val="en-US"/>
              </w:rPr>
            </w:pPr>
          </w:p>
        </w:tc>
        <w:tc>
          <w:tcPr>
            <w:tcW w:w="1660" w:type="dxa"/>
            <w:noWrap/>
            <w:vAlign w:val="center"/>
            <w:hideMark/>
          </w:tcPr>
          <w:p w:rsidR="00C60153" w:rsidRPr="000A2C1F" w:rsidRDefault="00C60153" w:rsidP="00283CE4">
            <w:pPr>
              <w:spacing w:line="360" w:lineRule="auto"/>
              <w:jc w:val="center"/>
              <w:rPr>
                <w:rFonts w:ascii="Arial" w:hAnsi="Arial" w:cs="Arial"/>
                <w:b/>
                <w:sz w:val="20"/>
                <w:szCs w:val="20"/>
                <w:lang w:val="en-US"/>
              </w:rPr>
            </w:pPr>
            <w:r w:rsidRPr="00E0441B">
              <w:rPr>
                <w:rFonts w:ascii="Arial" w:hAnsi="Arial" w:cs="Arial"/>
                <w:b/>
                <w:sz w:val="20"/>
                <w:szCs w:val="20"/>
              </w:rPr>
              <w:t xml:space="preserve">Ort </w:t>
            </w:r>
            <w:r w:rsidRPr="00E0441B">
              <w:rPr>
                <w:rFonts w:ascii="Arial" w:hAnsi="Arial" w:cs="Arial"/>
                <w:b/>
                <w:sz w:val="20"/>
                <w:szCs w:val="20"/>
                <w:u w:val="single"/>
              </w:rPr>
              <w:t>+</w:t>
            </w:r>
            <w:r w:rsidRPr="00E0441B">
              <w:rPr>
                <w:rFonts w:ascii="Arial" w:hAnsi="Arial" w:cs="Arial"/>
                <w:b/>
                <w:sz w:val="20"/>
                <w:szCs w:val="20"/>
              </w:rPr>
              <w:t xml:space="preserve"> SS</w:t>
            </w:r>
          </w:p>
        </w:tc>
        <w:tc>
          <w:tcPr>
            <w:tcW w:w="2209" w:type="dxa"/>
            <w:noWrap/>
            <w:vAlign w:val="center"/>
            <w:hideMark/>
          </w:tcPr>
          <w:p w:rsidR="00C60153" w:rsidRPr="000A2C1F" w:rsidRDefault="00C60153" w:rsidP="00283CE4">
            <w:pPr>
              <w:spacing w:line="360" w:lineRule="auto"/>
              <w:jc w:val="center"/>
              <w:rPr>
                <w:rFonts w:ascii="Arial" w:hAnsi="Arial" w:cs="Arial"/>
                <w:b/>
                <w:sz w:val="20"/>
                <w:szCs w:val="20"/>
                <w:lang w:val="en-US"/>
              </w:rPr>
            </w:pPr>
            <w:r w:rsidRPr="000A2C1F">
              <w:rPr>
                <w:rFonts w:ascii="Arial" w:hAnsi="Arial" w:cs="Arial"/>
                <w:b/>
                <w:sz w:val="20"/>
                <w:szCs w:val="20"/>
                <w:lang w:val="en-US"/>
              </w:rPr>
              <w:t>Med(min-maks)</w:t>
            </w:r>
          </w:p>
        </w:tc>
        <w:tc>
          <w:tcPr>
            <w:tcW w:w="885" w:type="dxa"/>
            <w:vAlign w:val="center"/>
          </w:tcPr>
          <w:p w:rsidR="00C60153" w:rsidRPr="00AE2DF3" w:rsidRDefault="00C60153" w:rsidP="00283CE4">
            <w:pPr>
              <w:spacing w:line="360" w:lineRule="auto"/>
              <w:jc w:val="center"/>
              <w:rPr>
                <w:rFonts w:ascii="Arial" w:hAnsi="Arial" w:cs="Arial"/>
                <w:b/>
                <w:sz w:val="20"/>
                <w:szCs w:val="20"/>
                <w:lang w:val="en-US"/>
              </w:rPr>
            </w:pPr>
            <w:r w:rsidRPr="00AE2DF3">
              <w:rPr>
                <w:rFonts w:ascii="Arial" w:hAnsi="Arial" w:cs="Arial"/>
                <w:b/>
                <w:sz w:val="20"/>
                <w:szCs w:val="20"/>
                <w:lang w:val="en-US"/>
              </w:rPr>
              <w:t>z</w:t>
            </w:r>
          </w:p>
        </w:tc>
        <w:tc>
          <w:tcPr>
            <w:tcW w:w="885" w:type="dxa"/>
            <w:noWrap/>
            <w:vAlign w:val="center"/>
            <w:hideMark/>
          </w:tcPr>
          <w:p w:rsidR="00C60153" w:rsidRPr="000A2C1F" w:rsidRDefault="00C60153" w:rsidP="00283CE4">
            <w:pPr>
              <w:spacing w:line="360" w:lineRule="auto"/>
              <w:jc w:val="center"/>
              <w:rPr>
                <w:rFonts w:ascii="Arial" w:hAnsi="Arial" w:cs="Arial"/>
                <w:b/>
                <w:sz w:val="20"/>
                <w:szCs w:val="20"/>
                <w:lang w:val="en-US"/>
              </w:rPr>
            </w:pPr>
            <w:r w:rsidRPr="000A2C1F">
              <w:rPr>
                <w:rFonts w:ascii="Arial" w:hAnsi="Arial" w:cs="Arial"/>
                <w:b/>
                <w:sz w:val="20"/>
                <w:szCs w:val="20"/>
                <w:lang w:val="en-US"/>
              </w:rPr>
              <w:t>p</w:t>
            </w:r>
          </w:p>
        </w:tc>
      </w:tr>
      <w:tr w:rsidR="00C60153" w:rsidRPr="000A2C1F" w:rsidTr="00283CE4">
        <w:trPr>
          <w:trHeight w:val="300"/>
        </w:trPr>
        <w:tc>
          <w:tcPr>
            <w:tcW w:w="1754" w:type="dxa"/>
            <w:vMerge w:val="restart"/>
            <w:vAlign w:val="center"/>
            <w:hideMark/>
          </w:tcPr>
          <w:p w:rsidR="00C60153" w:rsidRPr="0024153C" w:rsidRDefault="00C60153" w:rsidP="00283CE4">
            <w:pPr>
              <w:spacing w:line="360" w:lineRule="auto"/>
              <w:jc w:val="center"/>
              <w:rPr>
                <w:rFonts w:ascii="Arial" w:hAnsi="Arial" w:cs="Arial"/>
                <w:b/>
                <w:color w:val="000000"/>
                <w:sz w:val="20"/>
                <w:szCs w:val="20"/>
                <w:lang w:val="en-US"/>
              </w:rPr>
            </w:pPr>
            <w:r w:rsidRPr="0024153C">
              <w:rPr>
                <w:rFonts w:ascii="Arial" w:hAnsi="Arial" w:cs="Arial"/>
                <w:b/>
                <w:color w:val="000000"/>
                <w:sz w:val="20"/>
                <w:szCs w:val="20"/>
                <w:lang w:val="en-US"/>
              </w:rPr>
              <w:t>miR-5692b</w:t>
            </w:r>
          </w:p>
        </w:tc>
        <w:tc>
          <w:tcPr>
            <w:tcW w:w="1340" w:type="dxa"/>
            <w:noWrap/>
            <w:vAlign w:val="center"/>
            <w:hideMark/>
          </w:tcPr>
          <w:p w:rsidR="00C60153"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Olgu</w:t>
            </w:r>
          </w:p>
          <w:p w:rsidR="00C60153" w:rsidRPr="000A2C1F" w:rsidRDefault="00C60153" w:rsidP="00283CE4">
            <w:pPr>
              <w:spacing w:line="360" w:lineRule="auto"/>
              <w:jc w:val="center"/>
              <w:rPr>
                <w:rFonts w:ascii="Arial" w:hAnsi="Arial" w:cs="Arial"/>
                <w:sz w:val="20"/>
                <w:szCs w:val="20"/>
                <w:lang w:val="en-US"/>
              </w:rPr>
            </w:pPr>
            <w:r w:rsidRPr="000A2C1F">
              <w:rPr>
                <w:rFonts w:ascii="Arial" w:hAnsi="Arial" w:cs="Arial"/>
                <w:sz w:val="20"/>
                <w:szCs w:val="20"/>
                <w:lang w:val="en-US"/>
              </w:rPr>
              <w:t xml:space="preserve"> (n=30)</w:t>
            </w:r>
          </w:p>
        </w:tc>
        <w:tc>
          <w:tcPr>
            <w:tcW w:w="1660" w:type="dxa"/>
            <w:noWrap/>
            <w:vAlign w:val="center"/>
            <w:hideMark/>
          </w:tcPr>
          <w:p w:rsidR="00C60153" w:rsidRPr="000A2C1F" w:rsidRDefault="00C60153" w:rsidP="00283CE4">
            <w:pPr>
              <w:spacing w:line="360" w:lineRule="auto"/>
              <w:jc w:val="center"/>
              <w:rPr>
                <w:rFonts w:ascii="Arial" w:hAnsi="Arial" w:cs="Arial"/>
                <w:sz w:val="20"/>
                <w:szCs w:val="20"/>
                <w:lang w:val="en-US"/>
              </w:rPr>
            </w:pPr>
            <w:r w:rsidRPr="000A2C1F">
              <w:rPr>
                <w:rFonts w:ascii="Arial" w:hAnsi="Arial" w:cs="Arial"/>
                <w:sz w:val="20"/>
                <w:szCs w:val="20"/>
                <w:lang w:val="en-US"/>
              </w:rPr>
              <w:t>928</w:t>
            </w:r>
            <w:r>
              <w:rPr>
                <w:rFonts w:ascii="Arial" w:hAnsi="Arial" w:cs="Arial"/>
                <w:sz w:val="20"/>
                <w:szCs w:val="20"/>
                <w:lang w:val="en-US"/>
              </w:rPr>
              <w:t>.</w:t>
            </w:r>
            <w:r w:rsidRPr="000A2C1F">
              <w:rPr>
                <w:rFonts w:ascii="Arial" w:hAnsi="Arial" w:cs="Arial"/>
                <w:sz w:val="20"/>
                <w:szCs w:val="20"/>
                <w:lang w:val="en-US"/>
              </w:rPr>
              <w:t>41 ± 1563</w:t>
            </w:r>
            <w:r>
              <w:rPr>
                <w:rFonts w:ascii="Arial" w:hAnsi="Arial" w:cs="Arial"/>
                <w:sz w:val="20"/>
                <w:szCs w:val="20"/>
                <w:lang w:val="en-US"/>
              </w:rPr>
              <w:t>.</w:t>
            </w:r>
            <w:r w:rsidRPr="000A2C1F">
              <w:rPr>
                <w:rFonts w:ascii="Arial" w:hAnsi="Arial" w:cs="Arial"/>
                <w:sz w:val="20"/>
                <w:szCs w:val="20"/>
                <w:lang w:val="en-US"/>
              </w:rPr>
              <w:t>13</w:t>
            </w:r>
          </w:p>
        </w:tc>
        <w:tc>
          <w:tcPr>
            <w:tcW w:w="2209" w:type="dxa"/>
            <w:noWrap/>
            <w:vAlign w:val="center"/>
            <w:hideMark/>
          </w:tcPr>
          <w:p w:rsidR="00C60153" w:rsidRPr="000A2C1F" w:rsidRDefault="00C60153" w:rsidP="00283CE4">
            <w:pPr>
              <w:spacing w:line="360" w:lineRule="auto"/>
              <w:jc w:val="center"/>
              <w:rPr>
                <w:rFonts w:ascii="Arial" w:hAnsi="Arial" w:cs="Arial"/>
                <w:sz w:val="20"/>
                <w:szCs w:val="20"/>
                <w:lang w:val="en-US"/>
              </w:rPr>
            </w:pPr>
            <w:r w:rsidRPr="000A2C1F">
              <w:rPr>
                <w:rFonts w:ascii="Arial" w:hAnsi="Arial" w:cs="Arial"/>
                <w:sz w:val="20"/>
                <w:szCs w:val="20"/>
                <w:lang w:val="en-US"/>
              </w:rPr>
              <w:t>344</w:t>
            </w:r>
            <w:r>
              <w:rPr>
                <w:rFonts w:ascii="Arial" w:hAnsi="Arial" w:cs="Arial"/>
                <w:sz w:val="20"/>
                <w:szCs w:val="20"/>
                <w:lang w:val="en-US"/>
              </w:rPr>
              <w:t>.05 (0 – 5367.</w:t>
            </w:r>
            <w:r w:rsidRPr="000A2C1F">
              <w:rPr>
                <w:rFonts w:ascii="Arial" w:hAnsi="Arial" w:cs="Arial"/>
                <w:sz w:val="20"/>
                <w:szCs w:val="20"/>
                <w:lang w:val="en-US"/>
              </w:rPr>
              <w:t>37)</w:t>
            </w:r>
          </w:p>
        </w:tc>
        <w:tc>
          <w:tcPr>
            <w:tcW w:w="885" w:type="dxa"/>
            <w:vMerge w:val="restart"/>
            <w:vAlign w:val="center"/>
          </w:tcPr>
          <w:p w:rsidR="00C60153" w:rsidRPr="00AE2DF3" w:rsidRDefault="00C60153" w:rsidP="00283CE4">
            <w:pPr>
              <w:spacing w:line="360" w:lineRule="auto"/>
              <w:jc w:val="center"/>
              <w:rPr>
                <w:rFonts w:ascii="Arial" w:hAnsi="Arial" w:cs="Arial"/>
                <w:sz w:val="20"/>
                <w:szCs w:val="20"/>
                <w:lang w:val="en-US"/>
              </w:rPr>
            </w:pPr>
            <w:r w:rsidRPr="00AE2DF3">
              <w:rPr>
                <w:rFonts w:ascii="Arial" w:hAnsi="Arial" w:cs="Arial"/>
                <w:sz w:val="20"/>
                <w:szCs w:val="20"/>
                <w:lang w:val="en-US"/>
              </w:rPr>
              <w:t>-2.735</w:t>
            </w:r>
          </w:p>
        </w:tc>
        <w:tc>
          <w:tcPr>
            <w:tcW w:w="885" w:type="dxa"/>
            <w:vMerge w:val="restart"/>
            <w:noWrap/>
            <w:vAlign w:val="center"/>
            <w:hideMark/>
          </w:tcPr>
          <w:p w:rsidR="00C60153" w:rsidRPr="000A2C1F" w:rsidRDefault="00C60153" w:rsidP="00283CE4">
            <w:pPr>
              <w:spacing w:line="360" w:lineRule="auto"/>
              <w:jc w:val="center"/>
              <w:rPr>
                <w:rFonts w:ascii="Arial" w:hAnsi="Arial" w:cs="Arial"/>
                <w:b/>
                <w:sz w:val="20"/>
                <w:szCs w:val="20"/>
                <w:lang w:val="en-US"/>
              </w:rPr>
            </w:pPr>
            <w:r w:rsidRPr="000A2C1F">
              <w:rPr>
                <w:rFonts w:ascii="Arial" w:hAnsi="Arial" w:cs="Arial"/>
                <w:b/>
                <w:sz w:val="20"/>
                <w:szCs w:val="20"/>
                <w:lang w:val="en-US"/>
              </w:rPr>
              <w:t>0</w:t>
            </w:r>
            <w:r>
              <w:rPr>
                <w:rFonts w:ascii="Arial" w:hAnsi="Arial" w:cs="Arial"/>
                <w:b/>
                <w:sz w:val="20"/>
                <w:szCs w:val="20"/>
                <w:lang w:val="en-US"/>
              </w:rPr>
              <w:t>.</w:t>
            </w:r>
            <w:r w:rsidRPr="000A2C1F">
              <w:rPr>
                <w:rFonts w:ascii="Arial" w:hAnsi="Arial" w:cs="Arial"/>
                <w:b/>
                <w:sz w:val="20"/>
                <w:szCs w:val="20"/>
                <w:lang w:val="en-US"/>
              </w:rPr>
              <w:t>006</w:t>
            </w:r>
          </w:p>
        </w:tc>
      </w:tr>
      <w:tr w:rsidR="00C60153" w:rsidRPr="000A2C1F" w:rsidTr="00283CE4">
        <w:trPr>
          <w:trHeight w:val="300"/>
        </w:trPr>
        <w:tc>
          <w:tcPr>
            <w:tcW w:w="1754" w:type="dxa"/>
            <w:vMerge/>
            <w:vAlign w:val="center"/>
            <w:hideMark/>
          </w:tcPr>
          <w:p w:rsidR="00C60153" w:rsidRPr="000A2C1F" w:rsidRDefault="00C60153" w:rsidP="00283CE4">
            <w:pPr>
              <w:spacing w:line="360" w:lineRule="auto"/>
              <w:jc w:val="center"/>
              <w:rPr>
                <w:rFonts w:ascii="Arial" w:hAnsi="Arial" w:cs="Arial"/>
                <w:color w:val="000000"/>
                <w:sz w:val="20"/>
                <w:szCs w:val="20"/>
                <w:lang w:val="en-US"/>
              </w:rPr>
            </w:pPr>
          </w:p>
        </w:tc>
        <w:tc>
          <w:tcPr>
            <w:tcW w:w="1340" w:type="dxa"/>
            <w:noWrap/>
            <w:vAlign w:val="center"/>
            <w:hideMark/>
          </w:tcPr>
          <w:p w:rsidR="00C60153" w:rsidRPr="000A2C1F"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K</w:t>
            </w:r>
            <w:r w:rsidRPr="000A2C1F">
              <w:rPr>
                <w:rFonts w:ascii="Arial" w:hAnsi="Arial" w:cs="Arial"/>
                <w:sz w:val="20"/>
                <w:szCs w:val="20"/>
                <w:lang w:val="en-US"/>
              </w:rPr>
              <w:t>ontrol (n=30)</w:t>
            </w:r>
          </w:p>
        </w:tc>
        <w:tc>
          <w:tcPr>
            <w:tcW w:w="1660" w:type="dxa"/>
            <w:noWrap/>
            <w:vAlign w:val="center"/>
            <w:hideMark/>
          </w:tcPr>
          <w:p w:rsidR="00C60153" w:rsidRPr="000A2C1F"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126.</w:t>
            </w:r>
            <w:r w:rsidRPr="000A2C1F">
              <w:rPr>
                <w:rFonts w:ascii="Arial" w:hAnsi="Arial" w:cs="Arial"/>
                <w:sz w:val="20"/>
                <w:szCs w:val="20"/>
                <w:lang w:val="en-US"/>
              </w:rPr>
              <w:t>69 ± 187</w:t>
            </w:r>
            <w:r>
              <w:rPr>
                <w:rFonts w:ascii="Arial" w:hAnsi="Arial" w:cs="Arial"/>
                <w:sz w:val="20"/>
                <w:szCs w:val="20"/>
                <w:lang w:val="en-US"/>
              </w:rPr>
              <w:t>.</w:t>
            </w:r>
            <w:r w:rsidRPr="000A2C1F">
              <w:rPr>
                <w:rFonts w:ascii="Arial" w:hAnsi="Arial" w:cs="Arial"/>
                <w:sz w:val="20"/>
                <w:szCs w:val="20"/>
                <w:lang w:val="en-US"/>
              </w:rPr>
              <w:t>72</w:t>
            </w:r>
          </w:p>
        </w:tc>
        <w:tc>
          <w:tcPr>
            <w:tcW w:w="2209" w:type="dxa"/>
            <w:noWrap/>
            <w:vAlign w:val="center"/>
            <w:hideMark/>
          </w:tcPr>
          <w:p w:rsidR="00C60153" w:rsidRPr="000A2C1F"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4.98 (0 – 596.</w:t>
            </w:r>
            <w:r w:rsidRPr="000A2C1F">
              <w:rPr>
                <w:rFonts w:ascii="Arial" w:hAnsi="Arial" w:cs="Arial"/>
                <w:sz w:val="20"/>
                <w:szCs w:val="20"/>
                <w:lang w:val="en-US"/>
              </w:rPr>
              <w:t>34)</w:t>
            </w:r>
          </w:p>
        </w:tc>
        <w:tc>
          <w:tcPr>
            <w:tcW w:w="885" w:type="dxa"/>
            <w:vMerge/>
            <w:vAlign w:val="center"/>
          </w:tcPr>
          <w:p w:rsidR="00C60153" w:rsidRPr="00AE2DF3" w:rsidRDefault="00C60153" w:rsidP="00283CE4">
            <w:pPr>
              <w:spacing w:line="360" w:lineRule="auto"/>
              <w:jc w:val="center"/>
              <w:rPr>
                <w:rFonts w:ascii="Arial" w:hAnsi="Arial" w:cs="Arial"/>
                <w:sz w:val="20"/>
                <w:szCs w:val="20"/>
                <w:lang w:val="en-US"/>
              </w:rPr>
            </w:pPr>
          </w:p>
        </w:tc>
        <w:tc>
          <w:tcPr>
            <w:tcW w:w="885" w:type="dxa"/>
            <w:vMerge/>
            <w:vAlign w:val="center"/>
            <w:hideMark/>
          </w:tcPr>
          <w:p w:rsidR="00C60153" w:rsidRPr="000A2C1F" w:rsidRDefault="00C60153" w:rsidP="00283CE4">
            <w:pPr>
              <w:spacing w:line="360" w:lineRule="auto"/>
              <w:jc w:val="center"/>
              <w:rPr>
                <w:rFonts w:ascii="Arial" w:hAnsi="Arial" w:cs="Arial"/>
                <w:sz w:val="20"/>
                <w:szCs w:val="20"/>
                <w:lang w:val="en-US"/>
              </w:rPr>
            </w:pPr>
          </w:p>
        </w:tc>
      </w:tr>
      <w:tr w:rsidR="00C60153" w:rsidRPr="000A2C1F" w:rsidTr="00283CE4">
        <w:trPr>
          <w:trHeight w:val="300"/>
        </w:trPr>
        <w:tc>
          <w:tcPr>
            <w:tcW w:w="1754" w:type="dxa"/>
            <w:vMerge w:val="restart"/>
            <w:vAlign w:val="center"/>
            <w:hideMark/>
          </w:tcPr>
          <w:p w:rsidR="00C60153" w:rsidRPr="0024153C" w:rsidRDefault="00C60153" w:rsidP="00283CE4">
            <w:pPr>
              <w:spacing w:line="360" w:lineRule="auto"/>
              <w:jc w:val="center"/>
              <w:rPr>
                <w:rFonts w:ascii="Arial" w:hAnsi="Arial" w:cs="Arial"/>
                <w:b/>
                <w:color w:val="000000"/>
                <w:sz w:val="20"/>
                <w:szCs w:val="20"/>
                <w:lang w:val="en-US"/>
              </w:rPr>
            </w:pPr>
            <w:r w:rsidRPr="0024153C">
              <w:rPr>
                <w:rFonts w:ascii="Arial" w:hAnsi="Arial" w:cs="Arial"/>
                <w:b/>
                <w:color w:val="000000"/>
                <w:sz w:val="20"/>
                <w:szCs w:val="20"/>
                <w:lang w:val="en-US"/>
              </w:rPr>
              <w:t>miR-let-7d</w:t>
            </w:r>
          </w:p>
        </w:tc>
        <w:tc>
          <w:tcPr>
            <w:tcW w:w="1340" w:type="dxa"/>
            <w:noWrap/>
            <w:vAlign w:val="center"/>
            <w:hideMark/>
          </w:tcPr>
          <w:p w:rsidR="00C60153"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Olgu</w:t>
            </w:r>
          </w:p>
          <w:p w:rsidR="00C60153" w:rsidRPr="000A2C1F" w:rsidRDefault="00C60153" w:rsidP="00283CE4">
            <w:pPr>
              <w:spacing w:line="360" w:lineRule="auto"/>
              <w:jc w:val="center"/>
              <w:rPr>
                <w:rFonts w:ascii="Arial" w:hAnsi="Arial" w:cs="Arial"/>
                <w:sz w:val="20"/>
                <w:szCs w:val="20"/>
                <w:lang w:val="en-US"/>
              </w:rPr>
            </w:pPr>
            <w:r w:rsidRPr="000A2C1F">
              <w:rPr>
                <w:rFonts w:ascii="Arial" w:hAnsi="Arial" w:cs="Arial"/>
                <w:sz w:val="20"/>
                <w:szCs w:val="20"/>
                <w:lang w:val="en-US"/>
              </w:rPr>
              <w:t xml:space="preserve"> (n=30)</w:t>
            </w:r>
          </w:p>
        </w:tc>
        <w:tc>
          <w:tcPr>
            <w:tcW w:w="1660" w:type="dxa"/>
            <w:noWrap/>
            <w:vAlign w:val="center"/>
            <w:hideMark/>
          </w:tcPr>
          <w:p w:rsidR="00C60153" w:rsidRPr="000A2C1F"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2.</w:t>
            </w:r>
            <w:r w:rsidRPr="000A2C1F">
              <w:rPr>
                <w:rFonts w:ascii="Arial" w:hAnsi="Arial" w:cs="Arial"/>
                <w:sz w:val="20"/>
                <w:szCs w:val="20"/>
                <w:lang w:val="en-US"/>
              </w:rPr>
              <w:t>54 ± 2</w:t>
            </w:r>
            <w:r>
              <w:rPr>
                <w:rFonts w:ascii="Arial" w:hAnsi="Arial" w:cs="Arial"/>
                <w:sz w:val="20"/>
                <w:szCs w:val="20"/>
                <w:lang w:val="en-US"/>
              </w:rPr>
              <w:t>.</w:t>
            </w:r>
            <w:r w:rsidRPr="000A2C1F">
              <w:rPr>
                <w:rFonts w:ascii="Arial" w:hAnsi="Arial" w:cs="Arial"/>
                <w:sz w:val="20"/>
                <w:szCs w:val="20"/>
                <w:lang w:val="en-US"/>
              </w:rPr>
              <w:t>09</w:t>
            </w:r>
          </w:p>
        </w:tc>
        <w:tc>
          <w:tcPr>
            <w:tcW w:w="2209" w:type="dxa"/>
            <w:noWrap/>
            <w:vAlign w:val="center"/>
            <w:hideMark/>
          </w:tcPr>
          <w:p w:rsidR="00C60153" w:rsidRPr="000A2C1F" w:rsidRDefault="00C60153" w:rsidP="00283CE4">
            <w:pPr>
              <w:spacing w:line="360" w:lineRule="auto"/>
              <w:jc w:val="center"/>
              <w:rPr>
                <w:rFonts w:ascii="Arial" w:hAnsi="Arial" w:cs="Arial"/>
                <w:sz w:val="20"/>
                <w:szCs w:val="20"/>
                <w:lang w:val="en-US"/>
              </w:rPr>
            </w:pPr>
            <w:r w:rsidRPr="000A2C1F">
              <w:rPr>
                <w:rFonts w:ascii="Arial" w:hAnsi="Arial" w:cs="Arial"/>
                <w:sz w:val="20"/>
                <w:szCs w:val="20"/>
                <w:lang w:val="en-US"/>
              </w:rPr>
              <w:t>1</w:t>
            </w:r>
            <w:r>
              <w:rPr>
                <w:rFonts w:ascii="Arial" w:hAnsi="Arial" w:cs="Arial"/>
                <w:sz w:val="20"/>
                <w:szCs w:val="20"/>
                <w:lang w:val="en-US"/>
              </w:rPr>
              <w:t>.</w:t>
            </w:r>
            <w:r w:rsidRPr="000A2C1F">
              <w:rPr>
                <w:rFonts w:ascii="Arial" w:hAnsi="Arial" w:cs="Arial"/>
                <w:sz w:val="20"/>
                <w:szCs w:val="20"/>
                <w:lang w:val="en-US"/>
              </w:rPr>
              <w:t>75 (0</w:t>
            </w:r>
            <w:r>
              <w:rPr>
                <w:rFonts w:ascii="Arial" w:hAnsi="Arial" w:cs="Arial"/>
                <w:sz w:val="20"/>
                <w:szCs w:val="20"/>
                <w:lang w:val="en-US"/>
              </w:rPr>
              <w:t>.</w:t>
            </w:r>
            <w:r w:rsidRPr="000A2C1F">
              <w:rPr>
                <w:rFonts w:ascii="Arial" w:hAnsi="Arial" w:cs="Arial"/>
                <w:sz w:val="20"/>
                <w:szCs w:val="20"/>
                <w:lang w:val="en-US"/>
              </w:rPr>
              <w:t xml:space="preserve">49 </w:t>
            </w:r>
            <w:r>
              <w:rPr>
                <w:rFonts w:ascii="Arial" w:hAnsi="Arial" w:cs="Arial"/>
                <w:sz w:val="20"/>
                <w:szCs w:val="20"/>
                <w:lang w:val="en-US"/>
              </w:rPr>
              <w:t>–</w:t>
            </w:r>
            <w:r w:rsidRPr="000A2C1F">
              <w:rPr>
                <w:rFonts w:ascii="Arial" w:hAnsi="Arial" w:cs="Arial"/>
                <w:sz w:val="20"/>
                <w:szCs w:val="20"/>
                <w:lang w:val="en-US"/>
              </w:rPr>
              <w:t xml:space="preserve"> 8</w:t>
            </w:r>
            <w:r>
              <w:rPr>
                <w:rFonts w:ascii="Arial" w:hAnsi="Arial" w:cs="Arial"/>
                <w:sz w:val="20"/>
                <w:szCs w:val="20"/>
                <w:lang w:val="en-US"/>
              </w:rPr>
              <w:t>.</w:t>
            </w:r>
            <w:r w:rsidRPr="000A2C1F">
              <w:rPr>
                <w:rFonts w:ascii="Arial" w:hAnsi="Arial" w:cs="Arial"/>
                <w:sz w:val="20"/>
                <w:szCs w:val="20"/>
                <w:lang w:val="en-US"/>
              </w:rPr>
              <w:t>11)</w:t>
            </w:r>
          </w:p>
        </w:tc>
        <w:tc>
          <w:tcPr>
            <w:tcW w:w="885" w:type="dxa"/>
            <w:vMerge w:val="restart"/>
            <w:vAlign w:val="center"/>
          </w:tcPr>
          <w:p w:rsidR="00C60153" w:rsidRPr="00AE2DF3" w:rsidRDefault="00C60153" w:rsidP="00283CE4">
            <w:pPr>
              <w:spacing w:line="360" w:lineRule="auto"/>
              <w:jc w:val="center"/>
              <w:rPr>
                <w:rFonts w:ascii="Arial" w:hAnsi="Arial" w:cs="Arial"/>
                <w:sz w:val="20"/>
                <w:szCs w:val="20"/>
                <w:lang w:val="en-US"/>
              </w:rPr>
            </w:pPr>
            <w:r w:rsidRPr="00AE2DF3">
              <w:rPr>
                <w:rFonts w:ascii="Arial" w:hAnsi="Arial" w:cs="Arial"/>
                <w:sz w:val="20"/>
                <w:szCs w:val="20"/>
                <w:lang w:val="en-US"/>
              </w:rPr>
              <w:t>-2.381</w:t>
            </w:r>
          </w:p>
        </w:tc>
        <w:tc>
          <w:tcPr>
            <w:tcW w:w="885" w:type="dxa"/>
            <w:vMerge w:val="restart"/>
            <w:noWrap/>
            <w:vAlign w:val="center"/>
            <w:hideMark/>
          </w:tcPr>
          <w:p w:rsidR="00C60153" w:rsidRPr="000A2C1F" w:rsidRDefault="00C60153" w:rsidP="00283CE4">
            <w:pPr>
              <w:spacing w:line="360" w:lineRule="auto"/>
              <w:jc w:val="center"/>
              <w:rPr>
                <w:rFonts w:ascii="Arial" w:hAnsi="Arial" w:cs="Arial"/>
                <w:b/>
                <w:sz w:val="20"/>
                <w:szCs w:val="20"/>
                <w:lang w:val="en-US"/>
              </w:rPr>
            </w:pPr>
            <w:r>
              <w:rPr>
                <w:rFonts w:ascii="Arial" w:hAnsi="Arial" w:cs="Arial"/>
                <w:b/>
                <w:sz w:val="20"/>
                <w:szCs w:val="20"/>
                <w:lang w:val="en-US"/>
              </w:rPr>
              <w:t>0.</w:t>
            </w:r>
            <w:r w:rsidRPr="000A2C1F">
              <w:rPr>
                <w:rFonts w:ascii="Arial" w:hAnsi="Arial" w:cs="Arial"/>
                <w:b/>
                <w:sz w:val="20"/>
                <w:szCs w:val="20"/>
                <w:lang w:val="en-US"/>
              </w:rPr>
              <w:t>017</w:t>
            </w:r>
          </w:p>
        </w:tc>
      </w:tr>
      <w:tr w:rsidR="00C60153" w:rsidRPr="000A2C1F" w:rsidTr="00283CE4">
        <w:trPr>
          <w:trHeight w:val="300"/>
        </w:trPr>
        <w:tc>
          <w:tcPr>
            <w:tcW w:w="1754" w:type="dxa"/>
            <w:vMerge/>
            <w:vAlign w:val="center"/>
            <w:hideMark/>
          </w:tcPr>
          <w:p w:rsidR="00C60153" w:rsidRPr="000A2C1F" w:rsidRDefault="00C60153" w:rsidP="00283CE4">
            <w:pPr>
              <w:spacing w:line="360" w:lineRule="auto"/>
              <w:jc w:val="center"/>
              <w:rPr>
                <w:rFonts w:ascii="Arial" w:hAnsi="Arial" w:cs="Arial"/>
                <w:color w:val="000000"/>
                <w:sz w:val="20"/>
                <w:szCs w:val="20"/>
                <w:lang w:val="en-US"/>
              </w:rPr>
            </w:pPr>
          </w:p>
        </w:tc>
        <w:tc>
          <w:tcPr>
            <w:tcW w:w="1340" w:type="dxa"/>
            <w:noWrap/>
            <w:vAlign w:val="center"/>
            <w:hideMark/>
          </w:tcPr>
          <w:p w:rsidR="00C60153" w:rsidRPr="000A2C1F"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K</w:t>
            </w:r>
            <w:r w:rsidRPr="000A2C1F">
              <w:rPr>
                <w:rFonts w:ascii="Arial" w:hAnsi="Arial" w:cs="Arial"/>
                <w:sz w:val="20"/>
                <w:szCs w:val="20"/>
                <w:lang w:val="en-US"/>
              </w:rPr>
              <w:t>ontrol (n=30)</w:t>
            </w:r>
          </w:p>
        </w:tc>
        <w:tc>
          <w:tcPr>
            <w:tcW w:w="1660" w:type="dxa"/>
            <w:noWrap/>
            <w:vAlign w:val="center"/>
            <w:hideMark/>
          </w:tcPr>
          <w:p w:rsidR="00C60153" w:rsidRPr="000A2C1F"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9.83 ± 34.</w:t>
            </w:r>
            <w:r w:rsidRPr="000A2C1F">
              <w:rPr>
                <w:rFonts w:ascii="Arial" w:hAnsi="Arial" w:cs="Arial"/>
                <w:sz w:val="20"/>
                <w:szCs w:val="20"/>
                <w:lang w:val="en-US"/>
              </w:rPr>
              <w:t>16</w:t>
            </w:r>
          </w:p>
        </w:tc>
        <w:tc>
          <w:tcPr>
            <w:tcW w:w="2209" w:type="dxa"/>
            <w:noWrap/>
            <w:vAlign w:val="center"/>
            <w:hideMark/>
          </w:tcPr>
          <w:p w:rsidR="00C60153" w:rsidRPr="000A2C1F"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2.58 (0.08 – 190.</w:t>
            </w:r>
            <w:r w:rsidRPr="000A2C1F">
              <w:rPr>
                <w:rFonts w:ascii="Arial" w:hAnsi="Arial" w:cs="Arial"/>
                <w:sz w:val="20"/>
                <w:szCs w:val="20"/>
                <w:lang w:val="en-US"/>
              </w:rPr>
              <w:t>02)</w:t>
            </w:r>
          </w:p>
        </w:tc>
        <w:tc>
          <w:tcPr>
            <w:tcW w:w="885" w:type="dxa"/>
            <w:vMerge/>
            <w:vAlign w:val="center"/>
          </w:tcPr>
          <w:p w:rsidR="00C60153" w:rsidRPr="00AE2DF3" w:rsidRDefault="00C60153" w:rsidP="00283CE4">
            <w:pPr>
              <w:spacing w:line="360" w:lineRule="auto"/>
              <w:jc w:val="center"/>
              <w:rPr>
                <w:rFonts w:ascii="Arial" w:hAnsi="Arial" w:cs="Arial"/>
                <w:sz w:val="20"/>
                <w:szCs w:val="20"/>
                <w:lang w:val="en-US"/>
              </w:rPr>
            </w:pPr>
          </w:p>
        </w:tc>
        <w:tc>
          <w:tcPr>
            <w:tcW w:w="885" w:type="dxa"/>
            <w:vMerge/>
            <w:vAlign w:val="center"/>
            <w:hideMark/>
          </w:tcPr>
          <w:p w:rsidR="00C60153" w:rsidRPr="000A2C1F" w:rsidRDefault="00C60153" w:rsidP="00283CE4">
            <w:pPr>
              <w:spacing w:line="360" w:lineRule="auto"/>
              <w:jc w:val="center"/>
              <w:rPr>
                <w:rFonts w:ascii="Arial" w:hAnsi="Arial" w:cs="Arial"/>
                <w:sz w:val="20"/>
                <w:szCs w:val="20"/>
                <w:lang w:val="en-US"/>
              </w:rPr>
            </w:pPr>
          </w:p>
        </w:tc>
      </w:tr>
      <w:tr w:rsidR="00C60153" w:rsidRPr="000A2C1F" w:rsidTr="00283CE4">
        <w:trPr>
          <w:trHeight w:val="300"/>
        </w:trPr>
        <w:tc>
          <w:tcPr>
            <w:tcW w:w="1754" w:type="dxa"/>
            <w:vMerge w:val="restart"/>
            <w:vAlign w:val="center"/>
            <w:hideMark/>
          </w:tcPr>
          <w:p w:rsidR="00C60153" w:rsidRPr="0024153C" w:rsidRDefault="00C60153" w:rsidP="00283CE4">
            <w:pPr>
              <w:spacing w:line="360" w:lineRule="auto"/>
              <w:jc w:val="center"/>
              <w:rPr>
                <w:rFonts w:ascii="Arial" w:hAnsi="Arial" w:cs="Arial"/>
                <w:b/>
                <w:color w:val="000000"/>
                <w:sz w:val="20"/>
                <w:szCs w:val="20"/>
                <w:lang w:val="en-US"/>
              </w:rPr>
            </w:pPr>
            <w:r w:rsidRPr="0024153C">
              <w:rPr>
                <w:rFonts w:ascii="Arial" w:hAnsi="Arial" w:cs="Arial"/>
                <w:b/>
                <w:color w:val="000000"/>
                <w:sz w:val="20"/>
                <w:szCs w:val="20"/>
                <w:lang w:val="en-US"/>
              </w:rPr>
              <w:t>miR-124-3p</w:t>
            </w:r>
          </w:p>
        </w:tc>
        <w:tc>
          <w:tcPr>
            <w:tcW w:w="1340" w:type="dxa"/>
            <w:noWrap/>
            <w:vAlign w:val="center"/>
            <w:hideMark/>
          </w:tcPr>
          <w:p w:rsidR="00C60153"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Olgu</w:t>
            </w:r>
          </w:p>
          <w:p w:rsidR="00C60153" w:rsidRPr="000A2C1F" w:rsidRDefault="00C60153" w:rsidP="00283CE4">
            <w:pPr>
              <w:spacing w:line="360" w:lineRule="auto"/>
              <w:jc w:val="center"/>
              <w:rPr>
                <w:rFonts w:ascii="Arial" w:hAnsi="Arial" w:cs="Arial"/>
                <w:sz w:val="20"/>
                <w:szCs w:val="20"/>
                <w:lang w:val="en-US"/>
              </w:rPr>
            </w:pPr>
            <w:r w:rsidRPr="000A2C1F">
              <w:rPr>
                <w:rFonts w:ascii="Arial" w:hAnsi="Arial" w:cs="Arial"/>
                <w:sz w:val="20"/>
                <w:szCs w:val="20"/>
                <w:lang w:val="en-US"/>
              </w:rPr>
              <w:t xml:space="preserve"> (n=30)</w:t>
            </w:r>
          </w:p>
        </w:tc>
        <w:tc>
          <w:tcPr>
            <w:tcW w:w="1660" w:type="dxa"/>
            <w:noWrap/>
            <w:vAlign w:val="center"/>
            <w:hideMark/>
          </w:tcPr>
          <w:p w:rsidR="00C60153" w:rsidRPr="000A2C1F" w:rsidRDefault="00C60153" w:rsidP="00283CE4">
            <w:pPr>
              <w:spacing w:line="360" w:lineRule="auto"/>
              <w:jc w:val="center"/>
              <w:rPr>
                <w:rFonts w:ascii="Arial" w:hAnsi="Arial" w:cs="Arial"/>
                <w:sz w:val="20"/>
                <w:szCs w:val="20"/>
                <w:lang w:val="en-US"/>
              </w:rPr>
            </w:pPr>
            <w:r w:rsidRPr="000A2C1F">
              <w:rPr>
                <w:rFonts w:ascii="Arial" w:hAnsi="Arial" w:cs="Arial"/>
                <w:sz w:val="20"/>
                <w:szCs w:val="20"/>
                <w:lang w:val="en-US"/>
              </w:rPr>
              <w:t>1066</w:t>
            </w:r>
            <w:r>
              <w:rPr>
                <w:rFonts w:ascii="Arial" w:hAnsi="Arial" w:cs="Arial"/>
                <w:sz w:val="20"/>
                <w:szCs w:val="20"/>
                <w:lang w:val="en-US"/>
              </w:rPr>
              <w:t>.6 ± 2198.</w:t>
            </w:r>
            <w:r w:rsidRPr="000A2C1F">
              <w:rPr>
                <w:rFonts w:ascii="Arial" w:hAnsi="Arial" w:cs="Arial"/>
                <w:sz w:val="20"/>
                <w:szCs w:val="20"/>
                <w:lang w:val="en-US"/>
              </w:rPr>
              <w:t>44</w:t>
            </w:r>
          </w:p>
        </w:tc>
        <w:tc>
          <w:tcPr>
            <w:tcW w:w="2209" w:type="dxa"/>
            <w:noWrap/>
            <w:vAlign w:val="center"/>
            <w:hideMark/>
          </w:tcPr>
          <w:p w:rsidR="00C60153" w:rsidRPr="000A2C1F"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0.</w:t>
            </w:r>
            <w:r w:rsidRPr="000A2C1F">
              <w:rPr>
                <w:rFonts w:ascii="Arial" w:hAnsi="Arial" w:cs="Arial"/>
                <w:sz w:val="20"/>
                <w:szCs w:val="20"/>
                <w:lang w:val="en-US"/>
              </w:rPr>
              <w:t xml:space="preserve">64 (0 </w:t>
            </w:r>
            <w:r>
              <w:rPr>
                <w:rFonts w:ascii="Arial" w:hAnsi="Arial" w:cs="Arial"/>
                <w:sz w:val="20"/>
                <w:szCs w:val="20"/>
                <w:lang w:val="en-US"/>
              </w:rPr>
              <w:t>–</w:t>
            </w:r>
            <w:r w:rsidRPr="000A2C1F">
              <w:rPr>
                <w:rFonts w:ascii="Arial" w:hAnsi="Arial" w:cs="Arial"/>
                <w:sz w:val="20"/>
                <w:szCs w:val="20"/>
                <w:lang w:val="en-US"/>
              </w:rPr>
              <w:t xml:space="preserve"> 8248</w:t>
            </w:r>
            <w:r>
              <w:rPr>
                <w:rFonts w:ascii="Arial" w:hAnsi="Arial" w:cs="Arial"/>
                <w:sz w:val="20"/>
                <w:szCs w:val="20"/>
                <w:lang w:val="en-US"/>
              </w:rPr>
              <w:t>.</w:t>
            </w:r>
            <w:r w:rsidRPr="000A2C1F">
              <w:rPr>
                <w:rFonts w:ascii="Arial" w:hAnsi="Arial" w:cs="Arial"/>
                <w:sz w:val="20"/>
                <w:szCs w:val="20"/>
                <w:lang w:val="en-US"/>
              </w:rPr>
              <w:t>98)</w:t>
            </w:r>
          </w:p>
        </w:tc>
        <w:tc>
          <w:tcPr>
            <w:tcW w:w="885" w:type="dxa"/>
            <w:vMerge w:val="restart"/>
            <w:vAlign w:val="center"/>
          </w:tcPr>
          <w:p w:rsidR="00C60153" w:rsidRPr="00AE2DF3" w:rsidRDefault="00C60153" w:rsidP="00283CE4">
            <w:pPr>
              <w:spacing w:line="360" w:lineRule="auto"/>
              <w:jc w:val="center"/>
              <w:rPr>
                <w:rFonts w:ascii="Arial" w:hAnsi="Arial" w:cs="Arial"/>
                <w:sz w:val="20"/>
                <w:szCs w:val="20"/>
                <w:lang w:val="en-US"/>
              </w:rPr>
            </w:pPr>
            <w:r w:rsidRPr="00AE2DF3">
              <w:rPr>
                <w:rFonts w:ascii="Arial" w:hAnsi="Arial" w:cs="Arial"/>
                <w:sz w:val="20"/>
                <w:szCs w:val="20"/>
                <w:lang w:val="en-US"/>
              </w:rPr>
              <w:t>-1.301</w:t>
            </w:r>
          </w:p>
        </w:tc>
        <w:tc>
          <w:tcPr>
            <w:tcW w:w="885" w:type="dxa"/>
            <w:vMerge w:val="restart"/>
            <w:noWrap/>
            <w:vAlign w:val="center"/>
            <w:hideMark/>
          </w:tcPr>
          <w:p w:rsidR="00C60153" w:rsidRPr="000A2C1F" w:rsidRDefault="00C60153" w:rsidP="00283CE4">
            <w:pPr>
              <w:spacing w:line="360" w:lineRule="auto"/>
              <w:jc w:val="center"/>
              <w:rPr>
                <w:rFonts w:ascii="Arial" w:hAnsi="Arial" w:cs="Arial"/>
                <w:sz w:val="20"/>
                <w:szCs w:val="20"/>
                <w:lang w:val="en-US"/>
              </w:rPr>
            </w:pPr>
            <w:r w:rsidRPr="000A2C1F">
              <w:rPr>
                <w:rFonts w:ascii="Arial" w:hAnsi="Arial" w:cs="Arial"/>
                <w:sz w:val="20"/>
                <w:szCs w:val="20"/>
                <w:lang w:val="en-US"/>
              </w:rPr>
              <w:t>0.193</w:t>
            </w:r>
          </w:p>
        </w:tc>
      </w:tr>
      <w:tr w:rsidR="00C60153" w:rsidRPr="000A2C1F" w:rsidTr="00283CE4">
        <w:trPr>
          <w:trHeight w:val="300"/>
        </w:trPr>
        <w:tc>
          <w:tcPr>
            <w:tcW w:w="1754" w:type="dxa"/>
            <w:vMerge/>
            <w:vAlign w:val="center"/>
            <w:hideMark/>
          </w:tcPr>
          <w:p w:rsidR="00C60153" w:rsidRPr="000A2C1F" w:rsidRDefault="00C60153" w:rsidP="00283CE4">
            <w:pPr>
              <w:spacing w:line="360" w:lineRule="auto"/>
              <w:jc w:val="center"/>
              <w:rPr>
                <w:rFonts w:ascii="Arial" w:hAnsi="Arial" w:cs="Arial"/>
                <w:color w:val="000000"/>
                <w:sz w:val="20"/>
                <w:szCs w:val="20"/>
                <w:lang w:val="en-US"/>
              </w:rPr>
            </w:pPr>
          </w:p>
        </w:tc>
        <w:tc>
          <w:tcPr>
            <w:tcW w:w="1340" w:type="dxa"/>
            <w:noWrap/>
            <w:vAlign w:val="center"/>
            <w:hideMark/>
          </w:tcPr>
          <w:p w:rsidR="00C60153" w:rsidRPr="000A2C1F"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K</w:t>
            </w:r>
            <w:r w:rsidRPr="000A2C1F">
              <w:rPr>
                <w:rFonts w:ascii="Arial" w:hAnsi="Arial" w:cs="Arial"/>
                <w:sz w:val="20"/>
                <w:szCs w:val="20"/>
                <w:lang w:val="en-US"/>
              </w:rPr>
              <w:t>ontrol (n=30)</w:t>
            </w:r>
          </w:p>
        </w:tc>
        <w:tc>
          <w:tcPr>
            <w:tcW w:w="1660" w:type="dxa"/>
            <w:noWrap/>
            <w:vAlign w:val="center"/>
            <w:hideMark/>
          </w:tcPr>
          <w:p w:rsidR="00C60153" w:rsidRPr="000A2C1F" w:rsidRDefault="00C60153" w:rsidP="00283CE4">
            <w:pPr>
              <w:spacing w:line="360" w:lineRule="auto"/>
              <w:jc w:val="center"/>
              <w:rPr>
                <w:rFonts w:ascii="Arial" w:hAnsi="Arial" w:cs="Arial"/>
                <w:sz w:val="20"/>
                <w:szCs w:val="20"/>
                <w:lang w:val="en-US"/>
              </w:rPr>
            </w:pPr>
            <w:r w:rsidRPr="000A2C1F">
              <w:rPr>
                <w:rFonts w:ascii="Arial" w:hAnsi="Arial" w:cs="Arial"/>
                <w:sz w:val="20"/>
                <w:szCs w:val="20"/>
                <w:lang w:val="en-US"/>
              </w:rPr>
              <w:t>32</w:t>
            </w:r>
            <w:r>
              <w:rPr>
                <w:rFonts w:ascii="Arial" w:hAnsi="Arial" w:cs="Arial"/>
                <w:sz w:val="20"/>
                <w:szCs w:val="20"/>
                <w:lang w:val="en-US"/>
              </w:rPr>
              <w:t>.</w:t>
            </w:r>
            <w:r w:rsidRPr="000A2C1F">
              <w:rPr>
                <w:rFonts w:ascii="Arial" w:hAnsi="Arial" w:cs="Arial"/>
                <w:sz w:val="20"/>
                <w:szCs w:val="20"/>
                <w:lang w:val="en-US"/>
              </w:rPr>
              <w:t>82 ± 97</w:t>
            </w:r>
            <w:r>
              <w:rPr>
                <w:rFonts w:ascii="Arial" w:hAnsi="Arial" w:cs="Arial"/>
                <w:sz w:val="20"/>
                <w:szCs w:val="20"/>
                <w:lang w:val="en-US"/>
              </w:rPr>
              <w:t>.</w:t>
            </w:r>
            <w:r w:rsidRPr="000A2C1F">
              <w:rPr>
                <w:rFonts w:ascii="Arial" w:hAnsi="Arial" w:cs="Arial"/>
                <w:sz w:val="20"/>
                <w:szCs w:val="20"/>
                <w:lang w:val="en-US"/>
              </w:rPr>
              <w:t>51</w:t>
            </w:r>
          </w:p>
        </w:tc>
        <w:tc>
          <w:tcPr>
            <w:tcW w:w="2209" w:type="dxa"/>
            <w:noWrap/>
            <w:vAlign w:val="center"/>
            <w:hideMark/>
          </w:tcPr>
          <w:p w:rsidR="00C60153" w:rsidRPr="000A2C1F" w:rsidRDefault="00C60153" w:rsidP="00283CE4">
            <w:pPr>
              <w:spacing w:line="360" w:lineRule="auto"/>
              <w:jc w:val="center"/>
              <w:rPr>
                <w:rFonts w:ascii="Arial" w:hAnsi="Arial" w:cs="Arial"/>
                <w:sz w:val="20"/>
                <w:szCs w:val="20"/>
                <w:lang w:val="en-US"/>
              </w:rPr>
            </w:pPr>
            <w:r w:rsidRPr="000A2C1F">
              <w:rPr>
                <w:rFonts w:ascii="Arial" w:hAnsi="Arial" w:cs="Arial"/>
                <w:sz w:val="20"/>
                <w:szCs w:val="20"/>
                <w:lang w:val="en-US"/>
              </w:rPr>
              <w:t xml:space="preserve">0 (0 </w:t>
            </w:r>
            <w:r>
              <w:rPr>
                <w:rFonts w:ascii="Arial" w:hAnsi="Arial" w:cs="Arial"/>
                <w:sz w:val="20"/>
                <w:szCs w:val="20"/>
                <w:lang w:val="en-US"/>
              </w:rPr>
              <w:t>–</w:t>
            </w:r>
            <w:r w:rsidRPr="000A2C1F">
              <w:rPr>
                <w:rFonts w:ascii="Arial" w:hAnsi="Arial" w:cs="Arial"/>
                <w:sz w:val="20"/>
                <w:szCs w:val="20"/>
                <w:lang w:val="en-US"/>
              </w:rPr>
              <w:t xml:space="preserve"> 430</w:t>
            </w:r>
            <w:r>
              <w:rPr>
                <w:rFonts w:ascii="Arial" w:hAnsi="Arial" w:cs="Arial"/>
                <w:sz w:val="20"/>
                <w:szCs w:val="20"/>
                <w:lang w:val="en-US"/>
              </w:rPr>
              <w:t>.</w:t>
            </w:r>
            <w:r w:rsidRPr="000A2C1F">
              <w:rPr>
                <w:rFonts w:ascii="Arial" w:hAnsi="Arial" w:cs="Arial"/>
                <w:sz w:val="20"/>
                <w:szCs w:val="20"/>
                <w:lang w:val="en-US"/>
              </w:rPr>
              <w:t>54)</w:t>
            </w:r>
          </w:p>
        </w:tc>
        <w:tc>
          <w:tcPr>
            <w:tcW w:w="885" w:type="dxa"/>
            <w:vMerge/>
            <w:vAlign w:val="center"/>
          </w:tcPr>
          <w:p w:rsidR="00C60153" w:rsidRPr="00AE2DF3" w:rsidRDefault="00C60153" w:rsidP="00283CE4">
            <w:pPr>
              <w:spacing w:line="360" w:lineRule="auto"/>
              <w:jc w:val="center"/>
              <w:rPr>
                <w:rFonts w:ascii="Arial" w:hAnsi="Arial" w:cs="Arial"/>
                <w:sz w:val="20"/>
                <w:szCs w:val="20"/>
                <w:lang w:val="en-US"/>
              </w:rPr>
            </w:pPr>
          </w:p>
        </w:tc>
        <w:tc>
          <w:tcPr>
            <w:tcW w:w="885" w:type="dxa"/>
            <w:vMerge/>
            <w:vAlign w:val="center"/>
            <w:hideMark/>
          </w:tcPr>
          <w:p w:rsidR="00C60153" w:rsidRPr="000A2C1F" w:rsidRDefault="00C60153" w:rsidP="00283CE4">
            <w:pPr>
              <w:spacing w:line="360" w:lineRule="auto"/>
              <w:jc w:val="center"/>
              <w:rPr>
                <w:rFonts w:ascii="Arial" w:hAnsi="Arial" w:cs="Arial"/>
                <w:sz w:val="20"/>
                <w:szCs w:val="20"/>
                <w:lang w:val="en-US"/>
              </w:rPr>
            </w:pPr>
          </w:p>
        </w:tc>
      </w:tr>
      <w:tr w:rsidR="00C60153" w:rsidRPr="000A2C1F" w:rsidTr="00283CE4">
        <w:trPr>
          <w:trHeight w:val="300"/>
        </w:trPr>
        <w:tc>
          <w:tcPr>
            <w:tcW w:w="1754" w:type="dxa"/>
            <w:vMerge w:val="restart"/>
            <w:vAlign w:val="center"/>
            <w:hideMark/>
          </w:tcPr>
          <w:p w:rsidR="00C60153" w:rsidRPr="0024153C" w:rsidRDefault="00C60153" w:rsidP="00283CE4">
            <w:pPr>
              <w:spacing w:line="360" w:lineRule="auto"/>
              <w:jc w:val="center"/>
              <w:rPr>
                <w:rFonts w:ascii="Arial" w:hAnsi="Arial" w:cs="Arial"/>
                <w:b/>
                <w:color w:val="000000"/>
                <w:sz w:val="20"/>
                <w:szCs w:val="20"/>
                <w:lang w:val="en-US"/>
              </w:rPr>
            </w:pPr>
            <w:r w:rsidRPr="0024153C">
              <w:rPr>
                <w:rFonts w:ascii="Arial" w:hAnsi="Arial" w:cs="Arial"/>
                <w:b/>
                <w:color w:val="000000"/>
                <w:sz w:val="20"/>
                <w:szCs w:val="20"/>
                <w:lang w:val="en-US"/>
              </w:rPr>
              <w:t>miR-107</w:t>
            </w:r>
          </w:p>
        </w:tc>
        <w:tc>
          <w:tcPr>
            <w:tcW w:w="1340" w:type="dxa"/>
            <w:noWrap/>
            <w:vAlign w:val="center"/>
            <w:hideMark/>
          </w:tcPr>
          <w:p w:rsidR="00C60153"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Olgu</w:t>
            </w:r>
          </w:p>
          <w:p w:rsidR="00C60153" w:rsidRPr="000A2C1F" w:rsidRDefault="00C60153" w:rsidP="00283CE4">
            <w:pPr>
              <w:spacing w:line="360" w:lineRule="auto"/>
              <w:jc w:val="center"/>
              <w:rPr>
                <w:rFonts w:ascii="Arial" w:hAnsi="Arial" w:cs="Arial"/>
                <w:sz w:val="20"/>
                <w:szCs w:val="20"/>
                <w:lang w:val="en-US"/>
              </w:rPr>
            </w:pPr>
            <w:r w:rsidRPr="000A2C1F">
              <w:rPr>
                <w:rFonts w:ascii="Arial" w:hAnsi="Arial" w:cs="Arial"/>
                <w:sz w:val="20"/>
                <w:szCs w:val="20"/>
                <w:lang w:val="en-US"/>
              </w:rPr>
              <w:t xml:space="preserve"> (n=30)</w:t>
            </w:r>
          </w:p>
        </w:tc>
        <w:tc>
          <w:tcPr>
            <w:tcW w:w="1660" w:type="dxa"/>
            <w:noWrap/>
            <w:vAlign w:val="center"/>
            <w:hideMark/>
          </w:tcPr>
          <w:p w:rsidR="00C60153" w:rsidRPr="000A2C1F"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9.</w:t>
            </w:r>
            <w:r w:rsidRPr="000A2C1F">
              <w:rPr>
                <w:rFonts w:ascii="Arial" w:hAnsi="Arial" w:cs="Arial"/>
                <w:sz w:val="20"/>
                <w:szCs w:val="20"/>
                <w:lang w:val="en-US"/>
              </w:rPr>
              <w:t>67 ± 15</w:t>
            </w:r>
            <w:r>
              <w:rPr>
                <w:rFonts w:ascii="Arial" w:hAnsi="Arial" w:cs="Arial"/>
                <w:sz w:val="20"/>
                <w:szCs w:val="20"/>
                <w:lang w:val="en-US"/>
              </w:rPr>
              <w:t>.</w:t>
            </w:r>
            <w:r w:rsidRPr="000A2C1F">
              <w:rPr>
                <w:rFonts w:ascii="Arial" w:hAnsi="Arial" w:cs="Arial"/>
                <w:sz w:val="20"/>
                <w:szCs w:val="20"/>
                <w:lang w:val="en-US"/>
              </w:rPr>
              <w:t>23</w:t>
            </w:r>
          </w:p>
        </w:tc>
        <w:tc>
          <w:tcPr>
            <w:tcW w:w="2209" w:type="dxa"/>
            <w:noWrap/>
            <w:vAlign w:val="center"/>
            <w:hideMark/>
          </w:tcPr>
          <w:p w:rsidR="00C60153" w:rsidRPr="000A2C1F"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4.</w:t>
            </w:r>
            <w:r w:rsidRPr="000A2C1F">
              <w:rPr>
                <w:rFonts w:ascii="Arial" w:hAnsi="Arial" w:cs="Arial"/>
                <w:sz w:val="20"/>
                <w:szCs w:val="20"/>
                <w:lang w:val="en-US"/>
              </w:rPr>
              <w:t>42 (1</w:t>
            </w:r>
            <w:r>
              <w:rPr>
                <w:rFonts w:ascii="Arial" w:hAnsi="Arial" w:cs="Arial"/>
                <w:sz w:val="20"/>
                <w:szCs w:val="20"/>
                <w:lang w:val="en-US"/>
              </w:rPr>
              <w:t>.</w:t>
            </w:r>
            <w:r w:rsidRPr="000A2C1F">
              <w:rPr>
                <w:rFonts w:ascii="Arial" w:hAnsi="Arial" w:cs="Arial"/>
                <w:sz w:val="20"/>
                <w:szCs w:val="20"/>
                <w:lang w:val="en-US"/>
              </w:rPr>
              <w:t xml:space="preserve">49 </w:t>
            </w:r>
            <w:r>
              <w:rPr>
                <w:rFonts w:ascii="Arial" w:hAnsi="Arial" w:cs="Arial"/>
                <w:sz w:val="20"/>
                <w:szCs w:val="20"/>
                <w:lang w:val="en-US"/>
              </w:rPr>
              <w:t>–</w:t>
            </w:r>
            <w:r w:rsidRPr="000A2C1F">
              <w:rPr>
                <w:rFonts w:ascii="Arial" w:hAnsi="Arial" w:cs="Arial"/>
                <w:sz w:val="20"/>
                <w:szCs w:val="20"/>
                <w:lang w:val="en-US"/>
              </w:rPr>
              <w:t xml:space="preserve"> 83</w:t>
            </w:r>
            <w:r>
              <w:rPr>
                <w:rFonts w:ascii="Arial" w:hAnsi="Arial" w:cs="Arial"/>
                <w:sz w:val="20"/>
                <w:szCs w:val="20"/>
                <w:lang w:val="en-US"/>
              </w:rPr>
              <w:t>.</w:t>
            </w:r>
            <w:r w:rsidRPr="000A2C1F">
              <w:rPr>
                <w:rFonts w:ascii="Arial" w:hAnsi="Arial" w:cs="Arial"/>
                <w:sz w:val="20"/>
                <w:szCs w:val="20"/>
                <w:lang w:val="en-US"/>
              </w:rPr>
              <w:t>87)</w:t>
            </w:r>
          </w:p>
        </w:tc>
        <w:tc>
          <w:tcPr>
            <w:tcW w:w="885" w:type="dxa"/>
            <w:vMerge w:val="restart"/>
            <w:vAlign w:val="center"/>
          </w:tcPr>
          <w:p w:rsidR="00C60153" w:rsidRPr="00AE2DF3" w:rsidRDefault="00C60153" w:rsidP="00283CE4">
            <w:pPr>
              <w:spacing w:line="360" w:lineRule="auto"/>
              <w:jc w:val="center"/>
              <w:rPr>
                <w:rFonts w:ascii="Arial" w:hAnsi="Arial" w:cs="Arial"/>
                <w:sz w:val="20"/>
                <w:szCs w:val="20"/>
                <w:lang w:val="en-US"/>
              </w:rPr>
            </w:pPr>
            <w:r w:rsidRPr="00AE2DF3">
              <w:rPr>
                <w:rFonts w:ascii="Arial" w:hAnsi="Arial" w:cs="Arial"/>
                <w:sz w:val="20"/>
                <w:szCs w:val="20"/>
                <w:lang w:val="en-US"/>
              </w:rPr>
              <w:t>-1.013</w:t>
            </w:r>
          </w:p>
        </w:tc>
        <w:tc>
          <w:tcPr>
            <w:tcW w:w="885" w:type="dxa"/>
            <w:vMerge w:val="restart"/>
            <w:noWrap/>
            <w:vAlign w:val="center"/>
            <w:hideMark/>
          </w:tcPr>
          <w:p w:rsidR="00C60153" w:rsidRPr="000A2C1F" w:rsidRDefault="00C60153" w:rsidP="00283CE4">
            <w:pPr>
              <w:spacing w:line="360" w:lineRule="auto"/>
              <w:jc w:val="center"/>
              <w:rPr>
                <w:rFonts w:ascii="Arial" w:hAnsi="Arial" w:cs="Arial"/>
                <w:sz w:val="20"/>
                <w:szCs w:val="20"/>
                <w:lang w:val="en-US"/>
              </w:rPr>
            </w:pPr>
            <w:r w:rsidRPr="000A2C1F">
              <w:rPr>
                <w:rFonts w:ascii="Arial" w:hAnsi="Arial" w:cs="Arial"/>
                <w:sz w:val="20"/>
                <w:szCs w:val="20"/>
                <w:lang w:val="en-US"/>
              </w:rPr>
              <w:t>0.311</w:t>
            </w:r>
          </w:p>
        </w:tc>
      </w:tr>
      <w:tr w:rsidR="00C60153" w:rsidRPr="000A2C1F" w:rsidTr="00283CE4">
        <w:trPr>
          <w:trHeight w:val="300"/>
        </w:trPr>
        <w:tc>
          <w:tcPr>
            <w:tcW w:w="1754" w:type="dxa"/>
            <w:vMerge/>
            <w:vAlign w:val="center"/>
            <w:hideMark/>
          </w:tcPr>
          <w:p w:rsidR="00C60153" w:rsidRPr="000A2C1F" w:rsidRDefault="00C60153" w:rsidP="00283CE4">
            <w:pPr>
              <w:spacing w:line="360" w:lineRule="auto"/>
              <w:jc w:val="center"/>
              <w:rPr>
                <w:rFonts w:ascii="Arial" w:hAnsi="Arial" w:cs="Arial"/>
                <w:color w:val="000000"/>
                <w:sz w:val="20"/>
                <w:szCs w:val="20"/>
                <w:lang w:val="en-US"/>
              </w:rPr>
            </w:pPr>
          </w:p>
        </w:tc>
        <w:tc>
          <w:tcPr>
            <w:tcW w:w="1340" w:type="dxa"/>
            <w:noWrap/>
            <w:vAlign w:val="center"/>
            <w:hideMark/>
          </w:tcPr>
          <w:p w:rsidR="00C60153" w:rsidRPr="000A2C1F"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K</w:t>
            </w:r>
            <w:r w:rsidRPr="000A2C1F">
              <w:rPr>
                <w:rFonts w:ascii="Arial" w:hAnsi="Arial" w:cs="Arial"/>
                <w:sz w:val="20"/>
                <w:szCs w:val="20"/>
                <w:lang w:val="en-US"/>
              </w:rPr>
              <w:t>ontrol (n=30)</w:t>
            </w:r>
          </w:p>
        </w:tc>
        <w:tc>
          <w:tcPr>
            <w:tcW w:w="1660" w:type="dxa"/>
            <w:noWrap/>
            <w:vAlign w:val="center"/>
            <w:hideMark/>
          </w:tcPr>
          <w:p w:rsidR="00C60153" w:rsidRPr="000A2C1F"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8.57 ± 6.</w:t>
            </w:r>
            <w:r w:rsidRPr="000A2C1F">
              <w:rPr>
                <w:rFonts w:ascii="Arial" w:hAnsi="Arial" w:cs="Arial"/>
                <w:sz w:val="20"/>
                <w:szCs w:val="20"/>
                <w:lang w:val="en-US"/>
              </w:rPr>
              <w:t>51</w:t>
            </w:r>
          </w:p>
        </w:tc>
        <w:tc>
          <w:tcPr>
            <w:tcW w:w="2209" w:type="dxa"/>
            <w:noWrap/>
            <w:vAlign w:val="center"/>
            <w:hideMark/>
          </w:tcPr>
          <w:p w:rsidR="00C60153" w:rsidRPr="000A2C1F"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7,52 (0.13 – 31.</w:t>
            </w:r>
            <w:r w:rsidRPr="000A2C1F">
              <w:rPr>
                <w:rFonts w:ascii="Arial" w:hAnsi="Arial" w:cs="Arial"/>
                <w:sz w:val="20"/>
                <w:szCs w:val="20"/>
                <w:lang w:val="en-US"/>
              </w:rPr>
              <w:t>56)</w:t>
            </w:r>
          </w:p>
        </w:tc>
        <w:tc>
          <w:tcPr>
            <w:tcW w:w="885" w:type="dxa"/>
            <w:vMerge/>
            <w:vAlign w:val="center"/>
          </w:tcPr>
          <w:p w:rsidR="00C60153" w:rsidRPr="00AE2DF3" w:rsidRDefault="00C60153" w:rsidP="00283CE4">
            <w:pPr>
              <w:spacing w:line="360" w:lineRule="auto"/>
              <w:jc w:val="center"/>
              <w:rPr>
                <w:rFonts w:ascii="Arial" w:hAnsi="Arial" w:cs="Arial"/>
                <w:sz w:val="20"/>
                <w:szCs w:val="20"/>
                <w:lang w:val="en-US"/>
              </w:rPr>
            </w:pPr>
          </w:p>
        </w:tc>
        <w:tc>
          <w:tcPr>
            <w:tcW w:w="885" w:type="dxa"/>
            <w:vMerge/>
            <w:vAlign w:val="center"/>
            <w:hideMark/>
          </w:tcPr>
          <w:p w:rsidR="00C60153" w:rsidRPr="000A2C1F" w:rsidRDefault="00C60153" w:rsidP="00283CE4">
            <w:pPr>
              <w:spacing w:line="360" w:lineRule="auto"/>
              <w:jc w:val="center"/>
              <w:rPr>
                <w:rFonts w:ascii="Arial" w:hAnsi="Arial" w:cs="Arial"/>
                <w:sz w:val="20"/>
                <w:szCs w:val="20"/>
                <w:lang w:val="en-US"/>
              </w:rPr>
            </w:pPr>
          </w:p>
        </w:tc>
      </w:tr>
      <w:tr w:rsidR="00C60153" w:rsidRPr="000A2C1F" w:rsidTr="00283CE4">
        <w:trPr>
          <w:trHeight w:val="300"/>
        </w:trPr>
        <w:tc>
          <w:tcPr>
            <w:tcW w:w="1754" w:type="dxa"/>
            <w:vMerge w:val="restart"/>
            <w:vAlign w:val="center"/>
            <w:hideMark/>
          </w:tcPr>
          <w:p w:rsidR="00C60153" w:rsidRPr="0024153C" w:rsidRDefault="00C60153" w:rsidP="00283CE4">
            <w:pPr>
              <w:spacing w:line="360" w:lineRule="auto"/>
              <w:jc w:val="center"/>
              <w:rPr>
                <w:rFonts w:ascii="Arial" w:hAnsi="Arial" w:cs="Arial"/>
                <w:b/>
                <w:color w:val="000000"/>
                <w:sz w:val="20"/>
                <w:szCs w:val="20"/>
                <w:lang w:val="en-US"/>
              </w:rPr>
            </w:pPr>
            <w:r w:rsidRPr="0024153C">
              <w:rPr>
                <w:rFonts w:ascii="Arial" w:hAnsi="Arial" w:cs="Arial"/>
                <w:b/>
                <w:color w:val="000000"/>
                <w:sz w:val="20"/>
                <w:szCs w:val="20"/>
                <w:lang w:val="en-US"/>
              </w:rPr>
              <w:t>miR-4447</w:t>
            </w:r>
          </w:p>
        </w:tc>
        <w:tc>
          <w:tcPr>
            <w:tcW w:w="1340" w:type="dxa"/>
            <w:noWrap/>
            <w:vAlign w:val="center"/>
            <w:hideMark/>
          </w:tcPr>
          <w:p w:rsidR="00C60153"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Olgu</w:t>
            </w:r>
            <w:r w:rsidRPr="000A2C1F">
              <w:rPr>
                <w:rFonts w:ascii="Arial" w:hAnsi="Arial" w:cs="Arial"/>
                <w:sz w:val="20"/>
                <w:szCs w:val="20"/>
                <w:lang w:val="en-US"/>
              </w:rPr>
              <w:t xml:space="preserve"> </w:t>
            </w:r>
          </w:p>
          <w:p w:rsidR="00C60153" w:rsidRPr="000A2C1F" w:rsidRDefault="00C60153" w:rsidP="00283CE4">
            <w:pPr>
              <w:spacing w:line="360" w:lineRule="auto"/>
              <w:jc w:val="center"/>
              <w:rPr>
                <w:rFonts w:ascii="Arial" w:hAnsi="Arial" w:cs="Arial"/>
                <w:sz w:val="20"/>
                <w:szCs w:val="20"/>
                <w:lang w:val="en-US"/>
              </w:rPr>
            </w:pPr>
            <w:r w:rsidRPr="000A2C1F">
              <w:rPr>
                <w:rFonts w:ascii="Arial" w:hAnsi="Arial" w:cs="Arial"/>
                <w:sz w:val="20"/>
                <w:szCs w:val="20"/>
                <w:lang w:val="en-US"/>
              </w:rPr>
              <w:t>(n=30)</w:t>
            </w:r>
          </w:p>
        </w:tc>
        <w:tc>
          <w:tcPr>
            <w:tcW w:w="1660" w:type="dxa"/>
            <w:noWrap/>
            <w:vAlign w:val="center"/>
            <w:hideMark/>
          </w:tcPr>
          <w:p w:rsidR="00C60153" w:rsidRPr="000A2C1F" w:rsidRDefault="00C60153" w:rsidP="00283CE4">
            <w:pPr>
              <w:spacing w:line="360" w:lineRule="auto"/>
              <w:jc w:val="center"/>
              <w:rPr>
                <w:rFonts w:ascii="Arial" w:hAnsi="Arial" w:cs="Arial"/>
                <w:sz w:val="20"/>
                <w:szCs w:val="20"/>
                <w:lang w:val="en-US"/>
              </w:rPr>
            </w:pPr>
            <w:r w:rsidRPr="000A2C1F">
              <w:rPr>
                <w:rFonts w:ascii="Arial" w:hAnsi="Arial" w:cs="Arial"/>
                <w:sz w:val="20"/>
                <w:szCs w:val="20"/>
                <w:lang w:val="en-US"/>
              </w:rPr>
              <w:t>527</w:t>
            </w:r>
            <w:r>
              <w:rPr>
                <w:rFonts w:ascii="Arial" w:hAnsi="Arial" w:cs="Arial"/>
                <w:sz w:val="20"/>
                <w:szCs w:val="20"/>
                <w:lang w:val="en-US"/>
              </w:rPr>
              <w:t>.</w:t>
            </w:r>
            <w:r w:rsidRPr="000A2C1F">
              <w:rPr>
                <w:rFonts w:ascii="Arial" w:hAnsi="Arial" w:cs="Arial"/>
                <w:sz w:val="20"/>
                <w:szCs w:val="20"/>
                <w:lang w:val="en-US"/>
              </w:rPr>
              <w:t>08 ± 107</w:t>
            </w:r>
            <w:r>
              <w:rPr>
                <w:rFonts w:ascii="Arial" w:hAnsi="Arial" w:cs="Arial"/>
                <w:sz w:val="20"/>
                <w:szCs w:val="20"/>
                <w:lang w:val="en-US"/>
              </w:rPr>
              <w:t>9.</w:t>
            </w:r>
            <w:r w:rsidRPr="000A2C1F">
              <w:rPr>
                <w:rFonts w:ascii="Arial" w:hAnsi="Arial" w:cs="Arial"/>
                <w:sz w:val="20"/>
                <w:szCs w:val="20"/>
                <w:lang w:val="en-US"/>
              </w:rPr>
              <w:t>85</w:t>
            </w:r>
          </w:p>
        </w:tc>
        <w:tc>
          <w:tcPr>
            <w:tcW w:w="2209" w:type="dxa"/>
            <w:noWrap/>
            <w:vAlign w:val="center"/>
            <w:hideMark/>
          </w:tcPr>
          <w:p w:rsidR="00C60153" w:rsidRPr="000A2C1F" w:rsidRDefault="00C60153" w:rsidP="00283CE4">
            <w:pPr>
              <w:spacing w:line="360" w:lineRule="auto"/>
              <w:jc w:val="center"/>
              <w:rPr>
                <w:rFonts w:ascii="Arial" w:hAnsi="Arial" w:cs="Arial"/>
                <w:sz w:val="20"/>
                <w:szCs w:val="20"/>
                <w:lang w:val="en-US"/>
              </w:rPr>
            </w:pPr>
            <w:r w:rsidRPr="000A2C1F">
              <w:rPr>
                <w:rFonts w:ascii="Arial" w:hAnsi="Arial" w:cs="Arial"/>
                <w:sz w:val="20"/>
                <w:szCs w:val="20"/>
                <w:lang w:val="en-US"/>
              </w:rPr>
              <w:t>50</w:t>
            </w:r>
            <w:r>
              <w:rPr>
                <w:rFonts w:ascii="Arial" w:hAnsi="Arial" w:cs="Arial"/>
                <w:sz w:val="20"/>
                <w:szCs w:val="20"/>
                <w:lang w:val="en-US"/>
              </w:rPr>
              <w:t>.</w:t>
            </w:r>
            <w:r w:rsidRPr="000A2C1F">
              <w:rPr>
                <w:rFonts w:ascii="Arial" w:hAnsi="Arial" w:cs="Arial"/>
                <w:sz w:val="20"/>
                <w:szCs w:val="20"/>
                <w:lang w:val="en-US"/>
              </w:rPr>
              <w:t xml:space="preserve">52 (0 </w:t>
            </w:r>
            <w:r>
              <w:rPr>
                <w:rFonts w:ascii="Arial" w:hAnsi="Arial" w:cs="Arial"/>
                <w:sz w:val="20"/>
                <w:szCs w:val="20"/>
                <w:lang w:val="en-US"/>
              </w:rPr>
              <w:t>–</w:t>
            </w:r>
            <w:r w:rsidRPr="000A2C1F">
              <w:rPr>
                <w:rFonts w:ascii="Arial" w:hAnsi="Arial" w:cs="Arial"/>
                <w:sz w:val="20"/>
                <w:szCs w:val="20"/>
                <w:lang w:val="en-US"/>
              </w:rPr>
              <w:t xml:space="preserve"> 5148</w:t>
            </w:r>
            <w:r>
              <w:rPr>
                <w:rFonts w:ascii="Arial" w:hAnsi="Arial" w:cs="Arial"/>
                <w:sz w:val="20"/>
                <w:szCs w:val="20"/>
                <w:lang w:val="en-US"/>
              </w:rPr>
              <w:t>.</w:t>
            </w:r>
            <w:r w:rsidRPr="000A2C1F">
              <w:rPr>
                <w:rFonts w:ascii="Arial" w:hAnsi="Arial" w:cs="Arial"/>
                <w:sz w:val="20"/>
                <w:szCs w:val="20"/>
                <w:lang w:val="en-US"/>
              </w:rPr>
              <w:t>73)</w:t>
            </w:r>
          </w:p>
        </w:tc>
        <w:tc>
          <w:tcPr>
            <w:tcW w:w="885" w:type="dxa"/>
            <w:vMerge w:val="restart"/>
            <w:vAlign w:val="center"/>
          </w:tcPr>
          <w:p w:rsidR="00C60153" w:rsidRPr="00AE2DF3" w:rsidRDefault="00C60153" w:rsidP="00283CE4">
            <w:pPr>
              <w:spacing w:line="360" w:lineRule="auto"/>
              <w:jc w:val="center"/>
              <w:rPr>
                <w:rFonts w:ascii="Arial" w:hAnsi="Arial" w:cs="Arial"/>
                <w:sz w:val="20"/>
                <w:szCs w:val="20"/>
                <w:lang w:val="en-US"/>
              </w:rPr>
            </w:pPr>
            <w:r w:rsidRPr="00AE2DF3">
              <w:rPr>
                <w:rFonts w:ascii="Arial" w:hAnsi="Arial" w:cs="Arial"/>
                <w:sz w:val="20"/>
                <w:szCs w:val="20"/>
                <w:lang w:val="en-US"/>
              </w:rPr>
              <w:t>-1.042</w:t>
            </w:r>
          </w:p>
        </w:tc>
        <w:tc>
          <w:tcPr>
            <w:tcW w:w="885" w:type="dxa"/>
            <w:vMerge w:val="restart"/>
            <w:noWrap/>
            <w:vAlign w:val="center"/>
            <w:hideMark/>
          </w:tcPr>
          <w:p w:rsidR="00C60153" w:rsidRPr="000A2C1F" w:rsidRDefault="00C60153" w:rsidP="00283CE4">
            <w:pPr>
              <w:spacing w:line="360" w:lineRule="auto"/>
              <w:jc w:val="center"/>
              <w:rPr>
                <w:rFonts w:ascii="Arial" w:hAnsi="Arial" w:cs="Arial"/>
                <w:sz w:val="20"/>
                <w:szCs w:val="20"/>
                <w:lang w:val="en-US"/>
              </w:rPr>
            </w:pPr>
            <w:r w:rsidRPr="000A2C1F">
              <w:rPr>
                <w:rFonts w:ascii="Arial" w:hAnsi="Arial" w:cs="Arial"/>
                <w:sz w:val="20"/>
                <w:szCs w:val="20"/>
                <w:lang w:val="en-US"/>
              </w:rPr>
              <w:t>0.297</w:t>
            </w:r>
          </w:p>
        </w:tc>
      </w:tr>
      <w:tr w:rsidR="00C60153" w:rsidRPr="000A2C1F" w:rsidTr="00283CE4">
        <w:trPr>
          <w:trHeight w:val="300"/>
        </w:trPr>
        <w:tc>
          <w:tcPr>
            <w:tcW w:w="1754" w:type="dxa"/>
            <w:vMerge/>
            <w:vAlign w:val="center"/>
            <w:hideMark/>
          </w:tcPr>
          <w:p w:rsidR="00C60153" w:rsidRPr="000A2C1F" w:rsidRDefault="00C60153" w:rsidP="00283CE4">
            <w:pPr>
              <w:spacing w:line="360" w:lineRule="auto"/>
              <w:jc w:val="center"/>
              <w:rPr>
                <w:rFonts w:ascii="Arial" w:hAnsi="Arial" w:cs="Arial"/>
                <w:color w:val="000000"/>
                <w:sz w:val="20"/>
                <w:szCs w:val="20"/>
                <w:lang w:val="en-US"/>
              </w:rPr>
            </w:pPr>
          </w:p>
        </w:tc>
        <w:tc>
          <w:tcPr>
            <w:tcW w:w="1340" w:type="dxa"/>
            <w:noWrap/>
            <w:vAlign w:val="center"/>
            <w:hideMark/>
          </w:tcPr>
          <w:p w:rsidR="00C60153" w:rsidRPr="000A2C1F"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K</w:t>
            </w:r>
            <w:r w:rsidRPr="000A2C1F">
              <w:rPr>
                <w:rFonts w:ascii="Arial" w:hAnsi="Arial" w:cs="Arial"/>
                <w:sz w:val="20"/>
                <w:szCs w:val="20"/>
                <w:lang w:val="en-US"/>
              </w:rPr>
              <w:t>ontrol (n=30)</w:t>
            </w:r>
          </w:p>
        </w:tc>
        <w:tc>
          <w:tcPr>
            <w:tcW w:w="1660" w:type="dxa"/>
            <w:noWrap/>
            <w:vAlign w:val="center"/>
            <w:hideMark/>
          </w:tcPr>
          <w:p w:rsidR="00C60153" w:rsidRPr="000A2C1F" w:rsidRDefault="00C60153" w:rsidP="00283CE4">
            <w:pPr>
              <w:spacing w:line="360" w:lineRule="auto"/>
              <w:jc w:val="center"/>
              <w:rPr>
                <w:rFonts w:ascii="Arial" w:hAnsi="Arial" w:cs="Arial"/>
                <w:sz w:val="20"/>
                <w:szCs w:val="20"/>
                <w:lang w:val="en-US"/>
              </w:rPr>
            </w:pPr>
            <w:r w:rsidRPr="000A2C1F">
              <w:rPr>
                <w:rFonts w:ascii="Arial" w:hAnsi="Arial" w:cs="Arial"/>
                <w:sz w:val="20"/>
                <w:szCs w:val="20"/>
                <w:lang w:val="en-US"/>
              </w:rPr>
              <w:t>417</w:t>
            </w:r>
            <w:r>
              <w:rPr>
                <w:rFonts w:ascii="Arial" w:hAnsi="Arial" w:cs="Arial"/>
                <w:sz w:val="20"/>
                <w:szCs w:val="20"/>
                <w:lang w:val="en-US"/>
              </w:rPr>
              <w:t>.</w:t>
            </w:r>
            <w:r w:rsidRPr="000A2C1F">
              <w:rPr>
                <w:rFonts w:ascii="Arial" w:hAnsi="Arial" w:cs="Arial"/>
                <w:sz w:val="20"/>
                <w:szCs w:val="20"/>
                <w:lang w:val="en-US"/>
              </w:rPr>
              <w:t>6 ± 615</w:t>
            </w:r>
            <w:r>
              <w:rPr>
                <w:rFonts w:ascii="Arial" w:hAnsi="Arial" w:cs="Arial"/>
                <w:sz w:val="20"/>
                <w:szCs w:val="20"/>
                <w:lang w:val="en-US"/>
              </w:rPr>
              <w:t>.</w:t>
            </w:r>
            <w:r w:rsidRPr="000A2C1F">
              <w:rPr>
                <w:rFonts w:ascii="Arial" w:hAnsi="Arial" w:cs="Arial"/>
                <w:sz w:val="20"/>
                <w:szCs w:val="20"/>
                <w:lang w:val="en-US"/>
              </w:rPr>
              <w:t>35</w:t>
            </w:r>
          </w:p>
        </w:tc>
        <w:tc>
          <w:tcPr>
            <w:tcW w:w="2209" w:type="dxa"/>
            <w:noWrap/>
            <w:vAlign w:val="center"/>
            <w:hideMark/>
          </w:tcPr>
          <w:p w:rsidR="00C60153" w:rsidRPr="000A2C1F" w:rsidRDefault="00C60153" w:rsidP="00283CE4">
            <w:pPr>
              <w:spacing w:line="360" w:lineRule="auto"/>
              <w:jc w:val="center"/>
              <w:rPr>
                <w:rFonts w:ascii="Arial" w:hAnsi="Arial" w:cs="Arial"/>
                <w:sz w:val="20"/>
                <w:szCs w:val="20"/>
                <w:lang w:val="en-US"/>
              </w:rPr>
            </w:pPr>
            <w:r>
              <w:rPr>
                <w:rFonts w:ascii="Arial" w:hAnsi="Arial" w:cs="Arial"/>
                <w:sz w:val="20"/>
                <w:szCs w:val="20"/>
                <w:lang w:val="en-US"/>
              </w:rPr>
              <w:t>163.</w:t>
            </w:r>
            <w:r w:rsidRPr="000A2C1F">
              <w:rPr>
                <w:rFonts w:ascii="Arial" w:hAnsi="Arial" w:cs="Arial"/>
                <w:sz w:val="20"/>
                <w:szCs w:val="20"/>
                <w:lang w:val="en-US"/>
              </w:rPr>
              <w:t xml:space="preserve">21 (0 </w:t>
            </w:r>
            <w:r>
              <w:rPr>
                <w:rFonts w:ascii="Arial" w:hAnsi="Arial" w:cs="Arial"/>
                <w:sz w:val="20"/>
                <w:szCs w:val="20"/>
                <w:lang w:val="en-US"/>
              </w:rPr>
              <w:t>–</w:t>
            </w:r>
            <w:r w:rsidRPr="000A2C1F">
              <w:rPr>
                <w:rFonts w:ascii="Arial" w:hAnsi="Arial" w:cs="Arial"/>
                <w:sz w:val="20"/>
                <w:szCs w:val="20"/>
                <w:lang w:val="en-US"/>
              </w:rPr>
              <w:t xml:space="preserve"> 2876</w:t>
            </w:r>
            <w:r>
              <w:rPr>
                <w:rFonts w:ascii="Arial" w:hAnsi="Arial" w:cs="Arial"/>
                <w:sz w:val="20"/>
                <w:szCs w:val="20"/>
                <w:lang w:val="en-US"/>
              </w:rPr>
              <w:t>.</w:t>
            </w:r>
            <w:r w:rsidRPr="000A2C1F">
              <w:rPr>
                <w:rFonts w:ascii="Arial" w:hAnsi="Arial" w:cs="Arial"/>
                <w:sz w:val="20"/>
                <w:szCs w:val="20"/>
                <w:lang w:val="en-US"/>
              </w:rPr>
              <w:t>3)</w:t>
            </w:r>
          </w:p>
        </w:tc>
        <w:tc>
          <w:tcPr>
            <w:tcW w:w="885" w:type="dxa"/>
            <w:vMerge/>
          </w:tcPr>
          <w:p w:rsidR="00C60153" w:rsidRPr="000A2C1F" w:rsidRDefault="00C60153" w:rsidP="00283CE4">
            <w:pPr>
              <w:spacing w:line="360" w:lineRule="auto"/>
              <w:jc w:val="center"/>
              <w:rPr>
                <w:rFonts w:ascii="Arial" w:hAnsi="Arial" w:cs="Arial"/>
                <w:sz w:val="20"/>
                <w:szCs w:val="20"/>
                <w:lang w:val="en-US"/>
              </w:rPr>
            </w:pPr>
          </w:p>
        </w:tc>
        <w:tc>
          <w:tcPr>
            <w:tcW w:w="885" w:type="dxa"/>
            <w:vMerge/>
            <w:vAlign w:val="center"/>
            <w:hideMark/>
          </w:tcPr>
          <w:p w:rsidR="00C60153" w:rsidRPr="000A2C1F" w:rsidRDefault="00C60153" w:rsidP="00283CE4">
            <w:pPr>
              <w:spacing w:line="360" w:lineRule="auto"/>
              <w:jc w:val="center"/>
              <w:rPr>
                <w:rFonts w:ascii="Arial" w:hAnsi="Arial" w:cs="Arial"/>
                <w:sz w:val="20"/>
                <w:szCs w:val="20"/>
                <w:lang w:val="en-US"/>
              </w:rPr>
            </w:pPr>
          </w:p>
        </w:tc>
      </w:tr>
    </w:tbl>
    <w:p w:rsidR="00C60153" w:rsidRPr="00766CEC" w:rsidRDefault="00C60153" w:rsidP="00C60153">
      <w:pPr>
        <w:tabs>
          <w:tab w:val="left" w:pos="5960"/>
        </w:tabs>
        <w:rPr>
          <w:rFonts w:ascii="Arial" w:hAnsi="Arial" w:cs="Arial"/>
          <w:sz w:val="22"/>
          <w:szCs w:val="22"/>
        </w:rPr>
      </w:pPr>
      <w:r w:rsidRPr="00766CEC">
        <w:rPr>
          <w:rFonts w:ascii="Arial" w:hAnsi="Arial" w:cs="Arial"/>
          <w:sz w:val="22"/>
          <w:szCs w:val="22"/>
        </w:rPr>
        <w:t>Mann Whitney U testi kullanılmıştır. p &lt; 0.05 anlamlıdır.</w:t>
      </w:r>
      <w:r w:rsidRPr="00766CEC">
        <w:rPr>
          <w:rFonts w:ascii="Arial" w:hAnsi="Arial" w:cs="Arial"/>
          <w:sz w:val="22"/>
          <w:szCs w:val="22"/>
        </w:rPr>
        <w:tab/>
      </w:r>
    </w:p>
    <w:p w:rsidR="00C60153" w:rsidRDefault="00C60153" w:rsidP="00C60153">
      <w:pPr>
        <w:tabs>
          <w:tab w:val="left" w:pos="5960"/>
        </w:tabs>
        <w:rPr>
          <w:rFonts w:ascii="Arial" w:hAnsi="Arial" w:cs="Arial"/>
        </w:rPr>
      </w:pPr>
      <w:r>
        <w:rPr>
          <w:rFonts w:ascii="Arial" w:hAnsi="Arial" w:cs="Arial"/>
        </w:rPr>
        <w:tab/>
      </w:r>
    </w:p>
    <w:p w:rsidR="00C60153" w:rsidRPr="00766CEC" w:rsidRDefault="00C60153" w:rsidP="00C60153">
      <w:pPr>
        <w:tabs>
          <w:tab w:val="left" w:pos="5960"/>
        </w:tabs>
        <w:spacing w:line="360" w:lineRule="auto"/>
        <w:jc w:val="both"/>
        <w:rPr>
          <w:rFonts w:ascii="Arial" w:hAnsi="Arial" w:cs="Arial"/>
          <w:sz w:val="22"/>
          <w:szCs w:val="22"/>
        </w:rPr>
      </w:pPr>
      <w:r>
        <w:rPr>
          <w:rFonts w:ascii="Arial" w:hAnsi="Arial" w:cs="Arial"/>
        </w:rPr>
        <w:t xml:space="preserve">        </w:t>
      </w:r>
      <w:r w:rsidRPr="00766CEC">
        <w:rPr>
          <w:rFonts w:ascii="Arial" w:hAnsi="Arial" w:cs="Arial"/>
          <w:sz w:val="22"/>
          <w:szCs w:val="22"/>
        </w:rPr>
        <w:t xml:space="preserve">ANCOVA ile yaş ve cinsiyet açısından kontrol edildiğinde, DEHB ile kontrol grubu arasında miR-107 düzeyleri açısından anlamlı bir farklılık bulunmamıştır. </w:t>
      </w:r>
      <w:r w:rsidRPr="00766CEC">
        <w:rPr>
          <w:rFonts w:ascii="Arial" w:hAnsi="Arial" w:cs="Arial"/>
          <w:sz w:val="22"/>
          <w:szCs w:val="22"/>
        </w:rPr>
        <w:lastRenderedPageBreak/>
        <w:t xml:space="preserve">ANCOVA testi ile cinsiyet açısından kontrol edildiğinde, DEHB ile kontrol grubu arasında miR-4447 düzeyleri açısından anlamlı bir farklılık saptanmamıştır. </w:t>
      </w:r>
    </w:p>
    <w:p w:rsidR="00C60153" w:rsidRPr="00766CEC" w:rsidRDefault="00C60153" w:rsidP="00C60153">
      <w:pPr>
        <w:spacing w:line="360" w:lineRule="auto"/>
        <w:ind w:firstLine="567"/>
        <w:contextualSpacing/>
        <w:jc w:val="both"/>
        <w:rPr>
          <w:rFonts w:ascii="Arial" w:hAnsi="Arial" w:cs="Arial"/>
          <w:b/>
          <w:sz w:val="22"/>
          <w:szCs w:val="22"/>
          <w:shd w:val="clear" w:color="auto" w:fill="FFFFFF"/>
        </w:rPr>
      </w:pPr>
      <w:r w:rsidRPr="00766CEC">
        <w:rPr>
          <w:rFonts w:ascii="Arial" w:hAnsi="Arial" w:cs="Arial"/>
          <w:b/>
          <w:sz w:val="22"/>
          <w:szCs w:val="22"/>
        </w:rPr>
        <w:t>Periferik Kan m</w:t>
      </w:r>
      <w:r w:rsidRPr="00766CEC">
        <w:rPr>
          <w:rFonts w:ascii="Arial" w:hAnsi="Arial" w:cs="Arial"/>
          <w:b/>
          <w:sz w:val="22"/>
          <w:szCs w:val="22"/>
          <w:shd w:val="clear" w:color="auto" w:fill="FFFFFF"/>
        </w:rPr>
        <w:t>iR-5692b, miR-let-7d, miR-124-3p, miR-107, miR-4447’nin Relatif Kantitasyon Değerlerinin Yaş ve Cinsiyetle İlişkisi</w:t>
      </w:r>
    </w:p>
    <w:p w:rsidR="00C60153" w:rsidRDefault="00C60153" w:rsidP="00C60153">
      <w:pPr>
        <w:spacing w:line="360" w:lineRule="auto"/>
        <w:ind w:firstLine="567"/>
        <w:contextualSpacing/>
        <w:jc w:val="both"/>
        <w:rPr>
          <w:rFonts w:ascii="Arial" w:hAnsi="Arial" w:cs="Arial"/>
          <w:sz w:val="22"/>
          <w:szCs w:val="22"/>
        </w:rPr>
      </w:pPr>
      <w:r w:rsidRPr="00766CEC">
        <w:rPr>
          <w:rFonts w:ascii="Arial" w:hAnsi="Arial" w:cs="Arial"/>
          <w:sz w:val="22"/>
          <w:szCs w:val="22"/>
          <w:shd w:val="clear" w:color="auto" w:fill="FFFFFF"/>
        </w:rPr>
        <w:t xml:space="preserve">Olgu grubundaki kızlarda ortalama relatif kantitasyon değeri miR-107 için </w:t>
      </w:r>
      <w:r w:rsidRPr="00766CEC">
        <w:rPr>
          <w:rFonts w:ascii="Arial" w:hAnsi="Arial" w:cs="Arial"/>
          <w:sz w:val="22"/>
          <w:szCs w:val="22"/>
        </w:rPr>
        <w:t>8.78 ± 6.84,  miR-124-3p için 1057.93 ± 2312.77, miR-5692b için 1026.16 ± 1914.92, miR-let-7d için 3.26 ± 2.09, miR-4447 için 46.35 ± 85.51 bulunmuştur. Ortanca</w:t>
      </w:r>
      <w:r w:rsidRPr="00766CEC">
        <w:rPr>
          <w:rFonts w:ascii="Arial" w:hAnsi="Arial" w:cs="Arial"/>
          <w:sz w:val="22"/>
          <w:szCs w:val="22"/>
          <w:shd w:val="clear" w:color="auto" w:fill="FFFFFF"/>
        </w:rPr>
        <w:t xml:space="preserve"> miR-107 değeri </w:t>
      </w:r>
      <w:r w:rsidRPr="00766CEC">
        <w:rPr>
          <w:rFonts w:ascii="Arial" w:hAnsi="Arial" w:cs="Arial"/>
          <w:sz w:val="22"/>
          <w:szCs w:val="22"/>
        </w:rPr>
        <w:t xml:space="preserve">8.11 (1.49 – 17.63), </w:t>
      </w:r>
      <w:r w:rsidRPr="00766CEC">
        <w:rPr>
          <w:rFonts w:ascii="Arial" w:hAnsi="Arial" w:cs="Arial"/>
          <w:sz w:val="22"/>
          <w:szCs w:val="22"/>
          <w:shd w:val="clear" w:color="auto" w:fill="FFFFFF"/>
        </w:rPr>
        <w:t xml:space="preserve">miR-124-3p değeri </w:t>
      </w:r>
      <w:r w:rsidRPr="00766CEC">
        <w:rPr>
          <w:rFonts w:ascii="Arial" w:hAnsi="Arial" w:cs="Arial"/>
          <w:sz w:val="22"/>
          <w:szCs w:val="22"/>
        </w:rPr>
        <w:t xml:space="preserve">2 (0 – 6208.38), </w:t>
      </w:r>
      <w:r w:rsidRPr="00766CEC">
        <w:rPr>
          <w:rFonts w:ascii="Arial" w:hAnsi="Arial" w:cs="Arial"/>
          <w:sz w:val="22"/>
          <w:szCs w:val="22"/>
          <w:shd w:val="clear" w:color="auto" w:fill="FFFFFF"/>
        </w:rPr>
        <w:t xml:space="preserve">miR-5692b değeri </w:t>
      </w:r>
      <w:r w:rsidRPr="00766CEC">
        <w:rPr>
          <w:rFonts w:ascii="Arial" w:hAnsi="Arial" w:cs="Arial"/>
          <w:sz w:val="22"/>
          <w:szCs w:val="22"/>
        </w:rPr>
        <w:t xml:space="preserve">30,91 (0 – 5220.6), </w:t>
      </w:r>
      <w:r w:rsidRPr="00766CEC">
        <w:rPr>
          <w:rFonts w:ascii="Arial" w:hAnsi="Arial" w:cs="Arial"/>
          <w:sz w:val="22"/>
          <w:szCs w:val="22"/>
          <w:shd w:val="clear" w:color="auto" w:fill="FFFFFF"/>
        </w:rPr>
        <w:t xml:space="preserve">miR-let-7d değeri </w:t>
      </w:r>
      <w:r w:rsidRPr="00766CEC">
        <w:rPr>
          <w:rFonts w:ascii="Arial" w:hAnsi="Arial" w:cs="Arial"/>
          <w:sz w:val="22"/>
          <w:szCs w:val="22"/>
        </w:rPr>
        <w:t xml:space="preserve">2.51 (0.63 – 6.82), </w:t>
      </w:r>
      <w:r w:rsidRPr="00766CEC">
        <w:rPr>
          <w:rFonts w:ascii="Arial" w:hAnsi="Arial" w:cs="Arial"/>
          <w:sz w:val="22"/>
          <w:szCs w:val="22"/>
          <w:shd w:val="clear" w:color="auto" w:fill="FFFFFF"/>
        </w:rPr>
        <w:t xml:space="preserve">miR-4447 değeri </w:t>
      </w:r>
      <w:r w:rsidRPr="00766CEC">
        <w:rPr>
          <w:rFonts w:ascii="Arial" w:hAnsi="Arial" w:cs="Arial"/>
          <w:sz w:val="22"/>
          <w:szCs w:val="22"/>
        </w:rPr>
        <w:t xml:space="preserve">0.01 (0 – 229.13) saptanmıştır. </w:t>
      </w:r>
      <w:r w:rsidRPr="00766CEC">
        <w:rPr>
          <w:rFonts w:ascii="Arial" w:hAnsi="Arial" w:cs="Arial"/>
          <w:sz w:val="22"/>
          <w:szCs w:val="22"/>
          <w:shd w:val="clear" w:color="auto" w:fill="FFFFFF"/>
        </w:rPr>
        <w:t xml:space="preserve">Erkeklerde ise, ortalama relatif kantitasyon değeri miR-107 için </w:t>
      </w:r>
      <w:r w:rsidRPr="00766CEC">
        <w:rPr>
          <w:rFonts w:ascii="Arial" w:hAnsi="Arial" w:cs="Arial"/>
          <w:sz w:val="22"/>
          <w:szCs w:val="22"/>
        </w:rPr>
        <w:t>9.94 ± 17.11,  miR-124-3p için 1069.24 ± 2216.34, miR-5692b için 898.67 ± 1488.89, miR-let-7d için 2.32 ± 2.08, miR-4447 için 673.4 ± 1199.67 bulunmuştur. Ortanca</w:t>
      </w:r>
      <w:r w:rsidRPr="00766CEC">
        <w:rPr>
          <w:rFonts w:ascii="Arial" w:hAnsi="Arial" w:cs="Arial"/>
          <w:sz w:val="22"/>
          <w:szCs w:val="22"/>
          <w:shd w:val="clear" w:color="auto" w:fill="FFFFFF"/>
        </w:rPr>
        <w:t xml:space="preserve"> miR-107 değeri</w:t>
      </w:r>
      <w:r w:rsidRPr="00766CEC">
        <w:rPr>
          <w:rFonts w:ascii="Arial" w:hAnsi="Arial" w:cs="Arial"/>
          <w:sz w:val="22"/>
          <w:szCs w:val="22"/>
        </w:rPr>
        <w:t xml:space="preserve">4.35 (1.51 – 83.87), </w:t>
      </w:r>
      <w:r w:rsidRPr="00766CEC">
        <w:rPr>
          <w:rFonts w:ascii="Arial" w:hAnsi="Arial" w:cs="Arial"/>
          <w:sz w:val="22"/>
          <w:szCs w:val="22"/>
          <w:shd w:val="clear" w:color="auto" w:fill="FFFFFF"/>
        </w:rPr>
        <w:t>miR-124-3p değeri</w:t>
      </w:r>
      <w:r w:rsidRPr="00766CEC">
        <w:rPr>
          <w:rFonts w:ascii="Arial" w:hAnsi="Arial" w:cs="Arial"/>
          <w:sz w:val="22"/>
          <w:szCs w:val="22"/>
        </w:rPr>
        <w:t xml:space="preserve">0 (0 – 8248.98), </w:t>
      </w:r>
      <w:r w:rsidRPr="00766CEC">
        <w:rPr>
          <w:rFonts w:ascii="Arial" w:hAnsi="Arial" w:cs="Arial"/>
          <w:sz w:val="22"/>
          <w:szCs w:val="22"/>
          <w:shd w:val="clear" w:color="auto" w:fill="FFFFFF"/>
        </w:rPr>
        <w:t xml:space="preserve">miR-5692b değeri </w:t>
      </w:r>
      <w:r w:rsidRPr="00766CEC">
        <w:rPr>
          <w:rFonts w:ascii="Arial" w:hAnsi="Arial" w:cs="Arial"/>
          <w:sz w:val="22"/>
          <w:szCs w:val="22"/>
        </w:rPr>
        <w:t xml:space="preserve">359.54 (0.11 – 5367.37), </w:t>
      </w:r>
      <w:r w:rsidRPr="00766CEC">
        <w:rPr>
          <w:rFonts w:ascii="Arial" w:hAnsi="Arial" w:cs="Arial"/>
          <w:sz w:val="22"/>
          <w:szCs w:val="22"/>
          <w:shd w:val="clear" w:color="auto" w:fill="FFFFFF"/>
        </w:rPr>
        <w:t xml:space="preserve">miR-let-7d değeri </w:t>
      </w:r>
      <w:r w:rsidRPr="00766CEC">
        <w:rPr>
          <w:rFonts w:ascii="Arial" w:hAnsi="Arial" w:cs="Arial"/>
          <w:sz w:val="22"/>
          <w:szCs w:val="22"/>
        </w:rPr>
        <w:t xml:space="preserve">1.37 (0.49 – 8.11), </w:t>
      </w:r>
      <w:r w:rsidRPr="00766CEC">
        <w:rPr>
          <w:rFonts w:ascii="Arial" w:hAnsi="Arial" w:cs="Arial"/>
          <w:sz w:val="22"/>
          <w:szCs w:val="22"/>
          <w:shd w:val="clear" w:color="auto" w:fill="FFFFFF"/>
        </w:rPr>
        <w:t xml:space="preserve">miR-4447 değeri </w:t>
      </w:r>
      <w:r w:rsidRPr="00766CEC">
        <w:rPr>
          <w:rFonts w:ascii="Arial" w:hAnsi="Arial" w:cs="Arial"/>
          <w:sz w:val="22"/>
          <w:szCs w:val="22"/>
        </w:rPr>
        <w:t xml:space="preserve">224.41 (0 – 5148.73) saptanmıştır. </w:t>
      </w:r>
      <w:r w:rsidR="00766CEC" w:rsidRPr="00766CEC">
        <w:rPr>
          <w:rFonts w:ascii="Arial" w:hAnsi="Arial" w:cs="Arial"/>
          <w:sz w:val="22"/>
          <w:szCs w:val="22"/>
        </w:rPr>
        <w:t xml:space="preserve">Olgu grubunda miR-4447’nin relatif kantitasyon değerinin cinsiyete göre farklıklşatığı saptanılmıştır </w:t>
      </w:r>
      <w:r w:rsidR="00766CEC" w:rsidRPr="00766CEC">
        <w:rPr>
          <w:rFonts w:ascii="Arial" w:hAnsi="Arial" w:cs="Arial"/>
          <w:b/>
          <w:sz w:val="22"/>
          <w:szCs w:val="22"/>
        </w:rPr>
        <w:t>(p = 0.029)</w:t>
      </w:r>
      <w:r w:rsidR="00766CEC" w:rsidRPr="00766CEC">
        <w:rPr>
          <w:rFonts w:ascii="Arial" w:hAnsi="Arial" w:cs="Arial"/>
          <w:sz w:val="22"/>
          <w:szCs w:val="22"/>
        </w:rPr>
        <w:t xml:space="preserve"> (Tablo 26).</w:t>
      </w:r>
    </w:p>
    <w:p w:rsidR="00766CEC" w:rsidRPr="00766CEC" w:rsidRDefault="00766CEC" w:rsidP="00C60153">
      <w:pPr>
        <w:spacing w:line="360" w:lineRule="auto"/>
        <w:ind w:firstLine="567"/>
        <w:contextualSpacing/>
        <w:jc w:val="both"/>
        <w:rPr>
          <w:rFonts w:ascii="Arial" w:hAnsi="Arial" w:cs="Arial"/>
          <w:sz w:val="22"/>
          <w:szCs w:val="22"/>
          <w:shd w:val="clear" w:color="auto" w:fill="FFFFFF"/>
        </w:rPr>
      </w:pPr>
    </w:p>
    <w:p w:rsidR="00C60153" w:rsidRPr="00766CEC" w:rsidRDefault="00C60153" w:rsidP="00C60153">
      <w:pPr>
        <w:rPr>
          <w:rFonts w:ascii="Arial" w:hAnsi="Arial" w:cs="Arial"/>
          <w:sz w:val="22"/>
          <w:szCs w:val="22"/>
        </w:rPr>
      </w:pPr>
      <w:r w:rsidRPr="00766CEC">
        <w:rPr>
          <w:rFonts w:ascii="Arial" w:hAnsi="Arial" w:cs="Arial"/>
          <w:sz w:val="22"/>
          <w:szCs w:val="22"/>
        </w:rPr>
        <w:t>Tablo 26. Olgu grubunda cinsiyet ile periferik kan m</w:t>
      </w:r>
      <w:r w:rsidRPr="00766CEC">
        <w:rPr>
          <w:rFonts w:ascii="Arial" w:hAnsi="Arial" w:cs="Arial"/>
          <w:sz w:val="22"/>
          <w:szCs w:val="22"/>
          <w:shd w:val="clear" w:color="auto" w:fill="FFFFFF"/>
        </w:rPr>
        <w:t>iR-5692b, miR-Let-7d, miR-124-3p, miR-107, miR-4447’nin relatif kantitasyon değerlerinin ilişkisi</w:t>
      </w:r>
    </w:p>
    <w:tbl>
      <w:tblPr>
        <w:tblStyle w:val="TabloKlavuzu"/>
        <w:tblW w:w="8962" w:type="dxa"/>
        <w:tblLayout w:type="fixed"/>
        <w:tblLook w:val="04A0" w:firstRow="1" w:lastRow="0" w:firstColumn="1" w:lastColumn="0" w:noHBand="0" w:noVBand="1"/>
      </w:tblPr>
      <w:tblGrid>
        <w:gridCol w:w="1362"/>
        <w:gridCol w:w="995"/>
        <w:gridCol w:w="1996"/>
        <w:gridCol w:w="3045"/>
        <w:gridCol w:w="810"/>
        <w:gridCol w:w="754"/>
      </w:tblGrid>
      <w:tr w:rsidR="00C60153" w:rsidRPr="00766CEC" w:rsidTr="00283CE4">
        <w:trPr>
          <w:trHeight w:val="300"/>
        </w:trPr>
        <w:tc>
          <w:tcPr>
            <w:tcW w:w="1362" w:type="dxa"/>
            <w:noWrap/>
            <w:vAlign w:val="center"/>
            <w:hideMark/>
          </w:tcPr>
          <w:p w:rsidR="00C60153" w:rsidRPr="00766CEC" w:rsidRDefault="00C60153" w:rsidP="00283CE4">
            <w:pPr>
              <w:jc w:val="center"/>
              <w:rPr>
                <w:rFonts w:ascii="Arial" w:hAnsi="Arial" w:cs="Arial"/>
                <w:sz w:val="16"/>
                <w:szCs w:val="16"/>
              </w:rPr>
            </w:pPr>
          </w:p>
        </w:tc>
        <w:tc>
          <w:tcPr>
            <w:tcW w:w="995" w:type="dxa"/>
            <w:noWrap/>
            <w:vAlign w:val="center"/>
            <w:hideMark/>
          </w:tcPr>
          <w:p w:rsidR="00C60153" w:rsidRPr="00766CEC" w:rsidRDefault="00C60153" w:rsidP="00283CE4">
            <w:pPr>
              <w:jc w:val="center"/>
              <w:rPr>
                <w:rFonts w:ascii="Arial" w:hAnsi="Arial" w:cs="Arial"/>
                <w:b/>
                <w:sz w:val="16"/>
                <w:szCs w:val="16"/>
              </w:rPr>
            </w:pPr>
            <w:r w:rsidRPr="00766CEC">
              <w:rPr>
                <w:rFonts w:ascii="Arial" w:hAnsi="Arial" w:cs="Arial"/>
                <w:b/>
                <w:sz w:val="16"/>
                <w:szCs w:val="16"/>
              </w:rPr>
              <w:t>Cinsiyet</w:t>
            </w:r>
          </w:p>
        </w:tc>
        <w:tc>
          <w:tcPr>
            <w:tcW w:w="1996" w:type="dxa"/>
            <w:noWrap/>
            <w:vAlign w:val="center"/>
            <w:hideMark/>
          </w:tcPr>
          <w:p w:rsidR="00C60153" w:rsidRPr="00766CEC" w:rsidRDefault="00C60153" w:rsidP="00283CE4">
            <w:pPr>
              <w:jc w:val="center"/>
              <w:rPr>
                <w:rFonts w:ascii="Arial" w:hAnsi="Arial" w:cs="Arial"/>
                <w:b/>
                <w:sz w:val="16"/>
                <w:szCs w:val="16"/>
              </w:rPr>
            </w:pPr>
            <w:r w:rsidRPr="00766CEC">
              <w:rPr>
                <w:rFonts w:ascii="Arial" w:hAnsi="Arial" w:cs="Arial"/>
                <w:b/>
                <w:sz w:val="16"/>
                <w:szCs w:val="16"/>
              </w:rPr>
              <w:t xml:space="preserve">Ort </w:t>
            </w:r>
            <w:r w:rsidRPr="00766CEC">
              <w:rPr>
                <w:rFonts w:ascii="Arial" w:hAnsi="Arial" w:cs="Arial"/>
                <w:b/>
                <w:sz w:val="16"/>
                <w:szCs w:val="16"/>
                <w:u w:val="single"/>
              </w:rPr>
              <w:t>+</w:t>
            </w:r>
            <w:r w:rsidRPr="00766CEC">
              <w:rPr>
                <w:rFonts w:ascii="Arial" w:hAnsi="Arial" w:cs="Arial"/>
                <w:b/>
                <w:sz w:val="16"/>
                <w:szCs w:val="16"/>
              </w:rPr>
              <w:t xml:space="preserve"> SS</w:t>
            </w:r>
          </w:p>
        </w:tc>
        <w:tc>
          <w:tcPr>
            <w:tcW w:w="3045" w:type="dxa"/>
            <w:noWrap/>
            <w:vAlign w:val="center"/>
            <w:hideMark/>
          </w:tcPr>
          <w:p w:rsidR="00C60153" w:rsidRPr="00766CEC" w:rsidRDefault="00C60153" w:rsidP="00283CE4">
            <w:pPr>
              <w:jc w:val="center"/>
              <w:rPr>
                <w:rFonts w:ascii="Arial" w:hAnsi="Arial" w:cs="Arial"/>
                <w:b/>
                <w:sz w:val="16"/>
                <w:szCs w:val="16"/>
              </w:rPr>
            </w:pPr>
            <w:r w:rsidRPr="00766CEC">
              <w:rPr>
                <w:rFonts w:ascii="Arial" w:hAnsi="Arial" w:cs="Arial"/>
                <w:b/>
                <w:sz w:val="16"/>
                <w:szCs w:val="16"/>
              </w:rPr>
              <w:t>Med. (min-maks)</w:t>
            </w:r>
          </w:p>
        </w:tc>
        <w:tc>
          <w:tcPr>
            <w:tcW w:w="810" w:type="dxa"/>
            <w:noWrap/>
            <w:vAlign w:val="center"/>
            <w:hideMark/>
          </w:tcPr>
          <w:p w:rsidR="00C60153" w:rsidRPr="00766CEC" w:rsidRDefault="00C60153" w:rsidP="00283CE4">
            <w:pPr>
              <w:jc w:val="center"/>
              <w:rPr>
                <w:rFonts w:ascii="Arial" w:hAnsi="Arial" w:cs="Arial"/>
                <w:b/>
                <w:sz w:val="16"/>
                <w:szCs w:val="16"/>
              </w:rPr>
            </w:pPr>
            <w:r w:rsidRPr="00766CEC">
              <w:rPr>
                <w:rFonts w:ascii="Arial" w:hAnsi="Arial" w:cs="Arial"/>
                <w:b/>
                <w:sz w:val="16"/>
                <w:szCs w:val="16"/>
              </w:rPr>
              <w:t>z</w:t>
            </w:r>
          </w:p>
        </w:tc>
        <w:tc>
          <w:tcPr>
            <w:tcW w:w="754" w:type="dxa"/>
            <w:vAlign w:val="center"/>
          </w:tcPr>
          <w:p w:rsidR="00C60153" w:rsidRPr="00766CEC" w:rsidRDefault="00C60153" w:rsidP="00283CE4">
            <w:pPr>
              <w:jc w:val="center"/>
              <w:rPr>
                <w:rFonts w:ascii="Arial" w:hAnsi="Arial" w:cs="Arial"/>
                <w:b/>
                <w:sz w:val="16"/>
                <w:szCs w:val="16"/>
              </w:rPr>
            </w:pPr>
            <w:r w:rsidRPr="00766CEC">
              <w:rPr>
                <w:rFonts w:ascii="Arial" w:hAnsi="Arial" w:cs="Arial"/>
                <w:b/>
                <w:sz w:val="16"/>
                <w:szCs w:val="16"/>
              </w:rPr>
              <w:t>p</w:t>
            </w:r>
          </w:p>
        </w:tc>
      </w:tr>
      <w:tr w:rsidR="00C60153" w:rsidRPr="00766CEC" w:rsidTr="00283CE4">
        <w:trPr>
          <w:trHeight w:val="600"/>
        </w:trPr>
        <w:tc>
          <w:tcPr>
            <w:tcW w:w="1362" w:type="dxa"/>
            <w:vMerge w:val="restart"/>
            <w:vAlign w:val="center"/>
            <w:hideMark/>
          </w:tcPr>
          <w:p w:rsidR="00C60153" w:rsidRPr="00766CEC" w:rsidRDefault="00C60153" w:rsidP="00283CE4">
            <w:pPr>
              <w:jc w:val="center"/>
              <w:rPr>
                <w:rFonts w:ascii="Arial" w:hAnsi="Arial" w:cs="Arial"/>
                <w:color w:val="000000"/>
                <w:sz w:val="18"/>
                <w:szCs w:val="18"/>
              </w:rPr>
            </w:pPr>
            <w:r w:rsidRPr="00766CEC">
              <w:rPr>
                <w:rFonts w:ascii="Arial" w:hAnsi="Arial" w:cs="Arial"/>
                <w:b/>
                <w:sz w:val="18"/>
                <w:szCs w:val="18"/>
              </w:rPr>
              <w:t>m</w:t>
            </w:r>
            <w:r w:rsidRPr="00766CEC">
              <w:rPr>
                <w:rFonts w:ascii="Arial" w:hAnsi="Arial" w:cs="Arial"/>
                <w:b/>
                <w:sz w:val="18"/>
                <w:szCs w:val="18"/>
                <w:shd w:val="clear" w:color="auto" w:fill="FFFFFF"/>
              </w:rPr>
              <w:t>iR-</w:t>
            </w:r>
            <w:r w:rsidRPr="00766CEC">
              <w:rPr>
                <w:rFonts w:ascii="Arial" w:hAnsi="Arial" w:cs="Arial"/>
                <w:b/>
                <w:sz w:val="18"/>
                <w:szCs w:val="18"/>
              </w:rPr>
              <w:t>107</w:t>
            </w:r>
          </w:p>
        </w:tc>
        <w:tc>
          <w:tcPr>
            <w:tcW w:w="995" w:type="dxa"/>
            <w:vAlign w:val="center"/>
            <w:hideMark/>
          </w:tcPr>
          <w:p w:rsidR="00C60153" w:rsidRPr="00766CEC" w:rsidRDefault="00C60153" w:rsidP="00283CE4">
            <w:pPr>
              <w:jc w:val="center"/>
              <w:rPr>
                <w:rFonts w:ascii="Arial" w:hAnsi="Arial" w:cs="Arial"/>
                <w:color w:val="000000"/>
                <w:sz w:val="18"/>
                <w:szCs w:val="18"/>
              </w:rPr>
            </w:pPr>
            <w:r w:rsidRPr="00766CEC">
              <w:rPr>
                <w:rFonts w:ascii="Arial" w:hAnsi="Arial" w:cs="Arial"/>
                <w:color w:val="000000"/>
                <w:sz w:val="18"/>
                <w:szCs w:val="18"/>
              </w:rPr>
              <w:t>Erkek</w:t>
            </w:r>
          </w:p>
        </w:tc>
        <w:tc>
          <w:tcPr>
            <w:tcW w:w="1996"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9.94 ± 17.11</w:t>
            </w:r>
          </w:p>
        </w:tc>
        <w:tc>
          <w:tcPr>
            <w:tcW w:w="3045"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4.35 (1.51 – 83.87)</w:t>
            </w:r>
          </w:p>
        </w:tc>
        <w:tc>
          <w:tcPr>
            <w:tcW w:w="810" w:type="dxa"/>
            <w:vMerge w:val="restart"/>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-0.074</w:t>
            </w:r>
          </w:p>
        </w:tc>
        <w:tc>
          <w:tcPr>
            <w:tcW w:w="754" w:type="dxa"/>
            <w:vMerge w:val="restart"/>
            <w:vAlign w:val="center"/>
          </w:tcPr>
          <w:p w:rsidR="00C60153" w:rsidRPr="00766CEC" w:rsidRDefault="00C60153" w:rsidP="00283CE4">
            <w:pPr>
              <w:jc w:val="center"/>
              <w:rPr>
                <w:rFonts w:ascii="Arial" w:hAnsi="Arial" w:cs="Arial"/>
                <w:sz w:val="18"/>
                <w:szCs w:val="18"/>
              </w:rPr>
            </w:pPr>
            <w:r w:rsidRPr="00766CEC">
              <w:rPr>
                <w:rFonts w:ascii="Arial" w:hAnsi="Arial" w:cs="Arial"/>
                <w:sz w:val="18"/>
                <w:szCs w:val="18"/>
              </w:rPr>
              <w:t>0.962</w:t>
            </w:r>
          </w:p>
        </w:tc>
      </w:tr>
      <w:tr w:rsidR="00C60153" w:rsidRPr="00766CEC" w:rsidTr="00283CE4">
        <w:trPr>
          <w:trHeight w:val="529"/>
        </w:trPr>
        <w:tc>
          <w:tcPr>
            <w:tcW w:w="1362" w:type="dxa"/>
            <w:vMerge/>
            <w:vAlign w:val="center"/>
            <w:hideMark/>
          </w:tcPr>
          <w:p w:rsidR="00C60153" w:rsidRPr="00766CEC" w:rsidRDefault="00C60153" w:rsidP="00283CE4">
            <w:pPr>
              <w:jc w:val="center"/>
              <w:rPr>
                <w:rFonts w:ascii="Arial" w:hAnsi="Arial" w:cs="Arial"/>
                <w:color w:val="000000"/>
                <w:sz w:val="18"/>
                <w:szCs w:val="18"/>
              </w:rPr>
            </w:pPr>
          </w:p>
        </w:tc>
        <w:tc>
          <w:tcPr>
            <w:tcW w:w="995" w:type="dxa"/>
            <w:vAlign w:val="center"/>
            <w:hideMark/>
          </w:tcPr>
          <w:p w:rsidR="00C60153" w:rsidRPr="00766CEC" w:rsidRDefault="00C60153" w:rsidP="00283CE4">
            <w:pPr>
              <w:jc w:val="center"/>
              <w:rPr>
                <w:rFonts w:ascii="Arial" w:hAnsi="Arial" w:cs="Arial"/>
                <w:color w:val="000000"/>
                <w:sz w:val="18"/>
                <w:szCs w:val="18"/>
              </w:rPr>
            </w:pPr>
            <w:r w:rsidRPr="00766CEC">
              <w:rPr>
                <w:rFonts w:ascii="Arial" w:hAnsi="Arial" w:cs="Arial"/>
                <w:color w:val="000000"/>
                <w:sz w:val="18"/>
                <w:szCs w:val="18"/>
              </w:rPr>
              <w:t>Kız</w:t>
            </w:r>
          </w:p>
        </w:tc>
        <w:tc>
          <w:tcPr>
            <w:tcW w:w="1996"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8.78 ± 6.84</w:t>
            </w:r>
          </w:p>
        </w:tc>
        <w:tc>
          <w:tcPr>
            <w:tcW w:w="3045"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8.11 (1.49 – 17.63)</w:t>
            </w:r>
          </w:p>
        </w:tc>
        <w:tc>
          <w:tcPr>
            <w:tcW w:w="810" w:type="dxa"/>
            <w:vMerge/>
            <w:vAlign w:val="center"/>
            <w:hideMark/>
          </w:tcPr>
          <w:p w:rsidR="00C60153" w:rsidRPr="00766CEC" w:rsidRDefault="00C60153" w:rsidP="00283CE4">
            <w:pPr>
              <w:jc w:val="center"/>
              <w:rPr>
                <w:rFonts w:ascii="Arial" w:hAnsi="Arial" w:cs="Arial"/>
                <w:sz w:val="18"/>
                <w:szCs w:val="18"/>
              </w:rPr>
            </w:pPr>
          </w:p>
        </w:tc>
        <w:tc>
          <w:tcPr>
            <w:tcW w:w="754" w:type="dxa"/>
            <w:vMerge/>
            <w:vAlign w:val="center"/>
          </w:tcPr>
          <w:p w:rsidR="00C60153" w:rsidRPr="00766CEC" w:rsidRDefault="00C60153" w:rsidP="00283CE4">
            <w:pPr>
              <w:jc w:val="center"/>
              <w:rPr>
                <w:rFonts w:ascii="Arial" w:hAnsi="Arial" w:cs="Arial"/>
                <w:sz w:val="18"/>
                <w:szCs w:val="18"/>
              </w:rPr>
            </w:pPr>
          </w:p>
        </w:tc>
      </w:tr>
      <w:tr w:rsidR="00C60153" w:rsidRPr="00766CEC" w:rsidTr="00283CE4">
        <w:trPr>
          <w:trHeight w:val="600"/>
        </w:trPr>
        <w:tc>
          <w:tcPr>
            <w:tcW w:w="1362" w:type="dxa"/>
            <w:vMerge w:val="restart"/>
            <w:vAlign w:val="center"/>
            <w:hideMark/>
          </w:tcPr>
          <w:p w:rsidR="00C60153" w:rsidRPr="00766CEC" w:rsidRDefault="00C60153" w:rsidP="00283CE4">
            <w:pPr>
              <w:jc w:val="center"/>
              <w:rPr>
                <w:rFonts w:ascii="Arial" w:hAnsi="Arial" w:cs="Arial"/>
                <w:color w:val="000000"/>
                <w:sz w:val="18"/>
                <w:szCs w:val="18"/>
              </w:rPr>
            </w:pPr>
            <w:r w:rsidRPr="00766CEC">
              <w:rPr>
                <w:rFonts w:ascii="Arial" w:hAnsi="Arial" w:cs="Arial"/>
                <w:b/>
                <w:sz w:val="18"/>
                <w:szCs w:val="18"/>
              </w:rPr>
              <w:t>m</w:t>
            </w:r>
            <w:r w:rsidRPr="00766CEC">
              <w:rPr>
                <w:rFonts w:ascii="Arial" w:hAnsi="Arial" w:cs="Arial"/>
                <w:b/>
                <w:sz w:val="18"/>
                <w:szCs w:val="18"/>
                <w:shd w:val="clear" w:color="auto" w:fill="FFFFFF"/>
              </w:rPr>
              <w:t>iR-</w:t>
            </w:r>
            <w:r w:rsidRPr="00766CEC">
              <w:rPr>
                <w:rFonts w:ascii="Arial" w:hAnsi="Arial" w:cs="Arial"/>
                <w:b/>
                <w:sz w:val="18"/>
                <w:szCs w:val="18"/>
              </w:rPr>
              <w:t>124-3p</w:t>
            </w:r>
          </w:p>
        </w:tc>
        <w:tc>
          <w:tcPr>
            <w:tcW w:w="995" w:type="dxa"/>
            <w:vAlign w:val="center"/>
            <w:hideMark/>
          </w:tcPr>
          <w:p w:rsidR="00C60153" w:rsidRPr="00766CEC" w:rsidRDefault="00C60153" w:rsidP="00283CE4">
            <w:pPr>
              <w:jc w:val="center"/>
              <w:rPr>
                <w:rFonts w:ascii="Arial" w:hAnsi="Arial" w:cs="Arial"/>
                <w:color w:val="000000"/>
                <w:sz w:val="18"/>
                <w:szCs w:val="18"/>
              </w:rPr>
            </w:pPr>
            <w:r w:rsidRPr="00766CEC">
              <w:rPr>
                <w:rFonts w:ascii="Arial" w:hAnsi="Arial" w:cs="Arial"/>
                <w:color w:val="000000"/>
                <w:sz w:val="18"/>
                <w:szCs w:val="18"/>
              </w:rPr>
              <w:t>Erkek</w:t>
            </w:r>
          </w:p>
        </w:tc>
        <w:tc>
          <w:tcPr>
            <w:tcW w:w="1996"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1069.24 ± 2216.34</w:t>
            </w:r>
          </w:p>
        </w:tc>
        <w:tc>
          <w:tcPr>
            <w:tcW w:w="3045"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0 (0 – 8248.98)</w:t>
            </w:r>
          </w:p>
        </w:tc>
        <w:tc>
          <w:tcPr>
            <w:tcW w:w="810" w:type="dxa"/>
            <w:vMerge w:val="restart"/>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-0.270</w:t>
            </w:r>
          </w:p>
        </w:tc>
        <w:tc>
          <w:tcPr>
            <w:tcW w:w="754" w:type="dxa"/>
            <w:vMerge w:val="restart"/>
            <w:vAlign w:val="center"/>
          </w:tcPr>
          <w:p w:rsidR="00C60153" w:rsidRPr="00766CEC" w:rsidRDefault="00C60153" w:rsidP="00283CE4">
            <w:pPr>
              <w:jc w:val="center"/>
              <w:rPr>
                <w:rFonts w:ascii="Arial" w:hAnsi="Arial" w:cs="Arial"/>
                <w:sz w:val="18"/>
                <w:szCs w:val="18"/>
              </w:rPr>
            </w:pPr>
            <w:r w:rsidRPr="00766CEC">
              <w:rPr>
                <w:rFonts w:ascii="Arial" w:hAnsi="Arial" w:cs="Arial"/>
                <w:sz w:val="18"/>
                <w:szCs w:val="18"/>
              </w:rPr>
              <w:t>0.811</w:t>
            </w:r>
          </w:p>
        </w:tc>
      </w:tr>
      <w:tr w:rsidR="00C60153" w:rsidRPr="00766CEC" w:rsidTr="00283CE4">
        <w:trPr>
          <w:trHeight w:val="600"/>
        </w:trPr>
        <w:tc>
          <w:tcPr>
            <w:tcW w:w="1362" w:type="dxa"/>
            <w:vMerge/>
            <w:vAlign w:val="center"/>
            <w:hideMark/>
          </w:tcPr>
          <w:p w:rsidR="00C60153" w:rsidRPr="00766CEC" w:rsidRDefault="00C60153" w:rsidP="00283CE4">
            <w:pPr>
              <w:jc w:val="center"/>
              <w:rPr>
                <w:rFonts w:ascii="Arial" w:hAnsi="Arial" w:cs="Arial"/>
                <w:color w:val="000000"/>
                <w:sz w:val="18"/>
                <w:szCs w:val="18"/>
              </w:rPr>
            </w:pPr>
          </w:p>
        </w:tc>
        <w:tc>
          <w:tcPr>
            <w:tcW w:w="995" w:type="dxa"/>
            <w:vAlign w:val="center"/>
            <w:hideMark/>
          </w:tcPr>
          <w:p w:rsidR="00C60153" w:rsidRPr="00766CEC" w:rsidRDefault="00C60153" w:rsidP="00283CE4">
            <w:pPr>
              <w:jc w:val="center"/>
              <w:rPr>
                <w:rFonts w:ascii="Arial" w:hAnsi="Arial" w:cs="Arial"/>
                <w:color w:val="000000"/>
                <w:sz w:val="18"/>
                <w:szCs w:val="18"/>
              </w:rPr>
            </w:pPr>
            <w:r w:rsidRPr="00766CEC">
              <w:rPr>
                <w:rFonts w:ascii="Arial" w:hAnsi="Arial" w:cs="Arial"/>
                <w:color w:val="000000"/>
                <w:sz w:val="18"/>
                <w:szCs w:val="18"/>
              </w:rPr>
              <w:t>Kız</w:t>
            </w:r>
          </w:p>
        </w:tc>
        <w:tc>
          <w:tcPr>
            <w:tcW w:w="1996"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1057.93 ± 2312.77</w:t>
            </w:r>
          </w:p>
        </w:tc>
        <w:tc>
          <w:tcPr>
            <w:tcW w:w="3045"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2 (0 – 6208.38)</w:t>
            </w:r>
          </w:p>
        </w:tc>
        <w:tc>
          <w:tcPr>
            <w:tcW w:w="810" w:type="dxa"/>
            <w:vMerge/>
            <w:vAlign w:val="center"/>
            <w:hideMark/>
          </w:tcPr>
          <w:p w:rsidR="00C60153" w:rsidRPr="00766CEC" w:rsidRDefault="00C60153" w:rsidP="00283CE4">
            <w:pPr>
              <w:jc w:val="center"/>
              <w:rPr>
                <w:rFonts w:ascii="Arial" w:hAnsi="Arial" w:cs="Arial"/>
                <w:sz w:val="18"/>
                <w:szCs w:val="18"/>
              </w:rPr>
            </w:pPr>
          </w:p>
        </w:tc>
        <w:tc>
          <w:tcPr>
            <w:tcW w:w="754" w:type="dxa"/>
            <w:vMerge/>
            <w:vAlign w:val="center"/>
          </w:tcPr>
          <w:p w:rsidR="00C60153" w:rsidRPr="00766CEC" w:rsidRDefault="00C60153" w:rsidP="00283CE4">
            <w:pPr>
              <w:jc w:val="center"/>
              <w:rPr>
                <w:rFonts w:ascii="Arial" w:hAnsi="Arial" w:cs="Arial"/>
                <w:sz w:val="18"/>
                <w:szCs w:val="18"/>
              </w:rPr>
            </w:pPr>
          </w:p>
        </w:tc>
      </w:tr>
      <w:tr w:rsidR="00C60153" w:rsidRPr="00766CEC" w:rsidTr="00283CE4">
        <w:trPr>
          <w:trHeight w:val="600"/>
        </w:trPr>
        <w:tc>
          <w:tcPr>
            <w:tcW w:w="1362" w:type="dxa"/>
            <w:vMerge w:val="restart"/>
            <w:vAlign w:val="center"/>
            <w:hideMark/>
          </w:tcPr>
          <w:p w:rsidR="00C60153" w:rsidRPr="00766CEC" w:rsidRDefault="00C60153" w:rsidP="00283CE4">
            <w:pPr>
              <w:jc w:val="center"/>
              <w:rPr>
                <w:rFonts w:ascii="Arial" w:hAnsi="Arial" w:cs="Arial"/>
                <w:color w:val="000000"/>
                <w:sz w:val="18"/>
                <w:szCs w:val="18"/>
              </w:rPr>
            </w:pPr>
            <w:r w:rsidRPr="00766CEC">
              <w:rPr>
                <w:rFonts w:ascii="Arial" w:hAnsi="Arial" w:cs="Arial"/>
                <w:b/>
                <w:sz w:val="18"/>
                <w:szCs w:val="18"/>
              </w:rPr>
              <w:t>m</w:t>
            </w:r>
            <w:r w:rsidRPr="00766CEC">
              <w:rPr>
                <w:rFonts w:ascii="Arial" w:hAnsi="Arial" w:cs="Arial"/>
                <w:b/>
                <w:sz w:val="18"/>
                <w:szCs w:val="18"/>
                <w:shd w:val="clear" w:color="auto" w:fill="FFFFFF"/>
              </w:rPr>
              <w:t>iR-5692b</w:t>
            </w:r>
          </w:p>
        </w:tc>
        <w:tc>
          <w:tcPr>
            <w:tcW w:w="995" w:type="dxa"/>
            <w:vAlign w:val="center"/>
            <w:hideMark/>
          </w:tcPr>
          <w:p w:rsidR="00C60153" w:rsidRPr="00766CEC" w:rsidRDefault="00C60153" w:rsidP="00283CE4">
            <w:pPr>
              <w:jc w:val="center"/>
              <w:rPr>
                <w:rFonts w:ascii="Arial" w:hAnsi="Arial" w:cs="Arial"/>
                <w:color w:val="000000"/>
                <w:sz w:val="18"/>
                <w:szCs w:val="18"/>
              </w:rPr>
            </w:pPr>
            <w:r w:rsidRPr="00766CEC">
              <w:rPr>
                <w:rFonts w:ascii="Arial" w:hAnsi="Arial" w:cs="Arial"/>
                <w:color w:val="000000"/>
                <w:sz w:val="18"/>
                <w:szCs w:val="18"/>
              </w:rPr>
              <w:t>Erkek</w:t>
            </w:r>
          </w:p>
        </w:tc>
        <w:tc>
          <w:tcPr>
            <w:tcW w:w="1996"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898.67 ± 1488.89</w:t>
            </w:r>
          </w:p>
        </w:tc>
        <w:tc>
          <w:tcPr>
            <w:tcW w:w="3045"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359.54 (0.11 – 5367.37)</w:t>
            </w:r>
          </w:p>
        </w:tc>
        <w:tc>
          <w:tcPr>
            <w:tcW w:w="810" w:type="dxa"/>
            <w:vMerge w:val="restart"/>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-0.221</w:t>
            </w:r>
          </w:p>
        </w:tc>
        <w:tc>
          <w:tcPr>
            <w:tcW w:w="754" w:type="dxa"/>
            <w:vMerge w:val="restart"/>
            <w:vAlign w:val="center"/>
          </w:tcPr>
          <w:p w:rsidR="00C60153" w:rsidRPr="00766CEC" w:rsidRDefault="00C60153" w:rsidP="00283CE4">
            <w:pPr>
              <w:jc w:val="center"/>
              <w:rPr>
                <w:rFonts w:ascii="Arial" w:hAnsi="Arial" w:cs="Arial"/>
                <w:sz w:val="18"/>
                <w:szCs w:val="18"/>
              </w:rPr>
            </w:pPr>
            <w:r w:rsidRPr="00766CEC">
              <w:rPr>
                <w:rFonts w:ascii="Arial" w:hAnsi="Arial" w:cs="Arial"/>
                <w:sz w:val="18"/>
                <w:szCs w:val="18"/>
              </w:rPr>
              <w:t>0.848</w:t>
            </w:r>
          </w:p>
        </w:tc>
      </w:tr>
      <w:tr w:rsidR="00C60153" w:rsidRPr="00766CEC" w:rsidTr="00283CE4">
        <w:trPr>
          <w:trHeight w:val="528"/>
        </w:trPr>
        <w:tc>
          <w:tcPr>
            <w:tcW w:w="1362" w:type="dxa"/>
            <w:vMerge/>
            <w:vAlign w:val="center"/>
            <w:hideMark/>
          </w:tcPr>
          <w:p w:rsidR="00C60153" w:rsidRPr="00766CEC" w:rsidRDefault="00C60153" w:rsidP="00283CE4">
            <w:pPr>
              <w:jc w:val="center"/>
              <w:rPr>
                <w:rFonts w:ascii="Arial" w:hAnsi="Arial" w:cs="Arial"/>
                <w:color w:val="000000"/>
                <w:sz w:val="18"/>
                <w:szCs w:val="18"/>
              </w:rPr>
            </w:pPr>
          </w:p>
        </w:tc>
        <w:tc>
          <w:tcPr>
            <w:tcW w:w="995" w:type="dxa"/>
            <w:vAlign w:val="center"/>
            <w:hideMark/>
          </w:tcPr>
          <w:p w:rsidR="00C60153" w:rsidRPr="00766CEC" w:rsidRDefault="00C60153" w:rsidP="00283CE4">
            <w:pPr>
              <w:jc w:val="center"/>
              <w:rPr>
                <w:rFonts w:ascii="Arial" w:hAnsi="Arial" w:cs="Arial"/>
                <w:color w:val="000000"/>
                <w:sz w:val="18"/>
                <w:szCs w:val="18"/>
              </w:rPr>
            </w:pPr>
            <w:r w:rsidRPr="00766CEC">
              <w:rPr>
                <w:rFonts w:ascii="Arial" w:hAnsi="Arial" w:cs="Arial"/>
                <w:color w:val="000000"/>
                <w:sz w:val="18"/>
                <w:szCs w:val="18"/>
              </w:rPr>
              <w:t>Kız</w:t>
            </w:r>
          </w:p>
        </w:tc>
        <w:tc>
          <w:tcPr>
            <w:tcW w:w="1996"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1026.16 ± 1914.92</w:t>
            </w:r>
          </w:p>
        </w:tc>
        <w:tc>
          <w:tcPr>
            <w:tcW w:w="3045"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30.91 (0 – 5220.6)</w:t>
            </w:r>
          </w:p>
        </w:tc>
        <w:tc>
          <w:tcPr>
            <w:tcW w:w="810" w:type="dxa"/>
            <w:vMerge/>
            <w:vAlign w:val="center"/>
            <w:hideMark/>
          </w:tcPr>
          <w:p w:rsidR="00C60153" w:rsidRPr="00766CEC" w:rsidRDefault="00C60153" w:rsidP="00283CE4">
            <w:pPr>
              <w:jc w:val="center"/>
              <w:rPr>
                <w:rFonts w:ascii="Arial" w:hAnsi="Arial" w:cs="Arial"/>
                <w:sz w:val="18"/>
                <w:szCs w:val="18"/>
              </w:rPr>
            </w:pPr>
          </w:p>
        </w:tc>
        <w:tc>
          <w:tcPr>
            <w:tcW w:w="754" w:type="dxa"/>
            <w:vMerge/>
            <w:vAlign w:val="center"/>
          </w:tcPr>
          <w:p w:rsidR="00C60153" w:rsidRPr="00766CEC" w:rsidRDefault="00C60153" w:rsidP="00283CE4">
            <w:pPr>
              <w:jc w:val="center"/>
              <w:rPr>
                <w:rFonts w:ascii="Arial" w:hAnsi="Arial" w:cs="Arial"/>
                <w:sz w:val="18"/>
                <w:szCs w:val="18"/>
              </w:rPr>
            </w:pPr>
          </w:p>
        </w:tc>
      </w:tr>
      <w:tr w:rsidR="00C60153" w:rsidRPr="00766CEC" w:rsidTr="00766CEC">
        <w:trPr>
          <w:trHeight w:val="440"/>
        </w:trPr>
        <w:tc>
          <w:tcPr>
            <w:tcW w:w="1362" w:type="dxa"/>
            <w:vMerge w:val="restart"/>
            <w:vAlign w:val="center"/>
            <w:hideMark/>
          </w:tcPr>
          <w:p w:rsidR="00C60153" w:rsidRPr="00766CEC" w:rsidRDefault="00C60153" w:rsidP="00283CE4">
            <w:pPr>
              <w:jc w:val="center"/>
              <w:rPr>
                <w:rFonts w:ascii="Arial" w:hAnsi="Arial" w:cs="Arial"/>
                <w:color w:val="000000"/>
                <w:sz w:val="18"/>
                <w:szCs w:val="18"/>
              </w:rPr>
            </w:pPr>
            <w:r w:rsidRPr="00766CEC">
              <w:rPr>
                <w:rFonts w:ascii="Arial" w:hAnsi="Arial" w:cs="Arial"/>
                <w:b/>
                <w:sz w:val="18"/>
                <w:szCs w:val="18"/>
              </w:rPr>
              <w:t>m</w:t>
            </w:r>
            <w:r w:rsidRPr="00766CEC">
              <w:rPr>
                <w:rFonts w:ascii="Arial" w:hAnsi="Arial" w:cs="Arial"/>
                <w:b/>
                <w:sz w:val="18"/>
                <w:szCs w:val="18"/>
                <w:shd w:val="clear" w:color="auto" w:fill="FFFFFF"/>
              </w:rPr>
              <w:t>iR-let-7d</w:t>
            </w:r>
          </w:p>
        </w:tc>
        <w:tc>
          <w:tcPr>
            <w:tcW w:w="995" w:type="dxa"/>
            <w:vAlign w:val="center"/>
            <w:hideMark/>
          </w:tcPr>
          <w:p w:rsidR="00C60153" w:rsidRPr="00766CEC" w:rsidRDefault="00C60153" w:rsidP="00283CE4">
            <w:pPr>
              <w:jc w:val="center"/>
              <w:rPr>
                <w:rFonts w:ascii="Arial" w:hAnsi="Arial" w:cs="Arial"/>
                <w:color w:val="000000"/>
                <w:sz w:val="18"/>
                <w:szCs w:val="18"/>
              </w:rPr>
            </w:pPr>
            <w:r w:rsidRPr="00766CEC">
              <w:rPr>
                <w:rFonts w:ascii="Arial" w:hAnsi="Arial" w:cs="Arial"/>
                <w:color w:val="000000"/>
                <w:sz w:val="18"/>
                <w:szCs w:val="18"/>
              </w:rPr>
              <w:t>Erkek</w:t>
            </w:r>
          </w:p>
        </w:tc>
        <w:tc>
          <w:tcPr>
            <w:tcW w:w="1996"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2.32 ± 2.08</w:t>
            </w:r>
          </w:p>
        </w:tc>
        <w:tc>
          <w:tcPr>
            <w:tcW w:w="3045"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1.37 (0.49 – 8.11)</w:t>
            </w:r>
          </w:p>
        </w:tc>
        <w:tc>
          <w:tcPr>
            <w:tcW w:w="810" w:type="dxa"/>
            <w:vMerge w:val="restart"/>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-1.373</w:t>
            </w:r>
          </w:p>
        </w:tc>
        <w:tc>
          <w:tcPr>
            <w:tcW w:w="754" w:type="dxa"/>
            <w:vMerge w:val="restart"/>
            <w:vAlign w:val="center"/>
          </w:tcPr>
          <w:p w:rsidR="00C60153" w:rsidRPr="00766CEC" w:rsidRDefault="00C60153" w:rsidP="00283CE4">
            <w:pPr>
              <w:jc w:val="center"/>
              <w:rPr>
                <w:rFonts w:ascii="Arial" w:hAnsi="Arial" w:cs="Arial"/>
                <w:sz w:val="18"/>
                <w:szCs w:val="18"/>
              </w:rPr>
            </w:pPr>
            <w:r w:rsidRPr="00766CEC">
              <w:rPr>
                <w:rFonts w:ascii="Arial" w:hAnsi="Arial" w:cs="Arial"/>
                <w:sz w:val="18"/>
                <w:szCs w:val="18"/>
              </w:rPr>
              <w:t>0.174</w:t>
            </w:r>
          </w:p>
        </w:tc>
      </w:tr>
      <w:tr w:rsidR="00C60153" w:rsidRPr="00766CEC" w:rsidTr="00283CE4">
        <w:trPr>
          <w:trHeight w:val="552"/>
        </w:trPr>
        <w:tc>
          <w:tcPr>
            <w:tcW w:w="1362" w:type="dxa"/>
            <w:vMerge/>
            <w:vAlign w:val="center"/>
            <w:hideMark/>
          </w:tcPr>
          <w:p w:rsidR="00C60153" w:rsidRPr="00766CEC" w:rsidRDefault="00C60153" w:rsidP="00283CE4">
            <w:pPr>
              <w:jc w:val="center"/>
              <w:rPr>
                <w:rFonts w:ascii="Arial" w:hAnsi="Arial" w:cs="Arial"/>
                <w:color w:val="000000"/>
                <w:sz w:val="18"/>
                <w:szCs w:val="18"/>
              </w:rPr>
            </w:pPr>
          </w:p>
        </w:tc>
        <w:tc>
          <w:tcPr>
            <w:tcW w:w="995" w:type="dxa"/>
            <w:vAlign w:val="center"/>
            <w:hideMark/>
          </w:tcPr>
          <w:p w:rsidR="00C60153" w:rsidRPr="00766CEC" w:rsidRDefault="00C60153" w:rsidP="00283CE4">
            <w:pPr>
              <w:jc w:val="center"/>
              <w:rPr>
                <w:rFonts w:ascii="Arial" w:hAnsi="Arial" w:cs="Arial"/>
                <w:color w:val="000000"/>
                <w:sz w:val="18"/>
                <w:szCs w:val="18"/>
              </w:rPr>
            </w:pPr>
            <w:r w:rsidRPr="00766CEC">
              <w:rPr>
                <w:rFonts w:ascii="Arial" w:hAnsi="Arial" w:cs="Arial"/>
                <w:color w:val="000000"/>
                <w:sz w:val="18"/>
                <w:szCs w:val="18"/>
              </w:rPr>
              <w:t>Kız</w:t>
            </w:r>
          </w:p>
        </w:tc>
        <w:tc>
          <w:tcPr>
            <w:tcW w:w="1996"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3.26 ± 2.09</w:t>
            </w:r>
          </w:p>
        </w:tc>
        <w:tc>
          <w:tcPr>
            <w:tcW w:w="3045"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2.51 (0.63 – 6.82)</w:t>
            </w:r>
          </w:p>
        </w:tc>
        <w:tc>
          <w:tcPr>
            <w:tcW w:w="810" w:type="dxa"/>
            <w:vMerge/>
            <w:vAlign w:val="center"/>
            <w:hideMark/>
          </w:tcPr>
          <w:p w:rsidR="00C60153" w:rsidRPr="00766CEC" w:rsidRDefault="00C60153" w:rsidP="00283CE4">
            <w:pPr>
              <w:jc w:val="center"/>
              <w:rPr>
                <w:rFonts w:ascii="Arial" w:hAnsi="Arial" w:cs="Arial"/>
                <w:sz w:val="18"/>
                <w:szCs w:val="18"/>
              </w:rPr>
            </w:pPr>
          </w:p>
        </w:tc>
        <w:tc>
          <w:tcPr>
            <w:tcW w:w="754" w:type="dxa"/>
            <w:vMerge/>
            <w:vAlign w:val="center"/>
          </w:tcPr>
          <w:p w:rsidR="00C60153" w:rsidRPr="00766CEC" w:rsidRDefault="00C60153" w:rsidP="00283CE4">
            <w:pPr>
              <w:jc w:val="center"/>
              <w:rPr>
                <w:rFonts w:ascii="Arial" w:hAnsi="Arial" w:cs="Arial"/>
                <w:sz w:val="18"/>
                <w:szCs w:val="18"/>
              </w:rPr>
            </w:pPr>
          </w:p>
        </w:tc>
      </w:tr>
      <w:tr w:rsidR="00C60153" w:rsidRPr="00766CEC" w:rsidTr="00766CEC">
        <w:trPr>
          <w:trHeight w:val="449"/>
        </w:trPr>
        <w:tc>
          <w:tcPr>
            <w:tcW w:w="1362" w:type="dxa"/>
            <w:vMerge w:val="restart"/>
            <w:vAlign w:val="center"/>
            <w:hideMark/>
          </w:tcPr>
          <w:p w:rsidR="00C60153" w:rsidRPr="00766CEC" w:rsidRDefault="00C60153" w:rsidP="00283CE4">
            <w:pPr>
              <w:jc w:val="center"/>
              <w:rPr>
                <w:rFonts w:ascii="Arial" w:hAnsi="Arial" w:cs="Arial"/>
                <w:color w:val="000000"/>
                <w:sz w:val="18"/>
                <w:szCs w:val="18"/>
              </w:rPr>
            </w:pPr>
            <w:r w:rsidRPr="00766CEC">
              <w:rPr>
                <w:rFonts w:ascii="Arial" w:hAnsi="Arial" w:cs="Arial"/>
                <w:b/>
                <w:sz w:val="18"/>
                <w:szCs w:val="18"/>
              </w:rPr>
              <w:t>m</w:t>
            </w:r>
            <w:r w:rsidRPr="00766CEC">
              <w:rPr>
                <w:rFonts w:ascii="Arial" w:hAnsi="Arial" w:cs="Arial"/>
                <w:b/>
                <w:sz w:val="18"/>
                <w:szCs w:val="18"/>
                <w:shd w:val="clear" w:color="auto" w:fill="FFFFFF"/>
              </w:rPr>
              <w:t>iR-</w:t>
            </w:r>
            <w:r w:rsidRPr="00766CEC">
              <w:rPr>
                <w:rFonts w:ascii="Arial" w:hAnsi="Arial" w:cs="Arial"/>
                <w:b/>
                <w:sz w:val="18"/>
                <w:szCs w:val="18"/>
              </w:rPr>
              <w:t>4447</w:t>
            </w:r>
          </w:p>
        </w:tc>
        <w:tc>
          <w:tcPr>
            <w:tcW w:w="995" w:type="dxa"/>
            <w:vAlign w:val="center"/>
            <w:hideMark/>
          </w:tcPr>
          <w:p w:rsidR="00C60153" w:rsidRPr="00766CEC" w:rsidRDefault="00C60153" w:rsidP="00283CE4">
            <w:pPr>
              <w:jc w:val="center"/>
              <w:rPr>
                <w:rFonts w:ascii="Arial" w:hAnsi="Arial" w:cs="Arial"/>
                <w:color w:val="000000"/>
                <w:sz w:val="18"/>
                <w:szCs w:val="18"/>
              </w:rPr>
            </w:pPr>
            <w:r w:rsidRPr="00766CEC">
              <w:rPr>
                <w:rFonts w:ascii="Arial" w:hAnsi="Arial" w:cs="Arial"/>
                <w:color w:val="000000"/>
                <w:sz w:val="18"/>
                <w:szCs w:val="18"/>
              </w:rPr>
              <w:t>Erkek</w:t>
            </w:r>
          </w:p>
        </w:tc>
        <w:tc>
          <w:tcPr>
            <w:tcW w:w="1996"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673.4 ± 1199.67</w:t>
            </w:r>
          </w:p>
        </w:tc>
        <w:tc>
          <w:tcPr>
            <w:tcW w:w="3045"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224.41 (0 – 5148.73)</w:t>
            </w:r>
          </w:p>
        </w:tc>
        <w:tc>
          <w:tcPr>
            <w:tcW w:w="810" w:type="dxa"/>
            <w:vMerge w:val="restart"/>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-2.158</w:t>
            </w:r>
          </w:p>
        </w:tc>
        <w:tc>
          <w:tcPr>
            <w:tcW w:w="754" w:type="dxa"/>
            <w:vMerge w:val="restart"/>
            <w:vAlign w:val="center"/>
          </w:tcPr>
          <w:p w:rsidR="00C60153" w:rsidRPr="00766CEC" w:rsidRDefault="00C60153" w:rsidP="00283CE4">
            <w:pPr>
              <w:jc w:val="center"/>
              <w:rPr>
                <w:rFonts w:ascii="Arial" w:hAnsi="Arial" w:cs="Arial"/>
                <w:b/>
                <w:sz w:val="18"/>
                <w:szCs w:val="18"/>
              </w:rPr>
            </w:pPr>
            <w:r w:rsidRPr="00766CEC">
              <w:rPr>
                <w:rFonts w:ascii="Arial" w:hAnsi="Arial" w:cs="Arial"/>
                <w:b/>
                <w:sz w:val="18"/>
                <w:szCs w:val="18"/>
              </w:rPr>
              <w:t>0.029</w:t>
            </w:r>
          </w:p>
        </w:tc>
      </w:tr>
      <w:tr w:rsidR="00C60153" w:rsidRPr="00766CEC" w:rsidTr="00283CE4">
        <w:trPr>
          <w:trHeight w:val="526"/>
        </w:trPr>
        <w:tc>
          <w:tcPr>
            <w:tcW w:w="1362" w:type="dxa"/>
            <w:vMerge/>
            <w:vAlign w:val="center"/>
            <w:hideMark/>
          </w:tcPr>
          <w:p w:rsidR="00C60153" w:rsidRPr="00766CEC" w:rsidRDefault="00C60153" w:rsidP="00283CE4">
            <w:pPr>
              <w:jc w:val="center"/>
              <w:rPr>
                <w:rFonts w:ascii="Arial" w:hAnsi="Arial" w:cs="Arial"/>
                <w:color w:val="000000"/>
                <w:sz w:val="18"/>
                <w:szCs w:val="18"/>
              </w:rPr>
            </w:pPr>
          </w:p>
        </w:tc>
        <w:tc>
          <w:tcPr>
            <w:tcW w:w="995" w:type="dxa"/>
            <w:vAlign w:val="center"/>
            <w:hideMark/>
          </w:tcPr>
          <w:p w:rsidR="00C60153" w:rsidRPr="00766CEC" w:rsidRDefault="00C60153" w:rsidP="00283CE4">
            <w:pPr>
              <w:jc w:val="center"/>
              <w:rPr>
                <w:rFonts w:ascii="Arial" w:hAnsi="Arial" w:cs="Arial"/>
                <w:color w:val="000000"/>
                <w:sz w:val="18"/>
                <w:szCs w:val="18"/>
              </w:rPr>
            </w:pPr>
            <w:r w:rsidRPr="00766CEC">
              <w:rPr>
                <w:rFonts w:ascii="Arial" w:hAnsi="Arial" w:cs="Arial"/>
                <w:color w:val="000000"/>
                <w:sz w:val="18"/>
                <w:szCs w:val="18"/>
              </w:rPr>
              <w:t>Kız</w:t>
            </w:r>
          </w:p>
        </w:tc>
        <w:tc>
          <w:tcPr>
            <w:tcW w:w="1996"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46.35 ± 85.51</w:t>
            </w:r>
          </w:p>
        </w:tc>
        <w:tc>
          <w:tcPr>
            <w:tcW w:w="3045" w:type="dxa"/>
            <w:noWrap/>
            <w:vAlign w:val="center"/>
            <w:hideMark/>
          </w:tcPr>
          <w:p w:rsidR="00C60153" w:rsidRPr="00766CEC" w:rsidRDefault="00C60153" w:rsidP="00283CE4">
            <w:pPr>
              <w:jc w:val="center"/>
              <w:rPr>
                <w:rFonts w:ascii="Arial" w:hAnsi="Arial" w:cs="Arial"/>
                <w:sz w:val="18"/>
                <w:szCs w:val="18"/>
              </w:rPr>
            </w:pPr>
            <w:r w:rsidRPr="00766CEC">
              <w:rPr>
                <w:rFonts w:ascii="Arial" w:hAnsi="Arial" w:cs="Arial"/>
                <w:sz w:val="18"/>
                <w:szCs w:val="18"/>
              </w:rPr>
              <w:t>0.01 (0 – 229.13)</w:t>
            </w:r>
          </w:p>
        </w:tc>
        <w:tc>
          <w:tcPr>
            <w:tcW w:w="810" w:type="dxa"/>
            <w:vMerge/>
            <w:vAlign w:val="center"/>
            <w:hideMark/>
          </w:tcPr>
          <w:p w:rsidR="00C60153" w:rsidRPr="00766CEC" w:rsidRDefault="00C60153" w:rsidP="00283CE4">
            <w:pPr>
              <w:jc w:val="center"/>
              <w:rPr>
                <w:rFonts w:ascii="Arial" w:hAnsi="Arial" w:cs="Arial"/>
                <w:sz w:val="18"/>
                <w:szCs w:val="18"/>
              </w:rPr>
            </w:pPr>
          </w:p>
        </w:tc>
        <w:tc>
          <w:tcPr>
            <w:tcW w:w="754" w:type="dxa"/>
            <w:vMerge/>
            <w:vAlign w:val="center"/>
          </w:tcPr>
          <w:p w:rsidR="00C60153" w:rsidRPr="00766CEC" w:rsidRDefault="00C60153" w:rsidP="00283CE4">
            <w:pPr>
              <w:jc w:val="center"/>
              <w:rPr>
                <w:rFonts w:ascii="Arial" w:hAnsi="Arial" w:cs="Arial"/>
                <w:sz w:val="18"/>
                <w:szCs w:val="18"/>
              </w:rPr>
            </w:pPr>
          </w:p>
        </w:tc>
      </w:tr>
    </w:tbl>
    <w:p w:rsidR="00C60153" w:rsidRPr="00766CEC" w:rsidRDefault="00C60153" w:rsidP="00C60153">
      <w:pPr>
        <w:tabs>
          <w:tab w:val="left" w:pos="5960"/>
        </w:tabs>
        <w:rPr>
          <w:rFonts w:ascii="Arial" w:hAnsi="Arial" w:cs="Arial"/>
          <w:sz w:val="22"/>
          <w:szCs w:val="22"/>
        </w:rPr>
      </w:pPr>
      <w:r w:rsidRPr="00766CEC">
        <w:rPr>
          <w:rFonts w:ascii="Arial" w:hAnsi="Arial" w:cs="Arial"/>
          <w:sz w:val="22"/>
          <w:szCs w:val="22"/>
        </w:rPr>
        <w:t>Mann Whitney U testi kullanılmıştır. p &lt; 0.05 anlamlıdır.</w:t>
      </w:r>
      <w:r w:rsidRPr="00766CEC">
        <w:rPr>
          <w:rFonts w:ascii="Arial" w:hAnsi="Arial" w:cs="Arial"/>
          <w:sz w:val="22"/>
          <w:szCs w:val="22"/>
        </w:rPr>
        <w:tab/>
      </w:r>
    </w:p>
    <w:p w:rsidR="00C60153" w:rsidRPr="00766CEC" w:rsidRDefault="00C60153" w:rsidP="00C60153">
      <w:pPr>
        <w:spacing w:line="360" w:lineRule="auto"/>
        <w:ind w:firstLine="567"/>
        <w:contextualSpacing/>
        <w:jc w:val="both"/>
        <w:rPr>
          <w:rFonts w:ascii="Arial" w:hAnsi="Arial" w:cs="Arial"/>
          <w:sz w:val="22"/>
          <w:szCs w:val="22"/>
        </w:rPr>
      </w:pPr>
      <w:r w:rsidRPr="00766CEC">
        <w:rPr>
          <w:rFonts w:ascii="Arial" w:hAnsi="Arial" w:cs="Arial"/>
          <w:sz w:val="22"/>
          <w:szCs w:val="22"/>
          <w:shd w:val="clear" w:color="auto" w:fill="FFFFFF"/>
        </w:rPr>
        <w:lastRenderedPageBreak/>
        <w:t xml:space="preserve">Kontrol grubundaki kızlarda ortalama relatif kantitasyon değeri miR-107 için </w:t>
      </w:r>
      <w:r w:rsidRPr="00766CEC">
        <w:rPr>
          <w:rFonts w:ascii="Arial" w:hAnsi="Arial" w:cs="Arial"/>
          <w:sz w:val="22"/>
          <w:szCs w:val="22"/>
        </w:rPr>
        <w:t>11.21 ± 7.91,  miR-124-3p için 11.2 ± 34.71, miR-5692b için 131.09 ± 188.29, miR-let-7d için 17.87 ± 49.69, miR-4447 için 339.88 ± 406.22 bulunmuştur. Ortanca</w:t>
      </w:r>
      <w:r w:rsidRPr="00766CEC">
        <w:rPr>
          <w:rFonts w:ascii="Arial" w:hAnsi="Arial" w:cs="Arial"/>
          <w:sz w:val="22"/>
          <w:szCs w:val="22"/>
          <w:shd w:val="clear" w:color="auto" w:fill="FFFFFF"/>
        </w:rPr>
        <w:t xml:space="preserve"> miR-107 değeri </w:t>
      </w:r>
      <w:r w:rsidRPr="00766CEC">
        <w:rPr>
          <w:rFonts w:ascii="Arial" w:hAnsi="Arial" w:cs="Arial"/>
          <w:sz w:val="22"/>
          <w:szCs w:val="22"/>
        </w:rPr>
        <w:t xml:space="preserve">9.42 (2.11 – 31.56), </w:t>
      </w:r>
      <w:r w:rsidRPr="00766CEC">
        <w:rPr>
          <w:rFonts w:ascii="Arial" w:hAnsi="Arial" w:cs="Arial"/>
          <w:sz w:val="22"/>
          <w:szCs w:val="22"/>
          <w:shd w:val="clear" w:color="auto" w:fill="FFFFFF"/>
        </w:rPr>
        <w:t xml:space="preserve">miR-124-3p değeri </w:t>
      </w:r>
      <w:r w:rsidRPr="00766CEC">
        <w:rPr>
          <w:rFonts w:ascii="Arial" w:hAnsi="Arial" w:cs="Arial"/>
          <w:sz w:val="22"/>
          <w:szCs w:val="22"/>
        </w:rPr>
        <w:t xml:space="preserve">0 (0 – 130.69), </w:t>
      </w:r>
      <w:r w:rsidRPr="00766CEC">
        <w:rPr>
          <w:rFonts w:ascii="Arial" w:hAnsi="Arial" w:cs="Arial"/>
          <w:sz w:val="22"/>
          <w:szCs w:val="22"/>
          <w:shd w:val="clear" w:color="auto" w:fill="FFFFFF"/>
        </w:rPr>
        <w:t xml:space="preserve">miR-5692b değeri </w:t>
      </w:r>
      <w:r w:rsidRPr="00766CEC">
        <w:rPr>
          <w:rFonts w:ascii="Arial" w:hAnsi="Arial" w:cs="Arial"/>
          <w:sz w:val="22"/>
          <w:szCs w:val="22"/>
        </w:rPr>
        <w:t xml:space="preserve">26.23 (0 – 494.56), </w:t>
      </w:r>
      <w:r w:rsidRPr="00766CEC">
        <w:rPr>
          <w:rFonts w:ascii="Arial" w:hAnsi="Arial" w:cs="Arial"/>
          <w:sz w:val="22"/>
          <w:szCs w:val="22"/>
          <w:shd w:val="clear" w:color="auto" w:fill="FFFFFF"/>
        </w:rPr>
        <w:t xml:space="preserve">miR-let-7d değeri </w:t>
      </w:r>
      <w:r w:rsidRPr="00766CEC">
        <w:rPr>
          <w:rFonts w:ascii="Arial" w:hAnsi="Arial" w:cs="Arial"/>
          <w:sz w:val="22"/>
          <w:szCs w:val="22"/>
        </w:rPr>
        <w:t xml:space="preserve">3,3 (1.44 – 190.02), </w:t>
      </w:r>
      <w:r w:rsidRPr="00766CEC">
        <w:rPr>
          <w:rFonts w:ascii="Arial" w:hAnsi="Arial" w:cs="Arial"/>
          <w:sz w:val="22"/>
          <w:szCs w:val="22"/>
          <w:shd w:val="clear" w:color="auto" w:fill="FFFFFF"/>
        </w:rPr>
        <w:t xml:space="preserve">miR-4447 değeri </w:t>
      </w:r>
      <w:r w:rsidRPr="00766CEC">
        <w:rPr>
          <w:rFonts w:ascii="Arial" w:hAnsi="Arial" w:cs="Arial"/>
          <w:sz w:val="22"/>
          <w:szCs w:val="22"/>
        </w:rPr>
        <w:t xml:space="preserve">252.62 (0 – 1448.15) saptanmıştır. </w:t>
      </w:r>
      <w:r w:rsidRPr="00766CEC">
        <w:rPr>
          <w:rFonts w:ascii="Arial" w:hAnsi="Arial" w:cs="Arial"/>
          <w:sz w:val="22"/>
          <w:szCs w:val="22"/>
          <w:shd w:val="clear" w:color="auto" w:fill="FFFFFF"/>
        </w:rPr>
        <w:t xml:space="preserve">Erkeklerde ise, ortalama relatif kantitasyon değeri miR-107 için </w:t>
      </w:r>
      <w:r w:rsidRPr="00766CEC">
        <w:rPr>
          <w:rFonts w:ascii="Arial" w:hAnsi="Arial" w:cs="Arial"/>
          <w:sz w:val="22"/>
          <w:szCs w:val="22"/>
        </w:rPr>
        <w:t>6.26 ± 3.93,  miR-124-3p için 51.73 ± 128.53, miR-5692b için 122.84 ± 193.31, miR-let-7d için 2.8 ± 1.74, miR-4447 için 485.6 ± 760.58 bulunmuştur. Ortanca</w:t>
      </w:r>
      <w:r w:rsidRPr="00766CEC">
        <w:rPr>
          <w:rFonts w:ascii="Arial" w:hAnsi="Arial" w:cs="Arial"/>
          <w:sz w:val="22"/>
          <w:szCs w:val="22"/>
          <w:shd w:val="clear" w:color="auto" w:fill="FFFFFF"/>
        </w:rPr>
        <w:t xml:space="preserve"> miR-107 değeri </w:t>
      </w:r>
      <w:r w:rsidRPr="00766CEC">
        <w:rPr>
          <w:rFonts w:ascii="Arial" w:hAnsi="Arial" w:cs="Arial"/>
          <w:sz w:val="22"/>
          <w:szCs w:val="22"/>
        </w:rPr>
        <w:t xml:space="preserve">6.63 (0.13 – 16.45), </w:t>
      </w:r>
      <w:r w:rsidRPr="00766CEC">
        <w:rPr>
          <w:rFonts w:ascii="Arial" w:hAnsi="Arial" w:cs="Arial"/>
          <w:sz w:val="22"/>
          <w:szCs w:val="22"/>
          <w:shd w:val="clear" w:color="auto" w:fill="FFFFFF"/>
        </w:rPr>
        <w:t xml:space="preserve">miR-124-3p değeri </w:t>
      </w:r>
      <w:r w:rsidRPr="00766CEC">
        <w:rPr>
          <w:rFonts w:ascii="Arial" w:hAnsi="Arial" w:cs="Arial"/>
          <w:sz w:val="22"/>
          <w:szCs w:val="22"/>
        </w:rPr>
        <w:t xml:space="preserve">0 (0 – 430.54), </w:t>
      </w:r>
      <w:r w:rsidRPr="00766CEC">
        <w:rPr>
          <w:rFonts w:ascii="Arial" w:hAnsi="Arial" w:cs="Arial"/>
          <w:sz w:val="22"/>
          <w:szCs w:val="22"/>
          <w:shd w:val="clear" w:color="auto" w:fill="FFFFFF"/>
        </w:rPr>
        <w:t xml:space="preserve">miR-5692b değeri </w:t>
      </w:r>
      <w:r w:rsidRPr="00766CEC">
        <w:rPr>
          <w:rFonts w:ascii="Arial" w:hAnsi="Arial" w:cs="Arial"/>
          <w:sz w:val="22"/>
          <w:szCs w:val="22"/>
        </w:rPr>
        <w:t xml:space="preserve">3.12 (0 – 596.34), </w:t>
      </w:r>
      <w:r w:rsidRPr="00766CEC">
        <w:rPr>
          <w:rFonts w:ascii="Arial" w:hAnsi="Arial" w:cs="Arial"/>
          <w:sz w:val="22"/>
          <w:szCs w:val="22"/>
          <w:shd w:val="clear" w:color="auto" w:fill="FFFFFF"/>
        </w:rPr>
        <w:t xml:space="preserve">miR-let-7d değeri </w:t>
      </w:r>
      <w:r w:rsidRPr="00766CEC">
        <w:rPr>
          <w:rFonts w:ascii="Arial" w:hAnsi="Arial" w:cs="Arial"/>
          <w:sz w:val="22"/>
          <w:szCs w:val="22"/>
        </w:rPr>
        <w:t xml:space="preserve">2.46 (0.08 – 6.54), </w:t>
      </w:r>
      <w:r w:rsidRPr="00766CEC">
        <w:rPr>
          <w:rFonts w:ascii="Arial" w:hAnsi="Arial" w:cs="Arial"/>
          <w:sz w:val="22"/>
          <w:szCs w:val="22"/>
          <w:shd w:val="clear" w:color="auto" w:fill="FFFFFF"/>
        </w:rPr>
        <w:t xml:space="preserve">miR-4447 değeri </w:t>
      </w:r>
      <w:r w:rsidRPr="00766CEC">
        <w:rPr>
          <w:rFonts w:ascii="Arial" w:hAnsi="Arial" w:cs="Arial"/>
          <w:sz w:val="22"/>
          <w:szCs w:val="22"/>
        </w:rPr>
        <w:t xml:space="preserve">163.21 (0 – 2876.3) saptanmıştır. Kontrol grubunda miR-107’nin relatif kantitasyon değerinin cinsiyetle ile ilişkili olduğu saptanılmıştır </w:t>
      </w:r>
      <w:r w:rsidRPr="00766CEC">
        <w:rPr>
          <w:rFonts w:ascii="Arial" w:hAnsi="Arial" w:cs="Arial"/>
          <w:b/>
          <w:sz w:val="22"/>
          <w:szCs w:val="22"/>
        </w:rPr>
        <w:t>(p = 0.035)</w:t>
      </w:r>
      <w:r w:rsidRPr="00766CEC">
        <w:rPr>
          <w:rFonts w:ascii="Arial" w:hAnsi="Arial" w:cs="Arial"/>
          <w:sz w:val="22"/>
          <w:szCs w:val="22"/>
        </w:rPr>
        <w:t xml:space="preserve"> (Tablo 27).</w:t>
      </w:r>
    </w:p>
    <w:p w:rsidR="00C60153" w:rsidRPr="00766CEC" w:rsidRDefault="00C60153" w:rsidP="00C60153">
      <w:pPr>
        <w:spacing w:line="360" w:lineRule="auto"/>
        <w:ind w:firstLine="567"/>
        <w:contextualSpacing/>
        <w:jc w:val="both"/>
        <w:rPr>
          <w:rFonts w:ascii="Arial" w:hAnsi="Arial" w:cs="Arial"/>
          <w:sz w:val="22"/>
          <w:szCs w:val="22"/>
        </w:rPr>
      </w:pPr>
      <w:r w:rsidRPr="00766CEC">
        <w:rPr>
          <w:rFonts w:ascii="Arial" w:hAnsi="Arial" w:cs="Arial"/>
          <w:sz w:val="22"/>
          <w:szCs w:val="22"/>
        </w:rPr>
        <w:t xml:space="preserve">Tüm katılımcılar dahil edildiğinde miR-107 ve miR-4447’nin cinsiyet ile ilişkisine bakıldığında istatistiksel </w:t>
      </w:r>
      <w:r w:rsidR="00B60F2C">
        <w:rPr>
          <w:rFonts w:ascii="Arial" w:hAnsi="Arial" w:cs="Arial"/>
          <w:sz w:val="22"/>
          <w:szCs w:val="22"/>
        </w:rPr>
        <w:t xml:space="preserve">olarak </w:t>
      </w:r>
      <w:r w:rsidRPr="00766CEC">
        <w:rPr>
          <w:rFonts w:ascii="Arial" w:hAnsi="Arial" w:cs="Arial"/>
          <w:sz w:val="22"/>
          <w:szCs w:val="22"/>
        </w:rPr>
        <w:t>anlamlı bir fark gözlenmemiştir (sırasıyla p=0.063, p=0.206)</w:t>
      </w:r>
    </w:p>
    <w:p w:rsidR="00C60153" w:rsidRDefault="00C60153" w:rsidP="00C60153">
      <w:pPr>
        <w:rPr>
          <w:rFonts w:ascii="Arial" w:hAnsi="Arial" w:cs="Arial"/>
        </w:rPr>
      </w:pPr>
    </w:p>
    <w:p w:rsidR="00C60153" w:rsidRPr="00766CEC" w:rsidRDefault="00C60153" w:rsidP="00C60153">
      <w:pPr>
        <w:rPr>
          <w:rFonts w:ascii="Arial" w:hAnsi="Arial" w:cs="Arial"/>
          <w:sz w:val="22"/>
          <w:szCs w:val="22"/>
          <w:shd w:val="clear" w:color="auto" w:fill="FFFFFF"/>
        </w:rPr>
      </w:pPr>
      <w:r w:rsidRPr="00766CEC">
        <w:rPr>
          <w:rFonts w:ascii="Arial" w:hAnsi="Arial" w:cs="Arial"/>
          <w:sz w:val="22"/>
          <w:szCs w:val="22"/>
        </w:rPr>
        <w:t>Tablo 27. Kontrol grubunda cinsiyet ile periferik kan m</w:t>
      </w:r>
      <w:r w:rsidRPr="00766CEC">
        <w:rPr>
          <w:rFonts w:ascii="Arial" w:hAnsi="Arial" w:cs="Arial"/>
          <w:sz w:val="22"/>
          <w:szCs w:val="22"/>
          <w:shd w:val="clear" w:color="auto" w:fill="FFFFFF"/>
        </w:rPr>
        <w:t>iR-5692b, miR-Let-7d, miR-124-3p, miR-107, miR-4447’nin relatif kantitasyon değerlerinin ilişkisi</w:t>
      </w:r>
    </w:p>
    <w:tbl>
      <w:tblPr>
        <w:tblStyle w:val="TabloKlavuzu"/>
        <w:tblW w:w="8962" w:type="dxa"/>
        <w:tblLook w:val="04A0" w:firstRow="1" w:lastRow="0" w:firstColumn="1" w:lastColumn="0" w:noHBand="0" w:noVBand="1"/>
      </w:tblPr>
      <w:tblGrid>
        <w:gridCol w:w="1362"/>
        <w:gridCol w:w="995"/>
        <w:gridCol w:w="1996"/>
        <w:gridCol w:w="3045"/>
        <w:gridCol w:w="819"/>
        <w:gridCol w:w="745"/>
      </w:tblGrid>
      <w:tr w:rsidR="00C60153" w:rsidRPr="009F5547" w:rsidTr="00283CE4">
        <w:trPr>
          <w:trHeight w:val="300"/>
        </w:trPr>
        <w:tc>
          <w:tcPr>
            <w:tcW w:w="1362" w:type="dxa"/>
            <w:noWrap/>
            <w:hideMark/>
          </w:tcPr>
          <w:p w:rsidR="00C60153" w:rsidRPr="009F5547" w:rsidRDefault="00C60153" w:rsidP="00283CE4">
            <w:pPr>
              <w:jc w:val="center"/>
              <w:rPr>
                <w:rFonts w:ascii="Arial" w:hAnsi="Arial" w:cs="Arial"/>
                <w:sz w:val="20"/>
                <w:szCs w:val="20"/>
              </w:rPr>
            </w:pPr>
          </w:p>
        </w:tc>
        <w:tc>
          <w:tcPr>
            <w:tcW w:w="995" w:type="dxa"/>
            <w:noWrap/>
            <w:hideMark/>
          </w:tcPr>
          <w:p w:rsidR="00C60153" w:rsidRPr="009F5547" w:rsidRDefault="00C60153" w:rsidP="00283CE4">
            <w:pPr>
              <w:jc w:val="center"/>
              <w:rPr>
                <w:rFonts w:ascii="Arial" w:hAnsi="Arial" w:cs="Arial"/>
                <w:b/>
                <w:sz w:val="20"/>
                <w:szCs w:val="20"/>
              </w:rPr>
            </w:pPr>
            <w:r w:rsidRPr="009F5547">
              <w:rPr>
                <w:rFonts w:ascii="Arial" w:hAnsi="Arial" w:cs="Arial"/>
                <w:b/>
                <w:sz w:val="20"/>
                <w:szCs w:val="20"/>
              </w:rPr>
              <w:t>Cinsiyet</w:t>
            </w:r>
          </w:p>
        </w:tc>
        <w:tc>
          <w:tcPr>
            <w:tcW w:w="1996" w:type="dxa"/>
            <w:noWrap/>
            <w:hideMark/>
          </w:tcPr>
          <w:p w:rsidR="00C60153" w:rsidRPr="009F5547" w:rsidRDefault="00C60153" w:rsidP="00283CE4">
            <w:pPr>
              <w:jc w:val="center"/>
              <w:rPr>
                <w:rFonts w:ascii="Arial" w:hAnsi="Arial" w:cs="Arial"/>
                <w:b/>
                <w:sz w:val="20"/>
                <w:szCs w:val="20"/>
              </w:rPr>
            </w:pPr>
            <w:r w:rsidRPr="009F5547">
              <w:rPr>
                <w:rFonts w:ascii="Arial" w:hAnsi="Arial" w:cs="Arial"/>
                <w:b/>
                <w:sz w:val="20"/>
                <w:szCs w:val="20"/>
              </w:rPr>
              <w:t xml:space="preserve">Ort </w:t>
            </w:r>
            <w:r w:rsidRPr="009F5547">
              <w:rPr>
                <w:rFonts w:ascii="Arial" w:hAnsi="Arial" w:cs="Arial"/>
                <w:b/>
                <w:sz w:val="20"/>
                <w:szCs w:val="20"/>
                <w:u w:val="single"/>
              </w:rPr>
              <w:t>+</w:t>
            </w:r>
            <w:r w:rsidRPr="009F5547">
              <w:rPr>
                <w:rFonts w:ascii="Arial" w:hAnsi="Arial" w:cs="Arial"/>
                <w:b/>
                <w:sz w:val="20"/>
                <w:szCs w:val="20"/>
              </w:rPr>
              <w:t xml:space="preserve"> SS</w:t>
            </w:r>
          </w:p>
        </w:tc>
        <w:tc>
          <w:tcPr>
            <w:tcW w:w="3045" w:type="dxa"/>
            <w:noWrap/>
            <w:hideMark/>
          </w:tcPr>
          <w:p w:rsidR="00C60153" w:rsidRPr="009F5547" w:rsidRDefault="00C60153" w:rsidP="00283CE4">
            <w:pPr>
              <w:jc w:val="center"/>
              <w:rPr>
                <w:rFonts w:ascii="Arial" w:hAnsi="Arial" w:cs="Arial"/>
                <w:b/>
                <w:sz w:val="20"/>
                <w:szCs w:val="20"/>
              </w:rPr>
            </w:pPr>
            <w:r w:rsidRPr="009F5547">
              <w:rPr>
                <w:rFonts w:ascii="Arial" w:hAnsi="Arial" w:cs="Arial"/>
                <w:b/>
                <w:sz w:val="20"/>
                <w:szCs w:val="20"/>
              </w:rPr>
              <w:t>Med. (min-maks)</w:t>
            </w:r>
          </w:p>
        </w:tc>
        <w:tc>
          <w:tcPr>
            <w:tcW w:w="819" w:type="dxa"/>
            <w:noWrap/>
            <w:hideMark/>
          </w:tcPr>
          <w:p w:rsidR="00C60153" w:rsidRPr="009F5547" w:rsidRDefault="00C60153" w:rsidP="00283CE4">
            <w:pPr>
              <w:jc w:val="center"/>
              <w:rPr>
                <w:rFonts w:ascii="Arial" w:hAnsi="Arial" w:cs="Arial"/>
                <w:b/>
                <w:sz w:val="20"/>
                <w:szCs w:val="20"/>
              </w:rPr>
            </w:pPr>
            <w:r>
              <w:rPr>
                <w:rFonts w:ascii="Arial" w:hAnsi="Arial" w:cs="Arial"/>
                <w:b/>
                <w:sz w:val="20"/>
                <w:szCs w:val="20"/>
              </w:rPr>
              <w:t>z</w:t>
            </w:r>
          </w:p>
        </w:tc>
        <w:tc>
          <w:tcPr>
            <w:tcW w:w="745" w:type="dxa"/>
          </w:tcPr>
          <w:p w:rsidR="00C60153" w:rsidRPr="009F5547" w:rsidRDefault="00C60153" w:rsidP="00283CE4">
            <w:pPr>
              <w:jc w:val="center"/>
              <w:rPr>
                <w:rFonts w:ascii="Arial" w:hAnsi="Arial" w:cs="Arial"/>
                <w:b/>
                <w:sz w:val="20"/>
                <w:szCs w:val="20"/>
              </w:rPr>
            </w:pPr>
            <w:r w:rsidRPr="009F5547">
              <w:rPr>
                <w:rFonts w:ascii="Arial" w:hAnsi="Arial" w:cs="Arial"/>
                <w:b/>
                <w:sz w:val="20"/>
                <w:szCs w:val="20"/>
              </w:rPr>
              <w:t>p</w:t>
            </w:r>
          </w:p>
        </w:tc>
      </w:tr>
      <w:tr w:rsidR="00C60153" w:rsidRPr="009F5547" w:rsidTr="00283CE4">
        <w:trPr>
          <w:trHeight w:val="600"/>
        </w:trPr>
        <w:tc>
          <w:tcPr>
            <w:tcW w:w="1362" w:type="dxa"/>
            <w:vMerge w:val="restart"/>
            <w:vAlign w:val="center"/>
            <w:hideMark/>
          </w:tcPr>
          <w:p w:rsidR="00C60153" w:rsidRPr="009F5547" w:rsidRDefault="00C60153" w:rsidP="00283CE4">
            <w:pPr>
              <w:jc w:val="center"/>
              <w:rPr>
                <w:rFonts w:ascii="Arial" w:hAnsi="Arial" w:cs="Arial"/>
                <w:color w:val="000000"/>
                <w:sz w:val="20"/>
                <w:szCs w:val="20"/>
              </w:rPr>
            </w:pPr>
            <w:r w:rsidRPr="009F5547">
              <w:rPr>
                <w:rFonts w:ascii="Arial" w:hAnsi="Arial" w:cs="Arial"/>
                <w:b/>
              </w:rPr>
              <w:t>m</w:t>
            </w:r>
            <w:r w:rsidRPr="009F5547">
              <w:rPr>
                <w:rFonts w:ascii="Arial" w:hAnsi="Arial" w:cs="Arial"/>
                <w:b/>
                <w:shd w:val="clear" w:color="auto" w:fill="FFFFFF"/>
              </w:rPr>
              <w:t>iR-</w:t>
            </w:r>
            <w:r w:rsidRPr="009F5547">
              <w:rPr>
                <w:rFonts w:ascii="Arial" w:hAnsi="Arial" w:cs="Arial"/>
                <w:b/>
                <w:sz w:val="20"/>
                <w:szCs w:val="20"/>
              </w:rPr>
              <w:t>107</w:t>
            </w:r>
          </w:p>
        </w:tc>
        <w:tc>
          <w:tcPr>
            <w:tcW w:w="995" w:type="dxa"/>
            <w:vAlign w:val="center"/>
            <w:hideMark/>
          </w:tcPr>
          <w:p w:rsidR="00C60153" w:rsidRPr="009F5547" w:rsidRDefault="00C60153" w:rsidP="00283CE4">
            <w:pPr>
              <w:jc w:val="center"/>
              <w:rPr>
                <w:rFonts w:ascii="Arial" w:hAnsi="Arial" w:cs="Arial"/>
                <w:color w:val="000000"/>
                <w:sz w:val="20"/>
                <w:szCs w:val="20"/>
              </w:rPr>
            </w:pPr>
            <w:r w:rsidRPr="009F5547">
              <w:rPr>
                <w:rFonts w:ascii="Arial" w:hAnsi="Arial" w:cs="Arial"/>
                <w:color w:val="000000"/>
                <w:sz w:val="20"/>
                <w:szCs w:val="20"/>
              </w:rPr>
              <w:t>Erkek</w:t>
            </w:r>
          </w:p>
        </w:tc>
        <w:tc>
          <w:tcPr>
            <w:tcW w:w="1996"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6.26 ± 3.93</w:t>
            </w:r>
          </w:p>
        </w:tc>
        <w:tc>
          <w:tcPr>
            <w:tcW w:w="3045"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6.63 (0.13 – 16.45)</w:t>
            </w:r>
          </w:p>
        </w:tc>
        <w:tc>
          <w:tcPr>
            <w:tcW w:w="819" w:type="dxa"/>
            <w:vMerge w:val="restart"/>
            <w:noWrap/>
            <w:vAlign w:val="center"/>
            <w:hideMark/>
          </w:tcPr>
          <w:p w:rsidR="00C60153" w:rsidRPr="009F5547" w:rsidRDefault="00C60153" w:rsidP="00283CE4">
            <w:pPr>
              <w:jc w:val="center"/>
              <w:rPr>
                <w:rFonts w:ascii="Arial" w:hAnsi="Arial" w:cs="Arial"/>
                <w:sz w:val="20"/>
                <w:szCs w:val="20"/>
              </w:rPr>
            </w:pPr>
            <w:r>
              <w:rPr>
                <w:rFonts w:ascii="Arial" w:hAnsi="Arial" w:cs="Arial"/>
                <w:sz w:val="20"/>
                <w:szCs w:val="20"/>
              </w:rPr>
              <w:t>-2.120</w:t>
            </w:r>
          </w:p>
        </w:tc>
        <w:tc>
          <w:tcPr>
            <w:tcW w:w="745" w:type="dxa"/>
            <w:vMerge w:val="restart"/>
            <w:vAlign w:val="center"/>
          </w:tcPr>
          <w:p w:rsidR="00C60153" w:rsidRPr="009F5547" w:rsidRDefault="00C60153" w:rsidP="00283CE4">
            <w:pPr>
              <w:jc w:val="center"/>
              <w:rPr>
                <w:rFonts w:ascii="Arial" w:hAnsi="Arial" w:cs="Arial"/>
                <w:b/>
                <w:sz w:val="20"/>
                <w:szCs w:val="20"/>
              </w:rPr>
            </w:pPr>
            <w:r w:rsidRPr="009F5547">
              <w:rPr>
                <w:rFonts w:ascii="Arial" w:hAnsi="Arial" w:cs="Arial"/>
                <w:b/>
                <w:sz w:val="20"/>
                <w:szCs w:val="20"/>
              </w:rPr>
              <w:t>0.035</w:t>
            </w:r>
          </w:p>
        </w:tc>
      </w:tr>
      <w:tr w:rsidR="00C60153" w:rsidRPr="009F5547" w:rsidTr="00283CE4">
        <w:trPr>
          <w:trHeight w:val="500"/>
        </w:trPr>
        <w:tc>
          <w:tcPr>
            <w:tcW w:w="1362" w:type="dxa"/>
            <w:vMerge/>
            <w:vAlign w:val="center"/>
            <w:hideMark/>
          </w:tcPr>
          <w:p w:rsidR="00C60153" w:rsidRPr="009F5547" w:rsidRDefault="00C60153" w:rsidP="00283CE4">
            <w:pPr>
              <w:jc w:val="center"/>
              <w:rPr>
                <w:rFonts w:ascii="Arial" w:hAnsi="Arial" w:cs="Arial"/>
                <w:color w:val="000000"/>
                <w:sz w:val="20"/>
                <w:szCs w:val="20"/>
              </w:rPr>
            </w:pPr>
          </w:p>
        </w:tc>
        <w:tc>
          <w:tcPr>
            <w:tcW w:w="995" w:type="dxa"/>
            <w:vAlign w:val="center"/>
            <w:hideMark/>
          </w:tcPr>
          <w:p w:rsidR="00C60153" w:rsidRPr="009F5547" w:rsidRDefault="00C60153" w:rsidP="00283CE4">
            <w:pPr>
              <w:jc w:val="center"/>
              <w:rPr>
                <w:rFonts w:ascii="Arial" w:hAnsi="Arial" w:cs="Arial"/>
                <w:color w:val="000000"/>
                <w:sz w:val="20"/>
                <w:szCs w:val="20"/>
              </w:rPr>
            </w:pPr>
            <w:r w:rsidRPr="009F5547">
              <w:rPr>
                <w:rFonts w:ascii="Arial" w:hAnsi="Arial" w:cs="Arial"/>
                <w:color w:val="000000"/>
                <w:sz w:val="20"/>
                <w:szCs w:val="20"/>
              </w:rPr>
              <w:t>Kız</w:t>
            </w:r>
          </w:p>
        </w:tc>
        <w:tc>
          <w:tcPr>
            <w:tcW w:w="1996"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11.21 ± 7.91</w:t>
            </w:r>
          </w:p>
        </w:tc>
        <w:tc>
          <w:tcPr>
            <w:tcW w:w="3045"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9.42 (2.11 – 31.56)</w:t>
            </w:r>
          </w:p>
        </w:tc>
        <w:tc>
          <w:tcPr>
            <w:tcW w:w="819" w:type="dxa"/>
            <w:vMerge/>
            <w:vAlign w:val="center"/>
            <w:hideMark/>
          </w:tcPr>
          <w:p w:rsidR="00C60153" w:rsidRPr="009F5547" w:rsidRDefault="00C60153" w:rsidP="00283CE4">
            <w:pPr>
              <w:jc w:val="center"/>
              <w:rPr>
                <w:rFonts w:ascii="Arial" w:hAnsi="Arial" w:cs="Arial"/>
                <w:color w:val="FF0000"/>
                <w:sz w:val="20"/>
                <w:szCs w:val="20"/>
              </w:rPr>
            </w:pPr>
          </w:p>
        </w:tc>
        <w:tc>
          <w:tcPr>
            <w:tcW w:w="745" w:type="dxa"/>
            <w:vMerge/>
            <w:vAlign w:val="center"/>
          </w:tcPr>
          <w:p w:rsidR="00C60153" w:rsidRPr="009F5547" w:rsidRDefault="00C60153" w:rsidP="00283CE4">
            <w:pPr>
              <w:jc w:val="center"/>
              <w:rPr>
                <w:rFonts w:ascii="Arial" w:hAnsi="Arial" w:cs="Arial"/>
                <w:color w:val="FF0000"/>
                <w:sz w:val="20"/>
                <w:szCs w:val="20"/>
              </w:rPr>
            </w:pPr>
          </w:p>
        </w:tc>
      </w:tr>
      <w:tr w:rsidR="00C60153" w:rsidRPr="009F5547" w:rsidTr="00283CE4">
        <w:trPr>
          <w:trHeight w:val="600"/>
        </w:trPr>
        <w:tc>
          <w:tcPr>
            <w:tcW w:w="1362" w:type="dxa"/>
            <w:vMerge w:val="restart"/>
            <w:vAlign w:val="center"/>
            <w:hideMark/>
          </w:tcPr>
          <w:p w:rsidR="00C60153" w:rsidRPr="009F5547" w:rsidRDefault="00C60153" w:rsidP="00283CE4">
            <w:pPr>
              <w:jc w:val="center"/>
              <w:rPr>
                <w:rFonts w:ascii="Arial" w:hAnsi="Arial" w:cs="Arial"/>
                <w:color w:val="000000"/>
                <w:sz w:val="20"/>
                <w:szCs w:val="20"/>
              </w:rPr>
            </w:pPr>
            <w:r w:rsidRPr="009F5547">
              <w:rPr>
                <w:rFonts w:ascii="Arial" w:hAnsi="Arial" w:cs="Arial"/>
                <w:b/>
              </w:rPr>
              <w:t>m</w:t>
            </w:r>
            <w:r w:rsidRPr="009F5547">
              <w:rPr>
                <w:rFonts w:ascii="Arial" w:hAnsi="Arial" w:cs="Arial"/>
                <w:b/>
                <w:shd w:val="clear" w:color="auto" w:fill="FFFFFF"/>
              </w:rPr>
              <w:t>iR-</w:t>
            </w:r>
            <w:r w:rsidRPr="009F5547">
              <w:rPr>
                <w:rFonts w:ascii="Arial" w:hAnsi="Arial" w:cs="Arial"/>
                <w:b/>
                <w:sz w:val="20"/>
                <w:szCs w:val="20"/>
              </w:rPr>
              <w:t>124-3p</w:t>
            </w:r>
          </w:p>
        </w:tc>
        <w:tc>
          <w:tcPr>
            <w:tcW w:w="995" w:type="dxa"/>
            <w:vAlign w:val="center"/>
            <w:hideMark/>
          </w:tcPr>
          <w:p w:rsidR="00C60153" w:rsidRPr="009F5547" w:rsidRDefault="00C60153" w:rsidP="00283CE4">
            <w:pPr>
              <w:jc w:val="center"/>
              <w:rPr>
                <w:rFonts w:ascii="Arial" w:hAnsi="Arial" w:cs="Arial"/>
                <w:color w:val="000000"/>
                <w:sz w:val="20"/>
                <w:szCs w:val="20"/>
              </w:rPr>
            </w:pPr>
            <w:r w:rsidRPr="009F5547">
              <w:rPr>
                <w:rFonts w:ascii="Arial" w:hAnsi="Arial" w:cs="Arial"/>
                <w:color w:val="000000"/>
                <w:sz w:val="20"/>
                <w:szCs w:val="20"/>
              </w:rPr>
              <w:t>Erkek</w:t>
            </w:r>
          </w:p>
        </w:tc>
        <w:tc>
          <w:tcPr>
            <w:tcW w:w="1996"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51.73 ± 128.53</w:t>
            </w:r>
          </w:p>
        </w:tc>
        <w:tc>
          <w:tcPr>
            <w:tcW w:w="3045"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0 (0 – 430.54)</w:t>
            </w:r>
          </w:p>
        </w:tc>
        <w:tc>
          <w:tcPr>
            <w:tcW w:w="819" w:type="dxa"/>
            <w:vMerge w:val="restart"/>
            <w:noWrap/>
            <w:vAlign w:val="center"/>
            <w:hideMark/>
          </w:tcPr>
          <w:p w:rsidR="00C60153" w:rsidRPr="009F5547" w:rsidRDefault="00C60153" w:rsidP="00283CE4">
            <w:pPr>
              <w:jc w:val="center"/>
              <w:rPr>
                <w:rFonts w:ascii="Arial" w:hAnsi="Arial" w:cs="Arial"/>
                <w:sz w:val="20"/>
                <w:szCs w:val="20"/>
              </w:rPr>
            </w:pPr>
            <w:r>
              <w:rPr>
                <w:rFonts w:ascii="Arial" w:hAnsi="Arial" w:cs="Arial"/>
                <w:sz w:val="20"/>
                <w:szCs w:val="20"/>
              </w:rPr>
              <w:t>-</w:t>
            </w:r>
            <w:r w:rsidRPr="009F5547">
              <w:rPr>
                <w:rFonts w:ascii="Arial" w:hAnsi="Arial" w:cs="Arial"/>
                <w:sz w:val="20"/>
                <w:szCs w:val="20"/>
              </w:rPr>
              <w:t>0.</w:t>
            </w:r>
            <w:r>
              <w:rPr>
                <w:rFonts w:ascii="Arial" w:hAnsi="Arial" w:cs="Arial"/>
                <w:sz w:val="20"/>
                <w:szCs w:val="20"/>
              </w:rPr>
              <w:t>790</w:t>
            </w:r>
          </w:p>
        </w:tc>
        <w:tc>
          <w:tcPr>
            <w:tcW w:w="745" w:type="dxa"/>
            <w:vMerge w:val="restart"/>
            <w:vAlign w:val="center"/>
          </w:tcPr>
          <w:p w:rsidR="00C60153" w:rsidRPr="009F5547" w:rsidRDefault="00C60153" w:rsidP="00283CE4">
            <w:pPr>
              <w:jc w:val="center"/>
              <w:rPr>
                <w:rFonts w:ascii="Arial" w:hAnsi="Arial" w:cs="Arial"/>
                <w:sz w:val="20"/>
                <w:szCs w:val="20"/>
              </w:rPr>
            </w:pPr>
            <w:r w:rsidRPr="009F5547">
              <w:rPr>
                <w:rFonts w:ascii="Arial" w:hAnsi="Arial" w:cs="Arial"/>
                <w:sz w:val="20"/>
                <w:szCs w:val="20"/>
              </w:rPr>
              <w:t>0.448</w:t>
            </w:r>
          </w:p>
        </w:tc>
      </w:tr>
      <w:tr w:rsidR="00C60153" w:rsidRPr="009F5547" w:rsidTr="00283CE4">
        <w:trPr>
          <w:trHeight w:val="530"/>
        </w:trPr>
        <w:tc>
          <w:tcPr>
            <w:tcW w:w="1362" w:type="dxa"/>
            <w:vMerge/>
            <w:vAlign w:val="center"/>
            <w:hideMark/>
          </w:tcPr>
          <w:p w:rsidR="00C60153" w:rsidRPr="009F5547" w:rsidRDefault="00C60153" w:rsidP="00283CE4">
            <w:pPr>
              <w:jc w:val="center"/>
              <w:rPr>
                <w:rFonts w:ascii="Arial" w:hAnsi="Arial" w:cs="Arial"/>
                <w:color w:val="000000"/>
                <w:sz w:val="20"/>
                <w:szCs w:val="20"/>
              </w:rPr>
            </w:pPr>
          </w:p>
        </w:tc>
        <w:tc>
          <w:tcPr>
            <w:tcW w:w="995" w:type="dxa"/>
            <w:vAlign w:val="center"/>
            <w:hideMark/>
          </w:tcPr>
          <w:p w:rsidR="00C60153" w:rsidRPr="009F5547" w:rsidRDefault="00C60153" w:rsidP="00283CE4">
            <w:pPr>
              <w:jc w:val="center"/>
              <w:rPr>
                <w:rFonts w:ascii="Arial" w:hAnsi="Arial" w:cs="Arial"/>
                <w:color w:val="000000"/>
                <w:sz w:val="20"/>
                <w:szCs w:val="20"/>
              </w:rPr>
            </w:pPr>
            <w:r w:rsidRPr="009F5547">
              <w:rPr>
                <w:rFonts w:ascii="Arial" w:hAnsi="Arial" w:cs="Arial"/>
                <w:color w:val="000000"/>
                <w:sz w:val="20"/>
                <w:szCs w:val="20"/>
              </w:rPr>
              <w:t>Kız</w:t>
            </w:r>
          </w:p>
        </w:tc>
        <w:tc>
          <w:tcPr>
            <w:tcW w:w="1996"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11.2 ± 34.71</w:t>
            </w:r>
          </w:p>
        </w:tc>
        <w:tc>
          <w:tcPr>
            <w:tcW w:w="3045"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0 (0 – 130.69)</w:t>
            </w:r>
          </w:p>
        </w:tc>
        <w:tc>
          <w:tcPr>
            <w:tcW w:w="819" w:type="dxa"/>
            <w:vMerge/>
            <w:vAlign w:val="center"/>
            <w:hideMark/>
          </w:tcPr>
          <w:p w:rsidR="00C60153" w:rsidRPr="009F5547" w:rsidRDefault="00C60153" w:rsidP="00283CE4">
            <w:pPr>
              <w:jc w:val="center"/>
              <w:rPr>
                <w:rFonts w:ascii="Arial" w:hAnsi="Arial" w:cs="Arial"/>
                <w:sz w:val="20"/>
                <w:szCs w:val="20"/>
              </w:rPr>
            </w:pPr>
          </w:p>
        </w:tc>
        <w:tc>
          <w:tcPr>
            <w:tcW w:w="745" w:type="dxa"/>
            <w:vMerge/>
            <w:vAlign w:val="center"/>
          </w:tcPr>
          <w:p w:rsidR="00C60153" w:rsidRPr="009F5547" w:rsidRDefault="00C60153" w:rsidP="00283CE4">
            <w:pPr>
              <w:jc w:val="center"/>
              <w:rPr>
                <w:rFonts w:ascii="Arial" w:hAnsi="Arial" w:cs="Arial"/>
                <w:sz w:val="20"/>
                <w:szCs w:val="20"/>
              </w:rPr>
            </w:pPr>
          </w:p>
        </w:tc>
      </w:tr>
      <w:tr w:rsidR="00C60153" w:rsidRPr="009F5547" w:rsidTr="00283CE4">
        <w:trPr>
          <w:trHeight w:val="600"/>
        </w:trPr>
        <w:tc>
          <w:tcPr>
            <w:tcW w:w="1362" w:type="dxa"/>
            <w:vMerge w:val="restart"/>
            <w:vAlign w:val="center"/>
            <w:hideMark/>
          </w:tcPr>
          <w:p w:rsidR="00C60153" w:rsidRPr="009F5547" w:rsidRDefault="00C60153" w:rsidP="00283CE4">
            <w:pPr>
              <w:jc w:val="center"/>
              <w:rPr>
                <w:rFonts w:ascii="Arial" w:hAnsi="Arial" w:cs="Arial"/>
                <w:color w:val="000000"/>
                <w:sz w:val="20"/>
                <w:szCs w:val="20"/>
              </w:rPr>
            </w:pPr>
            <w:r w:rsidRPr="009F5547">
              <w:rPr>
                <w:rFonts w:ascii="Arial" w:hAnsi="Arial" w:cs="Arial"/>
                <w:b/>
              </w:rPr>
              <w:t>m</w:t>
            </w:r>
            <w:r w:rsidRPr="009F5547">
              <w:rPr>
                <w:rFonts w:ascii="Arial" w:hAnsi="Arial" w:cs="Arial"/>
                <w:b/>
                <w:shd w:val="clear" w:color="auto" w:fill="FFFFFF"/>
              </w:rPr>
              <w:t>iR-5692b</w:t>
            </w:r>
          </w:p>
        </w:tc>
        <w:tc>
          <w:tcPr>
            <w:tcW w:w="995" w:type="dxa"/>
            <w:vAlign w:val="center"/>
            <w:hideMark/>
          </w:tcPr>
          <w:p w:rsidR="00C60153" w:rsidRPr="009F5547" w:rsidRDefault="00C60153" w:rsidP="00283CE4">
            <w:pPr>
              <w:jc w:val="center"/>
              <w:rPr>
                <w:rFonts w:ascii="Arial" w:hAnsi="Arial" w:cs="Arial"/>
                <w:color w:val="000000"/>
                <w:sz w:val="20"/>
                <w:szCs w:val="20"/>
              </w:rPr>
            </w:pPr>
            <w:r w:rsidRPr="009F5547">
              <w:rPr>
                <w:rFonts w:ascii="Arial" w:hAnsi="Arial" w:cs="Arial"/>
                <w:color w:val="000000"/>
                <w:sz w:val="20"/>
                <w:szCs w:val="20"/>
              </w:rPr>
              <w:t>Erkek</w:t>
            </w:r>
          </w:p>
        </w:tc>
        <w:tc>
          <w:tcPr>
            <w:tcW w:w="1996"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122.84 ± 193.31</w:t>
            </w:r>
          </w:p>
        </w:tc>
        <w:tc>
          <w:tcPr>
            <w:tcW w:w="3045"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3.12 (0 – 596.34)</w:t>
            </w:r>
          </w:p>
        </w:tc>
        <w:tc>
          <w:tcPr>
            <w:tcW w:w="819" w:type="dxa"/>
            <w:vMerge w:val="restart"/>
            <w:noWrap/>
            <w:vAlign w:val="center"/>
            <w:hideMark/>
          </w:tcPr>
          <w:p w:rsidR="00C60153" w:rsidRPr="009F5547" w:rsidRDefault="00C60153" w:rsidP="00283CE4">
            <w:pPr>
              <w:jc w:val="center"/>
              <w:rPr>
                <w:rFonts w:ascii="Arial" w:hAnsi="Arial" w:cs="Arial"/>
                <w:sz w:val="20"/>
                <w:szCs w:val="20"/>
              </w:rPr>
            </w:pPr>
            <w:r>
              <w:rPr>
                <w:rFonts w:ascii="Arial" w:hAnsi="Arial" w:cs="Arial"/>
                <w:sz w:val="20"/>
                <w:szCs w:val="20"/>
              </w:rPr>
              <w:t>-0</w:t>
            </w:r>
            <w:r w:rsidRPr="009F5547">
              <w:rPr>
                <w:rFonts w:ascii="Arial" w:hAnsi="Arial" w:cs="Arial"/>
                <w:sz w:val="20"/>
                <w:szCs w:val="20"/>
              </w:rPr>
              <w:t>.</w:t>
            </w:r>
            <w:r>
              <w:rPr>
                <w:rFonts w:ascii="Arial" w:hAnsi="Arial" w:cs="Arial"/>
                <w:sz w:val="20"/>
                <w:szCs w:val="20"/>
              </w:rPr>
              <w:t>728</w:t>
            </w:r>
          </w:p>
        </w:tc>
        <w:tc>
          <w:tcPr>
            <w:tcW w:w="745" w:type="dxa"/>
            <w:vMerge w:val="restart"/>
            <w:vAlign w:val="center"/>
          </w:tcPr>
          <w:p w:rsidR="00C60153" w:rsidRPr="009F5547" w:rsidRDefault="00C60153" w:rsidP="00283CE4">
            <w:pPr>
              <w:jc w:val="center"/>
              <w:rPr>
                <w:rFonts w:ascii="Arial" w:hAnsi="Arial" w:cs="Arial"/>
                <w:sz w:val="20"/>
                <w:szCs w:val="20"/>
              </w:rPr>
            </w:pPr>
            <w:r w:rsidRPr="009F5547">
              <w:rPr>
                <w:rFonts w:ascii="Arial" w:hAnsi="Arial" w:cs="Arial"/>
                <w:sz w:val="20"/>
                <w:szCs w:val="20"/>
              </w:rPr>
              <w:t>0.473</w:t>
            </w:r>
          </w:p>
        </w:tc>
      </w:tr>
      <w:tr w:rsidR="00C60153" w:rsidRPr="009F5547" w:rsidTr="00283CE4">
        <w:trPr>
          <w:trHeight w:val="504"/>
        </w:trPr>
        <w:tc>
          <w:tcPr>
            <w:tcW w:w="1362" w:type="dxa"/>
            <w:vMerge/>
            <w:vAlign w:val="center"/>
            <w:hideMark/>
          </w:tcPr>
          <w:p w:rsidR="00C60153" w:rsidRPr="009F5547" w:rsidRDefault="00C60153" w:rsidP="00283CE4">
            <w:pPr>
              <w:jc w:val="center"/>
              <w:rPr>
                <w:rFonts w:ascii="Arial" w:hAnsi="Arial" w:cs="Arial"/>
                <w:color w:val="000000"/>
                <w:sz w:val="20"/>
                <w:szCs w:val="20"/>
              </w:rPr>
            </w:pPr>
          </w:p>
        </w:tc>
        <w:tc>
          <w:tcPr>
            <w:tcW w:w="995" w:type="dxa"/>
            <w:vAlign w:val="center"/>
            <w:hideMark/>
          </w:tcPr>
          <w:p w:rsidR="00C60153" w:rsidRPr="009F5547" w:rsidRDefault="00C60153" w:rsidP="00283CE4">
            <w:pPr>
              <w:jc w:val="center"/>
              <w:rPr>
                <w:rFonts w:ascii="Arial" w:hAnsi="Arial" w:cs="Arial"/>
                <w:color w:val="000000"/>
                <w:sz w:val="20"/>
                <w:szCs w:val="20"/>
              </w:rPr>
            </w:pPr>
            <w:r w:rsidRPr="009F5547">
              <w:rPr>
                <w:rFonts w:ascii="Arial" w:hAnsi="Arial" w:cs="Arial"/>
                <w:color w:val="000000"/>
                <w:sz w:val="20"/>
                <w:szCs w:val="20"/>
              </w:rPr>
              <w:t>Kız</w:t>
            </w:r>
          </w:p>
        </w:tc>
        <w:tc>
          <w:tcPr>
            <w:tcW w:w="1996"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131.09 ± 188.29</w:t>
            </w:r>
          </w:p>
        </w:tc>
        <w:tc>
          <w:tcPr>
            <w:tcW w:w="3045"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26.23 (0 – 494.56)</w:t>
            </w:r>
          </w:p>
        </w:tc>
        <w:tc>
          <w:tcPr>
            <w:tcW w:w="819" w:type="dxa"/>
            <w:vMerge/>
            <w:vAlign w:val="center"/>
            <w:hideMark/>
          </w:tcPr>
          <w:p w:rsidR="00C60153" w:rsidRPr="009F5547" w:rsidRDefault="00C60153" w:rsidP="00283CE4">
            <w:pPr>
              <w:jc w:val="center"/>
              <w:rPr>
                <w:rFonts w:ascii="Arial" w:hAnsi="Arial" w:cs="Arial"/>
                <w:sz w:val="20"/>
                <w:szCs w:val="20"/>
              </w:rPr>
            </w:pPr>
          </w:p>
        </w:tc>
        <w:tc>
          <w:tcPr>
            <w:tcW w:w="745" w:type="dxa"/>
            <w:vMerge/>
            <w:vAlign w:val="center"/>
          </w:tcPr>
          <w:p w:rsidR="00C60153" w:rsidRPr="009F5547" w:rsidRDefault="00C60153" w:rsidP="00283CE4">
            <w:pPr>
              <w:jc w:val="center"/>
              <w:rPr>
                <w:rFonts w:ascii="Arial" w:hAnsi="Arial" w:cs="Arial"/>
                <w:sz w:val="20"/>
                <w:szCs w:val="20"/>
              </w:rPr>
            </w:pPr>
          </w:p>
        </w:tc>
      </w:tr>
      <w:tr w:rsidR="00C60153" w:rsidRPr="009F5547" w:rsidTr="00283CE4">
        <w:trPr>
          <w:trHeight w:val="600"/>
        </w:trPr>
        <w:tc>
          <w:tcPr>
            <w:tcW w:w="1362" w:type="dxa"/>
            <w:vMerge w:val="restart"/>
            <w:vAlign w:val="center"/>
            <w:hideMark/>
          </w:tcPr>
          <w:p w:rsidR="00C60153" w:rsidRPr="009F5547" w:rsidRDefault="00C60153" w:rsidP="00283CE4">
            <w:pPr>
              <w:jc w:val="center"/>
              <w:rPr>
                <w:rFonts w:ascii="Arial" w:hAnsi="Arial" w:cs="Arial"/>
                <w:color w:val="000000"/>
                <w:sz w:val="20"/>
                <w:szCs w:val="20"/>
              </w:rPr>
            </w:pPr>
            <w:r w:rsidRPr="009F5547">
              <w:rPr>
                <w:rFonts w:ascii="Arial" w:hAnsi="Arial" w:cs="Arial"/>
                <w:b/>
              </w:rPr>
              <w:t>m</w:t>
            </w:r>
            <w:r w:rsidRPr="009F5547">
              <w:rPr>
                <w:rFonts w:ascii="Arial" w:hAnsi="Arial" w:cs="Arial"/>
                <w:b/>
                <w:shd w:val="clear" w:color="auto" w:fill="FFFFFF"/>
              </w:rPr>
              <w:t>iR-let-7d</w:t>
            </w:r>
          </w:p>
        </w:tc>
        <w:tc>
          <w:tcPr>
            <w:tcW w:w="995" w:type="dxa"/>
            <w:vAlign w:val="center"/>
            <w:hideMark/>
          </w:tcPr>
          <w:p w:rsidR="00C60153" w:rsidRPr="009F5547" w:rsidRDefault="00C60153" w:rsidP="00283CE4">
            <w:pPr>
              <w:jc w:val="center"/>
              <w:rPr>
                <w:rFonts w:ascii="Arial" w:hAnsi="Arial" w:cs="Arial"/>
                <w:color w:val="000000"/>
                <w:sz w:val="20"/>
                <w:szCs w:val="20"/>
              </w:rPr>
            </w:pPr>
            <w:r w:rsidRPr="009F5547">
              <w:rPr>
                <w:rFonts w:ascii="Arial" w:hAnsi="Arial" w:cs="Arial"/>
                <w:color w:val="000000"/>
                <w:sz w:val="20"/>
                <w:szCs w:val="20"/>
              </w:rPr>
              <w:t>Erkek</w:t>
            </w:r>
          </w:p>
        </w:tc>
        <w:tc>
          <w:tcPr>
            <w:tcW w:w="1996"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2.8 ± 1.74</w:t>
            </w:r>
          </w:p>
        </w:tc>
        <w:tc>
          <w:tcPr>
            <w:tcW w:w="3045"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2.46 (0.08 – 6.54)</w:t>
            </w:r>
          </w:p>
        </w:tc>
        <w:tc>
          <w:tcPr>
            <w:tcW w:w="819" w:type="dxa"/>
            <w:vMerge w:val="restart"/>
            <w:noWrap/>
            <w:vAlign w:val="center"/>
            <w:hideMark/>
          </w:tcPr>
          <w:p w:rsidR="00C60153" w:rsidRPr="009F5547" w:rsidRDefault="00C60153" w:rsidP="00283CE4">
            <w:pPr>
              <w:jc w:val="center"/>
              <w:rPr>
                <w:rFonts w:ascii="Arial" w:hAnsi="Arial" w:cs="Arial"/>
                <w:sz w:val="20"/>
                <w:szCs w:val="20"/>
              </w:rPr>
            </w:pPr>
            <w:r>
              <w:rPr>
                <w:rFonts w:ascii="Arial" w:hAnsi="Arial" w:cs="Arial"/>
                <w:sz w:val="20"/>
                <w:szCs w:val="20"/>
              </w:rPr>
              <w:t>-1</w:t>
            </w:r>
            <w:r w:rsidRPr="009F5547">
              <w:rPr>
                <w:rFonts w:ascii="Arial" w:hAnsi="Arial" w:cs="Arial"/>
                <w:sz w:val="20"/>
                <w:szCs w:val="20"/>
              </w:rPr>
              <w:t>.</w:t>
            </w:r>
            <w:r>
              <w:rPr>
                <w:rFonts w:ascii="Arial" w:hAnsi="Arial" w:cs="Arial"/>
                <w:sz w:val="20"/>
                <w:szCs w:val="20"/>
              </w:rPr>
              <w:t>830</w:t>
            </w:r>
          </w:p>
        </w:tc>
        <w:tc>
          <w:tcPr>
            <w:tcW w:w="745" w:type="dxa"/>
            <w:vMerge w:val="restart"/>
            <w:vAlign w:val="center"/>
          </w:tcPr>
          <w:p w:rsidR="00C60153" w:rsidRPr="009F5547" w:rsidRDefault="00C60153" w:rsidP="00283CE4">
            <w:pPr>
              <w:jc w:val="center"/>
              <w:rPr>
                <w:rFonts w:ascii="Arial" w:hAnsi="Arial" w:cs="Arial"/>
                <w:sz w:val="20"/>
                <w:szCs w:val="20"/>
              </w:rPr>
            </w:pPr>
            <w:r w:rsidRPr="009F5547">
              <w:rPr>
                <w:rFonts w:ascii="Arial" w:hAnsi="Arial" w:cs="Arial"/>
                <w:sz w:val="20"/>
                <w:szCs w:val="20"/>
              </w:rPr>
              <w:t>0.07</w:t>
            </w:r>
          </w:p>
        </w:tc>
      </w:tr>
      <w:tr w:rsidR="00C60153" w:rsidRPr="009F5547" w:rsidTr="00283CE4">
        <w:trPr>
          <w:trHeight w:val="648"/>
        </w:trPr>
        <w:tc>
          <w:tcPr>
            <w:tcW w:w="1362" w:type="dxa"/>
            <w:vMerge/>
            <w:vAlign w:val="center"/>
            <w:hideMark/>
          </w:tcPr>
          <w:p w:rsidR="00C60153" w:rsidRPr="009F5547" w:rsidRDefault="00C60153" w:rsidP="00283CE4">
            <w:pPr>
              <w:jc w:val="center"/>
              <w:rPr>
                <w:rFonts w:ascii="Arial" w:hAnsi="Arial" w:cs="Arial"/>
                <w:color w:val="000000"/>
                <w:sz w:val="20"/>
                <w:szCs w:val="20"/>
              </w:rPr>
            </w:pPr>
          </w:p>
        </w:tc>
        <w:tc>
          <w:tcPr>
            <w:tcW w:w="995" w:type="dxa"/>
            <w:vAlign w:val="center"/>
            <w:hideMark/>
          </w:tcPr>
          <w:p w:rsidR="00C60153" w:rsidRPr="009F5547" w:rsidRDefault="00C60153" w:rsidP="00283CE4">
            <w:pPr>
              <w:jc w:val="center"/>
              <w:rPr>
                <w:rFonts w:ascii="Arial" w:hAnsi="Arial" w:cs="Arial"/>
                <w:color w:val="000000"/>
                <w:sz w:val="20"/>
                <w:szCs w:val="20"/>
              </w:rPr>
            </w:pPr>
            <w:r w:rsidRPr="009F5547">
              <w:rPr>
                <w:rFonts w:ascii="Arial" w:hAnsi="Arial" w:cs="Arial"/>
                <w:color w:val="000000"/>
                <w:sz w:val="20"/>
                <w:szCs w:val="20"/>
              </w:rPr>
              <w:t>Kız</w:t>
            </w:r>
          </w:p>
        </w:tc>
        <w:tc>
          <w:tcPr>
            <w:tcW w:w="1996"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17.87 ± 49.69</w:t>
            </w:r>
          </w:p>
        </w:tc>
        <w:tc>
          <w:tcPr>
            <w:tcW w:w="3045"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3,3 (1.44 – 190.02)</w:t>
            </w:r>
          </w:p>
        </w:tc>
        <w:tc>
          <w:tcPr>
            <w:tcW w:w="819" w:type="dxa"/>
            <w:vMerge/>
            <w:vAlign w:val="center"/>
            <w:hideMark/>
          </w:tcPr>
          <w:p w:rsidR="00C60153" w:rsidRPr="009F5547" w:rsidRDefault="00C60153" w:rsidP="00283CE4">
            <w:pPr>
              <w:jc w:val="center"/>
              <w:rPr>
                <w:rFonts w:ascii="Arial" w:hAnsi="Arial" w:cs="Arial"/>
                <w:sz w:val="20"/>
                <w:szCs w:val="20"/>
              </w:rPr>
            </w:pPr>
          </w:p>
        </w:tc>
        <w:tc>
          <w:tcPr>
            <w:tcW w:w="745" w:type="dxa"/>
            <w:vMerge/>
            <w:vAlign w:val="center"/>
          </w:tcPr>
          <w:p w:rsidR="00C60153" w:rsidRPr="009F5547" w:rsidRDefault="00C60153" w:rsidP="00283CE4">
            <w:pPr>
              <w:jc w:val="center"/>
              <w:rPr>
                <w:rFonts w:ascii="Arial" w:hAnsi="Arial" w:cs="Arial"/>
                <w:sz w:val="20"/>
                <w:szCs w:val="20"/>
              </w:rPr>
            </w:pPr>
          </w:p>
        </w:tc>
      </w:tr>
      <w:tr w:rsidR="00C60153" w:rsidRPr="009F5547" w:rsidTr="00283CE4">
        <w:trPr>
          <w:trHeight w:val="600"/>
        </w:trPr>
        <w:tc>
          <w:tcPr>
            <w:tcW w:w="1362" w:type="dxa"/>
            <w:vMerge w:val="restart"/>
            <w:vAlign w:val="center"/>
            <w:hideMark/>
          </w:tcPr>
          <w:p w:rsidR="00C60153" w:rsidRPr="009F5547" w:rsidRDefault="00C60153" w:rsidP="00283CE4">
            <w:pPr>
              <w:jc w:val="center"/>
              <w:rPr>
                <w:rFonts w:ascii="Arial" w:hAnsi="Arial" w:cs="Arial"/>
                <w:color w:val="000000"/>
                <w:sz w:val="20"/>
                <w:szCs w:val="20"/>
              </w:rPr>
            </w:pPr>
            <w:r w:rsidRPr="009F5547">
              <w:rPr>
                <w:rFonts w:ascii="Arial" w:hAnsi="Arial" w:cs="Arial"/>
                <w:b/>
              </w:rPr>
              <w:t>m</w:t>
            </w:r>
            <w:r w:rsidRPr="009F5547">
              <w:rPr>
                <w:rFonts w:ascii="Arial" w:hAnsi="Arial" w:cs="Arial"/>
                <w:b/>
                <w:shd w:val="clear" w:color="auto" w:fill="FFFFFF"/>
              </w:rPr>
              <w:t>iR-</w:t>
            </w:r>
            <w:r w:rsidRPr="009F5547">
              <w:rPr>
                <w:rFonts w:ascii="Arial" w:hAnsi="Arial" w:cs="Arial"/>
                <w:b/>
                <w:sz w:val="20"/>
                <w:szCs w:val="20"/>
              </w:rPr>
              <w:t>4447</w:t>
            </w:r>
          </w:p>
        </w:tc>
        <w:tc>
          <w:tcPr>
            <w:tcW w:w="995" w:type="dxa"/>
            <w:vAlign w:val="center"/>
            <w:hideMark/>
          </w:tcPr>
          <w:p w:rsidR="00C60153" w:rsidRPr="009F5547" w:rsidRDefault="00C60153" w:rsidP="00283CE4">
            <w:pPr>
              <w:jc w:val="center"/>
              <w:rPr>
                <w:rFonts w:ascii="Arial" w:hAnsi="Arial" w:cs="Arial"/>
                <w:color w:val="000000"/>
                <w:sz w:val="20"/>
                <w:szCs w:val="20"/>
              </w:rPr>
            </w:pPr>
            <w:r w:rsidRPr="009F5547">
              <w:rPr>
                <w:rFonts w:ascii="Arial" w:hAnsi="Arial" w:cs="Arial"/>
                <w:color w:val="000000"/>
                <w:sz w:val="20"/>
                <w:szCs w:val="20"/>
              </w:rPr>
              <w:t>Erkek</w:t>
            </w:r>
          </w:p>
        </w:tc>
        <w:tc>
          <w:tcPr>
            <w:tcW w:w="1996"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485.6 ± 760.58</w:t>
            </w:r>
          </w:p>
        </w:tc>
        <w:tc>
          <w:tcPr>
            <w:tcW w:w="3045"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163.21 (0 – 2876.3)</w:t>
            </w:r>
          </w:p>
        </w:tc>
        <w:tc>
          <w:tcPr>
            <w:tcW w:w="819" w:type="dxa"/>
            <w:vMerge w:val="restart"/>
            <w:noWrap/>
            <w:vAlign w:val="center"/>
            <w:hideMark/>
          </w:tcPr>
          <w:p w:rsidR="00C60153" w:rsidRPr="009F5547" w:rsidRDefault="00C60153" w:rsidP="00283CE4">
            <w:pPr>
              <w:jc w:val="center"/>
              <w:rPr>
                <w:rFonts w:ascii="Arial" w:hAnsi="Arial" w:cs="Arial"/>
                <w:sz w:val="20"/>
                <w:szCs w:val="20"/>
              </w:rPr>
            </w:pPr>
            <w:r>
              <w:rPr>
                <w:rFonts w:ascii="Arial" w:hAnsi="Arial" w:cs="Arial"/>
                <w:sz w:val="20"/>
                <w:szCs w:val="20"/>
              </w:rPr>
              <w:t>-0.249</w:t>
            </w:r>
          </w:p>
        </w:tc>
        <w:tc>
          <w:tcPr>
            <w:tcW w:w="745" w:type="dxa"/>
            <w:vMerge w:val="restart"/>
            <w:vAlign w:val="center"/>
          </w:tcPr>
          <w:p w:rsidR="00C60153" w:rsidRPr="009F5547" w:rsidRDefault="00C60153" w:rsidP="00283CE4">
            <w:pPr>
              <w:jc w:val="center"/>
              <w:rPr>
                <w:rFonts w:ascii="Arial" w:hAnsi="Arial" w:cs="Arial"/>
                <w:sz w:val="20"/>
                <w:szCs w:val="20"/>
              </w:rPr>
            </w:pPr>
            <w:r w:rsidRPr="009F5547">
              <w:rPr>
                <w:rFonts w:ascii="Arial" w:hAnsi="Arial" w:cs="Arial"/>
                <w:sz w:val="20"/>
                <w:szCs w:val="20"/>
              </w:rPr>
              <w:t>0.822</w:t>
            </w:r>
          </w:p>
        </w:tc>
      </w:tr>
      <w:tr w:rsidR="00C60153" w:rsidRPr="009F5547" w:rsidTr="00283CE4">
        <w:trPr>
          <w:trHeight w:val="524"/>
        </w:trPr>
        <w:tc>
          <w:tcPr>
            <w:tcW w:w="1362" w:type="dxa"/>
            <w:vMerge/>
            <w:vAlign w:val="center"/>
            <w:hideMark/>
          </w:tcPr>
          <w:p w:rsidR="00C60153" w:rsidRPr="009F5547" w:rsidRDefault="00C60153" w:rsidP="00283CE4">
            <w:pPr>
              <w:jc w:val="center"/>
              <w:rPr>
                <w:rFonts w:ascii="Arial" w:hAnsi="Arial" w:cs="Arial"/>
                <w:color w:val="000000"/>
              </w:rPr>
            </w:pPr>
          </w:p>
        </w:tc>
        <w:tc>
          <w:tcPr>
            <w:tcW w:w="995" w:type="dxa"/>
            <w:vAlign w:val="center"/>
            <w:hideMark/>
          </w:tcPr>
          <w:p w:rsidR="00C60153" w:rsidRPr="009F5547" w:rsidRDefault="00C60153" w:rsidP="00283CE4">
            <w:pPr>
              <w:jc w:val="center"/>
              <w:rPr>
                <w:rFonts w:ascii="Arial" w:hAnsi="Arial" w:cs="Arial"/>
                <w:color w:val="000000"/>
                <w:sz w:val="20"/>
                <w:szCs w:val="20"/>
              </w:rPr>
            </w:pPr>
            <w:r w:rsidRPr="009F5547">
              <w:rPr>
                <w:rFonts w:ascii="Arial" w:hAnsi="Arial" w:cs="Arial"/>
                <w:color w:val="000000"/>
                <w:sz w:val="20"/>
                <w:szCs w:val="20"/>
              </w:rPr>
              <w:t>Kız</w:t>
            </w:r>
          </w:p>
        </w:tc>
        <w:tc>
          <w:tcPr>
            <w:tcW w:w="1996"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339.88 ± 406.22</w:t>
            </w:r>
          </w:p>
        </w:tc>
        <w:tc>
          <w:tcPr>
            <w:tcW w:w="3045" w:type="dxa"/>
            <w:noWrap/>
            <w:vAlign w:val="center"/>
            <w:hideMark/>
          </w:tcPr>
          <w:p w:rsidR="00C60153" w:rsidRPr="009F5547" w:rsidRDefault="00C60153" w:rsidP="00283CE4">
            <w:pPr>
              <w:jc w:val="center"/>
              <w:rPr>
                <w:rFonts w:ascii="Arial" w:hAnsi="Arial" w:cs="Arial"/>
                <w:sz w:val="20"/>
                <w:szCs w:val="20"/>
              </w:rPr>
            </w:pPr>
            <w:r w:rsidRPr="009F5547">
              <w:rPr>
                <w:rFonts w:ascii="Arial" w:hAnsi="Arial" w:cs="Arial"/>
                <w:sz w:val="20"/>
                <w:szCs w:val="20"/>
              </w:rPr>
              <w:t>252.62 (0 – 1448.15)</w:t>
            </w:r>
          </w:p>
        </w:tc>
        <w:tc>
          <w:tcPr>
            <w:tcW w:w="819" w:type="dxa"/>
            <w:vMerge/>
            <w:vAlign w:val="center"/>
            <w:hideMark/>
          </w:tcPr>
          <w:p w:rsidR="00C60153" w:rsidRPr="009F5547" w:rsidRDefault="00C60153" w:rsidP="00283CE4">
            <w:pPr>
              <w:jc w:val="center"/>
              <w:rPr>
                <w:rFonts w:ascii="Arial" w:hAnsi="Arial" w:cs="Arial"/>
              </w:rPr>
            </w:pPr>
          </w:p>
        </w:tc>
        <w:tc>
          <w:tcPr>
            <w:tcW w:w="745" w:type="dxa"/>
            <w:vMerge/>
            <w:vAlign w:val="center"/>
          </w:tcPr>
          <w:p w:rsidR="00C60153" w:rsidRPr="009F5547" w:rsidRDefault="00C60153" w:rsidP="00283CE4">
            <w:pPr>
              <w:jc w:val="center"/>
              <w:rPr>
                <w:rFonts w:ascii="Arial" w:hAnsi="Arial" w:cs="Arial"/>
              </w:rPr>
            </w:pPr>
          </w:p>
        </w:tc>
      </w:tr>
    </w:tbl>
    <w:p w:rsidR="00C60153" w:rsidRPr="00766CEC" w:rsidRDefault="00C60153" w:rsidP="00C60153">
      <w:pPr>
        <w:spacing w:line="360" w:lineRule="auto"/>
        <w:contextualSpacing/>
        <w:jc w:val="both"/>
        <w:rPr>
          <w:rFonts w:ascii="Arial" w:hAnsi="Arial" w:cs="Arial"/>
          <w:sz w:val="22"/>
          <w:szCs w:val="22"/>
        </w:rPr>
      </w:pPr>
      <w:r w:rsidRPr="00766CEC">
        <w:rPr>
          <w:rFonts w:ascii="Arial" w:hAnsi="Arial" w:cs="Arial"/>
          <w:sz w:val="22"/>
          <w:szCs w:val="22"/>
        </w:rPr>
        <w:t>Mann Whitney U testi kullanılmıştır. p &lt; 0.05 anlamlıdır.</w:t>
      </w:r>
    </w:p>
    <w:p w:rsidR="00C60153" w:rsidRDefault="00C60153" w:rsidP="00C60153">
      <w:pPr>
        <w:spacing w:line="360" w:lineRule="auto"/>
        <w:contextualSpacing/>
        <w:jc w:val="both"/>
        <w:rPr>
          <w:rFonts w:ascii="Arial" w:hAnsi="Arial" w:cs="Arial"/>
        </w:rPr>
      </w:pPr>
    </w:p>
    <w:p w:rsidR="00C60153" w:rsidRDefault="00C60153" w:rsidP="00B60F2C">
      <w:pPr>
        <w:spacing w:line="360" w:lineRule="auto"/>
        <w:ind w:firstLine="567"/>
        <w:contextualSpacing/>
        <w:jc w:val="both"/>
        <w:rPr>
          <w:rFonts w:ascii="Arial" w:hAnsi="Arial" w:cs="Arial"/>
          <w:sz w:val="22"/>
          <w:szCs w:val="22"/>
        </w:rPr>
      </w:pPr>
      <w:r w:rsidRPr="00B60F2C">
        <w:rPr>
          <w:rFonts w:ascii="Arial" w:hAnsi="Arial" w:cs="Arial"/>
          <w:sz w:val="22"/>
          <w:szCs w:val="22"/>
        </w:rPr>
        <w:t>Katılımcıların yaşları ile m</w:t>
      </w:r>
      <w:r w:rsidRPr="00B60F2C">
        <w:rPr>
          <w:rFonts w:ascii="Arial" w:hAnsi="Arial" w:cs="Arial"/>
          <w:sz w:val="22"/>
          <w:szCs w:val="22"/>
          <w:shd w:val="clear" w:color="auto" w:fill="FFFFFF"/>
        </w:rPr>
        <w:t>iR-5692b, miR-Let-7d, miR-124-3p, miR-107, miR-4447’nin relatif kantitasyon değerleri</w:t>
      </w:r>
      <w:r w:rsidRPr="00B60F2C">
        <w:rPr>
          <w:rFonts w:ascii="Arial" w:hAnsi="Arial" w:cs="Arial"/>
          <w:sz w:val="22"/>
          <w:szCs w:val="22"/>
        </w:rPr>
        <w:t xml:space="preserve"> arasındaki ilişki değerlendirildiğinde; olgu grubunda miR-107 ile yaş arasında negatif korelasyon </w:t>
      </w:r>
      <w:r w:rsidRPr="00B60F2C">
        <w:rPr>
          <w:rFonts w:ascii="Arial" w:hAnsi="Arial" w:cs="Arial"/>
          <w:b/>
          <w:sz w:val="22"/>
          <w:szCs w:val="22"/>
        </w:rPr>
        <w:t>(p = 0</w:t>
      </w:r>
      <w:r w:rsidRPr="00B60F2C">
        <w:rPr>
          <w:rFonts w:ascii="Arial" w:hAnsi="Arial" w:cs="Arial"/>
          <w:b/>
          <w:bCs/>
          <w:color w:val="000000"/>
          <w:sz w:val="22"/>
          <w:szCs w:val="22"/>
        </w:rPr>
        <w:t xml:space="preserve">.023) </w:t>
      </w:r>
      <w:r w:rsidRPr="00B60F2C">
        <w:rPr>
          <w:rFonts w:ascii="Arial" w:hAnsi="Arial" w:cs="Arial"/>
          <w:bCs/>
          <w:color w:val="000000"/>
          <w:sz w:val="22"/>
          <w:szCs w:val="22"/>
        </w:rPr>
        <w:t>(Tablo 28)</w:t>
      </w:r>
      <w:r w:rsidRPr="00B60F2C">
        <w:rPr>
          <w:rFonts w:ascii="Arial" w:hAnsi="Arial" w:cs="Arial"/>
          <w:sz w:val="22"/>
          <w:szCs w:val="22"/>
        </w:rPr>
        <w:t xml:space="preserve">, kontrol grubunda ise pozitif korelasyon saptanmıştır </w:t>
      </w:r>
      <w:r w:rsidRPr="00B60F2C">
        <w:rPr>
          <w:rFonts w:ascii="Arial" w:hAnsi="Arial" w:cs="Arial"/>
          <w:b/>
          <w:sz w:val="22"/>
          <w:szCs w:val="22"/>
        </w:rPr>
        <w:t xml:space="preserve">(p = </w:t>
      </w:r>
      <w:r w:rsidRPr="00B60F2C">
        <w:rPr>
          <w:rFonts w:ascii="Arial" w:hAnsi="Arial" w:cs="Arial"/>
          <w:b/>
          <w:bCs/>
          <w:color w:val="000000"/>
          <w:sz w:val="22"/>
          <w:szCs w:val="22"/>
        </w:rPr>
        <w:t xml:space="preserve">0.030) </w:t>
      </w:r>
      <w:r w:rsidRPr="00B60F2C">
        <w:rPr>
          <w:rFonts w:ascii="Arial" w:hAnsi="Arial" w:cs="Arial"/>
          <w:bCs/>
          <w:color w:val="000000"/>
          <w:sz w:val="22"/>
          <w:szCs w:val="22"/>
        </w:rPr>
        <w:t>(Tablo 29)</w:t>
      </w:r>
      <w:r w:rsidRPr="00B60F2C">
        <w:rPr>
          <w:rFonts w:ascii="Arial" w:hAnsi="Arial" w:cs="Arial"/>
          <w:sz w:val="22"/>
          <w:szCs w:val="22"/>
        </w:rPr>
        <w:t>. Fakat tüm katılımcılar birlikte yaş ve miRNA düzeyleri açısından karşılaştırıldığında yaş ile miR-107 arasında korelasyon saptanmamıştır (p&gt;0.05) (Tablo 30).</w:t>
      </w:r>
    </w:p>
    <w:p w:rsidR="00B60F2C" w:rsidRPr="00B60F2C" w:rsidRDefault="00B60F2C" w:rsidP="00B60F2C">
      <w:pPr>
        <w:spacing w:line="360" w:lineRule="auto"/>
        <w:ind w:firstLine="567"/>
        <w:contextualSpacing/>
        <w:jc w:val="both"/>
        <w:rPr>
          <w:rFonts w:ascii="Arial" w:hAnsi="Arial" w:cs="Arial"/>
          <w:sz w:val="22"/>
          <w:szCs w:val="22"/>
        </w:rPr>
      </w:pPr>
    </w:p>
    <w:p w:rsidR="00C60153" w:rsidRPr="00B60F2C" w:rsidRDefault="00C60153" w:rsidP="00C60153">
      <w:pPr>
        <w:rPr>
          <w:rFonts w:ascii="Arial" w:hAnsi="Arial" w:cs="Arial"/>
          <w:sz w:val="22"/>
          <w:szCs w:val="22"/>
        </w:rPr>
      </w:pPr>
      <w:r w:rsidRPr="00B60F2C">
        <w:rPr>
          <w:rFonts w:ascii="Arial" w:hAnsi="Arial" w:cs="Arial"/>
          <w:sz w:val="22"/>
          <w:szCs w:val="22"/>
        </w:rPr>
        <w:t>Tablo 28. Olgu grubunda periferik kan m</w:t>
      </w:r>
      <w:r w:rsidRPr="00B60F2C">
        <w:rPr>
          <w:rFonts w:ascii="Arial" w:hAnsi="Arial" w:cs="Arial"/>
          <w:sz w:val="22"/>
          <w:szCs w:val="22"/>
          <w:shd w:val="clear" w:color="auto" w:fill="FFFFFF"/>
        </w:rPr>
        <w:t>iR-5692b, miR-Let-7d, miR-124-3p, miR-107, miR-4447’nin relatif kantitasyon değerlerinin yaş ile ilişkisi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504"/>
        <w:gridCol w:w="1257"/>
        <w:gridCol w:w="1316"/>
        <w:gridCol w:w="1277"/>
        <w:gridCol w:w="1227"/>
        <w:gridCol w:w="1308"/>
      </w:tblGrid>
      <w:tr w:rsidR="00C60153" w:rsidRPr="00A87935" w:rsidTr="00283CE4">
        <w:trPr>
          <w:trHeight w:val="552"/>
        </w:trPr>
        <w:tc>
          <w:tcPr>
            <w:tcW w:w="1216" w:type="pct"/>
            <w:gridSpan w:val="2"/>
            <w:vAlign w:val="center"/>
          </w:tcPr>
          <w:p w:rsidR="00C60153" w:rsidRPr="009C3C75" w:rsidRDefault="00C60153" w:rsidP="00283CE4">
            <w:pPr>
              <w:tabs>
                <w:tab w:val="left" w:pos="5370"/>
              </w:tabs>
              <w:jc w:val="center"/>
              <w:rPr>
                <w:rFonts w:ascii="Arial" w:hAnsi="Arial" w:cs="Arial"/>
                <w:b/>
                <w:sz w:val="20"/>
                <w:szCs w:val="20"/>
              </w:rPr>
            </w:pPr>
            <w:r w:rsidRPr="009C3C75">
              <w:rPr>
                <w:rFonts w:ascii="Arial" w:hAnsi="Arial" w:cs="Arial"/>
                <w:b/>
                <w:sz w:val="20"/>
                <w:szCs w:val="20"/>
              </w:rPr>
              <w:t xml:space="preserve">Olgu </w:t>
            </w:r>
            <w:r>
              <w:rPr>
                <w:rFonts w:ascii="Arial" w:hAnsi="Arial" w:cs="Arial"/>
                <w:b/>
                <w:sz w:val="20"/>
                <w:szCs w:val="20"/>
              </w:rPr>
              <w:t>g</w:t>
            </w:r>
            <w:r w:rsidRPr="009C3C75">
              <w:rPr>
                <w:rFonts w:ascii="Arial" w:hAnsi="Arial" w:cs="Arial"/>
                <w:b/>
                <w:sz w:val="20"/>
                <w:szCs w:val="20"/>
              </w:rPr>
              <w:t>rubu</w:t>
            </w:r>
          </w:p>
        </w:tc>
        <w:tc>
          <w:tcPr>
            <w:tcW w:w="745" w:type="pct"/>
            <w:vAlign w:val="center"/>
          </w:tcPr>
          <w:p w:rsidR="00C60153" w:rsidRPr="0065212B" w:rsidRDefault="00C60153" w:rsidP="00283CE4">
            <w:pPr>
              <w:jc w:val="center"/>
              <w:rPr>
                <w:rFonts w:ascii="Arial" w:hAnsi="Arial" w:cs="Arial"/>
                <w:b/>
                <w:sz w:val="20"/>
                <w:szCs w:val="20"/>
              </w:rPr>
            </w:pPr>
            <w:r w:rsidRPr="0065212B">
              <w:rPr>
                <w:rFonts w:ascii="Arial" w:hAnsi="Arial" w:cs="Arial"/>
                <w:b/>
              </w:rPr>
              <w:t>m</w:t>
            </w:r>
            <w:r w:rsidRPr="0065212B">
              <w:rPr>
                <w:rFonts w:ascii="Arial" w:hAnsi="Arial" w:cs="Arial"/>
                <w:b/>
                <w:shd w:val="clear" w:color="auto" w:fill="FFFFFF"/>
              </w:rPr>
              <w:t>iR-5692b</w:t>
            </w:r>
          </w:p>
        </w:tc>
        <w:tc>
          <w:tcPr>
            <w:tcW w:w="780" w:type="pct"/>
            <w:vAlign w:val="center"/>
          </w:tcPr>
          <w:p w:rsidR="00C60153" w:rsidRPr="00807218" w:rsidRDefault="00C60153" w:rsidP="00283CE4">
            <w:pPr>
              <w:jc w:val="center"/>
              <w:rPr>
                <w:rFonts w:ascii="Arial" w:hAnsi="Arial" w:cs="Arial"/>
                <w:b/>
                <w:sz w:val="20"/>
                <w:szCs w:val="20"/>
              </w:rPr>
            </w:pPr>
            <w:r w:rsidRPr="00807218">
              <w:rPr>
                <w:rFonts w:ascii="Arial" w:hAnsi="Arial" w:cs="Arial"/>
                <w:b/>
              </w:rPr>
              <w:t>m</w:t>
            </w:r>
            <w:r w:rsidRPr="00807218">
              <w:rPr>
                <w:rFonts w:ascii="Arial" w:hAnsi="Arial" w:cs="Arial"/>
                <w:b/>
                <w:shd w:val="clear" w:color="auto" w:fill="FFFFFF"/>
              </w:rPr>
              <w:t>iR-let-7d</w:t>
            </w:r>
          </w:p>
        </w:tc>
        <w:tc>
          <w:tcPr>
            <w:tcW w:w="757" w:type="pct"/>
            <w:vAlign w:val="center"/>
          </w:tcPr>
          <w:p w:rsidR="00C60153" w:rsidRPr="00807218" w:rsidRDefault="00C60153" w:rsidP="00283CE4">
            <w:pPr>
              <w:jc w:val="center"/>
              <w:rPr>
                <w:rFonts w:ascii="Arial" w:hAnsi="Arial" w:cs="Arial"/>
                <w:b/>
                <w:sz w:val="20"/>
                <w:szCs w:val="20"/>
              </w:rPr>
            </w:pPr>
            <w:r w:rsidRPr="00807218">
              <w:rPr>
                <w:rFonts w:ascii="Arial" w:hAnsi="Arial" w:cs="Arial"/>
                <w:b/>
              </w:rPr>
              <w:t>m</w:t>
            </w:r>
            <w:r w:rsidRPr="00807218">
              <w:rPr>
                <w:rFonts w:ascii="Arial" w:hAnsi="Arial" w:cs="Arial"/>
                <w:b/>
                <w:shd w:val="clear" w:color="auto" w:fill="FFFFFF"/>
              </w:rPr>
              <w:t>iR-</w:t>
            </w:r>
            <w:r w:rsidRPr="00807218">
              <w:rPr>
                <w:rFonts w:ascii="Arial" w:hAnsi="Arial" w:cs="Arial"/>
                <w:b/>
                <w:sz w:val="20"/>
                <w:szCs w:val="20"/>
              </w:rPr>
              <w:t>124-3p</w:t>
            </w:r>
          </w:p>
        </w:tc>
        <w:tc>
          <w:tcPr>
            <w:tcW w:w="727" w:type="pct"/>
            <w:vAlign w:val="center"/>
          </w:tcPr>
          <w:p w:rsidR="00C60153" w:rsidRPr="00807218" w:rsidRDefault="00C60153" w:rsidP="00283CE4">
            <w:pPr>
              <w:jc w:val="center"/>
              <w:rPr>
                <w:rFonts w:ascii="Arial" w:hAnsi="Arial" w:cs="Arial"/>
                <w:b/>
                <w:sz w:val="20"/>
                <w:szCs w:val="20"/>
              </w:rPr>
            </w:pPr>
            <w:r w:rsidRPr="00807218">
              <w:rPr>
                <w:rFonts w:ascii="Arial" w:hAnsi="Arial" w:cs="Arial"/>
                <w:b/>
              </w:rPr>
              <w:t>m</w:t>
            </w:r>
            <w:r w:rsidRPr="00807218">
              <w:rPr>
                <w:rFonts w:ascii="Arial" w:hAnsi="Arial" w:cs="Arial"/>
                <w:b/>
                <w:shd w:val="clear" w:color="auto" w:fill="FFFFFF"/>
              </w:rPr>
              <w:t>iR-</w:t>
            </w:r>
            <w:r w:rsidRPr="00807218">
              <w:rPr>
                <w:rFonts w:ascii="Arial" w:hAnsi="Arial" w:cs="Arial"/>
                <w:b/>
                <w:sz w:val="20"/>
                <w:szCs w:val="20"/>
              </w:rPr>
              <w:t>107</w:t>
            </w:r>
          </w:p>
        </w:tc>
        <w:tc>
          <w:tcPr>
            <w:tcW w:w="775" w:type="pct"/>
            <w:vAlign w:val="center"/>
          </w:tcPr>
          <w:p w:rsidR="00C60153" w:rsidRPr="00807218" w:rsidRDefault="00C60153" w:rsidP="00283CE4">
            <w:pPr>
              <w:jc w:val="center"/>
              <w:rPr>
                <w:rFonts w:ascii="Arial" w:hAnsi="Arial" w:cs="Arial"/>
                <w:b/>
                <w:sz w:val="20"/>
                <w:szCs w:val="20"/>
              </w:rPr>
            </w:pPr>
            <w:r w:rsidRPr="00807218">
              <w:rPr>
                <w:rFonts w:ascii="Arial" w:hAnsi="Arial" w:cs="Arial"/>
                <w:b/>
              </w:rPr>
              <w:t>m</w:t>
            </w:r>
            <w:r w:rsidRPr="00807218">
              <w:rPr>
                <w:rFonts w:ascii="Arial" w:hAnsi="Arial" w:cs="Arial"/>
                <w:b/>
                <w:shd w:val="clear" w:color="auto" w:fill="FFFFFF"/>
              </w:rPr>
              <w:t>iR-</w:t>
            </w:r>
            <w:r w:rsidRPr="00807218">
              <w:rPr>
                <w:rFonts w:ascii="Arial" w:hAnsi="Arial" w:cs="Arial"/>
                <w:b/>
                <w:sz w:val="20"/>
                <w:szCs w:val="20"/>
              </w:rPr>
              <w:t>4447</w:t>
            </w:r>
          </w:p>
        </w:tc>
      </w:tr>
      <w:tr w:rsidR="00C60153" w:rsidRPr="00A87935" w:rsidTr="00283CE4">
        <w:trPr>
          <w:trHeight w:val="567"/>
        </w:trPr>
        <w:tc>
          <w:tcPr>
            <w:tcW w:w="917" w:type="pct"/>
            <w:vMerge w:val="restart"/>
            <w:vAlign w:val="center"/>
          </w:tcPr>
          <w:p w:rsidR="00C60153" w:rsidRPr="0024577C" w:rsidRDefault="00C60153" w:rsidP="00283CE4">
            <w:pPr>
              <w:jc w:val="center"/>
              <w:rPr>
                <w:rFonts w:ascii="Arial" w:hAnsi="Arial" w:cs="Arial"/>
                <w:b/>
                <w:caps/>
                <w:sz w:val="20"/>
                <w:szCs w:val="20"/>
              </w:rPr>
            </w:pPr>
            <w:r>
              <w:rPr>
                <w:rFonts w:ascii="Arial" w:hAnsi="Arial" w:cs="Arial"/>
                <w:b/>
                <w:sz w:val="20"/>
                <w:szCs w:val="20"/>
              </w:rPr>
              <w:t>Yaş</w:t>
            </w:r>
          </w:p>
        </w:tc>
        <w:tc>
          <w:tcPr>
            <w:tcW w:w="299" w:type="pct"/>
            <w:vAlign w:val="center"/>
          </w:tcPr>
          <w:p w:rsidR="00C60153" w:rsidRPr="0024577C" w:rsidRDefault="00C60153" w:rsidP="00283CE4">
            <w:pPr>
              <w:jc w:val="center"/>
              <w:rPr>
                <w:rFonts w:ascii="Arial" w:hAnsi="Arial" w:cs="Arial"/>
                <w:b/>
                <w:bCs/>
                <w:caps/>
                <w:sz w:val="20"/>
                <w:szCs w:val="20"/>
              </w:rPr>
            </w:pPr>
            <w:r w:rsidRPr="0024577C">
              <w:rPr>
                <w:rFonts w:ascii="Arial" w:hAnsi="Arial" w:cs="Arial"/>
                <w:b/>
                <w:bCs/>
                <w:sz w:val="20"/>
                <w:szCs w:val="20"/>
              </w:rPr>
              <w:t>r</w:t>
            </w:r>
          </w:p>
        </w:tc>
        <w:tc>
          <w:tcPr>
            <w:tcW w:w="745" w:type="pct"/>
            <w:vAlign w:val="center"/>
          </w:tcPr>
          <w:p w:rsidR="00C60153" w:rsidRPr="0024577C" w:rsidRDefault="00C60153" w:rsidP="00283CE4">
            <w:pPr>
              <w:jc w:val="center"/>
              <w:rPr>
                <w:rFonts w:ascii="Arial" w:hAnsi="Arial" w:cs="Arial"/>
                <w:sz w:val="20"/>
                <w:szCs w:val="20"/>
              </w:rPr>
            </w:pPr>
            <w:r>
              <w:rPr>
                <w:rFonts w:ascii="Arial" w:hAnsi="Arial" w:cs="Arial"/>
                <w:sz w:val="20"/>
                <w:szCs w:val="20"/>
              </w:rPr>
              <w:t>-0.185</w:t>
            </w:r>
          </w:p>
        </w:tc>
        <w:tc>
          <w:tcPr>
            <w:tcW w:w="780" w:type="pct"/>
            <w:vAlign w:val="center"/>
          </w:tcPr>
          <w:p w:rsidR="00C60153" w:rsidRPr="0024577C" w:rsidRDefault="00C60153" w:rsidP="00283CE4">
            <w:pPr>
              <w:jc w:val="center"/>
              <w:rPr>
                <w:rFonts w:ascii="Arial" w:hAnsi="Arial" w:cs="Arial"/>
                <w:color w:val="000000"/>
                <w:sz w:val="20"/>
                <w:szCs w:val="20"/>
              </w:rPr>
            </w:pPr>
            <w:r w:rsidRPr="0024577C">
              <w:rPr>
                <w:rFonts w:ascii="Arial" w:hAnsi="Arial" w:cs="Arial"/>
                <w:color w:val="000000"/>
                <w:sz w:val="20"/>
                <w:szCs w:val="20"/>
              </w:rPr>
              <w:t>-</w:t>
            </w:r>
            <w:r>
              <w:rPr>
                <w:rFonts w:ascii="Arial" w:hAnsi="Arial" w:cs="Arial"/>
                <w:color w:val="000000"/>
                <w:sz w:val="20"/>
                <w:szCs w:val="20"/>
              </w:rPr>
              <w:t>0</w:t>
            </w:r>
            <w:r w:rsidRPr="0024577C">
              <w:rPr>
                <w:rFonts w:ascii="Arial" w:hAnsi="Arial" w:cs="Arial"/>
                <w:color w:val="000000"/>
                <w:sz w:val="20"/>
                <w:szCs w:val="20"/>
              </w:rPr>
              <w:t>.269</w:t>
            </w:r>
          </w:p>
        </w:tc>
        <w:tc>
          <w:tcPr>
            <w:tcW w:w="757" w:type="pct"/>
            <w:vAlign w:val="center"/>
          </w:tcPr>
          <w:p w:rsidR="00C60153" w:rsidRPr="009C3C75" w:rsidRDefault="00C60153" w:rsidP="00283CE4">
            <w:pPr>
              <w:jc w:val="center"/>
              <w:rPr>
                <w:rFonts w:ascii="Arial" w:hAnsi="Arial" w:cs="Arial"/>
                <w:color w:val="000000"/>
                <w:sz w:val="20"/>
                <w:szCs w:val="20"/>
              </w:rPr>
            </w:pPr>
            <w:r w:rsidRPr="009C3C75">
              <w:rPr>
                <w:rFonts w:ascii="Arial" w:hAnsi="Arial" w:cs="Arial"/>
                <w:color w:val="000000"/>
                <w:sz w:val="20"/>
                <w:szCs w:val="20"/>
              </w:rPr>
              <w:t>-</w:t>
            </w:r>
            <w:r>
              <w:rPr>
                <w:rFonts w:ascii="Arial" w:hAnsi="Arial" w:cs="Arial"/>
                <w:color w:val="000000"/>
                <w:sz w:val="20"/>
                <w:szCs w:val="20"/>
              </w:rPr>
              <w:t>0</w:t>
            </w:r>
            <w:r w:rsidRPr="009C3C75">
              <w:rPr>
                <w:rFonts w:ascii="Arial" w:hAnsi="Arial" w:cs="Arial"/>
                <w:color w:val="000000"/>
                <w:sz w:val="20"/>
                <w:szCs w:val="20"/>
              </w:rPr>
              <w:t>.155</w:t>
            </w:r>
          </w:p>
        </w:tc>
        <w:tc>
          <w:tcPr>
            <w:tcW w:w="727" w:type="pct"/>
            <w:vAlign w:val="center"/>
          </w:tcPr>
          <w:p w:rsidR="00C60153" w:rsidRPr="009C3C75" w:rsidRDefault="00C60153" w:rsidP="00283CE4">
            <w:pPr>
              <w:jc w:val="center"/>
              <w:rPr>
                <w:rFonts w:ascii="Arial" w:hAnsi="Arial" w:cs="Arial"/>
                <w:b/>
                <w:bCs/>
                <w:color w:val="000000"/>
                <w:sz w:val="20"/>
                <w:szCs w:val="20"/>
              </w:rPr>
            </w:pPr>
            <w:r w:rsidRPr="009C3C75">
              <w:rPr>
                <w:rFonts w:ascii="Arial" w:hAnsi="Arial" w:cs="Arial"/>
                <w:b/>
                <w:bCs/>
                <w:color w:val="000000"/>
                <w:sz w:val="20"/>
                <w:szCs w:val="20"/>
              </w:rPr>
              <w:t>-</w:t>
            </w:r>
            <w:r>
              <w:rPr>
                <w:rFonts w:ascii="Arial" w:hAnsi="Arial" w:cs="Arial"/>
                <w:b/>
                <w:bCs/>
                <w:color w:val="000000"/>
                <w:sz w:val="20"/>
                <w:szCs w:val="20"/>
              </w:rPr>
              <w:t>0.</w:t>
            </w:r>
            <w:r w:rsidRPr="009C3C75">
              <w:rPr>
                <w:rFonts w:ascii="Arial" w:hAnsi="Arial" w:cs="Arial"/>
                <w:b/>
                <w:bCs/>
                <w:color w:val="000000"/>
                <w:sz w:val="20"/>
                <w:szCs w:val="20"/>
              </w:rPr>
              <w:t>413</w:t>
            </w:r>
          </w:p>
        </w:tc>
        <w:tc>
          <w:tcPr>
            <w:tcW w:w="775" w:type="pct"/>
            <w:vAlign w:val="center"/>
          </w:tcPr>
          <w:p w:rsidR="00C60153" w:rsidRPr="009C3C75" w:rsidRDefault="00C60153" w:rsidP="00283CE4">
            <w:pPr>
              <w:jc w:val="center"/>
              <w:rPr>
                <w:rFonts w:ascii="Arial" w:hAnsi="Arial" w:cs="Arial"/>
                <w:color w:val="000000"/>
                <w:sz w:val="20"/>
                <w:szCs w:val="20"/>
              </w:rPr>
            </w:pPr>
            <w:r w:rsidRPr="009C3C75">
              <w:rPr>
                <w:rFonts w:ascii="Arial" w:hAnsi="Arial" w:cs="Arial"/>
                <w:color w:val="000000"/>
                <w:sz w:val="20"/>
                <w:szCs w:val="20"/>
              </w:rPr>
              <w:t>-</w:t>
            </w:r>
            <w:r>
              <w:rPr>
                <w:rFonts w:ascii="Arial" w:hAnsi="Arial" w:cs="Arial"/>
                <w:color w:val="000000"/>
                <w:sz w:val="20"/>
                <w:szCs w:val="20"/>
              </w:rPr>
              <w:t>0</w:t>
            </w:r>
            <w:r w:rsidRPr="009C3C75">
              <w:rPr>
                <w:rFonts w:ascii="Arial" w:hAnsi="Arial" w:cs="Arial"/>
                <w:color w:val="000000"/>
                <w:sz w:val="20"/>
                <w:szCs w:val="20"/>
              </w:rPr>
              <w:t>.328</w:t>
            </w:r>
          </w:p>
        </w:tc>
      </w:tr>
      <w:tr w:rsidR="00C60153" w:rsidRPr="00A87935" w:rsidTr="00283CE4">
        <w:trPr>
          <w:trHeight w:val="567"/>
        </w:trPr>
        <w:tc>
          <w:tcPr>
            <w:tcW w:w="917" w:type="pct"/>
            <w:vMerge/>
            <w:vAlign w:val="center"/>
          </w:tcPr>
          <w:p w:rsidR="00C60153" w:rsidRPr="0024577C" w:rsidRDefault="00C60153" w:rsidP="00283CE4">
            <w:pPr>
              <w:jc w:val="center"/>
              <w:rPr>
                <w:rFonts w:ascii="Arial" w:hAnsi="Arial" w:cs="Arial"/>
                <w:sz w:val="20"/>
                <w:szCs w:val="20"/>
              </w:rPr>
            </w:pPr>
          </w:p>
        </w:tc>
        <w:tc>
          <w:tcPr>
            <w:tcW w:w="299" w:type="pct"/>
            <w:vAlign w:val="center"/>
          </w:tcPr>
          <w:p w:rsidR="00C60153" w:rsidRPr="0024577C" w:rsidRDefault="00C60153" w:rsidP="00283CE4">
            <w:pPr>
              <w:jc w:val="center"/>
              <w:rPr>
                <w:rFonts w:ascii="Arial" w:hAnsi="Arial" w:cs="Arial"/>
                <w:b/>
                <w:bCs/>
                <w:caps/>
                <w:sz w:val="20"/>
                <w:szCs w:val="20"/>
              </w:rPr>
            </w:pPr>
            <w:r w:rsidRPr="0024577C">
              <w:rPr>
                <w:rFonts w:ascii="Arial" w:hAnsi="Arial" w:cs="Arial"/>
                <w:b/>
                <w:bCs/>
                <w:sz w:val="20"/>
                <w:szCs w:val="20"/>
              </w:rPr>
              <w:t>p</w:t>
            </w:r>
          </w:p>
        </w:tc>
        <w:tc>
          <w:tcPr>
            <w:tcW w:w="745" w:type="pct"/>
            <w:vAlign w:val="center"/>
          </w:tcPr>
          <w:p w:rsidR="00C60153" w:rsidRPr="0024577C" w:rsidRDefault="00C60153" w:rsidP="00283CE4">
            <w:pPr>
              <w:jc w:val="center"/>
              <w:rPr>
                <w:rFonts w:ascii="Arial" w:hAnsi="Arial" w:cs="Arial"/>
                <w:sz w:val="20"/>
                <w:szCs w:val="20"/>
              </w:rPr>
            </w:pPr>
            <w:r>
              <w:rPr>
                <w:rFonts w:ascii="Arial" w:hAnsi="Arial" w:cs="Arial"/>
                <w:sz w:val="20"/>
                <w:szCs w:val="20"/>
              </w:rPr>
              <w:t>0.326</w:t>
            </w:r>
          </w:p>
        </w:tc>
        <w:tc>
          <w:tcPr>
            <w:tcW w:w="780" w:type="pct"/>
            <w:vAlign w:val="center"/>
          </w:tcPr>
          <w:p w:rsidR="00C60153" w:rsidRPr="0024577C" w:rsidRDefault="00C60153" w:rsidP="00283CE4">
            <w:pPr>
              <w:jc w:val="center"/>
              <w:rPr>
                <w:rFonts w:ascii="Arial" w:hAnsi="Arial" w:cs="Arial"/>
                <w:color w:val="000000"/>
                <w:sz w:val="20"/>
                <w:szCs w:val="20"/>
              </w:rPr>
            </w:pPr>
            <w:r>
              <w:rPr>
                <w:rFonts w:ascii="Arial" w:hAnsi="Arial" w:cs="Arial"/>
                <w:color w:val="000000"/>
                <w:sz w:val="20"/>
                <w:szCs w:val="20"/>
              </w:rPr>
              <w:t>0</w:t>
            </w:r>
            <w:r w:rsidRPr="0024577C">
              <w:rPr>
                <w:rFonts w:ascii="Arial" w:hAnsi="Arial" w:cs="Arial"/>
                <w:color w:val="000000"/>
                <w:sz w:val="20"/>
                <w:szCs w:val="20"/>
              </w:rPr>
              <w:t>.151</w:t>
            </w:r>
          </w:p>
        </w:tc>
        <w:tc>
          <w:tcPr>
            <w:tcW w:w="757" w:type="pct"/>
            <w:vAlign w:val="center"/>
          </w:tcPr>
          <w:p w:rsidR="00C60153" w:rsidRPr="009C3C75" w:rsidRDefault="00C60153" w:rsidP="00283CE4">
            <w:pPr>
              <w:jc w:val="center"/>
              <w:rPr>
                <w:rFonts w:ascii="Arial" w:hAnsi="Arial" w:cs="Arial"/>
                <w:color w:val="000000"/>
                <w:sz w:val="20"/>
                <w:szCs w:val="20"/>
              </w:rPr>
            </w:pPr>
            <w:r>
              <w:rPr>
                <w:rFonts w:ascii="Arial" w:hAnsi="Arial" w:cs="Arial"/>
                <w:color w:val="000000"/>
                <w:sz w:val="20"/>
                <w:szCs w:val="20"/>
              </w:rPr>
              <w:t>0</w:t>
            </w:r>
            <w:r w:rsidRPr="009C3C75">
              <w:rPr>
                <w:rFonts w:ascii="Arial" w:hAnsi="Arial" w:cs="Arial"/>
                <w:color w:val="000000"/>
                <w:sz w:val="20"/>
                <w:szCs w:val="20"/>
              </w:rPr>
              <w:t>.414</w:t>
            </w:r>
          </w:p>
        </w:tc>
        <w:tc>
          <w:tcPr>
            <w:tcW w:w="727" w:type="pct"/>
            <w:vAlign w:val="center"/>
          </w:tcPr>
          <w:p w:rsidR="00C60153" w:rsidRPr="009C3C75" w:rsidRDefault="00C60153" w:rsidP="00283CE4">
            <w:pPr>
              <w:jc w:val="center"/>
              <w:rPr>
                <w:rFonts w:ascii="Arial" w:hAnsi="Arial" w:cs="Arial"/>
                <w:b/>
                <w:bCs/>
                <w:color w:val="000000"/>
                <w:sz w:val="20"/>
                <w:szCs w:val="20"/>
              </w:rPr>
            </w:pPr>
            <w:r>
              <w:rPr>
                <w:rFonts w:ascii="Arial" w:hAnsi="Arial" w:cs="Arial"/>
                <w:b/>
                <w:bCs/>
                <w:color w:val="000000"/>
                <w:sz w:val="20"/>
                <w:szCs w:val="20"/>
              </w:rPr>
              <w:t>0</w:t>
            </w:r>
            <w:r w:rsidRPr="009C3C75">
              <w:rPr>
                <w:rFonts w:ascii="Arial" w:hAnsi="Arial" w:cs="Arial"/>
                <w:b/>
                <w:bCs/>
                <w:color w:val="000000"/>
                <w:sz w:val="20"/>
                <w:szCs w:val="20"/>
              </w:rPr>
              <w:t>.023</w:t>
            </w:r>
          </w:p>
        </w:tc>
        <w:tc>
          <w:tcPr>
            <w:tcW w:w="775" w:type="pct"/>
            <w:vAlign w:val="center"/>
          </w:tcPr>
          <w:p w:rsidR="00C60153" w:rsidRPr="009C3C75" w:rsidRDefault="00C60153" w:rsidP="00283CE4">
            <w:pPr>
              <w:jc w:val="center"/>
              <w:rPr>
                <w:rFonts w:ascii="Arial" w:hAnsi="Arial" w:cs="Arial"/>
                <w:color w:val="000000"/>
                <w:sz w:val="20"/>
                <w:szCs w:val="20"/>
              </w:rPr>
            </w:pPr>
            <w:r>
              <w:rPr>
                <w:rFonts w:ascii="Arial" w:hAnsi="Arial" w:cs="Arial"/>
                <w:color w:val="000000"/>
                <w:sz w:val="20"/>
                <w:szCs w:val="20"/>
              </w:rPr>
              <w:t>0</w:t>
            </w:r>
            <w:r w:rsidRPr="009C3C75">
              <w:rPr>
                <w:rFonts w:ascii="Arial" w:hAnsi="Arial" w:cs="Arial"/>
                <w:color w:val="000000"/>
                <w:sz w:val="20"/>
                <w:szCs w:val="20"/>
              </w:rPr>
              <w:t>.077</w:t>
            </w:r>
          </w:p>
        </w:tc>
      </w:tr>
      <w:tr w:rsidR="00C60153" w:rsidRPr="00A87935" w:rsidTr="00283CE4">
        <w:trPr>
          <w:trHeight w:val="567"/>
        </w:trPr>
        <w:tc>
          <w:tcPr>
            <w:tcW w:w="917" w:type="pct"/>
            <w:vMerge/>
            <w:vAlign w:val="center"/>
          </w:tcPr>
          <w:p w:rsidR="00C60153" w:rsidRPr="0024577C" w:rsidRDefault="00C60153" w:rsidP="00283CE4">
            <w:pPr>
              <w:jc w:val="center"/>
              <w:rPr>
                <w:rFonts w:ascii="Arial" w:hAnsi="Arial" w:cs="Arial"/>
                <w:sz w:val="20"/>
                <w:szCs w:val="20"/>
              </w:rPr>
            </w:pPr>
          </w:p>
        </w:tc>
        <w:tc>
          <w:tcPr>
            <w:tcW w:w="299" w:type="pct"/>
            <w:vAlign w:val="center"/>
          </w:tcPr>
          <w:p w:rsidR="00C60153" w:rsidRPr="0024577C" w:rsidRDefault="00C60153" w:rsidP="00283CE4">
            <w:pPr>
              <w:jc w:val="center"/>
              <w:rPr>
                <w:rFonts w:ascii="Arial" w:hAnsi="Arial" w:cs="Arial"/>
                <w:b/>
                <w:bCs/>
                <w:sz w:val="20"/>
                <w:szCs w:val="20"/>
              </w:rPr>
            </w:pPr>
            <w:r>
              <w:rPr>
                <w:rFonts w:ascii="Arial" w:hAnsi="Arial" w:cs="Arial"/>
                <w:b/>
                <w:bCs/>
                <w:sz w:val="20"/>
                <w:szCs w:val="20"/>
              </w:rPr>
              <w:t>n</w:t>
            </w:r>
          </w:p>
        </w:tc>
        <w:tc>
          <w:tcPr>
            <w:tcW w:w="745" w:type="pct"/>
            <w:vAlign w:val="center"/>
          </w:tcPr>
          <w:p w:rsidR="00C60153" w:rsidRPr="0024577C" w:rsidRDefault="00C60153" w:rsidP="00283CE4">
            <w:pPr>
              <w:jc w:val="center"/>
              <w:rPr>
                <w:rFonts w:ascii="Arial" w:hAnsi="Arial" w:cs="Arial"/>
                <w:sz w:val="20"/>
                <w:szCs w:val="20"/>
              </w:rPr>
            </w:pPr>
            <w:r>
              <w:rPr>
                <w:rFonts w:ascii="Arial" w:hAnsi="Arial" w:cs="Arial"/>
                <w:sz w:val="20"/>
                <w:szCs w:val="20"/>
              </w:rPr>
              <w:t>30</w:t>
            </w:r>
          </w:p>
        </w:tc>
        <w:tc>
          <w:tcPr>
            <w:tcW w:w="780" w:type="pct"/>
            <w:vAlign w:val="center"/>
          </w:tcPr>
          <w:p w:rsidR="00C60153" w:rsidRPr="0024577C" w:rsidRDefault="00C60153" w:rsidP="00283CE4">
            <w:pPr>
              <w:jc w:val="center"/>
              <w:rPr>
                <w:rFonts w:ascii="Arial" w:hAnsi="Arial" w:cs="Arial"/>
                <w:color w:val="000000"/>
                <w:sz w:val="20"/>
                <w:szCs w:val="20"/>
              </w:rPr>
            </w:pPr>
            <w:r w:rsidRPr="0024577C">
              <w:rPr>
                <w:rFonts w:ascii="Arial" w:hAnsi="Arial" w:cs="Arial"/>
                <w:color w:val="000000"/>
                <w:sz w:val="20"/>
                <w:szCs w:val="20"/>
              </w:rPr>
              <w:t>30</w:t>
            </w:r>
          </w:p>
        </w:tc>
        <w:tc>
          <w:tcPr>
            <w:tcW w:w="757" w:type="pct"/>
            <w:vAlign w:val="center"/>
          </w:tcPr>
          <w:p w:rsidR="00C60153" w:rsidRPr="009C3C75" w:rsidRDefault="00C60153" w:rsidP="00283CE4">
            <w:pPr>
              <w:jc w:val="center"/>
              <w:rPr>
                <w:rFonts w:ascii="Arial" w:hAnsi="Arial" w:cs="Arial"/>
                <w:color w:val="000000"/>
                <w:sz w:val="20"/>
                <w:szCs w:val="20"/>
              </w:rPr>
            </w:pPr>
            <w:r w:rsidRPr="009C3C75">
              <w:rPr>
                <w:rFonts w:ascii="Arial" w:hAnsi="Arial" w:cs="Arial"/>
                <w:color w:val="000000"/>
                <w:sz w:val="20"/>
                <w:szCs w:val="20"/>
              </w:rPr>
              <w:t>30</w:t>
            </w:r>
          </w:p>
        </w:tc>
        <w:tc>
          <w:tcPr>
            <w:tcW w:w="727" w:type="pct"/>
            <w:vAlign w:val="center"/>
          </w:tcPr>
          <w:p w:rsidR="00C60153" w:rsidRPr="009C3C75" w:rsidRDefault="00C60153" w:rsidP="00283CE4">
            <w:pPr>
              <w:jc w:val="center"/>
              <w:rPr>
                <w:rFonts w:ascii="Arial" w:hAnsi="Arial" w:cs="Arial"/>
                <w:b/>
                <w:bCs/>
                <w:color w:val="000000"/>
                <w:sz w:val="20"/>
                <w:szCs w:val="20"/>
              </w:rPr>
            </w:pPr>
            <w:r w:rsidRPr="009C3C75">
              <w:rPr>
                <w:rFonts w:ascii="Arial" w:hAnsi="Arial" w:cs="Arial"/>
                <w:b/>
                <w:bCs/>
                <w:color w:val="000000"/>
                <w:sz w:val="20"/>
                <w:szCs w:val="20"/>
              </w:rPr>
              <w:t>30</w:t>
            </w:r>
          </w:p>
        </w:tc>
        <w:tc>
          <w:tcPr>
            <w:tcW w:w="775" w:type="pct"/>
            <w:vAlign w:val="center"/>
          </w:tcPr>
          <w:p w:rsidR="00C60153" w:rsidRPr="009C3C75" w:rsidRDefault="00C60153" w:rsidP="00283CE4">
            <w:pPr>
              <w:jc w:val="center"/>
              <w:rPr>
                <w:rFonts w:ascii="Arial" w:hAnsi="Arial" w:cs="Arial"/>
                <w:color w:val="000000"/>
                <w:sz w:val="20"/>
                <w:szCs w:val="20"/>
              </w:rPr>
            </w:pPr>
            <w:r w:rsidRPr="009C3C75">
              <w:rPr>
                <w:rFonts w:ascii="Arial" w:hAnsi="Arial" w:cs="Arial"/>
                <w:color w:val="000000"/>
                <w:sz w:val="20"/>
                <w:szCs w:val="20"/>
              </w:rPr>
              <w:t>30</w:t>
            </w:r>
          </w:p>
        </w:tc>
      </w:tr>
    </w:tbl>
    <w:p w:rsidR="00C60153" w:rsidRPr="00B60F2C" w:rsidRDefault="00C60153" w:rsidP="00C60153">
      <w:pPr>
        <w:rPr>
          <w:rFonts w:ascii="Arial" w:hAnsi="Arial" w:cs="Arial"/>
          <w:sz w:val="22"/>
          <w:szCs w:val="22"/>
        </w:rPr>
      </w:pPr>
      <w:r w:rsidRPr="00B60F2C">
        <w:rPr>
          <w:rFonts w:ascii="Arial" w:hAnsi="Arial" w:cs="Arial"/>
          <w:sz w:val="22"/>
          <w:szCs w:val="22"/>
        </w:rPr>
        <w:t>Spearman korelasyon testi uygulanmıştır. r= Korelasyon katsayısı</w:t>
      </w:r>
    </w:p>
    <w:p w:rsidR="00C60153" w:rsidRPr="00B60F2C" w:rsidRDefault="00C60153" w:rsidP="00C60153">
      <w:pPr>
        <w:tabs>
          <w:tab w:val="left" w:pos="4032"/>
        </w:tabs>
        <w:rPr>
          <w:sz w:val="22"/>
          <w:szCs w:val="22"/>
        </w:rPr>
      </w:pPr>
      <w:r w:rsidRPr="00B60F2C">
        <w:rPr>
          <w:sz w:val="22"/>
          <w:szCs w:val="22"/>
        </w:rPr>
        <w:tab/>
      </w:r>
    </w:p>
    <w:p w:rsidR="00C60153" w:rsidRPr="00B60F2C" w:rsidRDefault="00C60153" w:rsidP="00C60153">
      <w:pPr>
        <w:rPr>
          <w:rFonts w:ascii="Arial" w:hAnsi="Arial" w:cs="Arial"/>
          <w:sz w:val="22"/>
          <w:szCs w:val="22"/>
        </w:rPr>
      </w:pPr>
      <w:r w:rsidRPr="00B60F2C">
        <w:rPr>
          <w:rFonts w:ascii="Arial" w:hAnsi="Arial" w:cs="Arial"/>
          <w:sz w:val="22"/>
          <w:szCs w:val="22"/>
        </w:rPr>
        <w:t>Tablo 29. Kontrol grubunda periferik kan m</w:t>
      </w:r>
      <w:r w:rsidRPr="00B60F2C">
        <w:rPr>
          <w:rFonts w:ascii="Arial" w:hAnsi="Arial" w:cs="Arial"/>
          <w:sz w:val="22"/>
          <w:szCs w:val="22"/>
          <w:shd w:val="clear" w:color="auto" w:fill="FFFFFF"/>
        </w:rPr>
        <w:t>iR-5692b, miR-Let-7d, miR-124-3p, miR-107, miR-4447’nin relatif kantitasyon değerlerinin yaş ile ilişkisi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504"/>
        <w:gridCol w:w="1257"/>
        <w:gridCol w:w="1316"/>
        <w:gridCol w:w="1277"/>
        <w:gridCol w:w="1227"/>
        <w:gridCol w:w="1308"/>
      </w:tblGrid>
      <w:tr w:rsidR="00C60153" w:rsidRPr="00A87935" w:rsidTr="00283CE4">
        <w:trPr>
          <w:trHeight w:val="552"/>
        </w:trPr>
        <w:tc>
          <w:tcPr>
            <w:tcW w:w="1216" w:type="pct"/>
            <w:gridSpan w:val="2"/>
            <w:vAlign w:val="center"/>
          </w:tcPr>
          <w:p w:rsidR="00C60153" w:rsidRPr="009C3C75" w:rsidRDefault="00C60153" w:rsidP="00283CE4">
            <w:pPr>
              <w:tabs>
                <w:tab w:val="left" w:pos="5370"/>
              </w:tabs>
              <w:jc w:val="center"/>
              <w:rPr>
                <w:rFonts w:ascii="Arial" w:hAnsi="Arial" w:cs="Arial"/>
                <w:b/>
                <w:sz w:val="20"/>
                <w:szCs w:val="20"/>
              </w:rPr>
            </w:pPr>
            <w:r>
              <w:rPr>
                <w:rFonts w:ascii="Arial" w:hAnsi="Arial" w:cs="Arial"/>
                <w:b/>
                <w:sz w:val="20"/>
                <w:szCs w:val="20"/>
              </w:rPr>
              <w:t>Kontrol</w:t>
            </w:r>
            <w:r w:rsidRPr="009C3C75">
              <w:rPr>
                <w:rFonts w:ascii="Arial" w:hAnsi="Arial" w:cs="Arial"/>
                <w:b/>
                <w:sz w:val="20"/>
                <w:szCs w:val="20"/>
              </w:rPr>
              <w:t xml:space="preserve"> </w:t>
            </w:r>
            <w:r>
              <w:rPr>
                <w:rFonts w:ascii="Arial" w:hAnsi="Arial" w:cs="Arial"/>
                <w:b/>
                <w:sz w:val="20"/>
                <w:szCs w:val="20"/>
              </w:rPr>
              <w:t>g</w:t>
            </w:r>
            <w:r w:rsidRPr="009C3C75">
              <w:rPr>
                <w:rFonts w:ascii="Arial" w:hAnsi="Arial" w:cs="Arial"/>
                <w:b/>
                <w:sz w:val="20"/>
                <w:szCs w:val="20"/>
              </w:rPr>
              <w:t>rubu</w:t>
            </w:r>
          </w:p>
        </w:tc>
        <w:tc>
          <w:tcPr>
            <w:tcW w:w="745" w:type="pct"/>
            <w:vAlign w:val="center"/>
          </w:tcPr>
          <w:p w:rsidR="00C60153" w:rsidRPr="0065212B" w:rsidRDefault="00C60153" w:rsidP="00283CE4">
            <w:pPr>
              <w:jc w:val="center"/>
              <w:rPr>
                <w:rFonts w:ascii="Arial" w:hAnsi="Arial" w:cs="Arial"/>
                <w:b/>
                <w:sz w:val="20"/>
                <w:szCs w:val="20"/>
              </w:rPr>
            </w:pPr>
            <w:r w:rsidRPr="0065212B">
              <w:rPr>
                <w:rFonts w:ascii="Arial" w:hAnsi="Arial" w:cs="Arial"/>
                <w:b/>
              </w:rPr>
              <w:t>m</w:t>
            </w:r>
            <w:r w:rsidRPr="0065212B">
              <w:rPr>
                <w:rFonts w:ascii="Arial" w:hAnsi="Arial" w:cs="Arial"/>
                <w:b/>
                <w:shd w:val="clear" w:color="auto" w:fill="FFFFFF"/>
              </w:rPr>
              <w:t>iR-5692b</w:t>
            </w:r>
          </w:p>
        </w:tc>
        <w:tc>
          <w:tcPr>
            <w:tcW w:w="780" w:type="pct"/>
            <w:vAlign w:val="center"/>
          </w:tcPr>
          <w:p w:rsidR="00C60153" w:rsidRPr="00807218" w:rsidRDefault="00C60153" w:rsidP="00283CE4">
            <w:pPr>
              <w:jc w:val="center"/>
              <w:rPr>
                <w:rFonts w:ascii="Arial" w:hAnsi="Arial" w:cs="Arial"/>
                <w:b/>
                <w:sz w:val="20"/>
                <w:szCs w:val="20"/>
              </w:rPr>
            </w:pPr>
            <w:r w:rsidRPr="00807218">
              <w:rPr>
                <w:rFonts w:ascii="Arial" w:hAnsi="Arial" w:cs="Arial"/>
                <w:b/>
              </w:rPr>
              <w:t>m</w:t>
            </w:r>
            <w:r w:rsidRPr="00807218">
              <w:rPr>
                <w:rFonts w:ascii="Arial" w:hAnsi="Arial" w:cs="Arial"/>
                <w:b/>
                <w:shd w:val="clear" w:color="auto" w:fill="FFFFFF"/>
              </w:rPr>
              <w:t>iR-let-7d</w:t>
            </w:r>
          </w:p>
        </w:tc>
        <w:tc>
          <w:tcPr>
            <w:tcW w:w="757" w:type="pct"/>
            <w:vAlign w:val="center"/>
          </w:tcPr>
          <w:p w:rsidR="00C60153" w:rsidRPr="00807218" w:rsidRDefault="00C60153" w:rsidP="00283CE4">
            <w:pPr>
              <w:jc w:val="center"/>
              <w:rPr>
                <w:rFonts w:ascii="Arial" w:hAnsi="Arial" w:cs="Arial"/>
                <w:b/>
                <w:sz w:val="20"/>
                <w:szCs w:val="20"/>
              </w:rPr>
            </w:pPr>
            <w:r w:rsidRPr="00807218">
              <w:rPr>
                <w:rFonts w:ascii="Arial" w:hAnsi="Arial" w:cs="Arial"/>
                <w:b/>
              </w:rPr>
              <w:t>m</w:t>
            </w:r>
            <w:r w:rsidRPr="00807218">
              <w:rPr>
                <w:rFonts w:ascii="Arial" w:hAnsi="Arial" w:cs="Arial"/>
                <w:b/>
                <w:shd w:val="clear" w:color="auto" w:fill="FFFFFF"/>
              </w:rPr>
              <w:t>iR-</w:t>
            </w:r>
            <w:r w:rsidRPr="00807218">
              <w:rPr>
                <w:rFonts w:ascii="Arial" w:hAnsi="Arial" w:cs="Arial"/>
                <w:b/>
                <w:sz w:val="20"/>
                <w:szCs w:val="20"/>
              </w:rPr>
              <w:t>124-3p</w:t>
            </w:r>
          </w:p>
        </w:tc>
        <w:tc>
          <w:tcPr>
            <w:tcW w:w="727" w:type="pct"/>
            <w:vAlign w:val="center"/>
          </w:tcPr>
          <w:p w:rsidR="00C60153" w:rsidRPr="00807218" w:rsidRDefault="00C60153" w:rsidP="00283CE4">
            <w:pPr>
              <w:jc w:val="center"/>
              <w:rPr>
                <w:rFonts w:ascii="Arial" w:hAnsi="Arial" w:cs="Arial"/>
                <w:b/>
                <w:sz w:val="20"/>
                <w:szCs w:val="20"/>
              </w:rPr>
            </w:pPr>
            <w:r w:rsidRPr="00807218">
              <w:rPr>
                <w:rFonts w:ascii="Arial" w:hAnsi="Arial" w:cs="Arial"/>
                <w:b/>
              </w:rPr>
              <w:t>m</w:t>
            </w:r>
            <w:r w:rsidRPr="00807218">
              <w:rPr>
                <w:rFonts w:ascii="Arial" w:hAnsi="Arial" w:cs="Arial"/>
                <w:b/>
                <w:shd w:val="clear" w:color="auto" w:fill="FFFFFF"/>
              </w:rPr>
              <w:t>iR-</w:t>
            </w:r>
            <w:r w:rsidRPr="00807218">
              <w:rPr>
                <w:rFonts w:ascii="Arial" w:hAnsi="Arial" w:cs="Arial"/>
                <w:b/>
                <w:sz w:val="20"/>
                <w:szCs w:val="20"/>
              </w:rPr>
              <w:t>107</w:t>
            </w:r>
          </w:p>
        </w:tc>
        <w:tc>
          <w:tcPr>
            <w:tcW w:w="775" w:type="pct"/>
            <w:vAlign w:val="center"/>
          </w:tcPr>
          <w:p w:rsidR="00C60153" w:rsidRPr="00807218" w:rsidRDefault="00C60153" w:rsidP="00283CE4">
            <w:pPr>
              <w:jc w:val="center"/>
              <w:rPr>
                <w:rFonts w:ascii="Arial" w:hAnsi="Arial" w:cs="Arial"/>
                <w:b/>
                <w:sz w:val="20"/>
                <w:szCs w:val="20"/>
              </w:rPr>
            </w:pPr>
            <w:r w:rsidRPr="00807218">
              <w:rPr>
                <w:rFonts w:ascii="Arial" w:hAnsi="Arial" w:cs="Arial"/>
                <w:b/>
              </w:rPr>
              <w:t>m</w:t>
            </w:r>
            <w:r w:rsidRPr="00807218">
              <w:rPr>
                <w:rFonts w:ascii="Arial" w:hAnsi="Arial" w:cs="Arial"/>
                <w:b/>
                <w:shd w:val="clear" w:color="auto" w:fill="FFFFFF"/>
              </w:rPr>
              <w:t>iR-</w:t>
            </w:r>
            <w:r w:rsidRPr="00807218">
              <w:rPr>
                <w:rFonts w:ascii="Arial" w:hAnsi="Arial" w:cs="Arial"/>
                <w:b/>
                <w:sz w:val="20"/>
                <w:szCs w:val="20"/>
              </w:rPr>
              <w:t>4447</w:t>
            </w:r>
          </w:p>
        </w:tc>
      </w:tr>
      <w:tr w:rsidR="00C60153" w:rsidRPr="00A87935" w:rsidTr="00283CE4">
        <w:trPr>
          <w:trHeight w:val="567"/>
        </w:trPr>
        <w:tc>
          <w:tcPr>
            <w:tcW w:w="917" w:type="pct"/>
            <w:vMerge w:val="restart"/>
            <w:vAlign w:val="center"/>
          </w:tcPr>
          <w:p w:rsidR="00C60153" w:rsidRPr="0024577C" w:rsidRDefault="00C60153" w:rsidP="00283CE4">
            <w:pPr>
              <w:jc w:val="center"/>
              <w:rPr>
                <w:rFonts w:ascii="Arial" w:hAnsi="Arial" w:cs="Arial"/>
                <w:b/>
                <w:caps/>
                <w:sz w:val="20"/>
                <w:szCs w:val="20"/>
              </w:rPr>
            </w:pPr>
            <w:r w:rsidRPr="0024577C">
              <w:rPr>
                <w:rFonts w:ascii="Arial" w:hAnsi="Arial" w:cs="Arial"/>
                <w:b/>
                <w:sz w:val="20"/>
                <w:szCs w:val="20"/>
              </w:rPr>
              <w:t>Yaş</w:t>
            </w:r>
          </w:p>
        </w:tc>
        <w:tc>
          <w:tcPr>
            <w:tcW w:w="299" w:type="pct"/>
            <w:vAlign w:val="center"/>
          </w:tcPr>
          <w:p w:rsidR="00C60153" w:rsidRPr="0024577C" w:rsidRDefault="00C60153" w:rsidP="00283CE4">
            <w:pPr>
              <w:jc w:val="center"/>
              <w:rPr>
                <w:rFonts w:ascii="Arial" w:hAnsi="Arial" w:cs="Arial"/>
                <w:b/>
                <w:bCs/>
                <w:caps/>
                <w:sz w:val="20"/>
                <w:szCs w:val="20"/>
              </w:rPr>
            </w:pPr>
            <w:r w:rsidRPr="0024577C">
              <w:rPr>
                <w:rFonts w:ascii="Arial" w:hAnsi="Arial" w:cs="Arial"/>
                <w:b/>
                <w:bCs/>
                <w:sz w:val="20"/>
                <w:szCs w:val="20"/>
              </w:rPr>
              <w:t>r</w:t>
            </w:r>
          </w:p>
        </w:tc>
        <w:tc>
          <w:tcPr>
            <w:tcW w:w="745" w:type="pct"/>
            <w:vAlign w:val="center"/>
          </w:tcPr>
          <w:p w:rsidR="00C60153" w:rsidRPr="0065212B" w:rsidRDefault="00C60153" w:rsidP="00283CE4">
            <w:pPr>
              <w:jc w:val="center"/>
              <w:rPr>
                <w:rFonts w:ascii="Arial" w:hAnsi="Arial" w:cs="Arial"/>
                <w:color w:val="000000"/>
                <w:sz w:val="20"/>
                <w:szCs w:val="20"/>
              </w:rPr>
            </w:pPr>
            <w:r w:rsidRPr="0065212B">
              <w:rPr>
                <w:rFonts w:ascii="Arial" w:hAnsi="Arial" w:cs="Arial"/>
                <w:color w:val="000000"/>
                <w:sz w:val="20"/>
                <w:szCs w:val="20"/>
              </w:rPr>
              <w:t>0.053</w:t>
            </w:r>
          </w:p>
        </w:tc>
        <w:tc>
          <w:tcPr>
            <w:tcW w:w="780" w:type="pct"/>
            <w:vAlign w:val="center"/>
          </w:tcPr>
          <w:p w:rsidR="00C60153" w:rsidRPr="00182FF8" w:rsidRDefault="00C60153" w:rsidP="00283CE4">
            <w:pPr>
              <w:jc w:val="center"/>
              <w:rPr>
                <w:rFonts w:ascii="Arial" w:hAnsi="Arial" w:cs="Arial"/>
                <w:color w:val="000000"/>
                <w:sz w:val="20"/>
                <w:szCs w:val="20"/>
              </w:rPr>
            </w:pPr>
            <w:r>
              <w:rPr>
                <w:rFonts w:ascii="Arial" w:hAnsi="Arial" w:cs="Arial"/>
                <w:color w:val="000000"/>
                <w:sz w:val="20"/>
                <w:szCs w:val="20"/>
              </w:rPr>
              <w:t>0</w:t>
            </w:r>
            <w:r w:rsidRPr="00182FF8">
              <w:rPr>
                <w:rFonts w:ascii="Arial" w:hAnsi="Arial" w:cs="Arial"/>
                <w:color w:val="000000"/>
                <w:sz w:val="20"/>
                <w:szCs w:val="20"/>
              </w:rPr>
              <w:t>.221</w:t>
            </w:r>
          </w:p>
        </w:tc>
        <w:tc>
          <w:tcPr>
            <w:tcW w:w="757" w:type="pct"/>
            <w:vAlign w:val="center"/>
          </w:tcPr>
          <w:p w:rsidR="00C60153" w:rsidRPr="00182FF8" w:rsidRDefault="00C60153" w:rsidP="00283CE4">
            <w:pPr>
              <w:jc w:val="center"/>
              <w:rPr>
                <w:rFonts w:ascii="Arial" w:hAnsi="Arial" w:cs="Arial"/>
                <w:color w:val="000000"/>
                <w:sz w:val="20"/>
                <w:szCs w:val="20"/>
              </w:rPr>
            </w:pPr>
            <w:r w:rsidRPr="00182FF8">
              <w:rPr>
                <w:rFonts w:ascii="Arial" w:hAnsi="Arial" w:cs="Arial"/>
                <w:color w:val="000000"/>
                <w:sz w:val="20"/>
                <w:szCs w:val="20"/>
              </w:rPr>
              <w:t>-0.275</w:t>
            </w:r>
          </w:p>
        </w:tc>
        <w:tc>
          <w:tcPr>
            <w:tcW w:w="727" w:type="pct"/>
            <w:vAlign w:val="center"/>
          </w:tcPr>
          <w:p w:rsidR="00C60153" w:rsidRPr="00182FF8" w:rsidRDefault="00C60153" w:rsidP="00283CE4">
            <w:pPr>
              <w:jc w:val="center"/>
              <w:rPr>
                <w:rFonts w:ascii="Arial" w:hAnsi="Arial" w:cs="Arial"/>
                <w:b/>
                <w:bCs/>
                <w:color w:val="000000"/>
                <w:sz w:val="20"/>
                <w:szCs w:val="20"/>
              </w:rPr>
            </w:pPr>
            <w:r>
              <w:rPr>
                <w:rFonts w:ascii="Arial" w:hAnsi="Arial" w:cs="Arial"/>
                <w:b/>
                <w:bCs/>
                <w:color w:val="000000"/>
                <w:sz w:val="20"/>
                <w:szCs w:val="20"/>
              </w:rPr>
              <w:t>0.</w:t>
            </w:r>
            <w:r w:rsidRPr="00182FF8">
              <w:rPr>
                <w:rFonts w:ascii="Arial" w:hAnsi="Arial" w:cs="Arial"/>
                <w:b/>
                <w:bCs/>
                <w:color w:val="000000"/>
                <w:sz w:val="20"/>
                <w:szCs w:val="20"/>
              </w:rPr>
              <w:t>397</w:t>
            </w:r>
          </w:p>
        </w:tc>
        <w:tc>
          <w:tcPr>
            <w:tcW w:w="775" w:type="pct"/>
            <w:vAlign w:val="center"/>
          </w:tcPr>
          <w:p w:rsidR="00C60153" w:rsidRPr="00182FF8" w:rsidRDefault="00C60153" w:rsidP="00283CE4">
            <w:pPr>
              <w:jc w:val="center"/>
              <w:rPr>
                <w:rFonts w:ascii="Arial" w:hAnsi="Arial" w:cs="Arial"/>
                <w:color w:val="000000"/>
                <w:sz w:val="20"/>
                <w:szCs w:val="20"/>
              </w:rPr>
            </w:pPr>
            <w:r w:rsidRPr="00182FF8">
              <w:rPr>
                <w:rFonts w:ascii="Arial" w:hAnsi="Arial" w:cs="Arial"/>
                <w:color w:val="000000"/>
                <w:sz w:val="20"/>
                <w:szCs w:val="20"/>
              </w:rPr>
              <w:t>0.267</w:t>
            </w:r>
          </w:p>
        </w:tc>
      </w:tr>
      <w:tr w:rsidR="00C60153" w:rsidRPr="00A87935" w:rsidTr="00283CE4">
        <w:trPr>
          <w:trHeight w:val="567"/>
        </w:trPr>
        <w:tc>
          <w:tcPr>
            <w:tcW w:w="917" w:type="pct"/>
            <w:vMerge/>
            <w:vAlign w:val="center"/>
          </w:tcPr>
          <w:p w:rsidR="00C60153" w:rsidRPr="0024577C" w:rsidRDefault="00C60153" w:rsidP="00283CE4">
            <w:pPr>
              <w:jc w:val="center"/>
              <w:rPr>
                <w:rFonts w:ascii="Arial" w:hAnsi="Arial" w:cs="Arial"/>
                <w:sz w:val="20"/>
                <w:szCs w:val="20"/>
              </w:rPr>
            </w:pPr>
          </w:p>
        </w:tc>
        <w:tc>
          <w:tcPr>
            <w:tcW w:w="299" w:type="pct"/>
            <w:vAlign w:val="center"/>
          </w:tcPr>
          <w:p w:rsidR="00C60153" w:rsidRPr="0024577C" w:rsidRDefault="00C60153" w:rsidP="00283CE4">
            <w:pPr>
              <w:jc w:val="center"/>
              <w:rPr>
                <w:rFonts w:ascii="Arial" w:hAnsi="Arial" w:cs="Arial"/>
                <w:b/>
                <w:bCs/>
                <w:caps/>
                <w:sz w:val="20"/>
                <w:szCs w:val="20"/>
              </w:rPr>
            </w:pPr>
            <w:r w:rsidRPr="0024577C">
              <w:rPr>
                <w:rFonts w:ascii="Arial" w:hAnsi="Arial" w:cs="Arial"/>
                <w:b/>
                <w:bCs/>
                <w:sz w:val="20"/>
                <w:szCs w:val="20"/>
              </w:rPr>
              <w:t>p</w:t>
            </w:r>
          </w:p>
        </w:tc>
        <w:tc>
          <w:tcPr>
            <w:tcW w:w="745" w:type="pct"/>
            <w:vAlign w:val="center"/>
          </w:tcPr>
          <w:p w:rsidR="00C60153" w:rsidRPr="0065212B" w:rsidRDefault="00C60153" w:rsidP="00283CE4">
            <w:pPr>
              <w:jc w:val="center"/>
              <w:rPr>
                <w:rFonts w:ascii="Arial" w:hAnsi="Arial" w:cs="Arial"/>
                <w:sz w:val="20"/>
                <w:szCs w:val="20"/>
              </w:rPr>
            </w:pPr>
            <w:r w:rsidRPr="0065212B">
              <w:rPr>
                <w:rFonts w:ascii="Arial" w:hAnsi="Arial" w:cs="Arial"/>
                <w:sz w:val="20"/>
                <w:szCs w:val="20"/>
              </w:rPr>
              <w:t>0.781</w:t>
            </w:r>
          </w:p>
        </w:tc>
        <w:tc>
          <w:tcPr>
            <w:tcW w:w="780" w:type="pct"/>
            <w:vAlign w:val="center"/>
          </w:tcPr>
          <w:p w:rsidR="00C60153" w:rsidRPr="00182FF8" w:rsidRDefault="00C60153" w:rsidP="00283CE4">
            <w:pPr>
              <w:jc w:val="center"/>
              <w:rPr>
                <w:rFonts w:ascii="Arial" w:hAnsi="Arial" w:cs="Arial"/>
                <w:color w:val="000000"/>
                <w:sz w:val="20"/>
                <w:szCs w:val="20"/>
              </w:rPr>
            </w:pPr>
            <w:r>
              <w:rPr>
                <w:rFonts w:ascii="Arial" w:hAnsi="Arial" w:cs="Arial"/>
                <w:color w:val="000000"/>
                <w:sz w:val="20"/>
                <w:szCs w:val="20"/>
              </w:rPr>
              <w:t>0</w:t>
            </w:r>
            <w:r w:rsidRPr="00182FF8">
              <w:rPr>
                <w:rFonts w:ascii="Arial" w:hAnsi="Arial" w:cs="Arial"/>
                <w:color w:val="000000"/>
                <w:sz w:val="20"/>
                <w:szCs w:val="20"/>
              </w:rPr>
              <w:t>.240</w:t>
            </w:r>
          </w:p>
        </w:tc>
        <w:tc>
          <w:tcPr>
            <w:tcW w:w="757" w:type="pct"/>
            <w:vAlign w:val="center"/>
          </w:tcPr>
          <w:p w:rsidR="00C60153" w:rsidRPr="00182FF8" w:rsidRDefault="00C60153" w:rsidP="00283CE4">
            <w:pPr>
              <w:jc w:val="center"/>
              <w:rPr>
                <w:rFonts w:ascii="Arial" w:hAnsi="Arial" w:cs="Arial"/>
                <w:color w:val="000000"/>
                <w:sz w:val="20"/>
                <w:szCs w:val="20"/>
              </w:rPr>
            </w:pPr>
            <w:r w:rsidRPr="00182FF8">
              <w:rPr>
                <w:rFonts w:ascii="Arial" w:hAnsi="Arial" w:cs="Arial"/>
                <w:color w:val="000000"/>
                <w:sz w:val="20"/>
                <w:szCs w:val="20"/>
              </w:rPr>
              <w:t>0.141</w:t>
            </w:r>
          </w:p>
        </w:tc>
        <w:tc>
          <w:tcPr>
            <w:tcW w:w="727" w:type="pct"/>
            <w:vAlign w:val="center"/>
          </w:tcPr>
          <w:p w:rsidR="00C60153" w:rsidRPr="00182FF8" w:rsidRDefault="00C60153" w:rsidP="00283CE4">
            <w:pPr>
              <w:jc w:val="center"/>
              <w:rPr>
                <w:rFonts w:ascii="Arial" w:hAnsi="Arial" w:cs="Arial"/>
                <w:b/>
                <w:bCs/>
                <w:color w:val="000000"/>
                <w:sz w:val="20"/>
                <w:szCs w:val="20"/>
              </w:rPr>
            </w:pPr>
            <w:r>
              <w:rPr>
                <w:rFonts w:ascii="Arial" w:hAnsi="Arial" w:cs="Arial"/>
                <w:b/>
                <w:bCs/>
                <w:color w:val="000000"/>
                <w:sz w:val="20"/>
                <w:szCs w:val="20"/>
              </w:rPr>
              <w:t>0</w:t>
            </w:r>
            <w:r w:rsidRPr="00182FF8">
              <w:rPr>
                <w:rFonts w:ascii="Arial" w:hAnsi="Arial" w:cs="Arial"/>
                <w:b/>
                <w:bCs/>
                <w:color w:val="000000"/>
                <w:sz w:val="20"/>
                <w:szCs w:val="20"/>
              </w:rPr>
              <w:t>.030</w:t>
            </w:r>
          </w:p>
        </w:tc>
        <w:tc>
          <w:tcPr>
            <w:tcW w:w="775" w:type="pct"/>
            <w:vAlign w:val="center"/>
          </w:tcPr>
          <w:p w:rsidR="00C60153" w:rsidRPr="00182FF8" w:rsidRDefault="00C60153" w:rsidP="00283CE4">
            <w:pPr>
              <w:jc w:val="center"/>
              <w:rPr>
                <w:rFonts w:ascii="Arial" w:hAnsi="Arial" w:cs="Arial"/>
                <w:color w:val="000000"/>
                <w:sz w:val="20"/>
                <w:szCs w:val="20"/>
              </w:rPr>
            </w:pPr>
            <w:r w:rsidRPr="00182FF8">
              <w:rPr>
                <w:rFonts w:ascii="Arial" w:hAnsi="Arial" w:cs="Arial"/>
                <w:color w:val="000000"/>
                <w:sz w:val="20"/>
                <w:szCs w:val="20"/>
              </w:rPr>
              <w:t>0.153</w:t>
            </w:r>
          </w:p>
        </w:tc>
      </w:tr>
      <w:tr w:rsidR="00C60153" w:rsidRPr="00A87935" w:rsidTr="00283CE4">
        <w:trPr>
          <w:trHeight w:val="567"/>
        </w:trPr>
        <w:tc>
          <w:tcPr>
            <w:tcW w:w="917" w:type="pct"/>
            <w:vMerge/>
            <w:vAlign w:val="center"/>
          </w:tcPr>
          <w:p w:rsidR="00C60153" w:rsidRPr="0024577C" w:rsidRDefault="00C60153" w:rsidP="00283CE4">
            <w:pPr>
              <w:jc w:val="center"/>
              <w:rPr>
                <w:rFonts w:ascii="Arial" w:hAnsi="Arial" w:cs="Arial"/>
                <w:sz w:val="20"/>
                <w:szCs w:val="20"/>
              </w:rPr>
            </w:pPr>
          </w:p>
        </w:tc>
        <w:tc>
          <w:tcPr>
            <w:tcW w:w="299" w:type="pct"/>
            <w:vAlign w:val="center"/>
          </w:tcPr>
          <w:p w:rsidR="00C60153" w:rsidRPr="0024577C" w:rsidRDefault="00C60153" w:rsidP="00283CE4">
            <w:pPr>
              <w:jc w:val="center"/>
              <w:rPr>
                <w:rFonts w:ascii="Arial" w:hAnsi="Arial" w:cs="Arial"/>
                <w:b/>
                <w:bCs/>
                <w:sz w:val="20"/>
                <w:szCs w:val="20"/>
              </w:rPr>
            </w:pPr>
            <w:r>
              <w:rPr>
                <w:rFonts w:ascii="Arial" w:hAnsi="Arial" w:cs="Arial"/>
                <w:b/>
                <w:bCs/>
                <w:sz w:val="20"/>
                <w:szCs w:val="20"/>
              </w:rPr>
              <w:t>n</w:t>
            </w:r>
          </w:p>
        </w:tc>
        <w:tc>
          <w:tcPr>
            <w:tcW w:w="745" w:type="pct"/>
            <w:vAlign w:val="center"/>
          </w:tcPr>
          <w:p w:rsidR="00C60153" w:rsidRPr="0065212B" w:rsidRDefault="00C60153" w:rsidP="00283CE4">
            <w:pPr>
              <w:jc w:val="center"/>
              <w:rPr>
                <w:rFonts w:ascii="Arial" w:hAnsi="Arial" w:cs="Arial"/>
                <w:sz w:val="20"/>
                <w:szCs w:val="20"/>
              </w:rPr>
            </w:pPr>
            <w:r w:rsidRPr="0065212B">
              <w:rPr>
                <w:rFonts w:ascii="Arial" w:hAnsi="Arial" w:cs="Arial"/>
                <w:sz w:val="20"/>
                <w:szCs w:val="20"/>
              </w:rPr>
              <w:t>30</w:t>
            </w:r>
          </w:p>
        </w:tc>
        <w:tc>
          <w:tcPr>
            <w:tcW w:w="780" w:type="pct"/>
            <w:vAlign w:val="center"/>
          </w:tcPr>
          <w:p w:rsidR="00C60153" w:rsidRPr="00182FF8" w:rsidRDefault="00C60153" w:rsidP="00283CE4">
            <w:pPr>
              <w:jc w:val="center"/>
              <w:rPr>
                <w:rFonts w:ascii="Arial" w:hAnsi="Arial" w:cs="Arial"/>
                <w:color w:val="000000"/>
                <w:sz w:val="20"/>
                <w:szCs w:val="20"/>
              </w:rPr>
            </w:pPr>
            <w:r w:rsidRPr="00182FF8">
              <w:rPr>
                <w:rFonts w:ascii="Arial" w:hAnsi="Arial" w:cs="Arial"/>
                <w:color w:val="000000"/>
                <w:sz w:val="20"/>
                <w:szCs w:val="20"/>
              </w:rPr>
              <w:t>30</w:t>
            </w:r>
          </w:p>
        </w:tc>
        <w:tc>
          <w:tcPr>
            <w:tcW w:w="757" w:type="pct"/>
            <w:vAlign w:val="center"/>
          </w:tcPr>
          <w:p w:rsidR="00C60153" w:rsidRPr="00182FF8" w:rsidRDefault="00C60153" w:rsidP="00283CE4">
            <w:pPr>
              <w:jc w:val="center"/>
              <w:rPr>
                <w:rFonts w:ascii="Arial" w:hAnsi="Arial" w:cs="Arial"/>
                <w:color w:val="000000"/>
                <w:sz w:val="20"/>
                <w:szCs w:val="20"/>
              </w:rPr>
            </w:pPr>
            <w:r w:rsidRPr="00182FF8">
              <w:rPr>
                <w:rFonts w:ascii="Arial" w:hAnsi="Arial" w:cs="Arial"/>
                <w:color w:val="000000"/>
                <w:sz w:val="20"/>
                <w:szCs w:val="20"/>
              </w:rPr>
              <w:t>30</w:t>
            </w:r>
          </w:p>
        </w:tc>
        <w:tc>
          <w:tcPr>
            <w:tcW w:w="727" w:type="pct"/>
            <w:vAlign w:val="center"/>
          </w:tcPr>
          <w:p w:rsidR="00C60153" w:rsidRPr="00182FF8" w:rsidRDefault="00C60153" w:rsidP="00283CE4">
            <w:pPr>
              <w:jc w:val="center"/>
              <w:rPr>
                <w:rFonts w:ascii="Arial" w:hAnsi="Arial" w:cs="Arial"/>
                <w:b/>
                <w:bCs/>
                <w:color w:val="000000"/>
                <w:sz w:val="20"/>
                <w:szCs w:val="20"/>
              </w:rPr>
            </w:pPr>
            <w:r w:rsidRPr="00182FF8">
              <w:rPr>
                <w:rFonts w:ascii="Arial" w:hAnsi="Arial" w:cs="Arial"/>
                <w:b/>
                <w:bCs/>
                <w:color w:val="000000"/>
                <w:sz w:val="20"/>
                <w:szCs w:val="20"/>
              </w:rPr>
              <w:t>30</w:t>
            </w:r>
          </w:p>
        </w:tc>
        <w:tc>
          <w:tcPr>
            <w:tcW w:w="775" w:type="pct"/>
            <w:vAlign w:val="center"/>
          </w:tcPr>
          <w:p w:rsidR="00C60153" w:rsidRPr="00182FF8" w:rsidRDefault="00C60153" w:rsidP="00283CE4">
            <w:pPr>
              <w:jc w:val="center"/>
              <w:rPr>
                <w:rFonts w:ascii="Arial" w:hAnsi="Arial" w:cs="Arial"/>
                <w:color w:val="000000"/>
                <w:sz w:val="20"/>
                <w:szCs w:val="20"/>
              </w:rPr>
            </w:pPr>
            <w:r w:rsidRPr="00182FF8">
              <w:rPr>
                <w:rFonts w:ascii="Arial" w:hAnsi="Arial" w:cs="Arial"/>
                <w:color w:val="000000"/>
                <w:sz w:val="20"/>
                <w:szCs w:val="20"/>
              </w:rPr>
              <w:t>30</w:t>
            </w:r>
          </w:p>
        </w:tc>
      </w:tr>
    </w:tbl>
    <w:p w:rsidR="00C60153" w:rsidRPr="00B60F2C" w:rsidRDefault="00C60153" w:rsidP="00C60153">
      <w:pPr>
        <w:rPr>
          <w:rFonts w:ascii="Arial" w:hAnsi="Arial" w:cs="Arial"/>
          <w:sz w:val="22"/>
          <w:szCs w:val="22"/>
        </w:rPr>
      </w:pPr>
      <w:r w:rsidRPr="00B60F2C">
        <w:rPr>
          <w:rFonts w:ascii="Arial" w:hAnsi="Arial" w:cs="Arial"/>
          <w:sz w:val="22"/>
          <w:szCs w:val="22"/>
        </w:rPr>
        <w:t>Spearman korelasyon testi uygulanmıştır. r= Korelasyon katsayıları</w:t>
      </w:r>
    </w:p>
    <w:p w:rsidR="00C60153" w:rsidRPr="00B60F2C" w:rsidRDefault="00C60153" w:rsidP="00C60153">
      <w:pPr>
        <w:rPr>
          <w:rFonts w:ascii="Arial" w:hAnsi="Arial" w:cs="Arial"/>
          <w:sz w:val="22"/>
          <w:szCs w:val="22"/>
        </w:rPr>
      </w:pPr>
    </w:p>
    <w:p w:rsidR="00C60153" w:rsidRPr="00B60F2C" w:rsidRDefault="00C60153" w:rsidP="00C60153">
      <w:pPr>
        <w:rPr>
          <w:rFonts w:ascii="Arial" w:hAnsi="Arial" w:cs="Arial"/>
          <w:sz w:val="22"/>
          <w:szCs w:val="22"/>
        </w:rPr>
      </w:pPr>
      <w:r w:rsidRPr="00B60F2C">
        <w:rPr>
          <w:rFonts w:ascii="Arial" w:hAnsi="Arial" w:cs="Arial"/>
          <w:sz w:val="22"/>
          <w:szCs w:val="22"/>
        </w:rPr>
        <w:t>Tablo 30. Tüm katılımcıların periferik kan m</w:t>
      </w:r>
      <w:r w:rsidRPr="00B60F2C">
        <w:rPr>
          <w:rFonts w:ascii="Arial" w:hAnsi="Arial" w:cs="Arial"/>
          <w:sz w:val="22"/>
          <w:szCs w:val="22"/>
          <w:shd w:val="clear" w:color="auto" w:fill="FFFFFF"/>
        </w:rPr>
        <w:t>iR-5692b, miR-Let-7d, miR-124-3p, miR-107, miR-4447’nin relatif kantitasyon değerlerinin yaş ile ilişkisi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504"/>
        <w:gridCol w:w="1257"/>
        <w:gridCol w:w="1316"/>
        <w:gridCol w:w="1277"/>
        <w:gridCol w:w="1227"/>
        <w:gridCol w:w="1308"/>
      </w:tblGrid>
      <w:tr w:rsidR="00C60153" w:rsidRPr="00133A2C" w:rsidTr="00283CE4">
        <w:trPr>
          <w:trHeight w:val="552"/>
        </w:trPr>
        <w:tc>
          <w:tcPr>
            <w:tcW w:w="1216" w:type="pct"/>
            <w:gridSpan w:val="2"/>
            <w:vAlign w:val="center"/>
          </w:tcPr>
          <w:p w:rsidR="00C60153" w:rsidRPr="00133A2C" w:rsidRDefault="00C60153" w:rsidP="00283CE4">
            <w:pPr>
              <w:tabs>
                <w:tab w:val="left" w:pos="5370"/>
              </w:tabs>
              <w:jc w:val="center"/>
              <w:rPr>
                <w:rFonts w:ascii="Arial" w:hAnsi="Arial" w:cs="Arial"/>
                <w:b/>
                <w:sz w:val="20"/>
                <w:szCs w:val="20"/>
              </w:rPr>
            </w:pPr>
          </w:p>
        </w:tc>
        <w:tc>
          <w:tcPr>
            <w:tcW w:w="745" w:type="pct"/>
            <w:vAlign w:val="center"/>
          </w:tcPr>
          <w:p w:rsidR="00C60153" w:rsidRPr="00133A2C" w:rsidRDefault="00C60153" w:rsidP="00283CE4">
            <w:pPr>
              <w:jc w:val="center"/>
              <w:rPr>
                <w:rFonts w:ascii="Arial" w:hAnsi="Arial" w:cs="Arial"/>
                <w:b/>
                <w:sz w:val="20"/>
                <w:szCs w:val="20"/>
              </w:rPr>
            </w:pPr>
            <w:r w:rsidRPr="00133A2C">
              <w:rPr>
                <w:rFonts w:ascii="Arial" w:hAnsi="Arial" w:cs="Arial"/>
                <w:b/>
                <w:sz w:val="20"/>
                <w:szCs w:val="20"/>
              </w:rPr>
              <w:t>m</w:t>
            </w:r>
            <w:r w:rsidRPr="00133A2C">
              <w:rPr>
                <w:rFonts w:ascii="Arial" w:hAnsi="Arial" w:cs="Arial"/>
                <w:b/>
                <w:sz w:val="20"/>
                <w:szCs w:val="20"/>
                <w:shd w:val="clear" w:color="auto" w:fill="FFFFFF"/>
              </w:rPr>
              <w:t>iR-5692b</w:t>
            </w:r>
          </w:p>
        </w:tc>
        <w:tc>
          <w:tcPr>
            <w:tcW w:w="780" w:type="pct"/>
            <w:vAlign w:val="center"/>
          </w:tcPr>
          <w:p w:rsidR="00C60153" w:rsidRPr="00133A2C" w:rsidRDefault="00C60153" w:rsidP="00283CE4">
            <w:pPr>
              <w:jc w:val="center"/>
              <w:rPr>
                <w:rFonts w:ascii="Arial" w:hAnsi="Arial" w:cs="Arial"/>
                <w:b/>
                <w:sz w:val="20"/>
                <w:szCs w:val="20"/>
              </w:rPr>
            </w:pPr>
            <w:r w:rsidRPr="00133A2C">
              <w:rPr>
                <w:rFonts w:ascii="Arial" w:hAnsi="Arial" w:cs="Arial"/>
                <w:b/>
                <w:sz w:val="20"/>
                <w:szCs w:val="20"/>
              </w:rPr>
              <w:t>m</w:t>
            </w:r>
            <w:r w:rsidRPr="00133A2C">
              <w:rPr>
                <w:rFonts w:ascii="Arial" w:hAnsi="Arial" w:cs="Arial"/>
                <w:b/>
                <w:sz w:val="20"/>
                <w:szCs w:val="20"/>
                <w:shd w:val="clear" w:color="auto" w:fill="FFFFFF"/>
              </w:rPr>
              <w:t>iR-let-7d</w:t>
            </w:r>
          </w:p>
        </w:tc>
        <w:tc>
          <w:tcPr>
            <w:tcW w:w="757" w:type="pct"/>
            <w:vAlign w:val="center"/>
          </w:tcPr>
          <w:p w:rsidR="00C60153" w:rsidRPr="00133A2C" w:rsidRDefault="00C60153" w:rsidP="00283CE4">
            <w:pPr>
              <w:jc w:val="center"/>
              <w:rPr>
                <w:rFonts w:ascii="Arial" w:hAnsi="Arial" w:cs="Arial"/>
                <w:b/>
                <w:sz w:val="20"/>
                <w:szCs w:val="20"/>
              </w:rPr>
            </w:pPr>
            <w:r w:rsidRPr="00133A2C">
              <w:rPr>
                <w:rFonts w:ascii="Arial" w:hAnsi="Arial" w:cs="Arial"/>
                <w:b/>
                <w:sz w:val="20"/>
                <w:szCs w:val="20"/>
              </w:rPr>
              <w:t>m</w:t>
            </w:r>
            <w:r w:rsidRPr="00133A2C">
              <w:rPr>
                <w:rFonts w:ascii="Arial" w:hAnsi="Arial" w:cs="Arial"/>
                <w:b/>
                <w:sz w:val="20"/>
                <w:szCs w:val="20"/>
                <w:shd w:val="clear" w:color="auto" w:fill="FFFFFF"/>
              </w:rPr>
              <w:t>iR-</w:t>
            </w:r>
            <w:r w:rsidRPr="00133A2C">
              <w:rPr>
                <w:rFonts w:ascii="Arial" w:hAnsi="Arial" w:cs="Arial"/>
                <w:b/>
                <w:sz w:val="20"/>
                <w:szCs w:val="20"/>
              </w:rPr>
              <w:t>124-3p</w:t>
            </w:r>
          </w:p>
        </w:tc>
        <w:tc>
          <w:tcPr>
            <w:tcW w:w="727" w:type="pct"/>
            <w:vAlign w:val="center"/>
          </w:tcPr>
          <w:p w:rsidR="00C60153" w:rsidRPr="00133A2C" w:rsidRDefault="00C60153" w:rsidP="00283CE4">
            <w:pPr>
              <w:jc w:val="center"/>
              <w:rPr>
                <w:rFonts w:ascii="Arial" w:hAnsi="Arial" w:cs="Arial"/>
                <w:b/>
                <w:sz w:val="20"/>
                <w:szCs w:val="20"/>
              </w:rPr>
            </w:pPr>
            <w:r w:rsidRPr="00133A2C">
              <w:rPr>
                <w:rFonts w:ascii="Arial" w:hAnsi="Arial" w:cs="Arial"/>
                <w:b/>
                <w:sz w:val="20"/>
                <w:szCs w:val="20"/>
              </w:rPr>
              <w:t>m</w:t>
            </w:r>
            <w:r w:rsidRPr="00133A2C">
              <w:rPr>
                <w:rFonts w:ascii="Arial" w:hAnsi="Arial" w:cs="Arial"/>
                <w:b/>
                <w:sz w:val="20"/>
                <w:szCs w:val="20"/>
                <w:shd w:val="clear" w:color="auto" w:fill="FFFFFF"/>
              </w:rPr>
              <w:t>iR-</w:t>
            </w:r>
            <w:r w:rsidRPr="00133A2C">
              <w:rPr>
                <w:rFonts w:ascii="Arial" w:hAnsi="Arial" w:cs="Arial"/>
                <w:b/>
                <w:sz w:val="20"/>
                <w:szCs w:val="20"/>
              </w:rPr>
              <w:t>107</w:t>
            </w:r>
          </w:p>
        </w:tc>
        <w:tc>
          <w:tcPr>
            <w:tcW w:w="775" w:type="pct"/>
            <w:vAlign w:val="center"/>
          </w:tcPr>
          <w:p w:rsidR="00C60153" w:rsidRPr="00133A2C" w:rsidRDefault="00C60153" w:rsidP="00283CE4">
            <w:pPr>
              <w:jc w:val="center"/>
              <w:rPr>
                <w:rFonts w:ascii="Arial" w:hAnsi="Arial" w:cs="Arial"/>
                <w:b/>
                <w:sz w:val="20"/>
                <w:szCs w:val="20"/>
              </w:rPr>
            </w:pPr>
            <w:r w:rsidRPr="00133A2C">
              <w:rPr>
                <w:rFonts w:ascii="Arial" w:hAnsi="Arial" w:cs="Arial"/>
                <w:b/>
                <w:sz w:val="20"/>
                <w:szCs w:val="20"/>
              </w:rPr>
              <w:t>m</w:t>
            </w:r>
            <w:r w:rsidRPr="00133A2C">
              <w:rPr>
                <w:rFonts w:ascii="Arial" w:hAnsi="Arial" w:cs="Arial"/>
                <w:b/>
                <w:sz w:val="20"/>
                <w:szCs w:val="20"/>
                <w:shd w:val="clear" w:color="auto" w:fill="FFFFFF"/>
              </w:rPr>
              <w:t>iR-</w:t>
            </w:r>
            <w:r w:rsidRPr="00133A2C">
              <w:rPr>
                <w:rFonts w:ascii="Arial" w:hAnsi="Arial" w:cs="Arial"/>
                <w:b/>
                <w:sz w:val="20"/>
                <w:szCs w:val="20"/>
              </w:rPr>
              <w:t>4447</w:t>
            </w:r>
          </w:p>
        </w:tc>
      </w:tr>
      <w:tr w:rsidR="00C60153" w:rsidRPr="00133A2C" w:rsidTr="00283CE4">
        <w:trPr>
          <w:trHeight w:val="567"/>
        </w:trPr>
        <w:tc>
          <w:tcPr>
            <w:tcW w:w="917" w:type="pct"/>
            <w:vMerge w:val="restart"/>
            <w:vAlign w:val="center"/>
          </w:tcPr>
          <w:p w:rsidR="00C60153" w:rsidRPr="00133A2C" w:rsidRDefault="00C60153" w:rsidP="00283CE4">
            <w:pPr>
              <w:jc w:val="center"/>
              <w:rPr>
                <w:rFonts w:ascii="Arial" w:hAnsi="Arial" w:cs="Arial"/>
                <w:b/>
                <w:caps/>
                <w:sz w:val="20"/>
                <w:szCs w:val="20"/>
              </w:rPr>
            </w:pPr>
            <w:r w:rsidRPr="00133A2C">
              <w:rPr>
                <w:rFonts w:ascii="Arial" w:hAnsi="Arial" w:cs="Arial"/>
                <w:b/>
                <w:sz w:val="20"/>
                <w:szCs w:val="20"/>
              </w:rPr>
              <w:t>Yaş</w:t>
            </w:r>
          </w:p>
        </w:tc>
        <w:tc>
          <w:tcPr>
            <w:tcW w:w="299" w:type="pct"/>
            <w:vAlign w:val="center"/>
          </w:tcPr>
          <w:p w:rsidR="00C60153" w:rsidRPr="00133A2C" w:rsidRDefault="00C60153" w:rsidP="00283CE4">
            <w:pPr>
              <w:jc w:val="center"/>
              <w:rPr>
                <w:rFonts w:ascii="Arial" w:hAnsi="Arial" w:cs="Arial"/>
                <w:b/>
                <w:bCs/>
                <w:caps/>
                <w:sz w:val="20"/>
                <w:szCs w:val="20"/>
              </w:rPr>
            </w:pPr>
            <w:r w:rsidRPr="00133A2C">
              <w:rPr>
                <w:rFonts w:ascii="Arial" w:hAnsi="Arial" w:cs="Arial"/>
                <w:b/>
                <w:bCs/>
                <w:sz w:val="20"/>
                <w:szCs w:val="20"/>
              </w:rPr>
              <w:t>r</w:t>
            </w:r>
          </w:p>
        </w:tc>
        <w:tc>
          <w:tcPr>
            <w:tcW w:w="745" w:type="pct"/>
            <w:vAlign w:val="center"/>
          </w:tcPr>
          <w:p w:rsidR="00C60153" w:rsidRPr="00133A2C" w:rsidRDefault="00C60153" w:rsidP="00283CE4">
            <w:pPr>
              <w:jc w:val="center"/>
              <w:rPr>
                <w:rFonts w:ascii="Arial" w:hAnsi="Arial" w:cs="Arial"/>
                <w:color w:val="000000"/>
                <w:sz w:val="20"/>
                <w:szCs w:val="20"/>
              </w:rPr>
            </w:pPr>
            <w:r w:rsidRPr="00133A2C">
              <w:rPr>
                <w:rFonts w:ascii="Arial" w:hAnsi="Arial" w:cs="Arial"/>
                <w:color w:val="000000"/>
                <w:sz w:val="20"/>
                <w:szCs w:val="20"/>
              </w:rPr>
              <w:t>-</w:t>
            </w:r>
            <w:r>
              <w:rPr>
                <w:rFonts w:ascii="Arial" w:hAnsi="Arial" w:cs="Arial"/>
                <w:color w:val="000000"/>
                <w:sz w:val="20"/>
                <w:szCs w:val="20"/>
              </w:rPr>
              <w:t>0.</w:t>
            </w:r>
            <w:r w:rsidRPr="00133A2C">
              <w:rPr>
                <w:rFonts w:ascii="Arial" w:hAnsi="Arial" w:cs="Arial"/>
                <w:color w:val="000000"/>
                <w:sz w:val="20"/>
                <w:szCs w:val="20"/>
              </w:rPr>
              <w:t>111</w:t>
            </w:r>
          </w:p>
        </w:tc>
        <w:tc>
          <w:tcPr>
            <w:tcW w:w="780" w:type="pct"/>
            <w:vAlign w:val="center"/>
          </w:tcPr>
          <w:p w:rsidR="00C60153" w:rsidRPr="00133A2C" w:rsidRDefault="00C60153" w:rsidP="00283CE4">
            <w:pPr>
              <w:jc w:val="center"/>
              <w:rPr>
                <w:rFonts w:ascii="Arial" w:hAnsi="Arial" w:cs="Arial"/>
                <w:color w:val="000000"/>
                <w:sz w:val="20"/>
                <w:szCs w:val="20"/>
              </w:rPr>
            </w:pPr>
            <w:r>
              <w:rPr>
                <w:rFonts w:ascii="Arial" w:hAnsi="Arial" w:cs="Arial"/>
                <w:color w:val="000000"/>
                <w:sz w:val="20"/>
                <w:szCs w:val="20"/>
              </w:rPr>
              <w:t>0.</w:t>
            </w:r>
            <w:r w:rsidRPr="00133A2C">
              <w:rPr>
                <w:rFonts w:ascii="Arial" w:hAnsi="Arial" w:cs="Arial"/>
                <w:color w:val="000000"/>
                <w:sz w:val="20"/>
                <w:szCs w:val="20"/>
              </w:rPr>
              <w:t>042</w:t>
            </w:r>
          </w:p>
        </w:tc>
        <w:tc>
          <w:tcPr>
            <w:tcW w:w="757" w:type="pct"/>
            <w:vAlign w:val="center"/>
          </w:tcPr>
          <w:p w:rsidR="00C60153" w:rsidRPr="00133A2C" w:rsidRDefault="00C60153" w:rsidP="00283CE4">
            <w:pPr>
              <w:jc w:val="center"/>
              <w:rPr>
                <w:rFonts w:ascii="Arial" w:hAnsi="Arial" w:cs="Arial"/>
                <w:color w:val="000000"/>
                <w:sz w:val="20"/>
                <w:szCs w:val="20"/>
              </w:rPr>
            </w:pPr>
            <w:r w:rsidRPr="00133A2C">
              <w:rPr>
                <w:rFonts w:ascii="Arial" w:hAnsi="Arial" w:cs="Arial"/>
                <w:color w:val="000000"/>
                <w:sz w:val="20"/>
                <w:szCs w:val="20"/>
              </w:rPr>
              <w:t>-</w:t>
            </w:r>
            <w:r>
              <w:rPr>
                <w:rFonts w:ascii="Arial" w:hAnsi="Arial" w:cs="Arial"/>
                <w:color w:val="000000"/>
                <w:sz w:val="20"/>
                <w:szCs w:val="20"/>
              </w:rPr>
              <w:t>0.</w:t>
            </w:r>
            <w:r w:rsidRPr="00133A2C">
              <w:rPr>
                <w:rFonts w:ascii="Arial" w:hAnsi="Arial" w:cs="Arial"/>
                <w:color w:val="000000"/>
                <w:sz w:val="20"/>
                <w:szCs w:val="20"/>
              </w:rPr>
              <w:t>190</w:t>
            </w:r>
          </w:p>
        </w:tc>
        <w:tc>
          <w:tcPr>
            <w:tcW w:w="727" w:type="pct"/>
            <w:vAlign w:val="center"/>
          </w:tcPr>
          <w:p w:rsidR="00C60153" w:rsidRPr="00133A2C" w:rsidRDefault="00C60153" w:rsidP="00283CE4">
            <w:pPr>
              <w:jc w:val="center"/>
              <w:rPr>
                <w:rFonts w:ascii="Arial" w:hAnsi="Arial" w:cs="Arial"/>
                <w:color w:val="000000"/>
                <w:sz w:val="20"/>
                <w:szCs w:val="20"/>
              </w:rPr>
            </w:pPr>
            <w:r>
              <w:rPr>
                <w:rFonts w:ascii="Arial" w:hAnsi="Arial" w:cs="Arial"/>
                <w:color w:val="000000"/>
                <w:sz w:val="20"/>
                <w:szCs w:val="20"/>
              </w:rPr>
              <w:t>0.</w:t>
            </w:r>
            <w:r w:rsidRPr="00133A2C">
              <w:rPr>
                <w:rFonts w:ascii="Arial" w:hAnsi="Arial" w:cs="Arial"/>
                <w:color w:val="000000"/>
                <w:sz w:val="20"/>
                <w:szCs w:val="20"/>
              </w:rPr>
              <w:t>023</w:t>
            </w:r>
          </w:p>
        </w:tc>
        <w:tc>
          <w:tcPr>
            <w:tcW w:w="775" w:type="pct"/>
            <w:vAlign w:val="center"/>
          </w:tcPr>
          <w:p w:rsidR="00C60153" w:rsidRPr="00133A2C" w:rsidRDefault="00C60153" w:rsidP="00283CE4">
            <w:pPr>
              <w:jc w:val="center"/>
              <w:rPr>
                <w:rFonts w:ascii="Arial" w:hAnsi="Arial" w:cs="Arial"/>
                <w:color w:val="000000"/>
                <w:sz w:val="20"/>
                <w:szCs w:val="20"/>
              </w:rPr>
            </w:pPr>
            <w:r w:rsidRPr="00133A2C">
              <w:rPr>
                <w:rFonts w:ascii="Arial" w:hAnsi="Arial" w:cs="Arial"/>
                <w:color w:val="000000"/>
                <w:sz w:val="20"/>
                <w:szCs w:val="20"/>
              </w:rPr>
              <w:t>-</w:t>
            </w:r>
            <w:r>
              <w:rPr>
                <w:rFonts w:ascii="Arial" w:hAnsi="Arial" w:cs="Arial"/>
                <w:color w:val="000000"/>
                <w:sz w:val="20"/>
                <w:szCs w:val="20"/>
              </w:rPr>
              <w:t>0.</w:t>
            </w:r>
            <w:r w:rsidRPr="00133A2C">
              <w:rPr>
                <w:rFonts w:ascii="Arial" w:hAnsi="Arial" w:cs="Arial"/>
                <w:color w:val="000000"/>
                <w:sz w:val="20"/>
                <w:szCs w:val="20"/>
              </w:rPr>
              <w:t>035</w:t>
            </w:r>
          </w:p>
        </w:tc>
      </w:tr>
      <w:tr w:rsidR="00C60153" w:rsidRPr="00133A2C" w:rsidTr="00283CE4">
        <w:trPr>
          <w:trHeight w:val="567"/>
        </w:trPr>
        <w:tc>
          <w:tcPr>
            <w:tcW w:w="917" w:type="pct"/>
            <w:vMerge/>
            <w:vAlign w:val="center"/>
          </w:tcPr>
          <w:p w:rsidR="00C60153" w:rsidRPr="00133A2C" w:rsidRDefault="00C60153" w:rsidP="00283CE4">
            <w:pPr>
              <w:jc w:val="center"/>
              <w:rPr>
                <w:rFonts w:ascii="Arial" w:hAnsi="Arial" w:cs="Arial"/>
                <w:sz w:val="20"/>
                <w:szCs w:val="20"/>
              </w:rPr>
            </w:pPr>
          </w:p>
        </w:tc>
        <w:tc>
          <w:tcPr>
            <w:tcW w:w="299" w:type="pct"/>
            <w:vAlign w:val="center"/>
          </w:tcPr>
          <w:p w:rsidR="00C60153" w:rsidRPr="00133A2C" w:rsidRDefault="00C60153" w:rsidP="00283CE4">
            <w:pPr>
              <w:jc w:val="center"/>
              <w:rPr>
                <w:rFonts w:ascii="Arial" w:hAnsi="Arial" w:cs="Arial"/>
                <w:b/>
                <w:bCs/>
                <w:caps/>
                <w:sz w:val="20"/>
                <w:szCs w:val="20"/>
              </w:rPr>
            </w:pPr>
            <w:r w:rsidRPr="00133A2C">
              <w:rPr>
                <w:rFonts w:ascii="Arial" w:hAnsi="Arial" w:cs="Arial"/>
                <w:b/>
                <w:bCs/>
                <w:sz w:val="20"/>
                <w:szCs w:val="20"/>
              </w:rPr>
              <w:t>p</w:t>
            </w:r>
          </w:p>
        </w:tc>
        <w:tc>
          <w:tcPr>
            <w:tcW w:w="745" w:type="pct"/>
            <w:vAlign w:val="center"/>
          </w:tcPr>
          <w:p w:rsidR="00C60153" w:rsidRPr="00133A2C" w:rsidRDefault="00C60153" w:rsidP="00283CE4">
            <w:pPr>
              <w:jc w:val="center"/>
              <w:rPr>
                <w:rFonts w:ascii="Arial" w:hAnsi="Arial" w:cs="Arial"/>
                <w:color w:val="000000"/>
                <w:sz w:val="20"/>
                <w:szCs w:val="20"/>
              </w:rPr>
            </w:pPr>
            <w:r>
              <w:rPr>
                <w:rFonts w:ascii="Arial" w:hAnsi="Arial" w:cs="Arial"/>
                <w:color w:val="000000"/>
                <w:sz w:val="20"/>
                <w:szCs w:val="20"/>
              </w:rPr>
              <w:t>0.</w:t>
            </w:r>
            <w:r w:rsidRPr="00133A2C">
              <w:rPr>
                <w:rFonts w:ascii="Arial" w:hAnsi="Arial" w:cs="Arial"/>
                <w:color w:val="000000"/>
                <w:sz w:val="20"/>
                <w:szCs w:val="20"/>
              </w:rPr>
              <w:t>397</w:t>
            </w:r>
          </w:p>
        </w:tc>
        <w:tc>
          <w:tcPr>
            <w:tcW w:w="780" w:type="pct"/>
            <w:vAlign w:val="center"/>
          </w:tcPr>
          <w:p w:rsidR="00C60153" w:rsidRPr="00133A2C" w:rsidRDefault="00C60153" w:rsidP="00283CE4">
            <w:pPr>
              <w:jc w:val="center"/>
              <w:rPr>
                <w:rFonts w:ascii="Arial" w:hAnsi="Arial" w:cs="Arial"/>
                <w:color w:val="000000"/>
                <w:sz w:val="20"/>
                <w:szCs w:val="20"/>
              </w:rPr>
            </w:pPr>
            <w:r>
              <w:rPr>
                <w:rFonts w:ascii="Arial" w:hAnsi="Arial" w:cs="Arial"/>
                <w:color w:val="000000"/>
                <w:sz w:val="20"/>
                <w:szCs w:val="20"/>
              </w:rPr>
              <w:t>0.</w:t>
            </w:r>
            <w:r w:rsidRPr="00133A2C">
              <w:rPr>
                <w:rFonts w:ascii="Arial" w:hAnsi="Arial" w:cs="Arial"/>
                <w:color w:val="000000"/>
                <w:sz w:val="20"/>
                <w:szCs w:val="20"/>
              </w:rPr>
              <w:t>751</w:t>
            </w:r>
          </w:p>
        </w:tc>
        <w:tc>
          <w:tcPr>
            <w:tcW w:w="757" w:type="pct"/>
            <w:vAlign w:val="center"/>
          </w:tcPr>
          <w:p w:rsidR="00C60153" w:rsidRPr="00133A2C" w:rsidRDefault="00C60153" w:rsidP="00283CE4">
            <w:pPr>
              <w:jc w:val="center"/>
              <w:rPr>
                <w:rFonts w:ascii="Arial" w:hAnsi="Arial" w:cs="Arial"/>
                <w:color w:val="000000"/>
                <w:sz w:val="20"/>
                <w:szCs w:val="20"/>
              </w:rPr>
            </w:pPr>
            <w:r>
              <w:rPr>
                <w:rFonts w:ascii="Arial" w:hAnsi="Arial" w:cs="Arial"/>
                <w:color w:val="000000"/>
                <w:sz w:val="20"/>
                <w:szCs w:val="20"/>
              </w:rPr>
              <w:t>0.</w:t>
            </w:r>
            <w:r w:rsidRPr="00133A2C">
              <w:rPr>
                <w:rFonts w:ascii="Arial" w:hAnsi="Arial" w:cs="Arial"/>
                <w:color w:val="000000"/>
                <w:sz w:val="20"/>
                <w:szCs w:val="20"/>
              </w:rPr>
              <w:t>145</w:t>
            </w:r>
          </w:p>
        </w:tc>
        <w:tc>
          <w:tcPr>
            <w:tcW w:w="727" w:type="pct"/>
            <w:vAlign w:val="center"/>
          </w:tcPr>
          <w:p w:rsidR="00C60153" w:rsidRPr="00133A2C" w:rsidRDefault="00C60153" w:rsidP="00283CE4">
            <w:pPr>
              <w:jc w:val="center"/>
              <w:rPr>
                <w:rFonts w:ascii="Arial" w:hAnsi="Arial" w:cs="Arial"/>
                <w:color w:val="000000"/>
                <w:sz w:val="20"/>
                <w:szCs w:val="20"/>
              </w:rPr>
            </w:pPr>
            <w:r>
              <w:rPr>
                <w:rFonts w:ascii="Arial" w:hAnsi="Arial" w:cs="Arial"/>
                <w:color w:val="000000"/>
                <w:sz w:val="20"/>
                <w:szCs w:val="20"/>
              </w:rPr>
              <w:t>0.</w:t>
            </w:r>
            <w:r w:rsidRPr="00133A2C">
              <w:rPr>
                <w:rFonts w:ascii="Arial" w:hAnsi="Arial" w:cs="Arial"/>
                <w:color w:val="000000"/>
                <w:sz w:val="20"/>
                <w:szCs w:val="20"/>
              </w:rPr>
              <w:t>864</w:t>
            </w:r>
          </w:p>
        </w:tc>
        <w:tc>
          <w:tcPr>
            <w:tcW w:w="775" w:type="pct"/>
            <w:vAlign w:val="center"/>
          </w:tcPr>
          <w:p w:rsidR="00C60153" w:rsidRPr="00133A2C" w:rsidRDefault="00C60153" w:rsidP="00283CE4">
            <w:pPr>
              <w:jc w:val="center"/>
              <w:rPr>
                <w:rFonts w:ascii="Arial" w:hAnsi="Arial" w:cs="Arial"/>
                <w:color w:val="000000"/>
                <w:sz w:val="20"/>
                <w:szCs w:val="20"/>
              </w:rPr>
            </w:pPr>
            <w:r>
              <w:rPr>
                <w:rFonts w:ascii="Arial" w:hAnsi="Arial" w:cs="Arial"/>
                <w:color w:val="000000"/>
                <w:sz w:val="20"/>
                <w:szCs w:val="20"/>
              </w:rPr>
              <w:t>0.</w:t>
            </w:r>
            <w:r w:rsidRPr="00133A2C">
              <w:rPr>
                <w:rFonts w:ascii="Arial" w:hAnsi="Arial" w:cs="Arial"/>
                <w:color w:val="000000"/>
                <w:sz w:val="20"/>
                <w:szCs w:val="20"/>
              </w:rPr>
              <w:t>792</w:t>
            </w:r>
          </w:p>
        </w:tc>
      </w:tr>
      <w:tr w:rsidR="00C60153" w:rsidRPr="00A87935" w:rsidTr="00283CE4">
        <w:trPr>
          <w:trHeight w:val="567"/>
        </w:trPr>
        <w:tc>
          <w:tcPr>
            <w:tcW w:w="917" w:type="pct"/>
            <w:vMerge/>
            <w:vAlign w:val="center"/>
          </w:tcPr>
          <w:p w:rsidR="00C60153" w:rsidRPr="00133A2C" w:rsidRDefault="00C60153" w:rsidP="00283CE4">
            <w:pPr>
              <w:jc w:val="center"/>
              <w:rPr>
                <w:rFonts w:ascii="Arial" w:hAnsi="Arial" w:cs="Arial"/>
                <w:sz w:val="20"/>
                <w:szCs w:val="20"/>
              </w:rPr>
            </w:pPr>
          </w:p>
        </w:tc>
        <w:tc>
          <w:tcPr>
            <w:tcW w:w="299" w:type="pct"/>
            <w:vAlign w:val="center"/>
          </w:tcPr>
          <w:p w:rsidR="00C60153" w:rsidRPr="00133A2C" w:rsidRDefault="00C60153" w:rsidP="00283CE4">
            <w:pPr>
              <w:jc w:val="center"/>
              <w:rPr>
                <w:rFonts w:ascii="Arial" w:hAnsi="Arial" w:cs="Arial"/>
                <w:b/>
                <w:bCs/>
                <w:sz w:val="20"/>
                <w:szCs w:val="20"/>
              </w:rPr>
            </w:pPr>
            <w:r w:rsidRPr="00133A2C">
              <w:rPr>
                <w:rFonts w:ascii="Arial" w:hAnsi="Arial" w:cs="Arial"/>
                <w:b/>
                <w:bCs/>
                <w:sz w:val="20"/>
                <w:szCs w:val="20"/>
              </w:rPr>
              <w:t>n</w:t>
            </w:r>
          </w:p>
        </w:tc>
        <w:tc>
          <w:tcPr>
            <w:tcW w:w="745" w:type="pct"/>
            <w:vAlign w:val="center"/>
          </w:tcPr>
          <w:p w:rsidR="00C60153" w:rsidRPr="00133A2C" w:rsidRDefault="00C60153" w:rsidP="00283CE4">
            <w:pPr>
              <w:jc w:val="center"/>
              <w:rPr>
                <w:rFonts w:ascii="Arial" w:hAnsi="Arial" w:cs="Arial"/>
                <w:color w:val="000000"/>
                <w:sz w:val="20"/>
                <w:szCs w:val="20"/>
              </w:rPr>
            </w:pPr>
            <w:r w:rsidRPr="00133A2C">
              <w:rPr>
                <w:rFonts w:ascii="Arial" w:hAnsi="Arial" w:cs="Arial"/>
                <w:color w:val="000000"/>
                <w:sz w:val="20"/>
                <w:szCs w:val="20"/>
              </w:rPr>
              <w:t>60</w:t>
            </w:r>
          </w:p>
        </w:tc>
        <w:tc>
          <w:tcPr>
            <w:tcW w:w="780" w:type="pct"/>
            <w:vAlign w:val="center"/>
          </w:tcPr>
          <w:p w:rsidR="00C60153" w:rsidRPr="00133A2C" w:rsidRDefault="00C60153" w:rsidP="00283CE4">
            <w:pPr>
              <w:jc w:val="center"/>
              <w:rPr>
                <w:rFonts w:ascii="Arial" w:hAnsi="Arial" w:cs="Arial"/>
                <w:color w:val="000000"/>
                <w:sz w:val="20"/>
                <w:szCs w:val="20"/>
              </w:rPr>
            </w:pPr>
            <w:r w:rsidRPr="00133A2C">
              <w:rPr>
                <w:rFonts w:ascii="Arial" w:hAnsi="Arial" w:cs="Arial"/>
                <w:color w:val="000000"/>
                <w:sz w:val="20"/>
                <w:szCs w:val="20"/>
              </w:rPr>
              <w:t>60</w:t>
            </w:r>
          </w:p>
        </w:tc>
        <w:tc>
          <w:tcPr>
            <w:tcW w:w="757" w:type="pct"/>
            <w:vAlign w:val="center"/>
          </w:tcPr>
          <w:p w:rsidR="00C60153" w:rsidRPr="00133A2C" w:rsidRDefault="00C60153" w:rsidP="00283CE4">
            <w:pPr>
              <w:jc w:val="center"/>
              <w:rPr>
                <w:rFonts w:ascii="Arial" w:hAnsi="Arial" w:cs="Arial"/>
                <w:color w:val="000000"/>
                <w:sz w:val="20"/>
                <w:szCs w:val="20"/>
              </w:rPr>
            </w:pPr>
            <w:r w:rsidRPr="00133A2C">
              <w:rPr>
                <w:rFonts w:ascii="Arial" w:hAnsi="Arial" w:cs="Arial"/>
                <w:color w:val="000000"/>
                <w:sz w:val="20"/>
                <w:szCs w:val="20"/>
              </w:rPr>
              <w:t>60</w:t>
            </w:r>
          </w:p>
        </w:tc>
        <w:tc>
          <w:tcPr>
            <w:tcW w:w="727" w:type="pct"/>
            <w:vAlign w:val="center"/>
          </w:tcPr>
          <w:p w:rsidR="00C60153" w:rsidRPr="00133A2C" w:rsidRDefault="00C60153" w:rsidP="00283CE4">
            <w:pPr>
              <w:jc w:val="center"/>
              <w:rPr>
                <w:rFonts w:ascii="Arial" w:hAnsi="Arial" w:cs="Arial"/>
                <w:color w:val="000000"/>
                <w:sz w:val="20"/>
                <w:szCs w:val="20"/>
              </w:rPr>
            </w:pPr>
            <w:r w:rsidRPr="00133A2C">
              <w:rPr>
                <w:rFonts w:ascii="Arial" w:hAnsi="Arial" w:cs="Arial"/>
                <w:color w:val="000000"/>
                <w:sz w:val="20"/>
                <w:szCs w:val="20"/>
              </w:rPr>
              <w:t>60</w:t>
            </w:r>
          </w:p>
        </w:tc>
        <w:tc>
          <w:tcPr>
            <w:tcW w:w="775" w:type="pct"/>
            <w:vAlign w:val="center"/>
          </w:tcPr>
          <w:p w:rsidR="00C60153" w:rsidRPr="00133A2C" w:rsidRDefault="00C60153" w:rsidP="00283CE4">
            <w:pPr>
              <w:jc w:val="center"/>
              <w:rPr>
                <w:rFonts w:ascii="Arial" w:hAnsi="Arial" w:cs="Arial"/>
                <w:color w:val="000000"/>
                <w:sz w:val="20"/>
                <w:szCs w:val="20"/>
              </w:rPr>
            </w:pPr>
            <w:r w:rsidRPr="00133A2C">
              <w:rPr>
                <w:rFonts w:ascii="Arial" w:hAnsi="Arial" w:cs="Arial"/>
                <w:color w:val="000000"/>
                <w:sz w:val="20"/>
                <w:szCs w:val="20"/>
              </w:rPr>
              <w:t>60</w:t>
            </w:r>
          </w:p>
        </w:tc>
      </w:tr>
    </w:tbl>
    <w:p w:rsidR="00C60153" w:rsidRPr="00B60F2C" w:rsidRDefault="00C60153" w:rsidP="00C60153">
      <w:pPr>
        <w:spacing w:line="360" w:lineRule="auto"/>
        <w:ind w:firstLine="567"/>
        <w:contextualSpacing/>
        <w:jc w:val="both"/>
        <w:rPr>
          <w:rFonts w:ascii="Arial" w:hAnsi="Arial" w:cs="Arial"/>
          <w:sz w:val="22"/>
          <w:szCs w:val="22"/>
        </w:rPr>
      </w:pPr>
      <w:r w:rsidRPr="00B60F2C">
        <w:rPr>
          <w:rFonts w:ascii="Arial" w:hAnsi="Arial" w:cs="Arial"/>
          <w:sz w:val="22"/>
          <w:szCs w:val="22"/>
        </w:rPr>
        <w:t>Spearman korelasyon testi uygulanmıştır. r= Korelasyon katsayısı</w:t>
      </w:r>
      <w:r w:rsidRPr="00B60F2C">
        <w:rPr>
          <w:rFonts w:ascii="Arial" w:hAnsi="Arial" w:cs="Arial"/>
          <w:sz w:val="22"/>
          <w:szCs w:val="22"/>
          <w:shd w:val="clear" w:color="auto" w:fill="FFFFFF"/>
        </w:rPr>
        <w:t xml:space="preserve"> </w:t>
      </w:r>
    </w:p>
    <w:p w:rsidR="00C60153" w:rsidRDefault="00C60153" w:rsidP="00C60153">
      <w:pPr>
        <w:spacing w:line="360" w:lineRule="auto"/>
        <w:ind w:firstLine="567"/>
        <w:rPr>
          <w:rFonts w:ascii="Arial" w:hAnsi="Arial" w:cs="Arial"/>
          <w:b/>
        </w:rPr>
      </w:pPr>
    </w:p>
    <w:p w:rsidR="00C60153" w:rsidRPr="00B60F2C" w:rsidRDefault="00C60153" w:rsidP="00C60153">
      <w:pPr>
        <w:spacing w:line="360" w:lineRule="auto"/>
        <w:ind w:firstLine="567"/>
        <w:rPr>
          <w:rFonts w:ascii="Arial" w:hAnsi="Arial" w:cs="Arial"/>
          <w:sz w:val="22"/>
          <w:szCs w:val="22"/>
        </w:rPr>
      </w:pPr>
      <w:r w:rsidRPr="00B60F2C">
        <w:rPr>
          <w:rFonts w:ascii="Arial" w:hAnsi="Arial" w:cs="Arial"/>
          <w:b/>
          <w:sz w:val="22"/>
          <w:szCs w:val="22"/>
        </w:rPr>
        <w:lastRenderedPageBreak/>
        <w:t>Periferik Kan m</w:t>
      </w:r>
      <w:r w:rsidRPr="00B60F2C">
        <w:rPr>
          <w:rFonts w:ascii="Arial" w:hAnsi="Arial" w:cs="Arial"/>
          <w:b/>
          <w:sz w:val="22"/>
          <w:szCs w:val="22"/>
          <w:shd w:val="clear" w:color="auto" w:fill="FFFFFF"/>
        </w:rPr>
        <w:t xml:space="preserve">iR-5692b, miR-let-7d, miR-124-3p, miR-107, miR-4447’nin Relatif Kantitasyon Değerlerinin </w:t>
      </w:r>
      <w:r w:rsidRPr="00B60F2C">
        <w:rPr>
          <w:rFonts w:ascii="Arial" w:hAnsi="Arial" w:cs="Arial"/>
          <w:b/>
          <w:sz w:val="22"/>
          <w:szCs w:val="22"/>
        </w:rPr>
        <w:t>Çocuk ve Ergenlerde Yıkıcı Davranım Bozuklukları İçin DSM-IV'e Dayalı Tarama ve Değerlendirme Ölçeği Puanları ile İlişkisi</w:t>
      </w:r>
    </w:p>
    <w:p w:rsidR="00C60153" w:rsidRDefault="00C60153" w:rsidP="00C60153">
      <w:pPr>
        <w:spacing w:line="360" w:lineRule="auto"/>
        <w:ind w:firstLine="567"/>
        <w:contextualSpacing/>
        <w:jc w:val="both"/>
        <w:rPr>
          <w:rFonts w:ascii="Arial" w:hAnsi="Arial" w:cs="Arial"/>
          <w:sz w:val="22"/>
          <w:szCs w:val="22"/>
        </w:rPr>
      </w:pPr>
      <w:r w:rsidRPr="00B60F2C">
        <w:rPr>
          <w:rFonts w:ascii="Arial" w:hAnsi="Arial" w:cs="Arial"/>
          <w:sz w:val="22"/>
          <w:szCs w:val="22"/>
        </w:rPr>
        <w:t>Katılımcıların serum periferik kan m</w:t>
      </w:r>
      <w:r w:rsidRPr="00B60F2C">
        <w:rPr>
          <w:rFonts w:ascii="Arial" w:hAnsi="Arial" w:cs="Arial"/>
          <w:sz w:val="22"/>
          <w:szCs w:val="22"/>
          <w:shd w:val="clear" w:color="auto" w:fill="FFFFFF"/>
        </w:rPr>
        <w:t>iR-5692b, miR-let-7d, miR-124-3p, miR-107, miR-4447 relatif kantitasyon değerleri ile</w:t>
      </w:r>
      <w:r w:rsidRPr="00B60F2C">
        <w:rPr>
          <w:rFonts w:ascii="Arial" w:hAnsi="Arial" w:cs="Arial"/>
          <w:sz w:val="22"/>
          <w:szCs w:val="22"/>
        </w:rPr>
        <w:t xml:space="preserve"> dikkat eksikliği puanları ve hiperaktivite/impulsivite puanları arasındaki ilişki değerlendirilmiştir. miR-let-7d ve miR-4447 düzeylerinin belirtilen ölçek puanlarıyla anlamlı bir ilişkisi saptanmamıştır. miR-124-3p düzeyleri ile öğretmen tarafından doldurulan ölçeğin dikkat eksikliği alt alanı puanları arasında negatif orta düzeyde korelasyon, miR-107 düzeyleri ile öğretmen tarafından doldurulan ölçeğin hiperaktivite / dürtüsellik alt alanı puanları arasında orta kuvette negatif korelasyon saptanmıştır (sırasıyla r=-0.435, p=0.048 ve r=-0.565, p=0.008) (Tablo 31).</w:t>
      </w:r>
    </w:p>
    <w:p w:rsidR="00B60F2C" w:rsidRPr="00B60F2C" w:rsidRDefault="00B60F2C" w:rsidP="00C60153">
      <w:pPr>
        <w:spacing w:line="360" w:lineRule="auto"/>
        <w:ind w:firstLine="567"/>
        <w:contextualSpacing/>
        <w:jc w:val="both"/>
        <w:rPr>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B22176" w:rsidRDefault="00B22176" w:rsidP="00C60153">
      <w:pPr>
        <w:jc w:val="both"/>
        <w:rPr>
          <w:rFonts w:ascii="Arial" w:hAnsi="Arial" w:cs="Arial"/>
          <w:sz w:val="22"/>
          <w:szCs w:val="22"/>
        </w:rPr>
      </w:pPr>
    </w:p>
    <w:p w:rsidR="00C60153" w:rsidRPr="00B60F2C" w:rsidRDefault="00C60153" w:rsidP="00C60153">
      <w:pPr>
        <w:jc w:val="both"/>
        <w:rPr>
          <w:rFonts w:ascii="Arial" w:hAnsi="Arial" w:cs="Arial"/>
          <w:sz w:val="22"/>
          <w:szCs w:val="22"/>
        </w:rPr>
      </w:pPr>
      <w:r w:rsidRPr="00B60F2C">
        <w:rPr>
          <w:rFonts w:ascii="Arial" w:hAnsi="Arial" w:cs="Arial"/>
          <w:sz w:val="22"/>
          <w:szCs w:val="22"/>
        </w:rPr>
        <w:lastRenderedPageBreak/>
        <w:t>Tablo 31. Çocuk ve Ergenlerde Yıkıcı Davranım Bozuklukları için DSM-IV’e Dayalı Tarama ve Değerlendirme Ölçeği Puanları ile olgu grubu m</w:t>
      </w:r>
      <w:r w:rsidRPr="00B60F2C">
        <w:rPr>
          <w:rFonts w:ascii="Arial" w:hAnsi="Arial" w:cs="Arial"/>
          <w:sz w:val="22"/>
          <w:szCs w:val="22"/>
          <w:shd w:val="clear" w:color="auto" w:fill="FFFFFF"/>
        </w:rPr>
        <w:t>iR-5692b, miR-let-7d, miR-124-3p, miR-107, miR-4447 relatif kantitasyon değerleri arasındaki ilişki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479"/>
        <w:gridCol w:w="1195"/>
        <w:gridCol w:w="1195"/>
        <w:gridCol w:w="1195"/>
        <w:gridCol w:w="1195"/>
        <w:gridCol w:w="1195"/>
      </w:tblGrid>
      <w:tr w:rsidR="00C60153" w:rsidRPr="007309C5" w:rsidTr="00B22176">
        <w:trPr>
          <w:trHeight w:val="663"/>
        </w:trPr>
        <w:tc>
          <w:tcPr>
            <w:tcW w:w="1459" w:type="pct"/>
            <w:gridSpan w:val="2"/>
            <w:vAlign w:val="center"/>
          </w:tcPr>
          <w:p w:rsidR="00C60153" w:rsidRPr="007309C5" w:rsidRDefault="00C60153" w:rsidP="00283CE4">
            <w:pPr>
              <w:jc w:val="center"/>
              <w:rPr>
                <w:rFonts w:ascii="Arial" w:hAnsi="Arial" w:cs="Arial"/>
                <w:b/>
                <w:sz w:val="20"/>
                <w:szCs w:val="20"/>
              </w:rPr>
            </w:pPr>
          </w:p>
        </w:tc>
        <w:tc>
          <w:tcPr>
            <w:tcW w:w="708"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m</w:t>
            </w:r>
            <w:r w:rsidRPr="007309C5">
              <w:rPr>
                <w:rFonts w:ascii="Arial" w:hAnsi="Arial" w:cs="Arial"/>
                <w:b/>
                <w:sz w:val="20"/>
                <w:szCs w:val="20"/>
                <w:shd w:val="clear" w:color="auto" w:fill="FFFFFF"/>
              </w:rPr>
              <w:t>iR-5692b</w:t>
            </w:r>
          </w:p>
        </w:tc>
        <w:tc>
          <w:tcPr>
            <w:tcW w:w="708"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m</w:t>
            </w:r>
            <w:r w:rsidRPr="007309C5">
              <w:rPr>
                <w:rFonts w:ascii="Arial" w:hAnsi="Arial" w:cs="Arial"/>
                <w:b/>
                <w:sz w:val="20"/>
                <w:szCs w:val="20"/>
                <w:shd w:val="clear" w:color="auto" w:fill="FFFFFF"/>
              </w:rPr>
              <w:t>iR-let-7d</w:t>
            </w:r>
          </w:p>
        </w:tc>
        <w:tc>
          <w:tcPr>
            <w:tcW w:w="708"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m</w:t>
            </w:r>
            <w:r w:rsidRPr="007309C5">
              <w:rPr>
                <w:rFonts w:ascii="Arial" w:hAnsi="Arial" w:cs="Arial"/>
                <w:b/>
                <w:sz w:val="20"/>
                <w:szCs w:val="20"/>
                <w:shd w:val="clear" w:color="auto" w:fill="FFFFFF"/>
              </w:rPr>
              <w:t>iR-</w:t>
            </w:r>
            <w:r w:rsidRPr="007309C5">
              <w:rPr>
                <w:rFonts w:ascii="Arial" w:hAnsi="Arial" w:cs="Arial"/>
                <w:b/>
                <w:sz w:val="20"/>
                <w:szCs w:val="20"/>
              </w:rPr>
              <w:t>124-3p</w:t>
            </w:r>
          </w:p>
        </w:tc>
        <w:tc>
          <w:tcPr>
            <w:tcW w:w="708"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m</w:t>
            </w:r>
            <w:r w:rsidRPr="007309C5">
              <w:rPr>
                <w:rFonts w:ascii="Arial" w:hAnsi="Arial" w:cs="Arial"/>
                <w:b/>
                <w:sz w:val="20"/>
                <w:szCs w:val="20"/>
                <w:shd w:val="clear" w:color="auto" w:fill="FFFFFF"/>
              </w:rPr>
              <w:t>iR-</w:t>
            </w:r>
            <w:r w:rsidRPr="007309C5">
              <w:rPr>
                <w:rFonts w:ascii="Arial" w:hAnsi="Arial" w:cs="Arial"/>
                <w:b/>
                <w:sz w:val="20"/>
                <w:szCs w:val="20"/>
              </w:rPr>
              <w:t>107</w:t>
            </w:r>
          </w:p>
        </w:tc>
        <w:tc>
          <w:tcPr>
            <w:tcW w:w="708"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m</w:t>
            </w:r>
            <w:r w:rsidRPr="007309C5">
              <w:rPr>
                <w:rFonts w:ascii="Arial" w:hAnsi="Arial" w:cs="Arial"/>
                <w:b/>
                <w:sz w:val="20"/>
                <w:szCs w:val="20"/>
                <w:shd w:val="clear" w:color="auto" w:fill="FFFFFF"/>
              </w:rPr>
              <w:t>iR-</w:t>
            </w:r>
            <w:r w:rsidRPr="007309C5">
              <w:rPr>
                <w:rFonts w:ascii="Arial" w:hAnsi="Arial" w:cs="Arial"/>
                <w:b/>
                <w:sz w:val="20"/>
                <w:szCs w:val="20"/>
              </w:rPr>
              <w:t>4447</w:t>
            </w:r>
          </w:p>
        </w:tc>
      </w:tr>
      <w:tr w:rsidR="00C60153" w:rsidRPr="007309C5" w:rsidTr="00B22176">
        <w:trPr>
          <w:trHeight w:val="581"/>
        </w:trPr>
        <w:tc>
          <w:tcPr>
            <w:tcW w:w="1175" w:type="pct"/>
            <w:vMerge w:val="restar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(A) Dikkat Eksikliği Puanı</w:t>
            </w:r>
          </w:p>
        </w:tc>
        <w:tc>
          <w:tcPr>
            <w:tcW w:w="283"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r</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-0.083</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-0.016</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-0.159</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-0.128</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-0.108</w:t>
            </w:r>
          </w:p>
        </w:tc>
      </w:tr>
      <w:tr w:rsidR="00C60153" w:rsidRPr="007309C5" w:rsidTr="00B22176">
        <w:trPr>
          <w:trHeight w:val="581"/>
        </w:trPr>
        <w:tc>
          <w:tcPr>
            <w:tcW w:w="1175" w:type="pct"/>
            <w:vMerge/>
            <w:vAlign w:val="center"/>
          </w:tcPr>
          <w:p w:rsidR="00C60153" w:rsidRPr="007309C5" w:rsidRDefault="00C60153" w:rsidP="00283CE4">
            <w:pPr>
              <w:jc w:val="center"/>
              <w:rPr>
                <w:rFonts w:ascii="Arial" w:hAnsi="Arial" w:cs="Arial"/>
                <w:b/>
                <w:sz w:val="20"/>
                <w:szCs w:val="20"/>
              </w:rPr>
            </w:pPr>
          </w:p>
        </w:tc>
        <w:tc>
          <w:tcPr>
            <w:tcW w:w="283"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p</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0.663</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0.931</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0.402</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0.500</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0.571</w:t>
            </w:r>
          </w:p>
        </w:tc>
      </w:tr>
      <w:tr w:rsidR="00C60153" w:rsidRPr="007309C5" w:rsidTr="00B22176">
        <w:trPr>
          <w:trHeight w:val="581"/>
        </w:trPr>
        <w:tc>
          <w:tcPr>
            <w:tcW w:w="1175" w:type="pct"/>
            <w:vMerge w:val="restar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(A) Hiperaktivite / İmpulsivite Puanı</w:t>
            </w:r>
          </w:p>
        </w:tc>
        <w:tc>
          <w:tcPr>
            <w:tcW w:w="283"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r</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0.145</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0.178</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0.164</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-0.028</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0.098</w:t>
            </w:r>
          </w:p>
        </w:tc>
      </w:tr>
      <w:tr w:rsidR="00C60153" w:rsidRPr="007309C5" w:rsidTr="00B22176">
        <w:trPr>
          <w:trHeight w:val="581"/>
        </w:trPr>
        <w:tc>
          <w:tcPr>
            <w:tcW w:w="1175" w:type="pct"/>
            <w:vMerge/>
            <w:vAlign w:val="center"/>
          </w:tcPr>
          <w:p w:rsidR="00C60153" w:rsidRPr="007309C5" w:rsidRDefault="00C60153" w:rsidP="00283CE4">
            <w:pPr>
              <w:jc w:val="center"/>
              <w:rPr>
                <w:rFonts w:ascii="Arial" w:hAnsi="Arial" w:cs="Arial"/>
                <w:b/>
                <w:sz w:val="20"/>
                <w:szCs w:val="20"/>
              </w:rPr>
            </w:pPr>
          </w:p>
        </w:tc>
        <w:tc>
          <w:tcPr>
            <w:tcW w:w="283"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p</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0.444</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0.346</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0.388</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0.884</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0.607</w:t>
            </w:r>
          </w:p>
        </w:tc>
      </w:tr>
      <w:tr w:rsidR="00C60153" w:rsidRPr="007309C5" w:rsidTr="00B22176">
        <w:trPr>
          <w:trHeight w:val="517"/>
        </w:trPr>
        <w:tc>
          <w:tcPr>
            <w:tcW w:w="1175" w:type="pct"/>
            <w:vMerge w:val="restar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(A) Toplam Puan</w:t>
            </w:r>
          </w:p>
          <w:p w:rsidR="00C60153" w:rsidRPr="007309C5" w:rsidRDefault="00C60153" w:rsidP="00283CE4">
            <w:pPr>
              <w:jc w:val="center"/>
              <w:rPr>
                <w:rFonts w:ascii="Arial" w:hAnsi="Arial" w:cs="Arial"/>
                <w:b/>
                <w:sz w:val="20"/>
                <w:szCs w:val="20"/>
              </w:rPr>
            </w:pPr>
          </w:p>
        </w:tc>
        <w:tc>
          <w:tcPr>
            <w:tcW w:w="283"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r</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.092</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.109</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.065</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w:t>
            </w:r>
            <w:r>
              <w:rPr>
                <w:rFonts w:ascii="Arial" w:hAnsi="Arial" w:cs="Arial"/>
                <w:color w:val="000000"/>
                <w:sz w:val="20"/>
                <w:szCs w:val="20"/>
              </w:rPr>
              <w:t>0</w:t>
            </w:r>
            <w:r w:rsidRPr="007309C5">
              <w:rPr>
                <w:rFonts w:ascii="Arial" w:hAnsi="Arial" w:cs="Arial"/>
                <w:color w:val="000000"/>
                <w:sz w:val="20"/>
                <w:szCs w:val="20"/>
              </w:rPr>
              <w:t>.114</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.037</w:t>
            </w:r>
          </w:p>
        </w:tc>
      </w:tr>
      <w:tr w:rsidR="00C60153" w:rsidRPr="007309C5" w:rsidTr="00B22176">
        <w:trPr>
          <w:trHeight w:val="535"/>
        </w:trPr>
        <w:tc>
          <w:tcPr>
            <w:tcW w:w="1175" w:type="pct"/>
            <w:vMerge/>
            <w:vAlign w:val="center"/>
          </w:tcPr>
          <w:p w:rsidR="00C60153" w:rsidRPr="007309C5" w:rsidRDefault="00C60153" w:rsidP="00283CE4">
            <w:pPr>
              <w:jc w:val="center"/>
              <w:rPr>
                <w:rFonts w:ascii="Arial" w:hAnsi="Arial" w:cs="Arial"/>
                <w:b/>
                <w:sz w:val="20"/>
                <w:szCs w:val="20"/>
              </w:rPr>
            </w:pPr>
          </w:p>
        </w:tc>
        <w:tc>
          <w:tcPr>
            <w:tcW w:w="283"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p</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.635</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.573</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.739</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.556</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.849</w:t>
            </w:r>
          </w:p>
        </w:tc>
      </w:tr>
      <w:tr w:rsidR="00C60153" w:rsidRPr="007309C5" w:rsidTr="00B22176">
        <w:trPr>
          <w:trHeight w:val="581"/>
        </w:trPr>
        <w:tc>
          <w:tcPr>
            <w:tcW w:w="1175" w:type="pct"/>
            <w:vMerge w:val="restar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(B) Dikkat Eksikliği Puanı</w:t>
            </w:r>
          </w:p>
        </w:tc>
        <w:tc>
          <w:tcPr>
            <w:tcW w:w="283"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r</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-0.056</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0.123</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-0.200</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0.038</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-0.011</w:t>
            </w:r>
          </w:p>
        </w:tc>
      </w:tr>
      <w:tr w:rsidR="00C60153" w:rsidRPr="007309C5" w:rsidTr="00B22176">
        <w:trPr>
          <w:trHeight w:val="581"/>
        </w:trPr>
        <w:tc>
          <w:tcPr>
            <w:tcW w:w="1175" w:type="pct"/>
            <w:vMerge/>
            <w:vAlign w:val="center"/>
          </w:tcPr>
          <w:p w:rsidR="00C60153" w:rsidRPr="007309C5" w:rsidRDefault="00C60153" w:rsidP="00283CE4">
            <w:pPr>
              <w:jc w:val="center"/>
              <w:rPr>
                <w:rFonts w:ascii="Arial" w:hAnsi="Arial" w:cs="Arial"/>
                <w:b/>
                <w:sz w:val="20"/>
                <w:szCs w:val="20"/>
              </w:rPr>
            </w:pPr>
          </w:p>
        </w:tc>
        <w:tc>
          <w:tcPr>
            <w:tcW w:w="283"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p</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0.782</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0.541</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0.318</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0.851</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0.956</w:t>
            </w:r>
          </w:p>
        </w:tc>
      </w:tr>
      <w:tr w:rsidR="00C60153" w:rsidRPr="007309C5" w:rsidTr="00B22176">
        <w:trPr>
          <w:trHeight w:val="581"/>
        </w:trPr>
        <w:tc>
          <w:tcPr>
            <w:tcW w:w="1175" w:type="pct"/>
            <w:vMerge w:val="restar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(B) Toplam Puan</w:t>
            </w:r>
          </w:p>
          <w:p w:rsidR="00C60153" w:rsidRPr="007309C5" w:rsidRDefault="00C60153" w:rsidP="00283CE4">
            <w:pPr>
              <w:jc w:val="center"/>
              <w:rPr>
                <w:rFonts w:ascii="Arial" w:hAnsi="Arial" w:cs="Arial"/>
                <w:b/>
                <w:sz w:val="20"/>
                <w:szCs w:val="20"/>
              </w:rPr>
            </w:pPr>
          </w:p>
        </w:tc>
        <w:tc>
          <w:tcPr>
            <w:tcW w:w="283"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r</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w:t>
            </w:r>
            <w:r>
              <w:rPr>
                <w:rFonts w:ascii="Arial" w:hAnsi="Arial" w:cs="Arial"/>
                <w:color w:val="000000"/>
                <w:sz w:val="20"/>
                <w:szCs w:val="20"/>
              </w:rPr>
              <w:t>0</w:t>
            </w:r>
            <w:r w:rsidRPr="007309C5">
              <w:rPr>
                <w:rFonts w:ascii="Arial" w:hAnsi="Arial" w:cs="Arial"/>
                <w:color w:val="000000"/>
                <w:sz w:val="20"/>
                <w:szCs w:val="20"/>
              </w:rPr>
              <w:t>.048</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.213</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w:t>
            </w:r>
            <w:r>
              <w:rPr>
                <w:rFonts w:ascii="Arial" w:hAnsi="Arial" w:cs="Arial"/>
                <w:color w:val="000000"/>
                <w:sz w:val="20"/>
                <w:szCs w:val="20"/>
              </w:rPr>
              <w:t>0</w:t>
            </w:r>
            <w:r w:rsidRPr="007309C5">
              <w:rPr>
                <w:rFonts w:ascii="Arial" w:hAnsi="Arial" w:cs="Arial"/>
                <w:color w:val="000000"/>
                <w:sz w:val="20"/>
                <w:szCs w:val="20"/>
              </w:rPr>
              <w:t>.100</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.023</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.094</w:t>
            </w:r>
          </w:p>
        </w:tc>
      </w:tr>
      <w:tr w:rsidR="00C60153" w:rsidRPr="007309C5" w:rsidTr="00B22176">
        <w:trPr>
          <w:trHeight w:val="581"/>
        </w:trPr>
        <w:tc>
          <w:tcPr>
            <w:tcW w:w="1175" w:type="pct"/>
            <w:vMerge/>
            <w:vAlign w:val="center"/>
          </w:tcPr>
          <w:p w:rsidR="00C60153" w:rsidRPr="007309C5" w:rsidRDefault="00C60153" w:rsidP="00283CE4">
            <w:pPr>
              <w:jc w:val="center"/>
              <w:rPr>
                <w:rFonts w:ascii="Arial" w:hAnsi="Arial" w:cs="Arial"/>
                <w:b/>
                <w:sz w:val="20"/>
                <w:szCs w:val="20"/>
              </w:rPr>
            </w:pPr>
          </w:p>
        </w:tc>
        <w:tc>
          <w:tcPr>
            <w:tcW w:w="283"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p</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.815</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.296</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.628</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.911</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.650</w:t>
            </w:r>
          </w:p>
        </w:tc>
      </w:tr>
      <w:tr w:rsidR="00C60153" w:rsidRPr="007309C5" w:rsidTr="00B22176">
        <w:trPr>
          <w:trHeight w:val="581"/>
        </w:trPr>
        <w:tc>
          <w:tcPr>
            <w:tcW w:w="1175" w:type="pct"/>
            <w:vMerge w:val="restar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(B) Hiperaktivite / İmpulsivite Puanı</w:t>
            </w:r>
          </w:p>
        </w:tc>
        <w:tc>
          <w:tcPr>
            <w:tcW w:w="283"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r</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-0.073</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0.227</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0.021</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0.040</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0.081</w:t>
            </w:r>
          </w:p>
        </w:tc>
      </w:tr>
      <w:tr w:rsidR="00C60153" w:rsidRPr="007309C5" w:rsidTr="00B22176">
        <w:trPr>
          <w:trHeight w:val="581"/>
        </w:trPr>
        <w:tc>
          <w:tcPr>
            <w:tcW w:w="1175" w:type="pct"/>
            <w:vMerge/>
            <w:vAlign w:val="center"/>
          </w:tcPr>
          <w:p w:rsidR="00C60153" w:rsidRPr="007309C5" w:rsidRDefault="00C60153" w:rsidP="00283CE4">
            <w:pPr>
              <w:jc w:val="center"/>
              <w:rPr>
                <w:rFonts w:ascii="Arial" w:hAnsi="Arial" w:cs="Arial"/>
                <w:b/>
                <w:sz w:val="20"/>
                <w:szCs w:val="20"/>
              </w:rPr>
            </w:pPr>
          </w:p>
        </w:tc>
        <w:tc>
          <w:tcPr>
            <w:tcW w:w="283"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p</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0.717</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0.254</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0.916</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0.842</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0.688</w:t>
            </w:r>
          </w:p>
        </w:tc>
      </w:tr>
      <w:tr w:rsidR="00C60153" w:rsidRPr="007309C5" w:rsidTr="00B22176">
        <w:trPr>
          <w:trHeight w:val="581"/>
        </w:trPr>
        <w:tc>
          <w:tcPr>
            <w:tcW w:w="1175" w:type="pct"/>
            <w:vMerge w:val="restar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(Ö) Dikkat Eksikliği Puanı</w:t>
            </w:r>
          </w:p>
        </w:tc>
        <w:tc>
          <w:tcPr>
            <w:tcW w:w="283"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r</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-0.084</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-0.296</w:t>
            </w:r>
          </w:p>
        </w:tc>
        <w:tc>
          <w:tcPr>
            <w:tcW w:w="708" w:type="pct"/>
            <w:vAlign w:val="center"/>
          </w:tcPr>
          <w:p w:rsidR="00C60153" w:rsidRPr="007309C5" w:rsidRDefault="00C60153" w:rsidP="00283CE4">
            <w:pPr>
              <w:jc w:val="center"/>
              <w:rPr>
                <w:rFonts w:ascii="Arial" w:hAnsi="Arial" w:cs="Arial"/>
                <w:b/>
                <w:bCs/>
                <w:color w:val="000000"/>
                <w:sz w:val="20"/>
                <w:szCs w:val="20"/>
              </w:rPr>
            </w:pPr>
            <w:r w:rsidRPr="007309C5">
              <w:rPr>
                <w:rFonts w:ascii="Arial" w:hAnsi="Arial" w:cs="Arial"/>
                <w:b/>
                <w:bCs/>
                <w:color w:val="000000"/>
                <w:sz w:val="20"/>
                <w:szCs w:val="20"/>
              </w:rPr>
              <w:t>-0.435*</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-0.152</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0.048</w:t>
            </w:r>
          </w:p>
        </w:tc>
      </w:tr>
      <w:tr w:rsidR="00C60153" w:rsidRPr="007309C5" w:rsidTr="00B22176">
        <w:trPr>
          <w:trHeight w:val="581"/>
        </w:trPr>
        <w:tc>
          <w:tcPr>
            <w:tcW w:w="1175" w:type="pct"/>
            <w:vMerge/>
            <w:vAlign w:val="center"/>
          </w:tcPr>
          <w:p w:rsidR="00C60153" w:rsidRPr="007309C5" w:rsidRDefault="00C60153" w:rsidP="00283CE4">
            <w:pPr>
              <w:jc w:val="center"/>
              <w:rPr>
                <w:rFonts w:ascii="Arial" w:hAnsi="Arial" w:cs="Arial"/>
                <w:b/>
                <w:sz w:val="20"/>
                <w:szCs w:val="20"/>
              </w:rPr>
            </w:pPr>
          </w:p>
        </w:tc>
        <w:tc>
          <w:tcPr>
            <w:tcW w:w="283"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p</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0.717</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0.193</w:t>
            </w:r>
          </w:p>
        </w:tc>
        <w:tc>
          <w:tcPr>
            <w:tcW w:w="708" w:type="pct"/>
            <w:vAlign w:val="center"/>
          </w:tcPr>
          <w:p w:rsidR="00C60153" w:rsidRPr="007309C5" w:rsidRDefault="00C60153" w:rsidP="00283CE4">
            <w:pPr>
              <w:jc w:val="center"/>
              <w:rPr>
                <w:rFonts w:ascii="Arial" w:hAnsi="Arial" w:cs="Arial"/>
                <w:b/>
                <w:bCs/>
                <w:color w:val="000000"/>
                <w:sz w:val="20"/>
                <w:szCs w:val="20"/>
              </w:rPr>
            </w:pPr>
            <w:r w:rsidRPr="007309C5">
              <w:rPr>
                <w:rFonts w:ascii="Arial" w:hAnsi="Arial" w:cs="Arial"/>
                <w:b/>
                <w:bCs/>
                <w:color w:val="000000"/>
                <w:sz w:val="20"/>
                <w:szCs w:val="20"/>
              </w:rPr>
              <w:t>0.048</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0.511</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0.835</w:t>
            </w:r>
          </w:p>
        </w:tc>
      </w:tr>
      <w:tr w:rsidR="00C60153" w:rsidRPr="007309C5" w:rsidTr="00B22176">
        <w:trPr>
          <w:trHeight w:val="581"/>
        </w:trPr>
        <w:tc>
          <w:tcPr>
            <w:tcW w:w="1175" w:type="pct"/>
            <w:vMerge w:val="restar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(Ö) Hiperaktivite / İmpulsivite Puanı</w:t>
            </w:r>
          </w:p>
        </w:tc>
        <w:tc>
          <w:tcPr>
            <w:tcW w:w="283"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r</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0.266</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-0.404</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-0.208</w:t>
            </w:r>
          </w:p>
        </w:tc>
        <w:tc>
          <w:tcPr>
            <w:tcW w:w="708" w:type="pct"/>
            <w:vAlign w:val="center"/>
          </w:tcPr>
          <w:p w:rsidR="00C60153" w:rsidRPr="007309C5" w:rsidRDefault="00C60153" w:rsidP="00283CE4">
            <w:pPr>
              <w:jc w:val="center"/>
              <w:rPr>
                <w:rFonts w:ascii="Arial" w:hAnsi="Arial" w:cs="Arial"/>
                <w:b/>
                <w:bCs/>
                <w:color w:val="000000"/>
                <w:sz w:val="20"/>
                <w:szCs w:val="20"/>
              </w:rPr>
            </w:pPr>
            <w:r w:rsidRPr="007309C5">
              <w:rPr>
                <w:rFonts w:ascii="Arial" w:hAnsi="Arial" w:cs="Arial"/>
                <w:b/>
                <w:bCs/>
                <w:color w:val="000000"/>
                <w:sz w:val="20"/>
                <w:szCs w:val="20"/>
              </w:rPr>
              <w:t>-0.565**</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0.073</w:t>
            </w:r>
          </w:p>
        </w:tc>
      </w:tr>
      <w:tr w:rsidR="00C60153" w:rsidRPr="007309C5" w:rsidTr="00B22176">
        <w:trPr>
          <w:trHeight w:val="581"/>
        </w:trPr>
        <w:tc>
          <w:tcPr>
            <w:tcW w:w="1175" w:type="pct"/>
            <w:vMerge/>
            <w:vAlign w:val="center"/>
          </w:tcPr>
          <w:p w:rsidR="00C60153" w:rsidRPr="007309C5" w:rsidRDefault="00C60153" w:rsidP="00283CE4">
            <w:pPr>
              <w:jc w:val="center"/>
              <w:rPr>
                <w:rFonts w:ascii="Arial" w:hAnsi="Arial" w:cs="Arial"/>
                <w:b/>
                <w:sz w:val="20"/>
                <w:szCs w:val="20"/>
              </w:rPr>
            </w:pPr>
          </w:p>
        </w:tc>
        <w:tc>
          <w:tcPr>
            <w:tcW w:w="283"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p</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0.243</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0.069</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0.366</w:t>
            </w:r>
          </w:p>
        </w:tc>
        <w:tc>
          <w:tcPr>
            <w:tcW w:w="708" w:type="pct"/>
            <w:vAlign w:val="center"/>
          </w:tcPr>
          <w:p w:rsidR="00C60153" w:rsidRPr="007309C5" w:rsidRDefault="00C60153" w:rsidP="00283CE4">
            <w:pPr>
              <w:jc w:val="center"/>
              <w:rPr>
                <w:rFonts w:ascii="Arial" w:hAnsi="Arial" w:cs="Arial"/>
                <w:b/>
                <w:bCs/>
                <w:color w:val="000000"/>
                <w:sz w:val="20"/>
                <w:szCs w:val="20"/>
              </w:rPr>
            </w:pPr>
            <w:r w:rsidRPr="007309C5">
              <w:rPr>
                <w:rFonts w:ascii="Arial" w:hAnsi="Arial" w:cs="Arial"/>
                <w:b/>
                <w:bCs/>
                <w:color w:val="000000"/>
                <w:sz w:val="20"/>
                <w:szCs w:val="20"/>
              </w:rPr>
              <w:t>0.008</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0.755</w:t>
            </w:r>
          </w:p>
        </w:tc>
      </w:tr>
      <w:tr w:rsidR="00C60153" w:rsidRPr="007309C5" w:rsidTr="00B22176">
        <w:trPr>
          <w:trHeight w:val="581"/>
        </w:trPr>
        <w:tc>
          <w:tcPr>
            <w:tcW w:w="1175" w:type="pct"/>
            <w:vMerge w:val="restar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(Ö) Toplam Puan</w:t>
            </w:r>
          </w:p>
          <w:p w:rsidR="00C60153" w:rsidRPr="007309C5" w:rsidRDefault="00C60153" w:rsidP="00283CE4">
            <w:pPr>
              <w:jc w:val="center"/>
              <w:rPr>
                <w:rFonts w:ascii="Arial" w:hAnsi="Arial" w:cs="Arial"/>
                <w:b/>
                <w:sz w:val="20"/>
                <w:szCs w:val="20"/>
              </w:rPr>
            </w:pPr>
          </w:p>
        </w:tc>
        <w:tc>
          <w:tcPr>
            <w:tcW w:w="283"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r</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.120</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w:t>
            </w:r>
            <w:r>
              <w:rPr>
                <w:rFonts w:ascii="Arial" w:hAnsi="Arial" w:cs="Arial"/>
                <w:color w:val="000000"/>
                <w:sz w:val="20"/>
                <w:szCs w:val="20"/>
              </w:rPr>
              <w:t>0</w:t>
            </w:r>
            <w:r w:rsidRPr="007309C5">
              <w:rPr>
                <w:rFonts w:ascii="Arial" w:hAnsi="Arial" w:cs="Arial"/>
                <w:color w:val="000000"/>
                <w:sz w:val="20"/>
                <w:szCs w:val="20"/>
              </w:rPr>
              <w:t>.419</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w:t>
            </w:r>
            <w:r>
              <w:rPr>
                <w:rFonts w:ascii="Arial" w:hAnsi="Arial" w:cs="Arial"/>
                <w:color w:val="000000"/>
                <w:sz w:val="20"/>
                <w:szCs w:val="20"/>
              </w:rPr>
              <w:t>0</w:t>
            </w:r>
            <w:r w:rsidRPr="007309C5">
              <w:rPr>
                <w:rFonts w:ascii="Arial" w:hAnsi="Arial" w:cs="Arial"/>
                <w:color w:val="000000"/>
                <w:sz w:val="20"/>
                <w:szCs w:val="20"/>
              </w:rPr>
              <w:t>.394</w:t>
            </w:r>
          </w:p>
        </w:tc>
        <w:tc>
          <w:tcPr>
            <w:tcW w:w="708" w:type="pct"/>
            <w:vAlign w:val="center"/>
          </w:tcPr>
          <w:p w:rsidR="00C60153" w:rsidRPr="007309C5" w:rsidRDefault="00C60153" w:rsidP="00283CE4">
            <w:pPr>
              <w:jc w:val="center"/>
              <w:rPr>
                <w:rFonts w:ascii="Arial" w:hAnsi="Arial" w:cs="Arial"/>
                <w:color w:val="000000"/>
                <w:sz w:val="20"/>
                <w:szCs w:val="20"/>
              </w:rPr>
            </w:pPr>
            <w:r w:rsidRPr="007309C5">
              <w:rPr>
                <w:rFonts w:ascii="Arial" w:hAnsi="Arial" w:cs="Arial"/>
                <w:color w:val="000000"/>
                <w:sz w:val="20"/>
                <w:szCs w:val="20"/>
              </w:rPr>
              <w:t>-</w:t>
            </w:r>
            <w:r>
              <w:rPr>
                <w:rFonts w:ascii="Arial" w:hAnsi="Arial" w:cs="Arial"/>
                <w:color w:val="000000"/>
                <w:sz w:val="20"/>
                <w:szCs w:val="20"/>
              </w:rPr>
              <w:t>0</w:t>
            </w:r>
            <w:r w:rsidRPr="007309C5">
              <w:rPr>
                <w:rFonts w:ascii="Arial" w:hAnsi="Arial" w:cs="Arial"/>
                <w:color w:val="000000"/>
                <w:sz w:val="20"/>
                <w:szCs w:val="20"/>
              </w:rPr>
              <w:t>.410</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.052</w:t>
            </w:r>
          </w:p>
        </w:tc>
      </w:tr>
      <w:tr w:rsidR="00C60153" w:rsidRPr="007309C5" w:rsidTr="00B22176">
        <w:trPr>
          <w:trHeight w:val="581"/>
        </w:trPr>
        <w:tc>
          <w:tcPr>
            <w:tcW w:w="1175" w:type="pct"/>
            <w:vMerge/>
            <w:vAlign w:val="center"/>
          </w:tcPr>
          <w:p w:rsidR="00C60153" w:rsidRPr="007309C5" w:rsidRDefault="00C60153" w:rsidP="00283CE4">
            <w:pPr>
              <w:jc w:val="center"/>
              <w:rPr>
                <w:rFonts w:ascii="Arial" w:hAnsi="Arial" w:cs="Arial"/>
                <w:b/>
                <w:sz w:val="20"/>
                <w:szCs w:val="20"/>
              </w:rPr>
            </w:pPr>
          </w:p>
        </w:tc>
        <w:tc>
          <w:tcPr>
            <w:tcW w:w="283" w:type="pct"/>
            <w:vAlign w:val="center"/>
          </w:tcPr>
          <w:p w:rsidR="00C60153" w:rsidRPr="007309C5" w:rsidRDefault="00C60153" w:rsidP="00283CE4">
            <w:pPr>
              <w:jc w:val="center"/>
              <w:rPr>
                <w:rFonts w:ascii="Arial" w:hAnsi="Arial" w:cs="Arial"/>
                <w:b/>
                <w:sz w:val="20"/>
                <w:szCs w:val="20"/>
              </w:rPr>
            </w:pPr>
            <w:r w:rsidRPr="007309C5">
              <w:rPr>
                <w:rFonts w:ascii="Arial" w:hAnsi="Arial" w:cs="Arial"/>
                <w:b/>
                <w:sz w:val="20"/>
                <w:szCs w:val="20"/>
              </w:rPr>
              <w:t>p</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.604</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.058</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.077</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.065</w:t>
            </w:r>
          </w:p>
        </w:tc>
        <w:tc>
          <w:tcPr>
            <w:tcW w:w="708" w:type="pct"/>
            <w:vAlign w:val="center"/>
          </w:tcPr>
          <w:p w:rsidR="00C60153" w:rsidRPr="007309C5" w:rsidRDefault="00C60153" w:rsidP="00283CE4">
            <w:pPr>
              <w:jc w:val="center"/>
              <w:rPr>
                <w:rFonts w:ascii="Arial" w:hAnsi="Arial" w:cs="Arial"/>
                <w:color w:val="000000"/>
                <w:sz w:val="20"/>
                <w:szCs w:val="20"/>
              </w:rPr>
            </w:pPr>
            <w:r>
              <w:rPr>
                <w:rFonts w:ascii="Arial" w:hAnsi="Arial" w:cs="Arial"/>
                <w:color w:val="000000"/>
                <w:sz w:val="20"/>
                <w:szCs w:val="20"/>
              </w:rPr>
              <w:t>0</w:t>
            </w:r>
            <w:r w:rsidRPr="007309C5">
              <w:rPr>
                <w:rFonts w:ascii="Arial" w:hAnsi="Arial" w:cs="Arial"/>
                <w:color w:val="000000"/>
                <w:sz w:val="20"/>
                <w:szCs w:val="20"/>
              </w:rPr>
              <w:t>.824</w:t>
            </w:r>
          </w:p>
        </w:tc>
      </w:tr>
    </w:tbl>
    <w:p w:rsidR="00C60153" w:rsidRPr="00B22176" w:rsidRDefault="00C60153" w:rsidP="00C60153">
      <w:pPr>
        <w:rPr>
          <w:rFonts w:ascii="Arial" w:hAnsi="Arial" w:cs="Arial"/>
          <w:sz w:val="22"/>
          <w:szCs w:val="22"/>
        </w:rPr>
      </w:pPr>
      <w:r w:rsidRPr="00B22176">
        <w:rPr>
          <w:rFonts w:ascii="Arial" w:hAnsi="Arial" w:cs="Arial"/>
          <w:sz w:val="22"/>
          <w:szCs w:val="22"/>
        </w:rPr>
        <w:t>Spearman korelasyon testi uygulanmıştır. r= Korelasyon katsayısı, p &lt; 0.05 anlamlıdır</w:t>
      </w:r>
    </w:p>
    <w:p w:rsidR="00C60153" w:rsidRPr="00B22176" w:rsidRDefault="00C60153" w:rsidP="00C60153">
      <w:pPr>
        <w:spacing w:line="360" w:lineRule="auto"/>
        <w:contextualSpacing/>
        <w:jc w:val="both"/>
        <w:rPr>
          <w:rFonts w:ascii="Arial" w:hAnsi="Arial" w:cs="Arial"/>
          <w:sz w:val="22"/>
          <w:szCs w:val="22"/>
          <w:shd w:val="clear" w:color="auto" w:fill="FFFFFF"/>
        </w:rPr>
      </w:pPr>
      <w:r w:rsidRPr="00B22176">
        <w:rPr>
          <w:rFonts w:ascii="Arial" w:hAnsi="Arial" w:cs="Arial"/>
          <w:sz w:val="22"/>
          <w:szCs w:val="22"/>
          <w:shd w:val="clear" w:color="auto" w:fill="FFFFFF"/>
        </w:rPr>
        <w:t>A: Anne, B:Baba, Ö: Öğretmen tarafından doldurulan ölçekler.</w:t>
      </w:r>
    </w:p>
    <w:p w:rsidR="00C60153" w:rsidRDefault="00C60153" w:rsidP="00C60153">
      <w:pPr>
        <w:spacing w:line="360" w:lineRule="auto"/>
        <w:contextualSpacing/>
        <w:jc w:val="both"/>
        <w:rPr>
          <w:highlight w:val="yellow"/>
        </w:rPr>
      </w:pPr>
    </w:p>
    <w:p w:rsidR="00C60153" w:rsidRPr="00B22176" w:rsidRDefault="00C60153" w:rsidP="00C60153">
      <w:pPr>
        <w:spacing w:line="360" w:lineRule="auto"/>
        <w:ind w:firstLine="567"/>
        <w:contextualSpacing/>
        <w:jc w:val="both"/>
        <w:rPr>
          <w:rFonts w:ascii="Arial" w:hAnsi="Arial" w:cs="Arial"/>
          <w:b/>
          <w:sz w:val="22"/>
          <w:szCs w:val="22"/>
        </w:rPr>
      </w:pPr>
      <w:r w:rsidRPr="00B22176">
        <w:rPr>
          <w:rFonts w:ascii="Arial" w:hAnsi="Arial" w:cs="Arial"/>
          <w:b/>
          <w:sz w:val="22"/>
          <w:szCs w:val="22"/>
        </w:rPr>
        <w:lastRenderedPageBreak/>
        <w:t>Periferik Kan m</w:t>
      </w:r>
      <w:r w:rsidRPr="00B22176">
        <w:rPr>
          <w:rFonts w:ascii="Arial" w:hAnsi="Arial" w:cs="Arial"/>
          <w:b/>
          <w:sz w:val="22"/>
          <w:szCs w:val="22"/>
          <w:shd w:val="clear" w:color="auto" w:fill="FFFFFF"/>
        </w:rPr>
        <w:t xml:space="preserve">iR-5692b, miR-let-7d, miR-124-3p, miR-107, miR-4447’nin Relatif Kantitasyon Değerlerinin </w:t>
      </w:r>
      <w:r w:rsidRPr="00B22176">
        <w:rPr>
          <w:rFonts w:ascii="Arial" w:hAnsi="Arial" w:cs="Arial"/>
          <w:b/>
          <w:sz w:val="22"/>
          <w:szCs w:val="22"/>
        </w:rPr>
        <w:t>ACE Uygulaması Puanları ile İlişkisi</w:t>
      </w:r>
    </w:p>
    <w:p w:rsidR="00C60153" w:rsidRPr="00B22176" w:rsidRDefault="00C60153" w:rsidP="00C60153">
      <w:pPr>
        <w:spacing w:line="360" w:lineRule="auto"/>
        <w:ind w:firstLine="567"/>
        <w:contextualSpacing/>
        <w:jc w:val="both"/>
        <w:rPr>
          <w:sz w:val="22"/>
          <w:szCs w:val="22"/>
        </w:rPr>
      </w:pPr>
      <w:r w:rsidRPr="00B22176">
        <w:rPr>
          <w:rFonts w:ascii="Arial" w:hAnsi="Arial" w:cs="Arial"/>
          <w:sz w:val="22"/>
          <w:szCs w:val="22"/>
        </w:rPr>
        <w:t>Katılımcıların serum periferik kan m</w:t>
      </w:r>
      <w:r w:rsidRPr="00B22176">
        <w:rPr>
          <w:rFonts w:ascii="Arial" w:hAnsi="Arial" w:cs="Arial"/>
          <w:sz w:val="22"/>
          <w:szCs w:val="22"/>
          <w:shd w:val="clear" w:color="auto" w:fill="FFFFFF"/>
        </w:rPr>
        <w:t>iR-5692b, miR-let-7d, miR-124-3p, miR-107, miR-4447 relatif kantitasyon değerleri ile</w:t>
      </w:r>
      <w:r w:rsidRPr="00B22176">
        <w:rPr>
          <w:rFonts w:ascii="Arial" w:hAnsi="Arial" w:cs="Arial"/>
          <w:sz w:val="22"/>
          <w:szCs w:val="22"/>
        </w:rPr>
        <w:t xml:space="preserve"> ACE Uygulamasının dikkat eksikliği puanları ve hiperaktivite/impulsivite puanları arasındaki ilişki değerlendirilmiştir. Hiç bir miRNA düzeyi ile belirtilen ölçek puanları arasında anlamlı bir ilişkisi saptanmamıştır (p&gt;0.005) (Tablo 32).</w:t>
      </w:r>
    </w:p>
    <w:p w:rsidR="00C60153" w:rsidRPr="00B22176" w:rsidRDefault="00C60153" w:rsidP="00C60153">
      <w:pPr>
        <w:spacing w:line="360" w:lineRule="auto"/>
        <w:ind w:firstLine="567"/>
        <w:contextualSpacing/>
        <w:jc w:val="both"/>
        <w:rPr>
          <w:sz w:val="22"/>
          <w:szCs w:val="22"/>
        </w:rPr>
      </w:pPr>
    </w:p>
    <w:p w:rsidR="00C60153" w:rsidRPr="00B22176" w:rsidRDefault="00C60153" w:rsidP="00C60153">
      <w:pPr>
        <w:contextualSpacing/>
        <w:jc w:val="both"/>
        <w:rPr>
          <w:rFonts w:ascii="Arial" w:hAnsi="Arial" w:cs="Arial"/>
          <w:sz w:val="22"/>
          <w:szCs w:val="22"/>
        </w:rPr>
      </w:pPr>
      <w:r w:rsidRPr="00B22176">
        <w:rPr>
          <w:rFonts w:ascii="Arial" w:hAnsi="Arial" w:cs="Arial"/>
          <w:sz w:val="22"/>
          <w:szCs w:val="22"/>
        </w:rPr>
        <w:t>Tablo 32. Periferik Kan m</w:t>
      </w:r>
      <w:r w:rsidRPr="00B22176">
        <w:rPr>
          <w:rFonts w:ascii="Arial" w:hAnsi="Arial" w:cs="Arial"/>
          <w:sz w:val="22"/>
          <w:szCs w:val="22"/>
          <w:shd w:val="clear" w:color="auto" w:fill="FFFFFF"/>
        </w:rPr>
        <w:t xml:space="preserve">iR-5692b, miR-let-7d, miR-124-3p, miR-107, miR-4447’nin Relatif Kantitasyon Değerlerinin </w:t>
      </w:r>
      <w:r w:rsidRPr="00B22176">
        <w:rPr>
          <w:rFonts w:ascii="Arial" w:hAnsi="Arial" w:cs="Arial"/>
          <w:sz w:val="22"/>
          <w:szCs w:val="22"/>
        </w:rPr>
        <w:t>ACE uygulaması Puanları ile İlişkisi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478"/>
        <w:gridCol w:w="1195"/>
        <w:gridCol w:w="1195"/>
        <w:gridCol w:w="1195"/>
        <w:gridCol w:w="1195"/>
        <w:gridCol w:w="1195"/>
      </w:tblGrid>
      <w:tr w:rsidR="00C60153" w:rsidRPr="008738A2" w:rsidTr="00283CE4">
        <w:trPr>
          <w:trHeight w:val="663"/>
        </w:trPr>
        <w:tc>
          <w:tcPr>
            <w:tcW w:w="1460" w:type="pct"/>
            <w:gridSpan w:val="2"/>
            <w:vAlign w:val="center"/>
          </w:tcPr>
          <w:p w:rsidR="00C60153" w:rsidRPr="00767EDE" w:rsidRDefault="00C60153" w:rsidP="00283CE4">
            <w:pPr>
              <w:jc w:val="center"/>
              <w:rPr>
                <w:rFonts w:ascii="Arial" w:hAnsi="Arial" w:cs="Arial"/>
                <w:b/>
                <w:sz w:val="20"/>
                <w:szCs w:val="20"/>
              </w:rPr>
            </w:pPr>
            <w:r w:rsidRPr="00767EDE">
              <w:rPr>
                <w:rFonts w:ascii="Arial" w:hAnsi="Arial" w:cs="Arial"/>
                <w:b/>
                <w:sz w:val="20"/>
                <w:szCs w:val="20"/>
              </w:rPr>
              <w:t>ACE Alt Alanları</w:t>
            </w:r>
          </w:p>
        </w:tc>
        <w:tc>
          <w:tcPr>
            <w:tcW w:w="708" w:type="pct"/>
            <w:vAlign w:val="center"/>
          </w:tcPr>
          <w:p w:rsidR="00C60153" w:rsidRPr="00DB467A" w:rsidRDefault="00C60153" w:rsidP="00283CE4">
            <w:pPr>
              <w:jc w:val="center"/>
              <w:rPr>
                <w:rFonts w:ascii="Arial" w:hAnsi="Arial" w:cs="Arial"/>
                <w:b/>
                <w:sz w:val="20"/>
                <w:szCs w:val="20"/>
              </w:rPr>
            </w:pPr>
            <w:r w:rsidRPr="00DB467A">
              <w:rPr>
                <w:rFonts w:ascii="Arial" w:hAnsi="Arial" w:cs="Arial"/>
                <w:b/>
                <w:sz w:val="20"/>
                <w:szCs w:val="20"/>
              </w:rPr>
              <w:t>m</w:t>
            </w:r>
            <w:r w:rsidRPr="00DB467A">
              <w:rPr>
                <w:rFonts w:ascii="Arial" w:hAnsi="Arial" w:cs="Arial"/>
                <w:b/>
                <w:sz w:val="20"/>
                <w:szCs w:val="20"/>
                <w:shd w:val="clear" w:color="auto" w:fill="FFFFFF"/>
              </w:rPr>
              <w:t>iR-5692b</w:t>
            </w:r>
          </w:p>
        </w:tc>
        <w:tc>
          <w:tcPr>
            <w:tcW w:w="708" w:type="pct"/>
            <w:vAlign w:val="center"/>
          </w:tcPr>
          <w:p w:rsidR="00C60153" w:rsidRPr="00767EDE" w:rsidRDefault="00C60153" w:rsidP="00283CE4">
            <w:pPr>
              <w:jc w:val="center"/>
              <w:rPr>
                <w:rFonts w:ascii="Arial" w:hAnsi="Arial" w:cs="Arial"/>
                <w:b/>
                <w:sz w:val="20"/>
                <w:szCs w:val="20"/>
              </w:rPr>
            </w:pPr>
            <w:r w:rsidRPr="00767EDE">
              <w:rPr>
                <w:rFonts w:ascii="Arial" w:hAnsi="Arial" w:cs="Arial"/>
                <w:b/>
                <w:sz w:val="20"/>
                <w:szCs w:val="20"/>
              </w:rPr>
              <w:t>m</w:t>
            </w:r>
            <w:r w:rsidRPr="00767EDE">
              <w:rPr>
                <w:rFonts w:ascii="Arial" w:hAnsi="Arial" w:cs="Arial"/>
                <w:b/>
                <w:sz w:val="20"/>
                <w:szCs w:val="20"/>
                <w:shd w:val="clear" w:color="auto" w:fill="FFFFFF"/>
              </w:rPr>
              <w:t>iR-let-7d</w:t>
            </w:r>
          </w:p>
        </w:tc>
        <w:tc>
          <w:tcPr>
            <w:tcW w:w="708" w:type="pct"/>
            <w:vAlign w:val="center"/>
          </w:tcPr>
          <w:p w:rsidR="00C60153" w:rsidRPr="00767EDE" w:rsidRDefault="00C60153" w:rsidP="00283CE4">
            <w:pPr>
              <w:jc w:val="center"/>
              <w:rPr>
                <w:rFonts w:ascii="Arial" w:hAnsi="Arial" w:cs="Arial"/>
                <w:b/>
                <w:sz w:val="20"/>
                <w:szCs w:val="20"/>
              </w:rPr>
            </w:pPr>
            <w:r w:rsidRPr="00767EDE">
              <w:rPr>
                <w:rFonts w:ascii="Arial" w:hAnsi="Arial" w:cs="Arial"/>
                <w:b/>
                <w:sz w:val="20"/>
                <w:szCs w:val="20"/>
              </w:rPr>
              <w:t>m</w:t>
            </w:r>
            <w:r w:rsidRPr="00767EDE">
              <w:rPr>
                <w:rFonts w:ascii="Arial" w:hAnsi="Arial" w:cs="Arial"/>
                <w:b/>
                <w:sz w:val="20"/>
                <w:szCs w:val="20"/>
                <w:shd w:val="clear" w:color="auto" w:fill="FFFFFF"/>
              </w:rPr>
              <w:t>iR-</w:t>
            </w:r>
            <w:r w:rsidRPr="00767EDE">
              <w:rPr>
                <w:rFonts w:ascii="Arial" w:hAnsi="Arial" w:cs="Arial"/>
                <w:b/>
                <w:sz w:val="20"/>
                <w:szCs w:val="20"/>
              </w:rPr>
              <w:t>124-3p</w:t>
            </w:r>
          </w:p>
        </w:tc>
        <w:tc>
          <w:tcPr>
            <w:tcW w:w="708" w:type="pct"/>
            <w:vAlign w:val="center"/>
          </w:tcPr>
          <w:p w:rsidR="00C60153" w:rsidRPr="00767EDE" w:rsidRDefault="00C60153" w:rsidP="00283CE4">
            <w:pPr>
              <w:jc w:val="center"/>
              <w:rPr>
                <w:rFonts w:ascii="Arial" w:hAnsi="Arial" w:cs="Arial"/>
                <w:b/>
                <w:sz w:val="20"/>
                <w:szCs w:val="20"/>
              </w:rPr>
            </w:pPr>
            <w:r w:rsidRPr="00767EDE">
              <w:rPr>
                <w:rFonts w:ascii="Arial" w:hAnsi="Arial" w:cs="Arial"/>
                <w:b/>
                <w:sz w:val="20"/>
                <w:szCs w:val="20"/>
              </w:rPr>
              <w:t>m</w:t>
            </w:r>
            <w:r w:rsidRPr="00767EDE">
              <w:rPr>
                <w:rFonts w:ascii="Arial" w:hAnsi="Arial" w:cs="Arial"/>
                <w:b/>
                <w:sz w:val="20"/>
                <w:szCs w:val="20"/>
                <w:shd w:val="clear" w:color="auto" w:fill="FFFFFF"/>
              </w:rPr>
              <w:t>iR-</w:t>
            </w:r>
            <w:r w:rsidRPr="00767EDE">
              <w:rPr>
                <w:rFonts w:ascii="Arial" w:hAnsi="Arial" w:cs="Arial"/>
                <w:b/>
                <w:sz w:val="20"/>
                <w:szCs w:val="20"/>
              </w:rPr>
              <w:t>107</w:t>
            </w:r>
          </w:p>
        </w:tc>
        <w:tc>
          <w:tcPr>
            <w:tcW w:w="708" w:type="pct"/>
            <w:vAlign w:val="center"/>
          </w:tcPr>
          <w:p w:rsidR="00C60153" w:rsidRPr="00767EDE" w:rsidRDefault="00C60153" w:rsidP="00283CE4">
            <w:pPr>
              <w:jc w:val="center"/>
              <w:rPr>
                <w:rFonts w:ascii="Arial" w:hAnsi="Arial" w:cs="Arial"/>
                <w:b/>
                <w:sz w:val="20"/>
                <w:szCs w:val="20"/>
              </w:rPr>
            </w:pPr>
            <w:r w:rsidRPr="00767EDE">
              <w:rPr>
                <w:rFonts w:ascii="Arial" w:hAnsi="Arial" w:cs="Arial"/>
                <w:b/>
                <w:sz w:val="20"/>
                <w:szCs w:val="20"/>
              </w:rPr>
              <w:t>m</w:t>
            </w:r>
            <w:r w:rsidRPr="00767EDE">
              <w:rPr>
                <w:rFonts w:ascii="Arial" w:hAnsi="Arial" w:cs="Arial"/>
                <w:b/>
                <w:sz w:val="20"/>
                <w:szCs w:val="20"/>
                <w:shd w:val="clear" w:color="auto" w:fill="FFFFFF"/>
              </w:rPr>
              <w:t>iR-</w:t>
            </w:r>
            <w:r w:rsidRPr="00767EDE">
              <w:rPr>
                <w:rFonts w:ascii="Arial" w:hAnsi="Arial" w:cs="Arial"/>
                <w:b/>
                <w:sz w:val="20"/>
                <w:szCs w:val="20"/>
              </w:rPr>
              <w:t>4447</w:t>
            </w:r>
          </w:p>
        </w:tc>
      </w:tr>
      <w:tr w:rsidR="00C60153" w:rsidRPr="008738A2" w:rsidTr="00283CE4">
        <w:trPr>
          <w:trHeight w:val="581"/>
        </w:trPr>
        <w:tc>
          <w:tcPr>
            <w:tcW w:w="1176" w:type="pct"/>
            <w:vMerge w:val="restart"/>
            <w:vAlign w:val="center"/>
          </w:tcPr>
          <w:p w:rsidR="00C60153" w:rsidRPr="00767EDE" w:rsidRDefault="00C60153" w:rsidP="00283CE4">
            <w:pPr>
              <w:jc w:val="center"/>
              <w:rPr>
                <w:rFonts w:ascii="Arial" w:hAnsi="Arial" w:cs="Arial"/>
                <w:b/>
                <w:sz w:val="20"/>
                <w:szCs w:val="20"/>
              </w:rPr>
            </w:pPr>
            <w:r w:rsidRPr="00767EDE">
              <w:rPr>
                <w:rFonts w:ascii="Arial" w:hAnsi="Arial" w:cs="Arial"/>
                <w:b/>
                <w:sz w:val="20"/>
                <w:szCs w:val="20"/>
              </w:rPr>
              <w:t>Ev</w:t>
            </w:r>
          </w:p>
          <w:p w:rsidR="00C60153" w:rsidRPr="00767EDE" w:rsidRDefault="00C60153" w:rsidP="00283CE4">
            <w:pPr>
              <w:jc w:val="center"/>
              <w:rPr>
                <w:rFonts w:ascii="Arial" w:hAnsi="Arial" w:cs="Arial"/>
                <w:b/>
                <w:sz w:val="20"/>
                <w:szCs w:val="20"/>
              </w:rPr>
            </w:pPr>
            <w:r w:rsidRPr="00767EDE">
              <w:rPr>
                <w:rFonts w:ascii="Arial" w:hAnsi="Arial" w:cs="Arial"/>
                <w:b/>
                <w:sz w:val="20"/>
                <w:szCs w:val="20"/>
              </w:rPr>
              <w:t>Dikkat Eksikliği Puanı</w:t>
            </w:r>
          </w:p>
        </w:tc>
        <w:tc>
          <w:tcPr>
            <w:tcW w:w="284" w:type="pct"/>
            <w:vAlign w:val="center"/>
          </w:tcPr>
          <w:p w:rsidR="00C60153" w:rsidRPr="00767EDE" w:rsidRDefault="00C60153" w:rsidP="00283CE4">
            <w:pPr>
              <w:jc w:val="center"/>
              <w:rPr>
                <w:rFonts w:ascii="Arial" w:hAnsi="Arial" w:cs="Arial"/>
                <w:b/>
                <w:sz w:val="20"/>
                <w:szCs w:val="20"/>
              </w:rPr>
            </w:pPr>
            <w:r w:rsidRPr="00767EDE">
              <w:rPr>
                <w:rFonts w:ascii="Arial" w:hAnsi="Arial" w:cs="Arial"/>
                <w:b/>
                <w:sz w:val="20"/>
                <w:szCs w:val="20"/>
              </w:rPr>
              <w:t>r</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w:t>
            </w:r>
            <w:r>
              <w:rPr>
                <w:rFonts w:ascii="Arial" w:hAnsi="Arial" w:cs="Arial"/>
                <w:color w:val="000000"/>
                <w:sz w:val="20"/>
                <w:szCs w:val="20"/>
              </w:rPr>
              <w:t>0.</w:t>
            </w:r>
            <w:r w:rsidRPr="00DB467A">
              <w:rPr>
                <w:rFonts w:ascii="Arial" w:hAnsi="Arial" w:cs="Arial"/>
                <w:color w:val="000000"/>
                <w:sz w:val="20"/>
                <w:szCs w:val="20"/>
              </w:rPr>
              <w:t>055</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0.079</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-0.024</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-0.221</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-0.174</w:t>
            </w:r>
          </w:p>
        </w:tc>
      </w:tr>
      <w:tr w:rsidR="00C60153" w:rsidRPr="008738A2" w:rsidTr="00283CE4">
        <w:trPr>
          <w:trHeight w:val="581"/>
        </w:trPr>
        <w:tc>
          <w:tcPr>
            <w:tcW w:w="1176" w:type="pct"/>
            <w:vMerge/>
            <w:vAlign w:val="center"/>
          </w:tcPr>
          <w:p w:rsidR="00C60153" w:rsidRPr="00767EDE" w:rsidRDefault="00C60153" w:rsidP="00283CE4">
            <w:pPr>
              <w:jc w:val="center"/>
              <w:rPr>
                <w:rFonts w:ascii="Arial" w:hAnsi="Arial" w:cs="Arial"/>
                <w:b/>
                <w:sz w:val="20"/>
                <w:szCs w:val="20"/>
              </w:rPr>
            </w:pPr>
          </w:p>
        </w:tc>
        <w:tc>
          <w:tcPr>
            <w:tcW w:w="284" w:type="pct"/>
            <w:vAlign w:val="center"/>
          </w:tcPr>
          <w:p w:rsidR="00C60153" w:rsidRPr="00767EDE" w:rsidRDefault="00C60153" w:rsidP="00283CE4">
            <w:pPr>
              <w:jc w:val="center"/>
              <w:rPr>
                <w:rFonts w:ascii="Arial" w:hAnsi="Arial" w:cs="Arial"/>
                <w:b/>
                <w:sz w:val="20"/>
                <w:szCs w:val="20"/>
              </w:rPr>
            </w:pPr>
            <w:r w:rsidRPr="00767EDE">
              <w:rPr>
                <w:rFonts w:ascii="Arial" w:hAnsi="Arial" w:cs="Arial"/>
                <w:b/>
                <w:sz w:val="20"/>
                <w:szCs w:val="20"/>
              </w:rPr>
              <w:t>p</w:t>
            </w:r>
          </w:p>
        </w:tc>
        <w:tc>
          <w:tcPr>
            <w:tcW w:w="708" w:type="pct"/>
            <w:vAlign w:val="center"/>
          </w:tcPr>
          <w:p w:rsidR="00C60153" w:rsidRPr="00DB467A" w:rsidRDefault="00C60153" w:rsidP="00283CE4">
            <w:pPr>
              <w:jc w:val="center"/>
              <w:rPr>
                <w:rFonts w:ascii="Arial" w:hAnsi="Arial" w:cs="Arial"/>
                <w:color w:val="000000"/>
                <w:sz w:val="20"/>
                <w:szCs w:val="20"/>
              </w:rPr>
            </w:pPr>
            <w:r>
              <w:rPr>
                <w:rFonts w:ascii="Arial" w:hAnsi="Arial" w:cs="Arial"/>
                <w:color w:val="000000"/>
                <w:sz w:val="20"/>
                <w:szCs w:val="20"/>
              </w:rPr>
              <w:t>0.</w:t>
            </w:r>
            <w:r w:rsidRPr="00DB467A">
              <w:rPr>
                <w:rFonts w:ascii="Arial" w:hAnsi="Arial" w:cs="Arial"/>
                <w:color w:val="000000"/>
                <w:sz w:val="20"/>
                <w:szCs w:val="20"/>
              </w:rPr>
              <w:t>772</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0.679</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0.902</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0.240</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0.359</w:t>
            </w:r>
          </w:p>
        </w:tc>
      </w:tr>
      <w:tr w:rsidR="00C60153" w:rsidRPr="008738A2" w:rsidTr="00283CE4">
        <w:trPr>
          <w:trHeight w:val="581"/>
        </w:trPr>
        <w:tc>
          <w:tcPr>
            <w:tcW w:w="1176" w:type="pct"/>
            <w:vMerge w:val="restart"/>
            <w:vAlign w:val="center"/>
          </w:tcPr>
          <w:p w:rsidR="00C60153" w:rsidRPr="00767EDE" w:rsidRDefault="00C60153" w:rsidP="00283CE4">
            <w:pPr>
              <w:jc w:val="center"/>
              <w:rPr>
                <w:rFonts w:ascii="Arial" w:hAnsi="Arial" w:cs="Arial"/>
                <w:b/>
                <w:sz w:val="20"/>
                <w:szCs w:val="20"/>
              </w:rPr>
            </w:pPr>
            <w:r w:rsidRPr="00767EDE">
              <w:rPr>
                <w:rFonts w:ascii="Arial" w:hAnsi="Arial" w:cs="Arial"/>
                <w:b/>
                <w:sz w:val="20"/>
                <w:szCs w:val="20"/>
              </w:rPr>
              <w:t>Okul</w:t>
            </w:r>
          </w:p>
          <w:p w:rsidR="00C60153" w:rsidRPr="00767EDE" w:rsidRDefault="00C60153" w:rsidP="00283CE4">
            <w:pPr>
              <w:jc w:val="center"/>
              <w:rPr>
                <w:rFonts w:ascii="Arial" w:hAnsi="Arial" w:cs="Arial"/>
                <w:b/>
                <w:sz w:val="20"/>
                <w:szCs w:val="20"/>
              </w:rPr>
            </w:pPr>
            <w:r w:rsidRPr="00767EDE">
              <w:rPr>
                <w:rFonts w:ascii="Arial" w:hAnsi="Arial" w:cs="Arial"/>
                <w:b/>
                <w:sz w:val="20"/>
                <w:szCs w:val="20"/>
              </w:rPr>
              <w:t>Dikkat Eksikliği Puanı</w:t>
            </w:r>
          </w:p>
        </w:tc>
        <w:tc>
          <w:tcPr>
            <w:tcW w:w="284" w:type="pct"/>
            <w:vAlign w:val="center"/>
          </w:tcPr>
          <w:p w:rsidR="00C60153" w:rsidRPr="00767EDE" w:rsidRDefault="00C60153" w:rsidP="00283CE4">
            <w:pPr>
              <w:jc w:val="center"/>
              <w:rPr>
                <w:rFonts w:ascii="Arial" w:hAnsi="Arial" w:cs="Arial"/>
                <w:b/>
                <w:sz w:val="20"/>
                <w:szCs w:val="20"/>
              </w:rPr>
            </w:pPr>
            <w:r w:rsidRPr="00767EDE">
              <w:rPr>
                <w:rFonts w:ascii="Arial" w:hAnsi="Arial" w:cs="Arial"/>
                <w:b/>
                <w:sz w:val="20"/>
                <w:szCs w:val="20"/>
              </w:rPr>
              <w:t>r</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w:t>
            </w:r>
            <w:r>
              <w:rPr>
                <w:rFonts w:ascii="Arial" w:hAnsi="Arial" w:cs="Arial"/>
                <w:color w:val="000000"/>
                <w:sz w:val="20"/>
                <w:szCs w:val="20"/>
              </w:rPr>
              <w:t>0.</w:t>
            </w:r>
            <w:r w:rsidRPr="00DB467A">
              <w:rPr>
                <w:rFonts w:ascii="Arial" w:hAnsi="Arial" w:cs="Arial"/>
                <w:color w:val="000000"/>
                <w:sz w:val="20"/>
                <w:szCs w:val="20"/>
              </w:rPr>
              <w:t>178</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-0.028</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-0.341</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-0.096</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-0.116</w:t>
            </w:r>
          </w:p>
        </w:tc>
      </w:tr>
      <w:tr w:rsidR="00C60153" w:rsidRPr="008738A2" w:rsidTr="00283CE4">
        <w:trPr>
          <w:trHeight w:val="581"/>
        </w:trPr>
        <w:tc>
          <w:tcPr>
            <w:tcW w:w="1176" w:type="pct"/>
            <w:vMerge/>
            <w:vAlign w:val="center"/>
          </w:tcPr>
          <w:p w:rsidR="00C60153" w:rsidRPr="00767EDE" w:rsidRDefault="00C60153" w:rsidP="00283CE4">
            <w:pPr>
              <w:jc w:val="center"/>
              <w:rPr>
                <w:rFonts w:ascii="Arial" w:hAnsi="Arial" w:cs="Arial"/>
                <w:b/>
                <w:sz w:val="20"/>
                <w:szCs w:val="20"/>
              </w:rPr>
            </w:pPr>
          </w:p>
        </w:tc>
        <w:tc>
          <w:tcPr>
            <w:tcW w:w="284" w:type="pct"/>
            <w:vAlign w:val="center"/>
          </w:tcPr>
          <w:p w:rsidR="00C60153" w:rsidRPr="00767EDE" w:rsidRDefault="00C60153" w:rsidP="00283CE4">
            <w:pPr>
              <w:jc w:val="center"/>
              <w:rPr>
                <w:rFonts w:ascii="Arial" w:hAnsi="Arial" w:cs="Arial"/>
                <w:b/>
                <w:sz w:val="20"/>
                <w:szCs w:val="20"/>
              </w:rPr>
            </w:pPr>
            <w:r w:rsidRPr="00767EDE">
              <w:rPr>
                <w:rFonts w:ascii="Arial" w:hAnsi="Arial" w:cs="Arial"/>
                <w:b/>
                <w:sz w:val="20"/>
                <w:szCs w:val="20"/>
              </w:rPr>
              <w:t>p</w:t>
            </w:r>
          </w:p>
        </w:tc>
        <w:tc>
          <w:tcPr>
            <w:tcW w:w="708" w:type="pct"/>
            <w:vAlign w:val="center"/>
          </w:tcPr>
          <w:p w:rsidR="00C60153" w:rsidRPr="00DB467A" w:rsidRDefault="00C60153" w:rsidP="00283CE4">
            <w:pPr>
              <w:jc w:val="center"/>
              <w:rPr>
                <w:rFonts w:ascii="Arial" w:hAnsi="Arial" w:cs="Arial"/>
                <w:color w:val="000000"/>
                <w:sz w:val="20"/>
                <w:szCs w:val="20"/>
              </w:rPr>
            </w:pPr>
            <w:r>
              <w:rPr>
                <w:rFonts w:ascii="Arial" w:hAnsi="Arial" w:cs="Arial"/>
                <w:color w:val="000000"/>
                <w:sz w:val="20"/>
                <w:szCs w:val="20"/>
              </w:rPr>
              <w:t>0.3</w:t>
            </w:r>
            <w:r w:rsidRPr="00DB467A">
              <w:rPr>
                <w:rFonts w:ascii="Arial" w:hAnsi="Arial" w:cs="Arial"/>
                <w:color w:val="000000"/>
                <w:sz w:val="20"/>
                <w:szCs w:val="20"/>
              </w:rPr>
              <w:t>47</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0.883</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0.065</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0.615</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0.543</w:t>
            </w:r>
          </w:p>
        </w:tc>
      </w:tr>
      <w:tr w:rsidR="00C60153" w:rsidRPr="008738A2" w:rsidTr="00283CE4">
        <w:trPr>
          <w:trHeight w:val="581"/>
        </w:trPr>
        <w:tc>
          <w:tcPr>
            <w:tcW w:w="1176" w:type="pct"/>
            <w:vMerge w:val="restart"/>
            <w:vAlign w:val="center"/>
          </w:tcPr>
          <w:p w:rsidR="00C60153" w:rsidRPr="00767EDE" w:rsidRDefault="00C60153" w:rsidP="00283CE4">
            <w:pPr>
              <w:jc w:val="center"/>
              <w:rPr>
                <w:rFonts w:ascii="Arial" w:hAnsi="Arial" w:cs="Arial"/>
                <w:b/>
                <w:sz w:val="20"/>
                <w:szCs w:val="20"/>
              </w:rPr>
            </w:pPr>
            <w:r w:rsidRPr="00767EDE">
              <w:rPr>
                <w:rFonts w:ascii="Arial" w:hAnsi="Arial" w:cs="Arial"/>
                <w:b/>
                <w:sz w:val="20"/>
                <w:szCs w:val="20"/>
              </w:rPr>
              <w:t>Ev</w:t>
            </w:r>
          </w:p>
          <w:p w:rsidR="00C60153" w:rsidRPr="00767EDE" w:rsidRDefault="00C60153" w:rsidP="00283CE4">
            <w:pPr>
              <w:jc w:val="center"/>
              <w:rPr>
                <w:rFonts w:ascii="Arial" w:hAnsi="Arial" w:cs="Arial"/>
                <w:b/>
                <w:sz w:val="20"/>
                <w:szCs w:val="20"/>
              </w:rPr>
            </w:pPr>
            <w:r w:rsidRPr="00767EDE">
              <w:rPr>
                <w:rFonts w:ascii="Arial" w:hAnsi="Arial" w:cs="Arial"/>
                <w:b/>
                <w:sz w:val="20"/>
                <w:szCs w:val="20"/>
              </w:rPr>
              <w:t>Hiperaktivite / İmpulsivite Puanı</w:t>
            </w:r>
          </w:p>
        </w:tc>
        <w:tc>
          <w:tcPr>
            <w:tcW w:w="284" w:type="pct"/>
            <w:vAlign w:val="center"/>
          </w:tcPr>
          <w:p w:rsidR="00C60153" w:rsidRPr="00767EDE" w:rsidRDefault="00C60153" w:rsidP="00283CE4">
            <w:pPr>
              <w:jc w:val="center"/>
              <w:rPr>
                <w:rFonts w:ascii="Arial" w:hAnsi="Arial" w:cs="Arial"/>
                <w:b/>
                <w:sz w:val="20"/>
                <w:szCs w:val="20"/>
              </w:rPr>
            </w:pPr>
            <w:r w:rsidRPr="00767EDE">
              <w:rPr>
                <w:rFonts w:ascii="Arial" w:hAnsi="Arial" w:cs="Arial"/>
                <w:b/>
                <w:sz w:val="20"/>
                <w:szCs w:val="20"/>
              </w:rPr>
              <w:t>r</w:t>
            </w:r>
          </w:p>
        </w:tc>
        <w:tc>
          <w:tcPr>
            <w:tcW w:w="708" w:type="pct"/>
            <w:vAlign w:val="center"/>
          </w:tcPr>
          <w:p w:rsidR="00C60153" w:rsidRPr="00DB467A" w:rsidRDefault="00C60153" w:rsidP="00283CE4">
            <w:pPr>
              <w:jc w:val="center"/>
              <w:rPr>
                <w:rFonts w:ascii="Arial" w:hAnsi="Arial" w:cs="Arial"/>
                <w:color w:val="000000"/>
                <w:sz w:val="20"/>
                <w:szCs w:val="20"/>
              </w:rPr>
            </w:pPr>
            <w:r>
              <w:rPr>
                <w:rFonts w:ascii="Arial" w:hAnsi="Arial" w:cs="Arial"/>
                <w:color w:val="000000"/>
                <w:sz w:val="20"/>
                <w:szCs w:val="20"/>
              </w:rPr>
              <w:t>0.</w:t>
            </w:r>
            <w:r w:rsidRPr="00DB467A">
              <w:rPr>
                <w:rFonts w:ascii="Arial" w:hAnsi="Arial" w:cs="Arial"/>
                <w:color w:val="000000"/>
                <w:sz w:val="20"/>
                <w:szCs w:val="20"/>
              </w:rPr>
              <w:t>075</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0.161</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0.083</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0.083</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0.153</w:t>
            </w:r>
          </w:p>
        </w:tc>
      </w:tr>
      <w:tr w:rsidR="00C60153" w:rsidRPr="008738A2" w:rsidTr="00283CE4">
        <w:trPr>
          <w:trHeight w:val="581"/>
        </w:trPr>
        <w:tc>
          <w:tcPr>
            <w:tcW w:w="1176" w:type="pct"/>
            <w:vMerge/>
            <w:vAlign w:val="center"/>
          </w:tcPr>
          <w:p w:rsidR="00C60153" w:rsidRPr="00767EDE" w:rsidRDefault="00C60153" w:rsidP="00283CE4">
            <w:pPr>
              <w:jc w:val="center"/>
              <w:rPr>
                <w:rFonts w:ascii="Arial" w:hAnsi="Arial" w:cs="Arial"/>
                <w:b/>
                <w:sz w:val="20"/>
                <w:szCs w:val="20"/>
              </w:rPr>
            </w:pPr>
          </w:p>
        </w:tc>
        <w:tc>
          <w:tcPr>
            <w:tcW w:w="284" w:type="pct"/>
            <w:vAlign w:val="center"/>
          </w:tcPr>
          <w:p w:rsidR="00C60153" w:rsidRPr="00767EDE" w:rsidRDefault="00C60153" w:rsidP="00283CE4">
            <w:pPr>
              <w:jc w:val="center"/>
              <w:rPr>
                <w:rFonts w:ascii="Arial" w:hAnsi="Arial" w:cs="Arial"/>
                <w:b/>
                <w:sz w:val="20"/>
                <w:szCs w:val="20"/>
              </w:rPr>
            </w:pPr>
            <w:r w:rsidRPr="00767EDE">
              <w:rPr>
                <w:rFonts w:ascii="Arial" w:hAnsi="Arial" w:cs="Arial"/>
                <w:b/>
                <w:sz w:val="20"/>
                <w:szCs w:val="20"/>
              </w:rPr>
              <w:t>p</w:t>
            </w:r>
          </w:p>
        </w:tc>
        <w:tc>
          <w:tcPr>
            <w:tcW w:w="708" w:type="pct"/>
            <w:vAlign w:val="center"/>
          </w:tcPr>
          <w:p w:rsidR="00C60153" w:rsidRPr="00DB467A" w:rsidRDefault="00C60153" w:rsidP="00283CE4">
            <w:pPr>
              <w:jc w:val="center"/>
              <w:rPr>
                <w:rFonts w:ascii="Arial" w:hAnsi="Arial" w:cs="Arial"/>
                <w:color w:val="000000"/>
                <w:sz w:val="20"/>
                <w:szCs w:val="20"/>
              </w:rPr>
            </w:pPr>
            <w:r>
              <w:rPr>
                <w:rFonts w:ascii="Arial" w:hAnsi="Arial" w:cs="Arial"/>
                <w:color w:val="000000"/>
                <w:sz w:val="20"/>
                <w:szCs w:val="20"/>
              </w:rPr>
              <w:t>0.</w:t>
            </w:r>
            <w:r w:rsidRPr="00DB467A">
              <w:rPr>
                <w:rFonts w:ascii="Arial" w:hAnsi="Arial" w:cs="Arial"/>
                <w:color w:val="000000"/>
                <w:sz w:val="20"/>
                <w:szCs w:val="20"/>
              </w:rPr>
              <w:t>693</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0.397</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0.663</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0.661</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0.421</w:t>
            </w:r>
          </w:p>
        </w:tc>
      </w:tr>
      <w:tr w:rsidR="00C60153" w:rsidRPr="008738A2" w:rsidTr="00283CE4">
        <w:trPr>
          <w:trHeight w:val="581"/>
        </w:trPr>
        <w:tc>
          <w:tcPr>
            <w:tcW w:w="1176" w:type="pct"/>
            <w:vMerge w:val="restart"/>
            <w:vAlign w:val="center"/>
          </w:tcPr>
          <w:p w:rsidR="00C60153" w:rsidRPr="00767EDE" w:rsidRDefault="00C60153" w:rsidP="00283CE4">
            <w:pPr>
              <w:jc w:val="center"/>
              <w:rPr>
                <w:rFonts w:ascii="Arial" w:hAnsi="Arial" w:cs="Arial"/>
                <w:b/>
                <w:sz w:val="20"/>
                <w:szCs w:val="20"/>
              </w:rPr>
            </w:pPr>
            <w:r w:rsidRPr="00767EDE">
              <w:rPr>
                <w:rFonts w:ascii="Arial" w:hAnsi="Arial" w:cs="Arial"/>
                <w:b/>
                <w:sz w:val="20"/>
                <w:szCs w:val="20"/>
              </w:rPr>
              <w:t>Okul</w:t>
            </w:r>
          </w:p>
          <w:p w:rsidR="00C60153" w:rsidRPr="00767EDE" w:rsidRDefault="00C60153" w:rsidP="00283CE4">
            <w:pPr>
              <w:jc w:val="center"/>
              <w:rPr>
                <w:rFonts w:ascii="Arial" w:hAnsi="Arial" w:cs="Arial"/>
                <w:b/>
                <w:sz w:val="20"/>
                <w:szCs w:val="20"/>
              </w:rPr>
            </w:pPr>
            <w:r w:rsidRPr="00767EDE">
              <w:rPr>
                <w:rFonts w:ascii="Arial" w:hAnsi="Arial" w:cs="Arial"/>
                <w:b/>
                <w:sz w:val="20"/>
                <w:szCs w:val="20"/>
              </w:rPr>
              <w:t>Hiperaktivite / İmpulsivite Puanı</w:t>
            </w:r>
          </w:p>
        </w:tc>
        <w:tc>
          <w:tcPr>
            <w:tcW w:w="284" w:type="pct"/>
            <w:vAlign w:val="center"/>
          </w:tcPr>
          <w:p w:rsidR="00C60153" w:rsidRPr="00767EDE" w:rsidRDefault="00C60153" w:rsidP="00283CE4">
            <w:pPr>
              <w:jc w:val="center"/>
              <w:rPr>
                <w:rFonts w:ascii="Arial" w:hAnsi="Arial" w:cs="Arial"/>
                <w:b/>
                <w:sz w:val="20"/>
                <w:szCs w:val="20"/>
              </w:rPr>
            </w:pPr>
            <w:r w:rsidRPr="00767EDE">
              <w:rPr>
                <w:rFonts w:ascii="Arial" w:hAnsi="Arial" w:cs="Arial"/>
                <w:b/>
                <w:sz w:val="20"/>
                <w:szCs w:val="20"/>
              </w:rPr>
              <w:t>r</w:t>
            </w:r>
          </w:p>
        </w:tc>
        <w:tc>
          <w:tcPr>
            <w:tcW w:w="708" w:type="pct"/>
            <w:vAlign w:val="center"/>
          </w:tcPr>
          <w:p w:rsidR="00C60153" w:rsidRPr="00DB467A" w:rsidRDefault="00C60153" w:rsidP="00283CE4">
            <w:pPr>
              <w:jc w:val="center"/>
              <w:rPr>
                <w:rFonts w:ascii="Arial" w:hAnsi="Arial" w:cs="Arial"/>
                <w:color w:val="000000"/>
                <w:sz w:val="20"/>
                <w:szCs w:val="20"/>
              </w:rPr>
            </w:pPr>
            <w:r>
              <w:rPr>
                <w:rFonts w:ascii="Arial" w:hAnsi="Arial" w:cs="Arial"/>
                <w:color w:val="000000"/>
                <w:sz w:val="20"/>
                <w:szCs w:val="20"/>
              </w:rPr>
              <w:t>0.</w:t>
            </w:r>
            <w:r w:rsidRPr="00DB467A">
              <w:rPr>
                <w:rFonts w:ascii="Arial" w:hAnsi="Arial" w:cs="Arial"/>
                <w:color w:val="000000"/>
                <w:sz w:val="20"/>
                <w:szCs w:val="20"/>
              </w:rPr>
              <w:t>240</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0.076</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-0.081</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0.070</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0.317</w:t>
            </w:r>
          </w:p>
        </w:tc>
      </w:tr>
      <w:tr w:rsidR="00C60153" w:rsidRPr="008738A2" w:rsidTr="00283CE4">
        <w:trPr>
          <w:trHeight w:val="581"/>
        </w:trPr>
        <w:tc>
          <w:tcPr>
            <w:tcW w:w="1176" w:type="pct"/>
            <w:vMerge/>
            <w:vAlign w:val="center"/>
          </w:tcPr>
          <w:p w:rsidR="00C60153" w:rsidRPr="00767EDE" w:rsidRDefault="00C60153" w:rsidP="00283CE4">
            <w:pPr>
              <w:jc w:val="center"/>
              <w:rPr>
                <w:rFonts w:ascii="Arial" w:hAnsi="Arial" w:cs="Arial"/>
                <w:b/>
                <w:sz w:val="20"/>
                <w:szCs w:val="20"/>
              </w:rPr>
            </w:pPr>
          </w:p>
        </w:tc>
        <w:tc>
          <w:tcPr>
            <w:tcW w:w="284" w:type="pct"/>
            <w:vAlign w:val="center"/>
          </w:tcPr>
          <w:p w:rsidR="00C60153" w:rsidRPr="00767EDE" w:rsidRDefault="00C60153" w:rsidP="00283CE4">
            <w:pPr>
              <w:jc w:val="center"/>
              <w:rPr>
                <w:rFonts w:ascii="Arial" w:hAnsi="Arial" w:cs="Arial"/>
                <w:b/>
                <w:sz w:val="20"/>
                <w:szCs w:val="20"/>
              </w:rPr>
            </w:pPr>
            <w:r w:rsidRPr="00767EDE">
              <w:rPr>
                <w:rFonts w:ascii="Arial" w:hAnsi="Arial" w:cs="Arial"/>
                <w:b/>
                <w:sz w:val="20"/>
                <w:szCs w:val="20"/>
              </w:rPr>
              <w:t>p</w:t>
            </w:r>
          </w:p>
        </w:tc>
        <w:tc>
          <w:tcPr>
            <w:tcW w:w="708" w:type="pct"/>
            <w:vAlign w:val="center"/>
          </w:tcPr>
          <w:p w:rsidR="00C60153" w:rsidRPr="00DB467A" w:rsidRDefault="00C60153" w:rsidP="00283CE4">
            <w:pPr>
              <w:jc w:val="center"/>
              <w:rPr>
                <w:rFonts w:ascii="Arial" w:hAnsi="Arial" w:cs="Arial"/>
                <w:color w:val="000000"/>
                <w:sz w:val="20"/>
                <w:szCs w:val="20"/>
              </w:rPr>
            </w:pPr>
            <w:r>
              <w:rPr>
                <w:rFonts w:ascii="Arial" w:hAnsi="Arial" w:cs="Arial"/>
                <w:color w:val="000000"/>
                <w:sz w:val="20"/>
                <w:szCs w:val="20"/>
              </w:rPr>
              <w:t>0.</w:t>
            </w:r>
            <w:r w:rsidRPr="00DB467A">
              <w:rPr>
                <w:rFonts w:ascii="Arial" w:hAnsi="Arial" w:cs="Arial"/>
                <w:color w:val="000000"/>
                <w:sz w:val="20"/>
                <w:szCs w:val="20"/>
              </w:rPr>
              <w:t>202</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0.689</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0.671</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0.712</w:t>
            </w:r>
          </w:p>
        </w:tc>
        <w:tc>
          <w:tcPr>
            <w:tcW w:w="708" w:type="pct"/>
            <w:vAlign w:val="center"/>
          </w:tcPr>
          <w:p w:rsidR="00C60153" w:rsidRPr="00DB467A" w:rsidRDefault="00C60153" w:rsidP="00283CE4">
            <w:pPr>
              <w:jc w:val="center"/>
              <w:rPr>
                <w:rFonts w:ascii="Arial" w:hAnsi="Arial" w:cs="Arial"/>
                <w:color w:val="000000"/>
                <w:sz w:val="20"/>
                <w:szCs w:val="20"/>
              </w:rPr>
            </w:pPr>
            <w:r w:rsidRPr="00DB467A">
              <w:rPr>
                <w:rFonts w:ascii="Arial" w:hAnsi="Arial" w:cs="Arial"/>
                <w:color w:val="000000"/>
                <w:sz w:val="20"/>
                <w:szCs w:val="20"/>
              </w:rPr>
              <w:t>0.087</w:t>
            </w:r>
          </w:p>
        </w:tc>
      </w:tr>
    </w:tbl>
    <w:p w:rsidR="00C60153" w:rsidRPr="00B22176" w:rsidRDefault="00C60153" w:rsidP="00C60153">
      <w:pPr>
        <w:spacing w:line="360" w:lineRule="auto"/>
        <w:ind w:firstLine="567"/>
        <w:contextualSpacing/>
        <w:jc w:val="both"/>
        <w:rPr>
          <w:rFonts w:ascii="Arial" w:hAnsi="Arial" w:cs="Arial"/>
          <w:sz w:val="22"/>
          <w:szCs w:val="22"/>
          <w:shd w:val="clear" w:color="auto" w:fill="FFFFFF"/>
        </w:rPr>
      </w:pPr>
      <w:r w:rsidRPr="00B22176">
        <w:rPr>
          <w:rFonts w:ascii="Arial" w:hAnsi="Arial" w:cs="Arial"/>
          <w:sz w:val="22"/>
          <w:szCs w:val="22"/>
        </w:rPr>
        <w:t>Spearman korelasyon testi uygulanmıştır. r= Korelasyon katsayısı</w:t>
      </w:r>
      <w:r w:rsidRPr="00B22176">
        <w:rPr>
          <w:rFonts w:ascii="Arial" w:hAnsi="Arial" w:cs="Arial"/>
          <w:sz w:val="22"/>
          <w:szCs w:val="22"/>
          <w:shd w:val="clear" w:color="auto" w:fill="FFFFFF"/>
        </w:rPr>
        <w:t xml:space="preserve"> </w:t>
      </w:r>
    </w:p>
    <w:p w:rsidR="00C60153" w:rsidRDefault="00C60153" w:rsidP="00C60153">
      <w:pPr>
        <w:spacing w:line="360" w:lineRule="auto"/>
        <w:ind w:firstLine="567"/>
        <w:contextualSpacing/>
        <w:jc w:val="both"/>
        <w:rPr>
          <w:rFonts w:ascii="Arial" w:hAnsi="Arial" w:cs="Arial"/>
        </w:rPr>
      </w:pPr>
    </w:p>
    <w:p w:rsidR="00B22176" w:rsidRDefault="00B22176" w:rsidP="00C60153">
      <w:pPr>
        <w:spacing w:line="360" w:lineRule="auto"/>
        <w:ind w:firstLine="567"/>
        <w:contextualSpacing/>
        <w:jc w:val="both"/>
        <w:rPr>
          <w:rFonts w:ascii="Arial" w:hAnsi="Arial" w:cs="Arial"/>
        </w:rPr>
      </w:pPr>
    </w:p>
    <w:p w:rsidR="00B22176" w:rsidRDefault="00B22176" w:rsidP="00C60153">
      <w:pPr>
        <w:spacing w:line="360" w:lineRule="auto"/>
        <w:ind w:firstLine="567"/>
        <w:contextualSpacing/>
        <w:jc w:val="both"/>
        <w:rPr>
          <w:rFonts w:ascii="Arial" w:hAnsi="Arial" w:cs="Arial"/>
        </w:rPr>
      </w:pPr>
    </w:p>
    <w:p w:rsidR="00B22176" w:rsidRDefault="00B22176" w:rsidP="00C60153">
      <w:pPr>
        <w:spacing w:line="360" w:lineRule="auto"/>
        <w:ind w:firstLine="567"/>
        <w:contextualSpacing/>
        <w:jc w:val="both"/>
        <w:rPr>
          <w:rFonts w:ascii="Arial" w:hAnsi="Arial" w:cs="Arial"/>
        </w:rPr>
      </w:pPr>
    </w:p>
    <w:p w:rsidR="00B22176" w:rsidRDefault="00B22176" w:rsidP="00C60153">
      <w:pPr>
        <w:spacing w:line="360" w:lineRule="auto"/>
        <w:ind w:firstLine="567"/>
        <w:contextualSpacing/>
        <w:jc w:val="both"/>
        <w:rPr>
          <w:rFonts w:ascii="Arial" w:hAnsi="Arial" w:cs="Arial"/>
        </w:rPr>
      </w:pPr>
    </w:p>
    <w:p w:rsidR="00B22176" w:rsidRDefault="00B22176" w:rsidP="00C60153">
      <w:pPr>
        <w:spacing w:line="360" w:lineRule="auto"/>
        <w:ind w:firstLine="567"/>
        <w:contextualSpacing/>
        <w:jc w:val="both"/>
        <w:rPr>
          <w:rFonts w:ascii="Arial" w:hAnsi="Arial" w:cs="Arial"/>
        </w:rPr>
      </w:pPr>
    </w:p>
    <w:p w:rsidR="00B22176" w:rsidRDefault="00B22176" w:rsidP="00C60153">
      <w:pPr>
        <w:spacing w:line="360" w:lineRule="auto"/>
        <w:ind w:firstLine="567"/>
        <w:contextualSpacing/>
        <w:jc w:val="both"/>
        <w:rPr>
          <w:rFonts w:ascii="Arial" w:hAnsi="Arial" w:cs="Arial"/>
        </w:rPr>
      </w:pPr>
    </w:p>
    <w:p w:rsidR="00B22176" w:rsidRDefault="00B22176" w:rsidP="00C60153">
      <w:pPr>
        <w:spacing w:line="360" w:lineRule="auto"/>
        <w:ind w:firstLine="567"/>
        <w:contextualSpacing/>
        <w:jc w:val="both"/>
        <w:rPr>
          <w:rFonts w:ascii="Arial" w:hAnsi="Arial" w:cs="Arial"/>
        </w:rPr>
      </w:pPr>
    </w:p>
    <w:p w:rsidR="00B22176" w:rsidRDefault="00B22176" w:rsidP="00C60153">
      <w:pPr>
        <w:spacing w:line="360" w:lineRule="auto"/>
        <w:ind w:firstLine="567"/>
        <w:contextualSpacing/>
        <w:jc w:val="both"/>
        <w:rPr>
          <w:rFonts w:ascii="Arial" w:hAnsi="Arial" w:cs="Arial"/>
        </w:rPr>
      </w:pPr>
    </w:p>
    <w:p w:rsidR="00B22176" w:rsidRPr="00F53689" w:rsidRDefault="00B22176" w:rsidP="00C60153">
      <w:pPr>
        <w:spacing w:line="360" w:lineRule="auto"/>
        <w:ind w:firstLine="567"/>
        <w:contextualSpacing/>
        <w:jc w:val="both"/>
        <w:rPr>
          <w:rFonts w:ascii="Arial" w:hAnsi="Arial" w:cs="Arial"/>
        </w:rPr>
      </w:pPr>
    </w:p>
    <w:p w:rsidR="00C60153" w:rsidRPr="001900CD" w:rsidRDefault="00C60153" w:rsidP="00C60153">
      <w:pPr>
        <w:spacing w:line="360" w:lineRule="auto"/>
        <w:jc w:val="center"/>
        <w:rPr>
          <w:rFonts w:ascii="Arial" w:eastAsia="Arial" w:hAnsi="Arial" w:cs="Arial"/>
          <w:b/>
        </w:rPr>
      </w:pPr>
      <w:r w:rsidRPr="00960C86">
        <w:rPr>
          <w:rFonts w:ascii="Arial" w:eastAsia="Arial" w:hAnsi="Arial" w:cs="Arial"/>
          <w:b/>
        </w:rPr>
        <w:lastRenderedPageBreak/>
        <w:t>TARTIŞMA</w:t>
      </w:r>
    </w:p>
    <w:p w:rsidR="00BF1F00" w:rsidRPr="000B1F2A" w:rsidRDefault="00BF1F00" w:rsidP="00BF1F00">
      <w:pPr>
        <w:spacing w:line="360" w:lineRule="auto"/>
        <w:ind w:firstLine="720"/>
        <w:jc w:val="both"/>
        <w:rPr>
          <w:rFonts w:ascii="Arial" w:hAnsi="Arial" w:cs="Arial"/>
          <w:sz w:val="22"/>
          <w:szCs w:val="22"/>
        </w:rPr>
      </w:pPr>
      <w:r w:rsidRPr="000B1F2A">
        <w:rPr>
          <w:rFonts w:ascii="Arial" w:hAnsi="Arial" w:cs="Arial"/>
          <w:sz w:val="22"/>
          <w:szCs w:val="22"/>
        </w:rPr>
        <w:t xml:space="preserve">Önemli bir sağlık sorunu olmasına rağmen DEHB’nin etiyolojisi tam olarak aydınlatılamamıştır </w:t>
      </w:r>
      <w:r w:rsidR="00BC3BBB" w:rsidRPr="000B1F2A">
        <w:rPr>
          <w:rFonts w:ascii="Arial" w:hAnsi="Arial" w:cs="Arial"/>
          <w:sz w:val="22"/>
          <w:szCs w:val="22"/>
        </w:rPr>
        <w:fldChar w:fldCharType="begin" w:fldLock="1"/>
      </w:r>
      <w:r w:rsidRPr="000B1F2A">
        <w:rPr>
          <w:rFonts w:ascii="Arial" w:hAnsi="Arial" w:cs="Arial"/>
          <w:sz w:val="22"/>
          <w:szCs w:val="22"/>
        </w:rPr>
        <w:instrText>ADDIN CSL_CITATION { "citationItems" : [ { "id" : "ITEM-1", "itemData" : { "DOI" : "10.1016/j.biopsych.2009.05.032", "ISBN" : "1873-2402 (Electronic)\\r0006-3223 (Linking)", "PMID" : "19596120", "abstract" : "BACKGROUND: It is widely considered that exposure to maternal cigarette smoking in pregnancy has risk effects on offspring attention-deficit/hyperactivity disorder (ADHD). This view is supported by consistent observations of association. It is, however, impossible to be certain of adequate control for confounding factors with observational designs. We use a novel \"natural experiment\" design that separates prenatal environmental from alternative inherited effects. METHODS: The design is based on offspring conceived with Assisted Reproductive Technologies recruited from 20 fertility clinics in the United Kingdom and United States who were: 1) genetically unrelated, and 2) related to the woman who underwent the pregnancy. If maternal smoking in pregnancy has true risk effects, association will be observed with ADHD regardless of whether mother and offspring are related or unrelated. Data were obtained from 815 families of children ages 4 years-11 years with parent questionnaires and antenatal records. Birth weight was used as a comparison outcome. The key outcome considered was child ADHD symptoms. RESULTS: Association between smoking in pregnancy and lower birth weight was found in unrelated and related mother-offspring pairs, consistent with a true risk effect. However, for ADHD symptoms, the magnitude of association was significantly higher in the related pairs (beta = .102, p &lt; .02) than in the unrelated pairs (beta= -.052, p &gt; .10), suggesting inherited effects. CONCLUSIONS: Our findings highlight the need to test causal hypotheses with genetically sensitive designs. Inherited confounds are not necessarily removed by statistical controls. The previously observed association between maternal smoking in pregnancy and ADHD might represent an inherited effect.", "author" : [ { "dropping-particle" : "", "family" : "Thapar", "given" : "A", "non-dropping-particle" : "", "parse-names" : false, "suffix" : "" }, { "dropping-particle" : "", "family" : "Rice", "given" : "F", "non-dropping-particle" : "", "parse-names" : false, "suffix" : "" }, { "dropping-particle" : "", "family" : "Hay", "given" : "D", "non-dropping-particle" : "", "parse-names" : false, "suffix" : "" }, { "dropping-particle" : "", "family" : "Boivin", "given" : "J", "non-dropping-particle" : "", "parse-names" : false, "suffix" : "" }, { "dropping-particle" : "", "family" : "Langley", "given" : "K", "non-dropping-particle" : "", "parse-names" : false, "suffix" : "" }, { "dropping-particle" : "", "family" : "Bree", "given" : "M", "non-dropping-particle" : "van den", "parse-names" : false, "suffix" : "" }, { "dropping-particle" : "", "family" : "Rutter", "given" : "M", "non-dropping-particle" : "", "parse-names" : false, "suffix" : "" }, { "dropping-particle" : "", "family" : "Harold", "given" : "G", "non-dropping-particle" : "", "parse-names" : false, "suffix" : "" } ], "container-title" : "Biological Psychiatry", "id" : "ITEM-1", "issue" : "8", "issued" : { "date-parts" : [ [ "2009" ] ] }, "page" : "722-727", "title" : "Prenatal smoking might not cause attention-deficit/hyperactivity disorder: evidence from a novel design", "type" : "article-journal", "volume" : "66" }, "uris" : [ "http://www.mendeley.com/documents/?uuid=3a26096a-05a0-40ba-8306-85968c89c65e" ] } ], "mendeley" : { "formattedCitation" : "(61)", "plainTextFormattedCitation" : "(61)", "previouslyFormattedCitation" : "(61)" }, "properties" : { "noteIndex" : 52 }, "schema" : "https://github.com/citation-style-language/schema/raw/master/csl-citation.json" }</w:instrText>
      </w:r>
      <w:r w:rsidR="00BC3BBB" w:rsidRPr="000B1F2A">
        <w:rPr>
          <w:rFonts w:ascii="Arial" w:hAnsi="Arial" w:cs="Arial"/>
          <w:sz w:val="22"/>
          <w:szCs w:val="22"/>
        </w:rPr>
        <w:fldChar w:fldCharType="separate"/>
      </w:r>
      <w:r w:rsidRPr="000B1F2A">
        <w:rPr>
          <w:rFonts w:ascii="Arial" w:hAnsi="Arial" w:cs="Arial"/>
          <w:noProof/>
          <w:sz w:val="22"/>
          <w:szCs w:val="22"/>
        </w:rPr>
        <w:t>(61)</w:t>
      </w:r>
      <w:r w:rsidR="00BC3BBB" w:rsidRPr="000B1F2A">
        <w:rPr>
          <w:rFonts w:ascii="Arial" w:hAnsi="Arial" w:cs="Arial"/>
          <w:sz w:val="22"/>
          <w:szCs w:val="22"/>
        </w:rPr>
        <w:fldChar w:fldCharType="end"/>
      </w:r>
      <w:r w:rsidRPr="000B1F2A">
        <w:rPr>
          <w:rFonts w:ascii="Arial" w:hAnsi="Arial" w:cs="Arial"/>
          <w:sz w:val="22"/>
          <w:szCs w:val="22"/>
        </w:rPr>
        <w:t xml:space="preserve">. Ayrıca </w:t>
      </w:r>
      <w:r w:rsidRPr="000B1F2A">
        <w:rPr>
          <w:rFonts w:ascii="Arial" w:hAnsi="Arial" w:cs="Arial"/>
          <w:sz w:val="22"/>
          <w:szCs w:val="22"/>
          <w:shd w:val="clear" w:color="auto" w:fill="FFFFFF"/>
        </w:rPr>
        <w:t>bugüne kadar güvenilir bir DEHB biomarkerı tanımlanmamıştır</w:t>
      </w:r>
      <w:r w:rsidRPr="000B1F2A">
        <w:rPr>
          <w:rFonts w:ascii="Arial" w:hAnsi="Arial" w:cs="Arial"/>
          <w:sz w:val="22"/>
          <w:szCs w:val="22"/>
        </w:rPr>
        <w:t xml:space="preserve"> </w:t>
      </w:r>
      <w:r w:rsidR="00BC3BBB" w:rsidRPr="000B1F2A">
        <w:rPr>
          <w:rFonts w:ascii="Arial" w:hAnsi="Arial" w:cs="Arial"/>
          <w:sz w:val="22"/>
          <w:szCs w:val="22"/>
        </w:rPr>
        <w:fldChar w:fldCharType="begin" w:fldLock="1"/>
      </w:r>
      <w:r w:rsidRPr="000B1F2A">
        <w:rPr>
          <w:rFonts w:ascii="Arial" w:hAnsi="Arial" w:cs="Arial"/>
          <w:sz w:val="22"/>
          <w:szCs w:val="22"/>
        </w:rPr>
        <w:instrText>ADDIN CSL_CITATION { "citationItems" : [ { "id" : "ITEM-1", "itemData" : { "DOI" : "10.3109/15622975.2012.690535", "ISSN" : "1562-2975", "PMID" : "22834452", "abstract" : "OBJECTIVE Psychiatric \"nosology\" is largely based on clinical phenomenology using convention-based diagnostic systems not necessarily reflecting neurobiological pathomechanisms. While progress has been made regarding its molecular biology and neuropathology, the phenotypic characterization of ADHD has not improved. Thus, validated biomarkers, more directly linked to the underlying pathology, could constitute an objective measure for the condition. METHOD The task force on biological markers of the World Federation of Societies of Biological Psychiatry (WFSBP) and the World Federation of ADHD commissioned this paper to develop a consensus report on potential biomarkers of ADHD. The criteria for biomarker-candidate evaluation were: (1) sensitivity &gt;80%, (2) specificity &gt;80%, (3) the candidate is reliable, reproducible, inexpensive, non-invasive, easy to use, and (4) confirmed by at least two independent studies in peer-reviewed journals conducted by qualified investigators. RESULTS No reliable ADHD biomarker has been described to date, but some promising candidates (e.g., olfactory sensitivity, substantial echogenicity) exist. A problem in the development of ADHD markers is sample heterogeneity due to aetiological and phenotypic complexity and age-dependent co-morbidities. CONCLUSIONS Most likely, no single ADHD biomarker can be identified. However, the use of a combination of markers may help to reduce heterogeneity and to identify homogeneous subtypes of ADHD.", "author" : [ { "dropping-particle" : "", "family" : "Thome", "given" : "Johannes", "non-dropping-particle" : "", "parse-names" : false, "suffix" : "" }, { "dropping-particle" : "", "family" : "Ehlis", "given" : "Ann-Christine", "non-dropping-particle" : "", "parse-names" : false, "suffix" : "" }, { "dropping-particle" : "", "family" : "Fallgatter", "given" : "Andreas J.", "non-dropping-particle" : "", "parse-names" : false, "suffix" : "" }, { "dropping-particle" : "", "family" : "Krauel", "given" : "Kerstin", "non-dropping-particle" : "", "parse-names" : false, "suffix" : "" }, { "dropping-particle" : "", "family" : "Lange", "given" : "Klaus W.", "non-dropping-particle" : "", "parse-names" : false, "suffix" : "" }, { "dropping-particle" : "", "family" : "Riederer", "given" : "Peter", "non-dropping-particle" : "", "parse-names" : false, "suffix" : "" }, { "dropping-particle" : "", "family" : "Romanos", "given" : "Marcel", "non-dropping-particle" : "", "parse-names" : false, "suffix" : "" }, { "dropping-particle" : "", "family" : "Taurines", "given" : "Regina", "non-dropping-particle" : "", "parse-names" : false, "suffix" : "" }, { "dropping-particle" : "", "family" : "Tucha", "given" : "Oliver", "non-dropping-particle" : "", "parse-names" : false, "suffix" : "" }, { "dropping-particle" : "", "family" : "Uzbekov", "given" : "Marat", "non-dropping-particle" : "", "parse-names" : false, "suffix" : "" }, { "dropping-particle" : "", "family" : "Gerlach", "given" : "Manfred", "non-dropping-particle" : "", "parse-names" : false, "suffix" : "" } ], "container-title" : "The World Journal of Biological Psychiatry", "id" : "ITEM-1", "issue" : "5", "issued" : { "date-parts" : [ [ "2012", "7", "27" ] ] }, "page" : "379-400", "title" : "Biomarkers for attention-deficit/hyperactivity disorder (ADHD). A consensus report of the WFSBP task force on biological markers and the World Federation of ADHD", "type" : "article-journal", "volume" : "13" }, "uris" : [ "http://www.mendeley.com/documents/?uuid=01baac7b-c842-34e6-8465-86dc00ac1480" ] } ], "mendeley" : { "formattedCitation" : "(264)", "plainTextFormattedCitation" : "(264)", "previouslyFormattedCitation" : "(264)" }, "properties" : { "noteIndex" : 52 }, "schema" : "https://github.com/citation-style-language/schema/raw/master/csl-citation.json" }</w:instrText>
      </w:r>
      <w:r w:rsidR="00BC3BBB" w:rsidRPr="000B1F2A">
        <w:rPr>
          <w:rFonts w:ascii="Arial" w:hAnsi="Arial" w:cs="Arial"/>
          <w:sz w:val="22"/>
          <w:szCs w:val="22"/>
        </w:rPr>
        <w:fldChar w:fldCharType="separate"/>
      </w:r>
      <w:r w:rsidRPr="000B1F2A">
        <w:rPr>
          <w:rFonts w:ascii="Arial" w:hAnsi="Arial" w:cs="Arial"/>
          <w:noProof/>
          <w:sz w:val="22"/>
          <w:szCs w:val="22"/>
        </w:rPr>
        <w:t>(264)</w:t>
      </w:r>
      <w:r w:rsidR="00BC3BBB" w:rsidRPr="000B1F2A">
        <w:rPr>
          <w:rFonts w:ascii="Arial" w:hAnsi="Arial" w:cs="Arial"/>
          <w:sz w:val="22"/>
          <w:szCs w:val="22"/>
        </w:rPr>
        <w:fldChar w:fldCharType="end"/>
      </w:r>
      <w:r w:rsidRPr="000B1F2A">
        <w:rPr>
          <w:rFonts w:ascii="Arial" w:hAnsi="Arial" w:cs="Arial"/>
          <w:sz w:val="22"/>
          <w:szCs w:val="22"/>
        </w:rPr>
        <w:t>. S</w:t>
      </w:r>
      <w:r w:rsidRPr="000B1F2A">
        <w:rPr>
          <w:rFonts w:ascii="Arial" w:hAnsi="Arial" w:cs="Arial"/>
          <w:sz w:val="22"/>
          <w:szCs w:val="22"/>
          <w:shd w:val="clear" w:color="auto" w:fill="FFFFFF"/>
        </w:rPr>
        <w:t xml:space="preserve">on zamanlarda, miRNA'lar çeşitli hastalıklar için yeni teşhis biomarkerları olarak ortaya çıkmıştır </w:t>
      </w:r>
      <w:r w:rsidR="00BC3BBB" w:rsidRPr="000B1F2A">
        <w:rPr>
          <w:rFonts w:ascii="Arial" w:hAnsi="Arial" w:cs="Arial"/>
          <w:sz w:val="22"/>
          <w:szCs w:val="22"/>
          <w:shd w:val="clear" w:color="auto" w:fill="FFFFFF"/>
        </w:rPr>
        <w:fldChar w:fldCharType="begin" w:fldLock="1"/>
      </w:r>
      <w:r w:rsidRPr="000B1F2A">
        <w:rPr>
          <w:rFonts w:ascii="Arial" w:hAnsi="Arial" w:cs="Arial"/>
          <w:sz w:val="22"/>
          <w:szCs w:val="22"/>
          <w:shd w:val="clear" w:color="auto" w:fill="FFFFFF"/>
        </w:rPr>
        <w:instrText>ADDIN CSL_CITATION { "citationItems" : [ { "id" : "ITEM-1", "itemData" : { "DOI" : "10.1155/2009/871313", "ISBN" : "1110-7243", "ISSN" : "11107243", "PMID" : "19707536", "abstract" : "In few years our understanding of microRNA (miRNA) biogenesis, molecular mechanisms by which miRNAs regulate gene expression, and the functional roles of miRNAs has been expanded. Interestingly, numerous miRNAs are expressed in a spatially and temporally controlled manner in the nervous system, suggesting that their posttrascriptional regulation may be particularly relevant in neural development and function. MiRNA studies in neurobiology showed their involvement in synaptic plasticity and brain diseases. In this review ,correlations between miRNA-mediated gene silencing and Alzheimer's, Parkinson's, and other neurodegenerative diseases will be discussed. Molecular and cellular neurobiological studies of the miRNAs in neurodegeneration represent the exploration of a new Frontier of miRNAs biology and the potential development of new diagnostic tests and genetic therapies for neurodegenerative diseases.", "author" : [ { "dropping-particle" : "", "family" : "Barbato", "given" : "Christian", "non-dropping-particle" : "", "parse-names" : false, "suffix" : "" }, { "dropping-particle" : "", "family" : "Ruberti", "given" : "Francesca", "non-dropping-particle" : "", "parse-names" : false, "suffix" : "" }, { "dropping-particle" : "", "family" : "Cogoni", "given" : "Carlo", "non-dropping-particle" : "", "parse-names" : false, "suffix" : "" } ], "container-title" : "Journal of Biomedicine and Biotechnology", "id" : "ITEM-1", "issued" : { "date-parts" : [ [ "2009" ] ] }, "title" : "Searching for MIND: MicroRNAs in neurodegenerative diseases", "type" : "article-journal", "volume" : "2009" }, "uris" : [ "http://www.mendeley.com/documents/?uuid=05743c60-c0cf-44a0-aacb-a51572f7c042" ] } ], "mendeley" : { "formattedCitation" : "(265)", "plainTextFormattedCitation" : "(265)", "previouslyFormattedCitation" : "(265)" }, "properties" : { "noteIndex" : 52 }, "schema" : "https://github.com/citation-style-language/schema/raw/master/csl-citation.json" }</w:instrText>
      </w:r>
      <w:r w:rsidR="00BC3BBB" w:rsidRPr="000B1F2A">
        <w:rPr>
          <w:rFonts w:ascii="Arial" w:hAnsi="Arial" w:cs="Arial"/>
          <w:sz w:val="22"/>
          <w:szCs w:val="22"/>
          <w:shd w:val="clear" w:color="auto" w:fill="FFFFFF"/>
        </w:rPr>
        <w:fldChar w:fldCharType="separate"/>
      </w:r>
      <w:r w:rsidRPr="000B1F2A">
        <w:rPr>
          <w:rFonts w:ascii="Arial" w:hAnsi="Arial" w:cs="Arial"/>
          <w:noProof/>
          <w:sz w:val="22"/>
          <w:szCs w:val="22"/>
          <w:shd w:val="clear" w:color="auto" w:fill="FFFFFF"/>
        </w:rPr>
        <w:t>(265)</w:t>
      </w:r>
      <w:r w:rsidR="00BC3BBB" w:rsidRPr="000B1F2A">
        <w:rPr>
          <w:rFonts w:ascii="Arial" w:hAnsi="Arial" w:cs="Arial"/>
          <w:sz w:val="22"/>
          <w:szCs w:val="22"/>
          <w:shd w:val="clear" w:color="auto" w:fill="FFFFFF"/>
        </w:rPr>
        <w:fldChar w:fldCharType="end"/>
      </w:r>
      <w:r w:rsidRPr="000B1F2A">
        <w:rPr>
          <w:rFonts w:ascii="Arial" w:hAnsi="Arial" w:cs="Arial"/>
          <w:sz w:val="22"/>
          <w:szCs w:val="22"/>
          <w:shd w:val="clear" w:color="auto" w:fill="FFFFFF"/>
        </w:rPr>
        <w:t>.</w:t>
      </w:r>
      <w:r w:rsidRPr="000B1F2A">
        <w:rPr>
          <w:rFonts w:ascii="Arial" w:hAnsi="Arial" w:cs="Arial"/>
          <w:sz w:val="22"/>
          <w:szCs w:val="22"/>
        </w:rPr>
        <w:t xml:space="preserve"> DEHB</w:t>
      </w:r>
      <w:r w:rsidR="00BD4186">
        <w:rPr>
          <w:rFonts w:ascii="Arial" w:hAnsi="Arial" w:cs="Arial"/>
          <w:sz w:val="22"/>
          <w:szCs w:val="22"/>
        </w:rPr>
        <w:t>’nin</w:t>
      </w:r>
      <w:r w:rsidRPr="000B1F2A">
        <w:rPr>
          <w:rFonts w:ascii="Arial" w:hAnsi="Arial" w:cs="Arial"/>
          <w:sz w:val="22"/>
          <w:szCs w:val="22"/>
        </w:rPr>
        <w:t xml:space="preserve"> etiyolojisinde miRNA’ların rolü olabileceğine dair de veriler ortaya konmuştur </w:t>
      </w:r>
      <w:r w:rsidR="00BC3BBB" w:rsidRPr="000B1F2A">
        <w:rPr>
          <w:rFonts w:ascii="Arial" w:hAnsi="Arial" w:cs="Arial"/>
          <w:sz w:val="22"/>
          <w:szCs w:val="22"/>
        </w:rPr>
        <w:fldChar w:fldCharType="begin" w:fldLock="1"/>
      </w:r>
      <w:r w:rsidR="0037573A">
        <w:rPr>
          <w:rFonts w:ascii="Arial" w:hAnsi="Arial" w:cs="Arial"/>
          <w:sz w:val="22"/>
          <w:szCs w:val="22"/>
        </w:rPr>
        <w:instrText>ADDIN CSL_CITATION { "citationItems" : [ { "id" : "ITEM-1", "itemData" : { "DOI" : "10.1007/s12402-017-0232-y", "ISSN" : "18666647", "PMID" : "28493018", "abstract" : "Attention deficit hyperactivity disorder (ADHD) is a neuropsychiatric disorder whose aetiology still remains elusive. Nevertheless, evidence supports a high genetic contribution that interacts with environmental factors, also known to modulate epigenetic processes. These epigenetic modulators are a class of non-coding RNAs, microRNAs (miRNAs), known as post-transcriptional regulators, which have emerged as prospective players in neuropsychiatric disorders since they play a role in brain development, synapse formation, and the fine-tuning of genes underlying synaptic and memory formation. Here, we review the current literature following a systematic search up until August 2016. The keywords used were \"ADHD\", \"attention deficit hyperactivity disorder\", \"attention hyperactivity\" in combination with \"miRNA\" or \"microRNA\". A total of 9 studies out of 34 met inclusion criteria. The results provide preliminary information, shedding light on two important aspects. First, it depicts that miRNAs modulate expression of genes (BDNF, DAT1, HTR2C, HTR1B, SNAP-25) linked to ADHD aetiology. Dysregulation of miRNAs affects regulatory mechanisms of aforementioned genes, which may affect neurodevelopmental processes leading to alterations. Secondly, altered peripheral miRNA levels are observed in both ADHD animal model and humans, suggesting a notion of utilizing circulatory miRNA in disease diagnosis. Therefore, deciphering the role of miRNAs in ADHD seems a promising step in understanding its aetiology.", "author" : [ { "dropping-particle" : "", "family" : "Srivastav", "given" : "Saurabh", "non-dropping-particle" : "", "parse-names" : false, "suffix" : "" }, { "dropping-particle" : "", "family" : "Walitza", "given" : "Susanne", "non-dropping-particle" : "", "parse-names" : false, "suffix" : "" }, { "dropping-particle" : "", "family" : "Gr\u00fcnblatt", "given" : "Edna", "non-dropping-particle" : "", "parse-names" : false, "suffix" : "" } ], "container-title" : "ADHD Attention Deficit and Hyperactivity Disorders", "id" : "ITEM-1", "issued" : { "date-parts" : [ [ "2017" ] ] }, "page" : "1-15", "title" : "Emerging role of miRNA in attention deficit hyperactivity disorder: a systematic review", "type" : "article-journal" }, "uris" : [ "http://www.mendeley.com/documents/?uuid=b9d3cf34-4998-462f-a191-23291ffc9e01" ] } ], "mendeley" : { "formattedCitation" : "(221)", "plainTextFormattedCitation" : "(221)", "previouslyFormattedCitation" : "(221)" }, "properties" : { "noteIndex" : 73 }, "schema" : "https://github.com/citation-style-language/schema/raw/master/csl-citation.json" }</w:instrText>
      </w:r>
      <w:r w:rsidR="00BC3BBB" w:rsidRPr="000B1F2A">
        <w:rPr>
          <w:rFonts w:ascii="Arial" w:hAnsi="Arial" w:cs="Arial"/>
          <w:sz w:val="22"/>
          <w:szCs w:val="22"/>
        </w:rPr>
        <w:fldChar w:fldCharType="separate"/>
      </w:r>
      <w:r w:rsidRPr="000B1F2A">
        <w:rPr>
          <w:rFonts w:ascii="Arial" w:hAnsi="Arial" w:cs="Arial"/>
          <w:noProof/>
          <w:sz w:val="22"/>
          <w:szCs w:val="22"/>
        </w:rPr>
        <w:t>(221)</w:t>
      </w:r>
      <w:r w:rsidR="00BC3BBB" w:rsidRPr="000B1F2A">
        <w:rPr>
          <w:rFonts w:ascii="Arial" w:hAnsi="Arial" w:cs="Arial"/>
          <w:sz w:val="22"/>
          <w:szCs w:val="22"/>
        </w:rPr>
        <w:fldChar w:fldCharType="end"/>
      </w:r>
      <w:r w:rsidRPr="000B1F2A">
        <w:rPr>
          <w:rFonts w:ascii="Arial" w:hAnsi="Arial" w:cs="Arial"/>
          <w:sz w:val="22"/>
          <w:szCs w:val="22"/>
        </w:rPr>
        <w:t xml:space="preserve">. Beyin dokusunun erişilebilir olmaması nedeniyle ve de, klinik çalışmalarda kolay elde edilebildiği için, araştırmalarda çoğunlukla serum / plazma ve mononükleer hücreleri içeren periferik kan örnekleri kullanılmıştır. Çalışmalarda periferik kandaki mononükleer hücrelerdeki transkripsiyonel değişikliklerin beynin moleküler ve hücresel değişimlerini yansıttığı gösterilmiştir </w:t>
      </w:r>
      <w:r w:rsidR="00BC3BBB" w:rsidRPr="000B1F2A">
        <w:rPr>
          <w:rFonts w:ascii="Arial" w:hAnsi="Arial" w:cs="Arial"/>
          <w:sz w:val="22"/>
          <w:szCs w:val="22"/>
        </w:rPr>
        <w:fldChar w:fldCharType="begin" w:fldLock="1"/>
      </w:r>
      <w:r w:rsidR="0037573A">
        <w:rPr>
          <w:rFonts w:ascii="Arial" w:hAnsi="Arial" w:cs="Arial"/>
          <w:sz w:val="22"/>
          <w:szCs w:val="22"/>
        </w:rPr>
        <w:instrText>ADDIN CSL_CITATION { "citationItems" : [ { "id" : "ITEM-1", "itemData" : { "DOI" : "10.1007/s12031-015-0503-z", "ISBN" : "1559-1166 (Electronic)\\r0895-8696 (Linking)", "PMID" : "25665552", "abstract" : "Schizophrenia (SZ) is a debilitating psychotic disorder of unknown etiology, and the diagnosis is essentially based on clinical symptoms. So it is urgent to find an objective and feasible clinical diagnostic index for SZ. MicroRNA array was performed in peripheral blood mononuclear cells (PBMCs) obtained from young SZ patients and gender-, age-, and ethnicity-matched healthy controls. Then, real-time quantitative reverse transcription polymerase chain reaction (qRT-PCR) was used to verify the top 10 microRNAs (miRNAs) with the highest fold change values in 55 SZ patients and 28 healthy controls, and 9 miRNAs demonstrate significant differences in expression levels (P &lt; 0.01). Receiver operating characteristic (ROC) curve analysis showed that the combining area under the ROC curve (AUC) of the nine miRNAs was 0.973 (95 % confidence interval (CI): 0.945-1.000). miRNA target gene prediction and functional annotation analysis showed that there were significant enrichments in several gene ontology (GO) biological process and Kyoto encyclopedia of genes and genomes (KEGG) pathways associated with nervous system and brain functions, suggesting that the differentially expressed miRNAs may be involved in mechanism of SZ. We conclude that altered expression of miRNAs in PMBCs might be involved in young SZ pathogenesis and may serve as noninvasive biomarker for SZ diagnosis.", "author" : [ { "dropping-particle" : "", "family" : "Fan", "given" : "H M", "non-dropping-particle" : "", "parse-names" : false, "suffix" : "" }, { "dropping-particle" : "", "family" : "Sun", "given" : "X Y", "non-dropping-particle" : "", "parse-names" : false, "suffix" : "" }, { "dropping-particle" : "", "family" : "Niu", "given" : "W", "non-dropping-particle" : "", "parse-names" : false, "suffix" : "" }, { "dropping-particle" : "", "family" : "Zhao", "given" : "L", "non-dropping-particle" : "", "parse-names" : false, "suffix" : "" }, { "dropping-particle" : "", "family" : "Zhang", "given" : "Q L", "non-dropping-particle" : "", "parse-names" : false, "suffix" : "" }, { "dropping-particle" : "", "family" : "Li", "given" : "W S", "non-dropping-particle" : "", "parse-names" : false, "suffix" : "" }, { "dropping-particle" : "", "family" : "Zhong", "given" : "A F", "non-dropping-particle" : "", "parse-names" : false, "suffix" : "" }, { "dropping-particle" : "", "family" : "Zhang", "given" : "L Y", "non-dropping-particle" : "", "parse-names" : false, "suffix" : "" }, { "dropping-particle" : "", "family" : "Lu", "given" : "J", "non-dropping-particle" : "", "parse-names" : false, "suffix" : "" } ], "container-title" : "J Mol Neurosci", "id" : "ITEM-1", "issued" : { "date-parts" : [ [ "2015" ] ] }, "title" : "Altered microRNA Expression in Peripheral Blood Mononuclear Cells from Young Patients with Schizophrenia", "type" : "article-journal" }, "uris" : [ "http://www.mendeley.com/documents/?uuid=f80dce3c-02d6-4fed-86b6-1b31529ee6bc" ] }, { "id" : "ITEM-2", "itemData" : { "DOI" : "NEL290108A07 [pii]", "ISBN" : "0172-780X; 0172-780X", "ISSN" : "0172780X", "PMID" : "18283265", "abstract" : "The biological attributes of affective disorders and factors which are able to predict a response to treatment with antidepressants have not been identified sufficiently. A number of biochemical variables in peripheral blood constituents have been tested for this purpose, as a consequence of the lack of availability of human brain tissue. At first, the biological attributes of mental disorders were sought at the level of concentrations of neurotransmitters and their metabolites or precursors. Later on, attention shifted to receptor systems. Since the 1990s, intracellular processes influenced by an illness or its treatment with psychopharmaceuticals have been at the forefront of interest. Interest in biological predictors of treatment with antidepressants has reappeared in recent years, thanks to new laboratory techniques which make it possible to monitor cellular processes associated with the transmission of nerve signals in the brain. These processes can also be studied in plasma and blood elements, especially lymphocytes and platelets. The selection of the qualities to which attention is paid can be derived from today's most widely discussed biochemical hypotheses of affective disorders, especially the monoamine hypothesis and the molecular and cellular theory of depression. Mitochondrial enzymes can also play an important role in the pathophysiology of depression and the effects of antidepressants. In this paper, we sum up the cellular, neurochemical, neuroendocrine, genetic, and neuroimmunological qualities which can be measured in peripheral blood and which appear to be indicators of affective disorders, or parameters which make it possible to predict therapeutic responses to antidepressant administration.", "author" : [ { "dropping-particle" : "", "family" : "Fisar", "given" : "Zdenek", "non-dropping-particle" : "", "parse-names" : false, "suffix" : "" }, { "dropping-particle" : "", "family" : "Raboch", "given" : "Jir??", "non-dropping-particle" : "", "parse-names" : false, "suffix" : "" } ], "container-title" : "Neuro endocrinology letters", "id" : "ITEM-2", "issue" : "1", "issued" : { "date-parts" : [ [ "2008" ] ] }, "page" : "17-28", "title" : "Depression, antidepressants, and peripheral blood components.", "type" : "article-journal", "volume" : "29" }, "uris" : [ "http://www.mendeley.com/documents/?uuid=6328c507-5e18-43f2-aaf0-b63e22e43e3f" ] } ], "mendeley" : { "formattedCitation" : "(266, 267)", "plainTextFormattedCitation" : "(266, 267)", "previouslyFormattedCitation" : "(266, 267)" }, "properties" : { "noteIndex" : 52 }, "schema" : "https://github.com/citation-style-language/schema/raw/master/csl-citation.json" }</w:instrText>
      </w:r>
      <w:r w:rsidR="00BC3BBB" w:rsidRPr="000B1F2A">
        <w:rPr>
          <w:rFonts w:ascii="Arial" w:hAnsi="Arial" w:cs="Arial"/>
          <w:sz w:val="22"/>
          <w:szCs w:val="22"/>
        </w:rPr>
        <w:fldChar w:fldCharType="separate"/>
      </w:r>
      <w:r w:rsidRPr="000B1F2A">
        <w:rPr>
          <w:rFonts w:ascii="Arial" w:hAnsi="Arial" w:cs="Arial"/>
          <w:noProof/>
          <w:sz w:val="22"/>
          <w:szCs w:val="22"/>
        </w:rPr>
        <w:t>(266, 267)</w:t>
      </w:r>
      <w:r w:rsidR="00BC3BBB" w:rsidRPr="000B1F2A">
        <w:rPr>
          <w:rFonts w:ascii="Arial" w:hAnsi="Arial" w:cs="Arial"/>
          <w:sz w:val="22"/>
          <w:szCs w:val="22"/>
        </w:rPr>
        <w:fldChar w:fldCharType="end"/>
      </w:r>
      <w:r w:rsidRPr="000B1F2A">
        <w:rPr>
          <w:rFonts w:ascii="Arial" w:hAnsi="Arial" w:cs="Arial"/>
          <w:sz w:val="22"/>
          <w:szCs w:val="22"/>
        </w:rPr>
        <w:t xml:space="preserve">. Ayrıca </w:t>
      </w:r>
      <w:r w:rsidRPr="000B1F2A">
        <w:rPr>
          <w:rFonts w:ascii="Arial" w:hAnsi="Arial" w:cs="Arial"/>
          <w:sz w:val="22"/>
          <w:szCs w:val="22"/>
          <w:shd w:val="clear" w:color="auto" w:fill="FFFFFF"/>
        </w:rPr>
        <w:t xml:space="preserve">miRNA'ların insan plazmasında endojen RNaz aktivitesinden korunmuş olarak kararlı bir biçimde bulundukları gösterilmiştir </w:t>
      </w:r>
      <w:r w:rsidR="00BC3BBB" w:rsidRPr="000B1F2A">
        <w:rPr>
          <w:rFonts w:ascii="Arial" w:hAnsi="Arial" w:cs="Arial"/>
          <w:sz w:val="22"/>
          <w:szCs w:val="22"/>
          <w:shd w:val="clear" w:color="auto" w:fill="FFFFFF"/>
        </w:rPr>
        <w:fldChar w:fldCharType="begin" w:fldLock="1"/>
      </w:r>
      <w:r w:rsidRPr="000B1F2A">
        <w:rPr>
          <w:rFonts w:ascii="Arial" w:hAnsi="Arial" w:cs="Arial"/>
          <w:sz w:val="22"/>
          <w:szCs w:val="22"/>
          <w:shd w:val="clear" w:color="auto" w:fill="FFFFFF"/>
        </w:rPr>
        <w:instrText>ADDIN CSL_CITATION { "citationItems" : [ { "id" : "ITEM-1", "itemData" : { "DOI" : "10.1073/pnas.0804549105", "ISBN" : "1091-6490 (Electronic)\\n0027-8424 (Linking)", "ISSN" : "0027-8424", "PMID" : "18663219", "abstract" : "Improved approaches for the detection of common epithelial malignancies are urgently needed to reduce the worldwide morbidity and mortality caused by cancer. MicroRNAs (miRNAs) are small ( approximately 22 nt) regulatory RNAs that are frequently dysregulated in cancer and have shown promise as tissue-based markers for cancer classification and prognostication. We show here that miRNAs are present in human plasma in a remarkably stable form that is protected from endogenous RNase activity. miRNAs originating from human prostate cancer xenografts enter the circulation, are readily measured in plasma, and can robustly distinguish xenografted mice from controls. This concept extends to cancer in humans, where serum levels of miR-141 (a miRNA expressed in prostate cancer) can distinguish patients with prostate cancer from healthy controls. Our results establish the measurement of tumor-derived miRNAs in serum or plasma as an important approach for the blood-based detection of human cancer.", "author" : [ { "dropping-particle" : "", "family" : "Mitchell", "given" : "P. S.", "non-dropping-particle" : "", "parse-names" : false, "suffix" : "" }, { "dropping-particle" : "", "family" : "Parkin", "given" : "R. K.", "non-dropping-particle" : "", "parse-names" : false, "suffix" : "" }, { "dropping-particle" : "", "family" : "Kroh", "given" : "E. M.", "non-dropping-particle" : "", "parse-names" : false, "suffix" : "" }, { "dropping-particle" : "", "family" : "Fritz", "given" : "B. R.", "non-dropping-particle" : "", "parse-names" : false, "suffix" : "" }, { "dropping-particle" : "", "family" : "Wyman", "given" : "S. K.", "non-dropping-particle" : "", "parse-names" : false, "suffix" : "" }, { "dropping-particle" : "", "family" : "Pogosova-Agadjanyan", "given" : "E. L.", "non-dropping-particle" : "", "parse-names" : false, "suffix" : "" }, { "dropping-particle" : "", "family" : "Peterson", "given" : "A.", "non-dropping-particle" : "", "parse-names" : false, "suffix" : "" }, { "dropping-particle" : "", "family" : "Noteboom", "given" : "J.", "non-dropping-particle" : "", "parse-names" : false, "suffix" : "" }, { "dropping-particle" : "", "family" : "O'Briant", "given" : "K. C.", "non-dropping-particle" : "", "parse-names" : false, "suffix" : "" }, { "dropping-particle" : "", "family" : "Allen", "given" : "A.", "non-dropping-particle" : "", "parse-names" : false, "suffix" : "" }, { "dropping-particle" : "", "family" : "Lin", "given" : "D. W.", "non-dropping-particle" : "", "parse-names" : false, "suffix" : "" }, { "dropping-particle" : "", "family" : "Urban", "given" : "N.", "non-dropping-particle" : "", "parse-names" : false, "suffix" : "" }, { "dropping-particle" : "", "family" : "Drescher", "given" : "C. W.", "non-dropping-particle" : "", "parse-names" : false, "suffix" : "" }, { "dropping-particle" : "", "family" : "Knudsen", "given" : "B. S.", "non-dropping-particle" : "", "parse-names" : false, "suffix" : "" }, { "dropping-particle" : "", "family" : "Stirewalt", "given" : "D. L.", "non-dropping-particle" : "", "parse-names" : false, "suffix" : "" }, { "dropping-particle" : "", "family" : "Gentleman", "given" : "R.", "non-dropping-particle" : "", "parse-names" : false, "suffix" : "" }, { "dropping-particle" : "", "family" : "Vessella", "given" : "R. L.", "non-dropping-particle" : "", "parse-names" : false, "suffix" : "" }, { "dropping-particle" : "", "family" : "Nelson", "given" : "P. S.", "non-dropping-particle" : "", "parse-names" : false, "suffix" : "" }, { "dropping-particle" : "", "family" : "Martin", "given" : "D. B.", "non-dropping-particle" : "", "parse-names" : false, "suffix" : "" }, { "dropping-particle" : "", "family" : "Tewari", "given" : "M.", "non-dropping-particle" : "", "parse-names" : false, "suffix" : "" } ], "container-title" : "Proceedings of the National Academy of Sciences", "id" : "ITEM-1", "issue" : "30", "issued" : { "date-parts" : [ [ "2008" ] ] }, "page" : "10513-10518", "title" : "Circulating microRNAs as stable blood-based markers for cancer detection", "type" : "article-journal", "volume" : "105" }, "uris" : [ "http://www.mendeley.com/documents/?uuid=f64b2bba-78e3-4f4d-9c68-587f2cf19269" ] } ], "mendeley" : { "formattedCitation" : "(268)", "plainTextFormattedCitation" : "(268)", "previouslyFormattedCitation" : "(268)" }, "properties" : { "noteIndex" : 52 }, "schema" : "https://github.com/citation-style-language/schema/raw/master/csl-citation.json" }</w:instrText>
      </w:r>
      <w:r w:rsidR="00BC3BBB" w:rsidRPr="000B1F2A">
        <w:rPr>
          <w:rFonts w:ascii="Arial" w:hAnsi="Arial" w:cs="Arial"/>
          <w:sz w:val="22"/>
          <w:szCs w:val="22"/>
          <w:shd w:val="clear" w:color="auto" w:fill="FFFFFF"/>
        </w:rPr>
        <w:fldChar w:fldCharType="separate"/>
      </w:r>
      <w:r w:rsidRPr="000B1F2A">
        <w:rPr>
          <w:rFonts w:ascii="Arial" w:hAnsi="Arial" w:cs="Arial"/>
          <w:noProof/>
          <w:sz w:val="22"/>
          <w:szCs w:val="22"/>
          <w:shd w:val="clear" w:color="auto" w:fill="FFFFFF"/>
        </w:rPr>
        <w:t>(268)</w:t>
      </w:r>
      <w:r w:rsidR="00BC3BBB" w:rsidRPr="000B1F2A">
        <w:rPr>
          <w:rFonts w:ascii="Arial" w:hAnsi="Arial" w:cs="Arial"/>
          <w:sz w:val="22"/>
          <w:szCs w:val="22"/>
          <w:shd w:val="clear" w:color="auto" w:fill="FFFFFF"/>
        </w:rPr>
        <w:fldChar w:fldCharType="end"/>
      </w:r>
      <w:r w:rsidRPr="000B1F2A">
        <w:rPr>
          <w:rFonts w:ascii="Arial" w:hAnsi="Arial" w:cs="Arial"/>
          <w:sz w:val="22"/>
          <w:szCs w:val="22"/>
          <w:shd w:val="clear" w:color="auto" w:fill="FFFFFF"/>
        </w:rPr>
        <w:t xml:space="preserve">. </w:t>
      </w:r>
      <w:r w:rsidRPr="000B1F2A">
        <w:rPr>
          <w:rFonts w:ascii="Arial" w:hAnsi="Arial" w:cs="Arial"/>
          <w:sz w:val="22"/>
          <w:szCs w:val="22"/>
        </w:rPr>
        <w:t>Bu nedenlerle bu araştırmada, çalışmayı hedeflediğimiz miRNA’ların kan dolaşımındaki düzeylerinin DEHB’nin etiyolojisine olası katkılarının değerlendirilmesi planlandı. DEHB’nin heterojen doğası gereği ve örneklem sayımızın görece azlığı nedeniyle hasta grubuna sadece kombine alt tip tanılı çocuklar dahil edildi. Psikotrop ilaçların gen regulasyonlarına etkisi nedeniyle hem hasta hem de kontrol grubunda ilaç kullanım öyküsü olanlar çalışma kapsamı dışında bırakıldı.</w:t>
      </w:r>
    </w:p>
    <w:p w:rsidR="00C60153" w:rsidRPr="000B1F2A" w:rsidRDefault="00C60153" w:rsidP="00C60153">
      <w:pPr>
        <w:spacing w:line="360" w:lineRule="auto"/>
        <w:ind w:firstLine="567"/>
        <w:contextualSpacing/>
        <w:jc w:val="both"/>
        <w:rPr>
          <w:rFonts w:ascii="Arial" w:hAnsi="Arial" w:cs="Arial"/>
          <w:b/>
          <w:sz w:val="22"/>
          <w:szCs w:val="22"/>
        </w:rPr>
      </w:pPr>
      <w:r w:rsidRPr="000B1F2A">
        <w:rPr>
          <w:rFonts w:ascii="Arial" w:hAnsi="Arial" w:cs="Arial"/>
          <w:b/>
          <w:sz w:val="22"/>
          <w:szCs w:val="22"/>
        </w:rPr>
        <w:t>Sosyodemografik Verilere İlişkin Bulgular</w:t>
      </w:r>
    </w:p>
    <w:p w:rsidR="000B1F2A" w:rsidRPr="000B1F2A" w:rsidRDefault="000B1F2A" w:rsidP="000B1F2A">
      <w:pPr>
        <w:spacing w:line="360" w:lineRule="auto"/>
        <w:ind w:firstLine="567"/>
        <w:contextualSpacing/>
        <w:jc w:val="both"/>
        <w:rPr>
          <w:rFonts w:ascii="Arial" w:hAnsi="Arial" w:cs="Arial"/>
          <w:sz w:val="22"/>
          <w:szCs w:val="22"/>
        </w:rPr>
      </w:pPr>
      <w:r w:rsidRPr="000B1F2A">
        <w:rPr>
          <w:rFonts w:ascii="Arial" w:hAnsi="Arial" w:cs="Arial"/>
          <w:sz w:val="22"/>
          <w:szCs w:val="22"/>
        </w:rPr>
        <w:t>Çalışmamızda Pamukkale Üniversitesi Tıp Fakültesi Çocuk ve Ergen Ruh Sağlığı ve Hastalıkları polikliniklerinde yapılan değerlendirme sonucunda bileşik alt tip DEHB tanısı alan, başka herhangi bir tıbbi ya da psikiyatrik bozukluk tanısı ve psikotrop ilaç kullanım öyküsü olmayan 6-18 yaş aralığındaki çocuklar olgu grubunu oluşturmuştur. Herhangi bir tıbbi ya da psikiyatrik bozukluk tanısı olmayan, ilaç kullanımı olmayan sağlıklı çocuk ve ergenler ise kontrol grubunu oluşturmuştur. Her iki grup için mental retardasyon dışlama kriteri olarak belirlenmiştir.</w:t>
      </w:r>
      <w:r w:rsidRPr="000B1F2A">
        <w:rPr>
          <w:sz w:val="22"/>
          <w:szCs w:val="22"/>
        </w:rPr>
        <w:t xml:space="preserve"> </w:t>
      </w:r>
      <w:r w:rsidRPr="000B1F2A">
        <w:rPr>
          <w:rFonts w:ascii="Arial" w:hAnsi="Arial" w:cs="Arial"/>
          <w:sz w:val="22"/>
          <w:szCs w:val="22"/>
        </w:rPr>
        <w:t>Psikiyatrik eş tanı, psikotrop ilaç kullanımı ve birçok tıbbi hastalık varlığında, periferik kan mononükleer hücre miRNA düzeylerinin değiştiği bilinmektedir.</w:t>
      </w:r>
      <w:r w:rsidRPr="000B1F2A">
        <w:rPr>
          <w:sz w:val="22"/>
          <w:szCs w:val="22"/>
        </w:rPr>
        <w:t xml:space="preserve"> </w:t>
      </w:r>
      <w:r w:rsidRPr="000B1F2A">
        <w:rPr>
          <w:rFonts w:ascii="Arial" w:hAnsi="Arial" w:cs="Arial"/>
          <w:sz w:val="22"/>
          <w:szCs w:val="22"/>
        </w:rPr>
        <w:t xml:space="preserve">Major depresif bozukluk </w:t>
      </w:r>
      <w:r w:rsidR="00BC3BBB" w:rsidRPr="000B1F2A">
        <w:rPr>
          <w:rFonts w:ascii="Arial" w:hAnsi="Arial" w:cs="Arial"/>
          <w:sz w:val="22"/>
          <w:szCs w:val="22"/>
        </w:rPr>
        <w:fldChar w:fldCharType="begin" w:fldLock="1"/>
      </w:r>
      <w:r w:rsidR="005827F2">
        <w:rPr>
          <w:rFonts w:ascii="Arial" w:hAnsi="Arial" w:cs="Arial"/>
          <w:sz w:val="22"/>
          <w:szCs w:val="22"/>
        </w:rPr>
        <w:instrText>ADDIN CSL_CITATION { "citationItems" : [ { "id" : "ITEM-1", "itemData" : { "DOI" : "10.1016/j.jad.2010.05.019", "ISBN" : "0165-0327", "ISSN" : "01650327", "PMID" : "20579744", "abstract" : "Background: Growing evidence shows that the etiological causes and pathological processes underlying major depressive disorder (MDD) and schizophrenia (SCZ) overlap. Our previous study revealed a strong association between the polymorphism ss178077483 in the miRNA-30e precursor (pre-miR-30e) and the risk of SCZ. We thus hypothesized that this SCZ risk allele at the pre-miR-30e gene also confers risk of MDD. Methods: To explore the relationship between miR-30e ss178077483 and MDD, we conducted an association analyses in 1088 MDD patients and 1102 control subjects from the Han Chinese population. We also determined the effects of miR-30e ss178077483 on the development of P300 event-related potential components induced by an auditory odd-ball task. Results: We detected a statistically significant positive association between miR-30e ss178077483 and MDD (allelic P = 0.0287; genotypic P = 0.0275). Moreover, the P300 latency was associated with miR-30e ss178077483 genotypes and the individuals with the C/T genotype have a longer P300 latency than those carrying the C/C genotype (P = 0.009). Limitations: Larger numbers of subjects and different ethnic groups would confirm and strengthen these preliminary findings. Conclusions: To our knowledge, this is the first evidence to suggest that miRNA polymorphisms may play an important role in MDD susceptibility. These findings also imply that certain miRNAs may be involved in the etiology of MDD. ?? 2010 Elsevier B.V. All rights reserved.", "author" : [ { "dropping-particle" : "", "family" : "Xu", "given" : "Yong", "non-dropping-particle" : "", "parse-names" : false, "suffix" : "" }, { "dropping-particle" : "", "family" : "Liu", "given" : "Haiying", "non-dropping-particle" : "", "parse-names" : false, "suffix" : "" }, { "dropping-particle" : "", "family" : "Li", "given" : "Fei", "non-dropping-particle" : "", "parse-names" : false, "suffix" : "" }, { "dropping-particle" : "", "family" : "Sun", "given" : "Ning", "non-dropping-particle" : "", "parse-names" : false, "suffix" : "" }, { "dropping-particle" : "", "family" : "Ren", "given" : "Yan", "non-dropping-particle" : "", "parse-names" : false, "suffix" : "" }, { "dropping-particle" : "", "family" : "Liu", "given" : "Zhifen", "non-dropping-particle" : "", "parse-names" : false, "suffix" : "" }, { "dropping-particle" : "", "family" : "Cao", "given" : "Xiaohua", "non-dropping-particle" : "", "parse-names" : false, "suffix" : "" }, { "dropping-particle" : "", "family" : "Wang", "given" : "Yanfang", "non-dropping-particle" : "", "parse-names" : false, "suffix" : "" }, { "dropping-particle" : "", "family" : "Liu", "given" : "Pozi", "non-dropping-particle" : "", "parse-names" : false, "suffix" : "" }, { "dropping-particle" : "", "family" : "Zhang", "given" : "Kerang", "non-dropping-particle" : "", "parse-names" : false, "suffix" : "" } ], "container-title" : "Journal of Affective Disorders", "id" : "ITEM-1", "issue" : "1-3", "issued" : { "date-parts" : [ [ "2010" ] ] }, "page" : "332-336", "title" : "A polymorphism in the microRNA-30e precursor associated with major depressive disorder risk and P300 waveform", "type" : "article-journal", "volume" : "127" }, "uris" : [ "http://www.mendeley.com/documents/?uuid=7d95b6e2-dbfe-4027-a6ab-e90adb6dcbca" ] }, { "id" : "ITEM-2", "itemData" : { "DOI" : "10.1016/j.jad.2015.04.035", "ISSN" : "15732517", "abstract" : "Background Let-7 family plays a critical role in the pathogenesis of major depressive disorder (MDD). Genetic polymorphisms in the promoters of miRNA may influence individual's susceptibility to diseases. The purpose of this study was to investigate the association between rs10877887 and rs13293512 polymorphisms in the promoters of let-7 family and the risk of MDD. Method Polymerase chain reaction-restriction fragment length polymorphism and DNA sequencing assays were used to analyze the rs10877887 and rs13293512 polymorphisms in 237 MDD patients and 296 controls. Results We found that the rs10877887 CC genotype was associated with an increased risk of MDD (CC vs. TT: OR=1.73, 95% CI, 1.04-2.86, P=0.03, and CC vs. TT/TC: OR=1.74, 95% CI, 1.08-2.80, P=0.02, respectively). Similarly increased risk was also observed for the rs13293512 (CC vs. TT: OR=1.83, 95% CI, 1.12-2.99, P=0.015; CC vs. TT/TC: OR=1.84, 95% CI, 1.20-2.81, P=0.005; and C vs. T: OR=1.32, 95% CI, 1.03-1.68, P=0.03, respectively). Stratification analysis showed that patients with the rs13293512 TC and CC genotypes had a 2.29 and 2.56-fold increased risk of MDD recurrence after treatment (TC vs. TT: 95% CI, 1.23-4.25, P=0.008; CC vs. TT: 95% CI, 1.25-5.23, P=0.009, respectively). Limitations Relatively small sample size and hospital-based study design may influence the results. Conclusions Our findings suggest that the rs10877887 and rs13293512 polymorphisms may be related to the development of MDD.", "author" : [ { "dropping-particle" : "", "family" : "Liang", "given" : "Yundan", "non-dropping-particle" : "", "parse-names" : false, "suffix" : "" }, { "dropping-particle" : "", "family" : "Zhao", "given" : "Gaofeng", "non-dropping-particle" : "", "parse-names" : false, "suffix" : "" }, { "dropping-particle" : "", "family" : "Sun", "given" : "Ruifen", "non-dropping-particle" : "", "parse-names" : false, "suffix" : "" }, { "dropping-particle" : "", "family" : "Mao", "given" : "Yuanyi", "non-dropping-particle" : "", "parse-names" : false, "suffix" : "" }, { "dropping-particle" : "", "family" : "Li", "given" : "Gangqin", "non-dropping-particle" : "", "parse-names" : false, "suffix" : "" }, { "dropping-particle" : "", "family" : "Chen", "given" : "Xueyan", "non-dropping-particle" : "", "parse-names" : false, "suffix" : "" }, { "dropping-particle" : "", "family" : "Gao", "given" : "Linbo", "non-dropping-particle" : "", "parse-names" : false, "suffix" : "" }, { "dropping-particle" : "", "family" : "Hu", "given" : "Zeqing", "non-dropping-particle" : "", "parse-names" : false, "suffix" : "" } ], "id" : "ITEM-2", "issued" : { "date-parts" : [ [ "2015" ] ] }, "page" : "295-299", "title" : "Genetic variants in the promoters of let-7 family are associated with an increased risk of major depressive disorder", "type" : "article-journal", "volume" : "183" }, "uris" : [ "http://www.mendeley.com/documents/?uuid=c3fa187d-bd44-4215-a628-0ad1ceb21760" ] } ], "mendeley" : { "formattedCitation" : "(269, 270)", "plainTextFormattedCitation" : "(269, 270)", "previouslyFormattedCitation" : "(269, 270)" }, "properties" : { "noteIndex" : 52 }, "schema" : "https://github.com/citation-style-language/schema/raw/master/csl-citation.json" }</w:instrText>
      </w:r>
      <w:r w:rsidR="00BC3BBB" w:rsidRPr="000B1F2A">
        <w:rPr>
          <w:rFonts w:ascii="Arial" w:hAnsi="Arial" w:cs="Arial"/>
          <w:sz w:val="22"/>
          <w:szCs w:val="22"/>
        </w:rPr>
        <w:fldChar w:fldCharType="separate"/>
      </w:r>
      <w:r w:rsidR="0037573A" w:rsidRPr="0037573A">
        <w:rPr>
          <w:rFonts w:ascii="Arial" w:hAnsi="Arial" w:cs="Arial"/>
          <w:noProof/>
          <w:sz w:val="22"/>
          <w:szCs w:val="22"/>
        </w:rPr>
        <w:t>(269, 270)</w:t>
      </w:r>
      <w:r w:rsidR="00BC3BBB" w:rsidRPr="000B1F2A">
        <w:rPr>
          <w:rFonts w:ascii="Arial" w:hAnsi="Arial" w:cs="Arial"/>
          <w:sz w:val="22"/>
          <w:szCs w:val="22"/>
        </w:rPr>
        <w:fldChar w:fldCharType="end"/>
      </w:r>
      <w:r w:rsidRPr="000B1F2A">
        <w:rPr>
          <w:rFonts w:ascii="Arial" w:hAnsi="Arial" w:cs="Arial"/>
          <w:sz w:val="22"/>
          <w:szCs w:val="22"/>
        </w:rPr>
        <w:t>, bipolar bozukluk</w:t>
      </w:r>
      <w:r w:rsidRPr="000B1F2A">
        <w:rPr>
          <w:sz w:val="22"/>
          <w:szCs w:val="22"/>
        </w:rPr>
        <w:t xml:space="preserve"> </w:t>
      </w:r>
      <w:r w:rsidR="00BC3BBB" w:rsidRPr="000B1F2A">
        <w:rPr>
          <w:rFonts w:ascii="Arial" w:hAnsi="Arial" w:cs="Arial"/>
          <w:sz w:val="22"/>
          <w:szCs w:val="22"/>
        </w:rPr>
        <w:fldChar w:fldCharType="begin" w:fldLock="1"/>
      </w:r>
      <w:r w:rsidR="005827F2">
        <w:rPr>
          <w:rFonts w:ascii="Arial" w:hAnsi="Arial" w:cs="Arial"/>
          <w:sz w:val="22"/>
          <w:szCs w:val="22"/>
        </w:rPr>
        <w:instrText>ADDIN CSL_CITATION { "citationItems" : [ { "id" : "ITEM-1", "itemData" : { "DOI" : "10.1038/npp.2012.137", "ISBN" : "1740-634X (Electronic)\\r0006-3223 (Linking)", "ISSN" : "1740-634X", "PMID" : "22850735", "abstract" : "A recent 'mega-analysis' combining genome-wide association study data from over 40,000 individuals identified novel genetic loci associated with schizophrenia (SCZ) at genome-wide significance level. The strongest finding was a locus within an intron of a putative primary transcript for microRNA MIR137. In the current study, we examine the impact of variation at this locus (rs1625579, G/T; where T is the common and presumed risk allele) on brain activation during a sentence completion task that differentiates individuals with SCZ, bipolar disorder (BD), and their relatives from controls. We examined three groups of individuals performing a sentence completion paradigm: (i) individuals at high genetic risk of SCZ (n=44), (ii) individuals at high genetic risk of BD (n=90), and (iii) healthy controls (n=81) in order to test the hypothesis that genotype at rs1625579 would influence brain activation. Genotype groups were assigned as 'RISK-' for GT and GG individuals, and 'RISK+' for TT homozygotes. The main effect of genotype was significantly greater activation in the RISK- individuals in the posterior right medial frontal gyrus, BA 6. There was also a significant genotype(*)group interaction in the left amygdala and left pre/postcentral gyrus. This was due to differences between the controls (where individuals with the RISK- genotype showed greater activation than RISK+ subjects) and the SCZ high-risk group, where the opposite genotype effect was seen. These results suggest that the newly identified SCZ locus may influence brain activation in a manner that is partly dependent on the presence of existing genetic susceptibility for SCZ.", "author" : [ { "dropping-particle" : "", "family" : "Whalley", "given" : "Heather C", "non-dropping-particle" : "", "parse-names" : false, "suffix" : "" }, { "dropping-particle" : "", "family" : "Papmeyer", "given" : "Martina", "non-dropping-particle" : "", "parse-names" : false, "suffix" : "" }, { "dropping-particle" : "", "family" : "Romaniuk", "given" : "Liana", "non-dropping-particle" : "", "parse-names" : false, "suffix" : "" }, { "dropping-particle" : "", "family" : "Sprooten", "given" : "Emma", "non-dropping-particle" : "", "parse-names" : false, "suffix" : "" }, { "dropping-particle" : "", "family" : "Johnstone", "given" : "Eve C", "non-dropping-particle" : "", "parse-names" : false, "suffix" : "" }, { "dropping-particle" : "", "family" : "Hall", "given" : "Jeremy", "non-dropping-particle" : "", "parse-names" : false, "suffix" : "" }, { "dropping-particle" : "", "family" : "Lawrie", "given" : "Stephen M", "non-dropping-particle" : "", "parse-names" : false, "suffix" : "" }, { "dropping-particle" : "", "family" : "Evans", "given" : "Kathryn L", "non-dropping-particle" : "", "parse-names" : false, "suffix" : "" }, { "dropping-particle" : "", "family" : "Blumberg", "given" : "Hilary P", "non-dropping-particle" : "", "parse-names" : false, "suffix" : "" }, { "dropping-particle" : "", "family" : "Sussmann", "given" : "Jessika E", "non-dropping-particle" : "", "parse-names" : false, "suffix" : "" }, { "dropping-particle" : "", "family" : "McIntosh", "given" : "Andrew M", "non-dropping-particle" : "", "parse-names" : false, "suffix" : "" } ], "container-title" : "Neuropsychopharmacology : official publication of the American College of Neuropsychopharmacology", "id" : "ITEM-1", "issue" : "12", "issued" : { "date-parts" : [ [ "2012" ] ] }, "page" : "2720-9", "title" : "Impact of a microRNA MIR137 susceptibility variant on brain function in people at high genetic risk of schizophrenia or bipolar disorder.", "type" : "article-journal", "volume" : "37" }, "uris" : [ "http://www.mendeley.com/documents/?uuid=f56d7681-059b-4e4d-8c78-fe52a87db7df" ] }, { "id" : "ITEM-2", "itemData" : { "DOI" : "10.1016/j.jad.2016.04.021", "ISSN" : "15732517", "abstract" : "\u00a9 2016 Elsevier B.V. All rights reserved.Major depression (MD) and bipolar disorder (BD) are severe and potentially life-threating mood disorders whose etiology is to date not completely understood. MicroRNAs (miRNAs) are small non-coding RNAs that regulate protein synthesis post-transcriptionally by base-pairing to target gene mRNAs. Growing evidence indicated that miRNAs might play a key role in the pathogenesis of neuropsychiatric disorders and in the action of psychotropic drugs. On these bases, in this study we evaluated the expression levels of 1733 mature miRNAs annotated in miRBase v.17, through a microarray technique, in the blood of 20 MD and 20 BD patients and 20 healthy controls, in order to identify putative miRNA signatures associated with mood disorders. We found that 5 miRNAs (hsa-let-7a-5p, hsa-let-7d-5p, hsa-let-7f-5p, hsa-miR-24-3p and hsa-miR-425-3p) were specifically altered in MD patients and 5 (hsa-miR-140-3p, hsa-miR-30d-5p, hsa-miR-330-5p, hsa-miR-378a-5p and hsa-miR-21-3p) in BD patients, whereas 2 miRNAs (hsa-miR-330-3p and hsa-miR-345-5p) were dysregulated in both the diseases. The bioinformatic prediction of the genes targeted by the altered miRNAs revealed the possible involvement of neural pathways relevant for psychiatric disorders. In conclusion, the observed results indicate a dysregulation of miRNA blood expression in mood disorders and could indicate new avenues for a better understanding of their pathogenetic mechanisms. The identified alterations may represent potential peripheral biomarkers to be complemented with other clinical and biological features for the improvement of diagnostic accuracy.", "author" : [ { "dropping-particle" : "", "family" : "Maffioletti", "given" : "E.", "non-dropping-particle" : "", "parse-names" : false, "suffix" : "" }, { "dropping-particle" : "", "family" : "Cattaneo", "given" : "A.", "non-dropping-particle" : "", "parse-names" : false, "suffix" : "" }, { "dropping-particle" : "", "family" : "Rosso", "given" : "G.", "non-dropping-particle" : "", "parse-names" : false, "suffix" : "" }, { "dropping-particle" : "", "family" : "Maina", "given" : "G.", "non-dropping-particle" : "", "parse-names" : false, "suffix" : "" }, { "dropping-particle" : "", "family" : "Maj", "given" : "C.", "non-dropping-particle" : "", "parse-names" : false, "suffix" : "" }, { "dropping-particle" : "", "family" : "Gennarelli", "given" : "M.", "non-dropping-particle" : "", "parse-names" : false, "suffix" : "" }, { "dropping-particle" : "", "family" : "Tardito", "given" : "D.", "non-dropping-particle" : "", "parse-names" : false, "suffix" : "" }, { "dropping-particle" : "", "family" : "Bocchio-Chiavetto", "given" : "L.", "non-dropping-particle" : "", "parse-names" : false, "suffix" : "" } ], "container-title" : "Journal of Affective Disorders", "id" : "ITEM-2", "issued" : { "date-parts" : [ [ "2016" ] ] }, "title" : "Peripheral whole blood microRNA alterations in major depression and bipolar disorder", "type" : "article-journal", "volume" : "200" }, "uris" : [ "http://www.mendeley.com/documents/?uuid=05a58a4c-72aa-4327-bc35-02177ef9c0f5" ] } ], "mendeley" : { "formattedCitation" : "(271, 272)", "plainTextFormattedCitation" : "(271, 272)", "previouslyFormattedCitation" : "(271, 272)" }, "properties" : { "noteIndex" : 52 }, "schema" : "https://github.com/citation-style-language/schema/raw/master/csl-citation.json" }</w:instrText>
      </w:r>
      <w:r w:rsidR="00BC3BBB" w:rsidRPr="000B1F2A">
        <w:rPr>
          <w:rFonts w:ascii="Arial" w:hAnsi="Arial" w:cs="Arial"/>
          <w:sz w:val="22"/>
          <w:szCs w:val="22"/>
        </w:rPr>
        <w:fldChar w:fldCharType="separate"/>
      </w:r>
      <w:r w:rsidR="0037573A" w:rsidRPr="0037573A">
        <w:rPr>
          <w:rFonts w:ascii="Arial" w:hAnsi="Arial" w:cs="Arial"/>
          <w:noProof/>
          <w:sz w:val="22"/>
          <w:szCs w:val="22"/>
        </w:rPr>
        <w:t>(271, 272)</w:t>
      </w:r>
      <w:r w:rsidR="00BC3BBB" w:rsidRPr="000B1F2A">
        <w:rPr>
          <w:rFonts w:ascii="Arial" w:hAnsi="Arial" w:cs="Arial"/>
          <w:sz w:val="22"/>
          <w:szCs w:val="22"/>
        </w:rPr>
        <w:fldChar w:fldCharType="end"/>
      </w:r>
      <w:r w:rsidRPr="000B1F2A">
        <w:rPr>
          <w:rFonts w:ascii="Arial" w:hAnsi="Arial" w:cs="Arial"/>
          <w:sz w:val="22"/>
          <w:szCs w:val="22"/>
        </w:rPr>
        <w:t xml:space="preserve">, anksiyete bozuklukları </w:t>
      </w:r>
      <w:r w:rsidR="00BC3BBB" w:rsidRPr="000B1F2A">
        <w:rPr>
          <w:rFonts w:ascii="Arial" w:hAnsi="Arial" w:cs="Arial"/>
          <w:sz w:val="22"/>
          <w:szCs w:val="22"/>
        </w:rPr>
        <w:fldChar w:fldCharType="begin" w:fldLock="1"/>
      </w:r>
      <w:r w:rsidR="005827F2">
        <w:rPr>
          <w:rFonts w:ascii="Arial" w:hAnsi="Arial" w:cs="Arial"/>
          <w:sz w:val="22"/>
          <w:szCs w:val="22"/>
        </w:rPr>
        <w:instrText>ADDIN CSL_CITATION { "citationItems" : [ { "id" : "ITEM-1", "itemData" : { "DOI" : "10.1523/JNEUROSCI.1673-11.2011", "ISBN" : "1529-2401 (Electronic)\\r0270-6474 (Linking)", "ISSN" : "0270-6474", "PMID" : "21976504", "abstract" : "The etiology and pathophysiology of anxiety and mood disorders is linked to inappropriate regulation of the central stress response. To determine whether microRNAs have a functional role in the regulation of the stress response, we inactivated microRNA processing by a lentiviral-induced local ablation of the Dicer gene in the central amygdala (CeA) of adult mice. CeA Dicer ablation induced a robust increase in anxiety-like behavior, whereas manipulated neurons survive and appear to exhibit normal gross morphology in the time period examined. We also observed that acute stress in wild-type mice induced a differential expression profile of microRNAs in the amygdala. Bioinformatic analysis identified putative gene targets for these stress-responsive microRNAs, some of which are known to be associated with stress. One of the prominent stress-induced microRNAs found in this screen, miR-34c, was further confirmed to be upregulated after acute and chronic stressful challenge and downregulated in Dicer ablated cells. Lentivirally mediated overexpression of miR34c specifically within the adult CeA induced anxiolytic behavior after challenge. Of particular interest, one of the miR-34c targets is the stress-related corticotropin releasing factor receptor type 1 (CRFR1) mRNA, regulated via a single evolutionary conserved seed complementary site on its 3' UTR. Additional in vitro studies demonstrated that miR-34c reduces the responsiveness of cells to CRF in neuronal cells endogenously expressing CRFR1. Our results suggest a physiological role for microRNAs in regulating the central stress response and position them as potential targets for treatment of stress-related disorders.", "author" : [ { "dropping-particle" : "", "family" : "Haramati", "given" : "S.", "non-dropping-particle" : "", "parse-names" : false, "suffix" : "" }, { "dropping-particle" : "", "family" : "Navon", "given" : "I.", "non-dropping-particle" : "", "parse-names" : false, "suffix" : "" }, { "dropping-particle" : "", "family" : "Issler", "given" : "O.", "non-dropping-particle" : "", "parse-names" : false, "suffix" : "" }, { "dropping-particle" : "", "family" : "Ezra-Nevo", "given" : "G.", "non-dropping-particle" : "", "parse-names" : false, "suffix" : "" }, { "dropping-particle" : "", "family" : "Gil", "given" : "S.", "non-dropping-particle" : "", "parse-names" : false, "suffix" : "" }, { "dropping-particle" : "", "family" : "Zwang", "given" : "R.", "non-dropping-particle" : "", "parse-names" : false, "suffix" : "" }, { "dropping-particle" : "", "family" : "Hornstein", "given" : "E.", "non-dropping-particle" : "", "parse-names" : false, "suffix" : "" }, { "dropping-particle" : "", "family" : "Chen", "given" : "A.", "non-dropping-particle" : "", "parse-names" : false, "suffix" : "" } ], "container-title" : "Journal of Neuroscience", "id" : "ITEM-1", "issue" : "40", "issued" : { "date-parts" : [ [ "2011" ] ] }, "page" : "14191-14203", "title" : "microRNA as Repressors of Stress-Induced Anxiety: The Case of Amygdalar miR-34", "type" : "article-journal", "volume" : "31" }, "uris" : [ "http://www.mendeley.com/documents/?uuid=e0f1392e-0faa-4361-b5de-778dc5dc4d50" ] }, { "id" : "ITEM-2", "itemData" : { "DOI" : "10.1002/ajmg.b.32219", "ISBN" : "1552-485X (Electronic)\\r1552-4841 (Linking)", "ISSN" : "15524841", "PMID" : "24436253", "abstract" : "Functional variants that contribute to genomewide association study (GWAS) signals are difficult to identify. MicroRNAs could contribute to some of these gene-trait relationships. We compiled a set of GWAS trait gene SNPs that were predicted to affect microRNA regulation of mRNA. Trait associations were tested in a sample of 6725 European-American (EA) and African-American (AA) subjects that were interviewed using the polydiagnostic SSADDA to diagnose major psychiatric disorders. A predicted miR-330-3p target site SNP (rs41305272) in mitogen-activated protein kinase kinase 5 (MAP2K5) mRNA was in LD (d'\u2009= 1.0, r(2) = 0.02) with a reported GWAS-identified variant for restless legs syndrome (RLS), a disorder frequently comorbid with anxiety and depression, possibly because of a shared pathophysiology. We examined the SNP's association with mood and anxiety-related disorders. Rs41305272 was associated with agoraphobia (Ag) in EAs (odds ratio [OR] = 1.95, P = 0.007; 195 cases) and AAs (OR = 3.2, P = 0.03; 148 cases) and major depressive disorder (MDD) in AAs (OR = 2.64, P = 0.01; 427 cases), but not EAs (465 cases). Rs41305272*T carrier frequency was correlated with the number of anxiety and depressive disorders diagnosed per subject. RLS was not evaluated in our subjects. Predicted miR-330-3p target genes were enriched in pathways relevant to psychiatric disorders. These findings suggest that microRNA target site information may be useful in the analysis of GWAS signals for complex traits. MiR-330-3p and MAP2K5 are potentially important contributors to mood and anxiety-related traits. With support from additional studies, these findings could add to the large number of risk genes identified through association to medical disorders that have primary psychiatric effects.", "author" : [ { "dropping-particle" : "", "family" : "Jensen", "given" : "Kevin P.", "non-dropping-particle" : "", "parse-names" : false, "suffix" : "" }, { "dropping-particle" : "", "family" : "Kranzler", "given" : "Henry R.", "non-dropping-particle" : "", "parse-names" : false, "suffix" : "" }, { "dropping-particle" : "", "family" : "Stein", "given" : "Murray B.", "non-dropping-particle" : "", "parse-names" : false, "suffix" : "" }, { "dropping-particle" : "", "family" : "Gelernter", "given" : "Joel", "non-dropping-particle" : "", "parse-names" : false, "suffix" : "" } ], "container-title" : "American Journal of Medical Genetics, Part B: Neuropsychiatric Genetics", "id" : "ITEM-2", "issue" : "2", "issued" : { "date-parts" : [ [ "2014" ] ] }, "page" : "175-183", "title" : "The effects of a MAP2K5 microRNA target site SNP on risk for anxiety and depressive disorders", "type" : "article-journal", "volume" : "165" }, "uris" : [ "http://www.mendeley.com/documents/?uuid=7033f034-9b7b-45b7-b8ae-d5ab0b2f19bd" ] } ], "mendeley" : { "formattedCitation" : "(273, 274)", "plainTextFormattedCitation" : "(273, 274)", "previouslyFormattedCitation" : "(273, 274)" }, "properties" : { "noteIndex" : 52 }, "schema" : "https://github.com/citation-style-language/schema/raw/master/csl-citation.json" }</w:instrText>
      </w:r>
      <w:r w:rsidR="00BC3BBB" w:rsidRPr="000B1F2A">
        <w:rPr>
          <w:rFonts w:ascii="Arial" w:hAnsi="Arial" w:cs="Arial"/>
          <w:sz w:val="22"/>
          <w:szCs w:val="22"/>
        </w:rPr>
        <w:fldChar w:fldCharType="separate"/>
      </w:r>
      <w:r w:rsidR="0037573A" w:rsidRPr="0037573A">
        <w:rPr>
          <w:rFonts w:ascii="Arial" w:hAnsi="Arial" w:cs="Arial"/>
          <w:noProof/>
          <w:sz w:val="22"/>
          <w:szCs w:val="22"/>
        </w:rPr>
        <w:t>(273, 274)</w:t>
      </w:r>
      <w:r w:rsidR="00BC3BBB" w:rsidRPr="000B1F2A">
        <w:rPr>
          <w:rFonts w:ascii="Arial" w:hAnsi="Arial" w:cs="Arial"/>
          <w:sz w:val="22"/>
          <w:szCs w:val="22"/>
        </w:rPr>
        <w:fldChar w:fldCharType="end"/>
      </w:r>
      <w:r w:rsidRPr="000B1F2A">
        <w:rPr>
          <w:rFonts w:ascii="Arial" w:hAnsi="Arial" w:cs="Arial"/>
          <w:sz w:val="22"/>
          <w:szCs w:val="22"/>
        </w:rPr>
        <w:t xml:space="preserve">, şizofreni </w:t>
      </w:r>
      <w:r w:rsidR="00BC3BBB" w:rsidRPr="000B1F2A">
        <w:rPr>
          <w:rFonts w:ascii="Arial" w:hAnsi="Arial" w:cs="Arial"/>
          <w:sz w:val="22"/>
          <w:szCs w:val="22"/>
        </w:rPr>
        <w:fldChar w:fldCharType="begin" w:fldLock="1"/>
      </w:r>
      <w:r w:rsidR="005827F2">
        <w:rPr>
          <w:rFonts w:ascii="Arial" w:hAnsi="Arial" w:cs="Arial"/>
          <w:sz w:val="22"/>
          <w:szCs w:val="22"/>
        </w:rPr>
        <w:instrText>ADDIN CSL_CITATION { "citationItems" : [ { "id" : "ITEM-1", "itemData" : { "DOI" : "10.1016/j.jpsychires.2014.03.008", "ISSN" : "18791379", "PMID" : "24694668", "abstract" : "Despite the growing evidences on the relation of altered expression of miRNAs and schizophrenia, most schizophrenia subjects have an extensive antipsychotic treatment history and the pharmacological effects on miRNA expression are largely unknown. This study aimed to investigate the change of plasma microRNA-181b level and improvement of symptomatology before and after six-week antipsychotic treatment in schizophrenia patients, and explore their association. A total of 20 schizophrenia patients absent of antipsychotics and 20 age-and gender-matched normal controls were enrolled, and tested for 9 schizophrenia-associated microRNA (miR-30e, miR-34a, miR-181b, miR-195, miR-346, miR-432, miR-7, miR-132 and miR-212) expression levels in plasma using quantitative RT-PCR and for symptomatology improvement using Positive And Negative Syndrome Scale (PANSS) before and after treatment (olanzapine, quetiapine, ziprasidone and risperidone) for the patients only. Compared with the normal control group, the expression levels of miRNA-181b, miRNA-30e, miRNA-34a and miRNA-7 of the patients group were significantly higher (p &lt; 0.05). Compared with those before treatment in the patient group, the symptomatology scores were significantly lower (p &lt; 0.001), and the expression level of microRNA-181b was significantly down-regulated after treatment (p &lt; 0.05). The change of miRNA-181b expression was positively correlated with the improvement of negative symptoms and lack of response symptoms (r = 0.502 and 0.557, P &lt; 0.05, accounting for 20.2% and 26.4% respectively), and their therapeutic effects with OR being 11.283 and 5.119 respectively. We conclude that miRNA-181b, miRNA-30e, miRNA-34a and miRNA-7 are probably involved in pathogenesis of SZ, and the significant down-regulation of miRNA-181b expression predicts improvement of negative symptoms to treatment, and thus can serve as a potential plasmamolecular marker for antipsychotic responses. ?? 2014 Elsevier Ltd.", "author" : [ { "dropping-particle" : "", "family" : "Song", "given" : "Hong tao", "non-dropping-particle" : "", "parse-names" : false, "suffix" : "" }, { "dropping-particle" : "", "family" : "Sun", "given" : "Xin yang", "non-dropping-particle" : "", "parse-names" : false, "suffix" : "" }, { "dropping-particle" : "", "family" : "Zhang", "given" : "Liang", "non-dropping-particle" : "", "parse-names" : false, "suffix" : "" }, { "dropping-particle" : "", "family" : "Zhao", "given" : "Lin", "non-dropping-particle" : "", "parse-names" : false, "suffix" : "" }, { "dropping-particle" : "", "family" : "Guo", "given" : "Zhong min", "non-dropping-particle" : "", "parse-names" : false, "suffix" : "" }, { "dropping-particle" : "", "family" : "Fan", "given" : "Hui min", "non-dropping-particle" : "", "parse-names" : false, "suffix" : "" }, { "dropping-particle" : "", "family" : "Zhong", "given" : "Ai fang", "non-dropping-particle" : "", "parse-names" : false, "suffix" : "" }, { "dropping-particle" : "", "family" : "Niu", "given" : "Wei", "non-dropping-particle" : "", "parse-names" : false, "suffix" : "" }, { "dropping-particle" : "", "family" : "Dai", "given" : "Yun hua", "non-dropping-particle" : "", "parse-names" : false, "suffix" : "" }, { "dropping-particle" : "", "family" : "Zhang", "given" : "Li yi", "non-dropping-particle" : "", "parse-names" : false, "suffix" : "" }, { "dropping-particle" : "", "family" : "Shi", "given" : "Zheng", "non-dropping-particle" : "", "parse-names" : false, "suffix" : "" }, { "dropping-particle" : "", "family" : "Liu", "given" : "Xiao ping", "non-dropping-particle" : "", "parse-names" : false, "suffix" : "" }, { "dropping-particle" : "", "family" : "Lu", "given" : "Jim", "non-dropping-particle" : "", "parse-names" : false, "suffix" : "" } ], "container-title" : "Journal of Psychiatric Research", "id" : "ITEM-1", "issue" : "1", "issued" : { "date-parts" : [ [ "2014" ] ] }, "page" : "134-140", "title" : "A preliminary analysis of association between the down-regulation of microRNA-181b expression and symptomatology improvement in schizophrenia patients before and after antipsychotic treatment", "type" : "article-journal", "volume" : "54" }, "uris" : [ "http://www.mendeley.com/documents/?uuid=61ca5136-0b2d-413f-ae2a-a1b5355987e6" ] }, { "id" : "ITEM-2", "itemData" : { "DOI" : "10.1093/hmg/ddn005", "ISBN" : "1460-2083 (Electronic)\\n0964-6906 (Linking)", "ISSN" : "09646906", "PMID" : "18184693", "abstract" : "Analysis of global microRNA (miRNA) expression in postmortem cortical grey matter from the superior temporal gyrus, revealed significant up-regulation of miR-181b expression in schizophrenia. This finding was supported by quantitative real-time RT-PCR analysis of miRNA expression in a cohort of 21 matched pairs of schizophrenia and non-psychiatric controls. The implications of this finding are substantial, as this miRNA is predicted to regulate many target genes with potential significance to the development of schizophrenia. They include the calcium sensor gene visinin-like 1 (VSNL1) and the ionotropic AMPA glutamate receptor subunit (GRIA2), which were found to be down-regulated in the same cortical tissue from the schizophrenia group. Both of these genes were also suppressed in miR-181b transfected cells and shown to contain functional miR-181b miRNA recognition elements by reporter gene assay. This study suggests altered miRNA levels could be a significant factor in the dysregulation of cortical gene expression in schizophrenia.", "author" : [ { "dropping-particle" : "", "family" : "Beveridge", "given" : "Natalie J.", "non-dropping-particle" : "", "parse-names" : false, "suffix" : "" }, { "dropping-particle" : "", "family" : "Tooney", "given" : "Paul A.", "non-dropping-particle" : "", "parse-names" : false, "suffix" : "" }, { "dropping-particle" : "", "family" : "Carroll", "given" : "Adam P.", "non-dropping-particle" : "", "parse-names" : false, "suffix" : "" }, { "dropping-particle" : "", "family" : "Gardiner", "given" : "Erin", "non-dropping-particle" : "", "parse-names" : false, "suffix" : "" }, { "dropping-particle" : "", "family" : "Bowden", "given" : "Nikola", "non-dropping-particle" : "", "parse-names" : false, "suffix" : "" }, { "dropping-particle" : "", "family" : "Scott", "given" : "Rodney J.", "non-dropping-particle" : "", "parse-names" : false, "suffix" : "" }, { "dropping-particle" : "", "family" : "Tran", "given" : "Nham", "non-dropping-particle" : "", "parse-names" : false, "suffix" : "" }, { "dropping-particle" : "", "family" : "Dedova", "given" : "Irina", "non-dropping-particle" : "", "parse-names" : false, "suffix" : "" }, { "dropping-particle" : "", "family" : "Cairns", "given" : "Murray J.", "non-dropping-particle" : "", "parse-names" : false, "suffix" : "" } ], "container-title" : "Human Molecular Genetics", "id" : "ITEM-2", "issue" : "8", "issued" : { "date-parts" : [ [ "2008" ] ] }, "page" : "1156-1168", "title" : "Dysregulation of miRNA 181b in the temporal cortex in schizophrenia", "type" : "article-journal", "volume" : "17" }, "uris" : [ "http://www.mendeley.com/documents/?uuid=bc813189-d532-4bae-9601-979b581c17e2" ] } ], "mendeley" : { "formattedCitation" : "(275, 276)", "plainTextFormattedCitation" : "(275, 276)", "previouslyFormattedCitation" : "(275, 276)" }, "properties" : { "noteIndex" : 52 }, "schema" : "https://github.com/citation-style-language/schema/raw/master/csl-citation.json" }</w:instrText>
      </w:r>
      <w:r w:rsidR="00BC3BBB" w:rsidRPr="000B1F2A">
        <w:rPr>
          <w:rFonts w:ascii="Arial" w:hAnsi="Arial" w:cs="Arial"/>
          <w:sz w:val="22"/>
          <w:szCs w:val="22"/>
        </w:rPr>
        <w:fldChar w:fldCharType="separate"/>
      </w:r>
      <w:r w:rsidR="0037573A" w:rsidRPr="0037573A">
        <w:rPr>
          <w:rFonts w:ascii="Arial" w:hAnsi="Arial" w:cs="Arial"/>
          <w:noProof/>
          <w:sz w:val="22"/>
          <w:szCs w:val="22"/>
        </w:rPr>
        <w:t>(275, 276)</w:t>
      </w:r>
      <w:r w:rsidR="00BC3BBB" w:rsidRPr="000B1F2A">
        <w:rPr>
          <w:rFonts w:ascii="Arial" w:hAnsi="Arial" w:cs="Arial"/>
          <w:sz w:val="22"/>
          <w:szCs w:val="22"/>
        </w:rPr>
        <w:fldChar w:fldCharType="end"/>
      </w:r>
      <w:r w:rsidRPr="000B1F2A">
        <w:rPr>
          <w:rFonts w:ascii="Arial" w:hAnsi="Arial" w:cs="Arial"/>
          <w:sz w:val="22"/>
          <w:szCs w:val="22"/>
        </w:rPr>
        <w:t>,</w:t>
      </w:r>
      <w:r w:rsidRPr="000B1F2A">
        <w:rPr>
          <w:rFonts w:ascii="Arial" w:hAnsi="Arial" w:cs="Arial"/>
          <w:color w:val="1F497D" w:themeColor="text2"/>
          <w:sz w:val="22"/>
          <w:szCs w:val="22"/>
        </w:rPr>
        <w:t xml:space="preserve"> </w:t>
      </w:r>
      <w:r w:rsidRPr="000B1F2A">
        <w:rPr>
          <w:rFonts w:ascii="Arial" w:hAnsi="Arial" w:cs="Arial"/>
          <w:sz w:val="22"/>
          <w:szCs w:val="22"/>
        </w:rPr>
        <w:t xml:space="preserve">post travmatik stres bozukluğu </w:t>
      </w:r>
      <w:r w:rsidR="00BC3BBB" w:rsidRPr="000B1F2A">
        <w:rPr>
          <w:rFonts w:ascii="Arial" w:hAnsi="Arial" w:cs="Arial"/>
          <w:sz w:val="22"/>
          <w:szCs w:val="22"/>
        </w:rPr>
        <w:fldChar w:fldCharType="begin" w:fldLock="1"/>
      </w:r>
      <w:r w:rsidRPr="000B1F2A">
        <w:rPr>
          <w:rFonts w:ascii="Arial" w:hAnsi="Arial" w:cs="Arial"/>
          <w:sz w:val="22"/>
          <w:szCs w:val="22"/>
        </w:rPr>
        <w:instrText>ADDIN CSL_CITATION { "citationItems" : [ { "id" : "ITEM-1", "itemData" : { "DOI" : "10.1038/ncomms10106", "ISBN" : "2041-1723 (Electronic) 2041-1723 (Linking)", "ISSN" : "2041-1723", "PMID" : "26632874", "abstract" : "DICER1 is an enzyme that generates mature microRNAs (miRNAs), which regulate gene expression post-transcriptionally in brain and other tissues and is involved in synaptic maturation and plasticity. Here, through genome-wide differential gene expression survey of post-traumatic stress disorder (PTSD) with comorbid depression (PTSD&amp;Dep), we find that blood DICER1 expression is significantly reduced in cases versus controls, and replicate this in two independent cohorts. Our follow-up studies find that lower blood DICER1 expression is significantly associated with increased amygdala activation to fearful stimuli, a neural correlate for PTSD. Additionally, a genetic variant in the 3' un-translated region of DICER1, rs10144436, is significantly associated with DICER1 expression and with PTSD&amp;Dep, and the latter is replicated in an independent cohort. Furthermore, genome-wide differential expression survey of miRNAs in blood in PTSD&amp;Dep reveals miRNAs to be significantly downregulated in cases versus controls. Together, our novel data suggest DICER1 plays a role in molecular mechanisms of PTSD&amp;Dep through the DICER1 and the miRNA regulation pathway.", "author" : [ { "dropping-particle" : "", "family" : "Wingo", "given" : "Aliza P", "non-dropping-particle" : "", "parse-names" : false, "suffix" : "" }, { "dropping-particle" : "", "family" : "Almli", "given" : "Lynn M", "non-dropping-particle" : "", "parse-names" : false, "suffix" : "" }, { "dropping-particle" : "", "family" : "Stevens", "given" : "Jennifer S.", "non-dropping-particle" : "", "parse-names" : false, "suffix" : "" }, { "dropping-particle" : "", "family" : "Klengel", "given" : "Torsten", "non-dropping-particle" : "", "parse-names" : false, "suffix" : "" }, { "dropping-particle" : "", "family" : "Uddin", "given" : "Monica", "non-dropping-particle" : "", "parse-names" : false, "suffix" : "" }, { "dropping-particle" : "", "family" : "Li", "given" : "Yujing", "non-dropping-particle" : "", "parse-names" : false, "suffix" : "" }, { "dropping-particle" : "", "family" : "Bustamante", "given" : "Angela C.", "non-dropping-particle" : "", "parse-names" : false, "suffix" : "" }, { "dropping-particle" : "", "family" : "Lori", "given" : "Adriana", "non-dropping-particle" : "", "parse-names" : false, "suffix" : "" }, { "dropping-particle" : "", "family" : "Koen", "given" : "Nastassja", "non-dropping-particle" : "", "parse-names" : false, "suffix" : "" }, { "dropping-particle" : "", "family" : "Stein", "given" : "Dan J", "non-dropping-particle" : "", "parse-names" : false, "suffix" : "" }, { "dropping-particle" : "", "family" : "Smith", "given" : "Alicia K", "non-dropping-particle" : "", "parse-names" : false, "suffix" : "" }, { "dropping-particle" : "", "family" : "Aiello", "given" : "Allison E", "non-dropping-particle" : "", "parse-names" : false, "suffix" : "" }, { "dropping-particle" : "", "family" : "Koenen", "given" : "Karestan C", "non-dropping-particle" : "", "parse-names" : false, "suffix" : "" }, { "dropping-particle" : "", "family" : "Wildman", "given" : "Derek E", "non-dropping-particle" : "", "parse-names" : false, "suffix" : "" }, { "dropping-particle" : "", "family" : "Galea", "given" : "Sandro", "non-dropping-particle" : "", "parse-names" : false, "suffix" : "" }, { "dropping-particle" : "", "family" : "Bradley", "given" : "Bekh", "non-dropping-particle" : "", "parse-names" : false, "suffix" : "" }, { "dropping-particle" : "", "family" : "Binder", "given" : "Elisabeth B", "non-dropping-particle" : "", "parse-names" : false, "suffix" : "" }, { "dropping-particle" : "", "family" : "Jin", "given" : "Peng", "non-dropping-particle" : "", "parse-names" : false, "suffix" : "" }, { "dropping-particle" : "", "family" : "Gibson", "given" : "Greg", "non-dropping-particle" : "", "parse-names" : false, "suffix" : "" }, { "dropping-particle" : "", "family" : "Ressler", "given" : "Kerry J", "non-dropping-particle" : "", "parse-names" : false, "suffix" : "" } ], "container-title" : "Nature communications", "id" : "ITEM-1", "issued" : { "date-parts" : [ [ "2015" ] ] }, "page" : "10106", "title" : "DICER1 and microRNA regulation in post-traumatic stress disorder with comorbid depression.", "type" : "article-journal", "volume" : "6" }, "uris" : [ "http://www.mendeley.com/documents/?uuid=c425392e-6d1d-43c9-b930-d2b9d63c4427" ] } ], "mendeley" : { "formattedCitation" : "(277)", "plainTextFormattedCitation" : "(277)", "previouslyFormattedCitation" : "(277)" }, "properties" : { "noteIndex" : 52 }, "schema" : "https://github.com/citation-style-language/schema/raw/master/csl-citation.json" }</w:instrText>
      </w:r>
      <w:r w:rsidR="00BC3BBB" w:rsidRPr="000B1F2A">
        <w:rPr>
          <w:rFonts w:ascii="Arial" w:hAnsi="Arial" w:cs="Arial"/>
          <w:sz w:val="22"/>
          <w:szCs w:val="22"/>
        </w:rPr>
        <w:fldChar w:fldCharType="separate"/>
      </w:r>
      <w:r w:rsidRPr="000B1F2A">
        <w:rPr>
          <w:rFonts w:ascii="Arial" w:hAnsi="Arial" w:cs="Arial"/>
          <w:noProof/>
          <w:sz w:val="22"/>
          <w:szCs w:val="22"/>
        </w:rPr>
        <w:t>(277)</w:t>
      </w:r>
      <w:r w:rsidR="00BC3BBB" w:rsidRPr="000B1F2A">
        <w:rPr>
          <w:rFonts w:ascii="Arial" w:hAnsi="Arial" w:cs="Arial"/>
          <w:sz w:val="22"/>
          <w:szCs w:val="22"/>
        </w:rPr>
        <w:fldChar w:fldCharType="end"/>
      </w:r>
      <w:r w:rsidRPr="000B1F2A">
        <w:rPr>
          <w:rFonts w:ascii="Arial" w:hAnsi="Arial" w:cs="Arial"/>
          <w:sz w:val="22"/>
          <w:szCs w:val="22"/>
        </w:rPr>
        <w:t xml:space="preserve"> ve otizm </w:t>
      </w:r>
      <w:r w:rsidR="00BC3BBB" w:rsidRPr="000B1F2A">
        <w:rPr>
          <w:rFonts w:ascii="Arial" w:hAnsi="Arial" w:cs="Arial"/>
          <w:sz w:val="22"/>
          <w:szCs w:val="22"/>
        </w:rPr>
        <w:fldChar w:fldCharType="begin" w:fldLock="1"/>
      </w:r>
      <w:r w:rsidRPr="000B1F2A">
        <w:rPr>
          <w:rFonts w:ascii="Arial" w:hAnsi="Arial" w:cs="Arial"/>
          <w:sz w:val="22"/>
          <w:szCs w:val="22"/>
        </w:rPr>
        <w:instrText>ADDIN CSL_CITATION { "citationItems" : [ { "id" : "ITEM-1", "itemData" : { "DOI" : "10.1038/mp.2013.93", "ISSN" : "1359-4184", "abstract" : "We present a spatio-temporal assessment of microRNA (miRNA) expression\\nthroughout early human brain development. We assessed the prefrontal\\ncortex, hippocampus and cerebellum of 18 normal human donor brains\\nspanning infancy through adolescence by RNA-seq. We discovered\\ndifferentially expressed miRNAs and broad miRNA patterns across both\\ntemporal and spatial dimensions, and between male and female prefrontal\\ncortex. Putative target genes of the differentially expressed miRNAs\\nwere identified, which demonstrated functional enrichment for\\ntranscription regulation, synaptogenesis and other basic intracellular\\nprocesses. Sex-biased miRNAs also targeted genes related to Wnt and\\ntransforming growth factor-beta pathways. The differentially expressed\\nmiRNA targets were highly enriched for gene sets related to autism,\\nschizophrenia, bipolar disorder and depression, but not\\nneurodegenerative diseases, epilepsy or other adult-onset psychiatric\\ndiseases. Our results suggest critical roles for the identified miRNAs\\nin transcriptional networks of the developing human brain and\\nneurodevelopmental disorders.", "author" : [ { "dropping-particle" : "", "family" : "Zaits", "given" : "M N", "non-dropping-particle" : "", "parse-names" : false, "suffix" : "" }, { "dropping-particle" : "", "family" : "Rennert", "given" : "O M", "non-dropping-particle" : "", "parse-names" : false, "suffix" : "" } ], "container-title" : "Molecular Psychiatry", "id" : "ITEM-1", "issue" : "7", "issued" : { "date-parts" : [ [ "2014" ] ] }, "page" : "848-852", "title" : "Identification of differentially expressed microRNAs across the developing human brain", "type" : "article-journal", "volume" : "19" }, "uris" : [ "http://www.mendeley.com/documents/?uuid=9a657a4c-8e00-4101-adf9-26fa6eeab824" ] } ], "mendeley" : { "formattedCitation" : "(278)", "plainTextFormattedCitation" : "(278)", "previouslyFormattedCitation" : "(278)" }, "properties" : { "noteIndex" : 52 }, "schema" : "https://github.com/citation-style-language/schema/raw/master/csl-citation.json" }</w:instrText>
      </w:r>
      <w:r w:rsidR="00BC3BBB" w:rsidRPr="000B1F2A">
        <w:rPr>
          <w:rFonts w:ascii="Arial" w:hAnsi="Arial" w:cs="Arial"/>
          <w:sz w:val="22"/>
          <w:szCs w:val="22"/>
        </w:rPr>
        <w:fldChar w:fldCharType="separate"/>
      </w:r>
      <w:r w:rsidRPr="000B1F2A">
        <w:rPr>
          <w:rFonts w:ascii="Arial" w:hAnsi="Arial" w:cs="Arial"/>
          <w:noProof/>
          <w:sz w:val="22"/>
          <w:szCs w:val="22"/>
        </w:rPr>
        <w:t>(278)</w:t>
      </w:r>
      <w:r w:rsidR="00BC3BBB" w:rsidRPr="000B1F2A">
        <w:rPr>
          <w:rFonts w:ascii="Arial" w:hAnsi="Arial" w:cs="Arial"/>
          <w:sz w:val="22"/>
          <w:szCs w:val="22"/>
        </w:rPr>
        <w:fldChar w:fldCharType="end"/>
      </w:r>
      <w:r w:rsidRPr="000B1F2A">
        <w:rPr>
          <w:rFonts w:ascii="Arial" w:hAnsi="Arial" w:cs="Arial"/>
          <w:sz w:val="22"/>
          <w:szCs w:val="22"/>
        </w:rPr>
        <w:t xml:space="preserve"> gibi psikiyatrik bozukluklarda miRNA seviyelerinde sağlıklı kontrollere göre farklılıklar saptanmıştır.</w:t>
      </w:r>
      <w:r w:rsidRPr="000B1F2A">
        <w:rPr>
          <w:sz w:val="22"/>
          <w:szCs w:val="22"/>
        </w:rPr>
        <w:t xml:space="preserve"> </w:t>
      </w:r>
      <w:r w:rsidRPr="000B1F2A">
        <w:rPr>
          <w:rFonts w:ascii="Arial" w:hAnsi="Arial" w:cs="Arial"/>
          <w:sz w:val="22"/>
          <w:szCs w:val="22"/>
        </w:rPr>
        <w:t xml:space="preserve">Çeşitli kanser türleri </w:t>
      </w:r>
      <w:r w:rsidR="00BC3BBB" w:rsidRPr="000B1F2A">
        <w:rPr>
          <w:rFonts w:ascii="Arial" w:hAnsi="Arial" w:cs="Arial"/>
          <w:sz w:val="22"/>
          <w:szCs w:val="22"/>
        </w:rPr>
        <w:fldChar w:fldCharType="begin" w:fldLock="1"/>
      </w:r>
      <w:r w:rsidRPr="000B1F2A">
        <w:rPr>
          <w:rFonts w:ascii="Arial" w:hAnsi="Arial" w:cs="Arial"/>
          <w:sz w:val="22"/>
          <w:szCs w:val="22"/>
        </w:rPr>
        <w:instrText>ADDIN CSL_CITATION { "citationItems" : [ { "id" : "ITEM-1", "itemData" : { "ISSN" : "1873-4286 (Electronic)", "PMID" : "24479806", "abstract" : "From chemotherapy and radiotherapy to molecular targeted therapy, in recent decades, we have witnessed the acceleration of cancer treatments. However, nowadays, it has encountered obstacles due to multi-drug resistance, drug-induced toxicity and the insufficient disruption of cancer pathways. Thus, it is required to have more efficient approaches for cancer treatments. MicroRNAs (miRNAs) are perhaps the most researched genes in the last decade. They have been reported to play significant roles in cancers and are considered to be applied in targeted cancer therapies. Here, we will firstly review the implications of miRNAs in clinical use from the aspects of miRNA biogenesis and biological functions, followed by the diagnostic and prognostic values of miRNAs. Furthermore, the application of miRNAs in pre-clinical cancer models and clinical trials regarding miRNAs will also be discussed. Moreover, since miRNA delivery is the biggest challenge for miRNA based therapy, the commonly used delivery methods will then be reviewed. The miRNA combinational therapy with chemotherapy, radiotherapy, molecular targeted therapy and immunotherapy will be reviewed and discussed at last.", "author" : [ { "dropping-particle" : "", "family" : "Wu", "given" : "Qiong", "non-dropping-particle" : "", "parse-names" : false, "suffix" : "" }, { "dropping-particle" : "", "family" : "Yang", "given" : "Zhiping", "non-dropping-particle" : "", "parse-names" : false, "suffix" : "" }, { "dropping-particle" : "", "family" : "Shi", "given" : "Yongquan", "non-dropping-particle" : "", "parse-names" : false, "suffix" : "" }, { "dropping-particle" : "", "family" : "Fan", "given" : "Daiming", "non-dropping-particle" : "", "parse-names" : false, "suffix" : "" } ], "container-title" : "Current pharmaceutical design", "id" : "ITEM-1", "issue" : "33", "issued" : { "date-parts" : [ [ "2014" ] ] }, "page" : "5336-5347", "title" : "MiRNAs in human cancers: the diagnostic and therapeutic implications.", "type" : "article-journal", "volume" : "20" }, "uris" : [ "http://www.mendeley.com/documents/?uuid=54f24bbd-ee87-4c70-86b3-b7a78024add9" ] } ], "mendeley" : { "formattedCitation" : "(279)", "plainTextFormattedCitation" : "(279)", "previouslyFormattedCitation" : "(279)" }, "properties" : { "noteIndex" : 52 }, "schema" : "https://github.com/citation-style-language/schema/raw/master/csl-citation.json" }</w:instrText>
      </w:r>
      <w:r w:rsidR="00BC3BBB" w:rsidRPr="000B1F2A">
        <w:rPr>
          <w:rFonts w:ascii="Arial" w:hAnsi="Arial" w:cs="Arial"/>
          <w:sz w:val="22"/>
          <w:szCs w:val="22"/>
        </w:rPr>
        <w:fldChar w:fldCharType="separate"/>
      </w:r>
      <w:r w:rsidRPr="000B1F2A">
        <w:rPr>
          <w:rFonts w:ascii="Arial" w:hAnsi="Arial" w:cs="Arial"/>
          <w:noProof/>
          <w:sz w:val="22"/>
          <w:szCs w:val="22"/>
        </w:rPr>
        <w:t>(279)</w:t>
      </w:r>
      <w:r w:rsidR="00BC3BBB" w:rsidRPr="000B1F2A">
        <w:rPr>
          <w:rFonts w:ascii="Arial" w:hAnsi="Arial" w:cs="Arial"/>
          <w:sz w:val="22"/>
          <w:szCs w:val="22"/>
        </w:rPr>
        <w:fldChar w:fldCharType="end"/>
      </w:r>
      <w:r w:rsidRPr="000B1F2A">
        <w:rPr>
          <w:rFonts w:ascii="Arial" w:hAnsi="Arial" w:cs="Arial"/>
          <w:sz w:val="22"/>
          <w:szCs w:val="22"/>
        </w:rPr>
        <w:t xml:space="preserve">, epilepsi </w:t>
      </w:r>
      <w:r w:rsidR="00BC3BBB" w:rsidRPr="000B1F2A">
        <w:rPr>
          <w:rFonts w:ascii="Arial" w:hAnsi="Arial" w:cs="Arial"/>
          <w:sz w:val="22"/>
          <w:szCs w:val="22"/>
        </w:rPr>
        <w:fldChar w:fldCharType="begin" w:fldLock="1"/>
      </w:r>
      <w:r w:rsidRPr="000B1F2A">
        <w:rPr>
          <w:rFonts w:ascii="Arial" w:hAnsi="Arial" w:cs="Arial"/>
          <w:sz w:val="22"/>
          <w:szCs w:val="22"/>
        </w:rPr>
        <w:instrText>ADDIN CSL_CITATION { "citationItems" : [ { "id" : "ITEM-1", "itemData" : { "DOI" : "10.1016/j.neuroscience.2013.02.027", "ISBN" : "3531402862", "ISSN" : "03064522", "PMID" : "23485811", "abstract" : "MicroRNA (miRNA) is a class of small non-coding RNA which regulates post-transcriptional gene expression by repressing and thereby fine-tuning protein production, mainly via sequence-specific binding within the 3'untranslated region of mRNA transcripts. Although in humans there are only ???1600 miRNAs, bioinformatics, systems studies and advanced quantitative proteomics reveal miRNA regulation of over half of all protein-coding genes and that each miRNA can regulate multiple proteins. Epilepsy is a common, serious neurologic disorder characterized by recurring unprovoked seizures that result from abnormal firing of populations of neurons in the brain. The brain expresses several unique miRNAs which control dendritic morphology as well as ion channel levels, neuronal migration and glial function. There is an emerging view that the patho-mechanisms underlying the process of epileptogenesis, as well as maintenance and progression of the epileptic state, involve miRNAs that control multiple genes and proteins on a systems level. Expression profiling studies reveal select changes to brain miRNA levels following prolonged seizures (status epilepticus) in animal models. Inflammation, stress signaling and neuronal excitation are among the pathways most impacted. Analysis of miRNA expression in human epilepsy has also been performed, where again neuroinflammatory processes were prominent. These studies suggest that miRNAs may regulate certain key processes but are not necessarily broadly altering all patho-mechanisms in epilepsy. Functional studies employing antagomirs have identified contributions from miR-34a and miR-132 to seizure-induced neuronal death whereas silencing miR-134 potently reduced status epilepticus, seizure-damage and the later occurrence of spontaneous seizures. Efforts to identify the in vivo target(s) of epilepsy-regulated miRNAs, is now a priority. Last, miRNAs are stable, information-carrying (paracrine) signals. Profiling miRNA in biofluids may represent a novel source of disease biomarkers in epilepsy. In summary, miRNA is emerging as a critical new layer of gene expression control with implications for the cause and treatment of epilepsy. ?? 2013 IBRO.", "author" : [ { "dropping-particle" : "", "family" : "Jimenez-Mateos", "given" : "E. M.", "non-dropping-particle" : "", "parse-names" : false, "suffix" : "" }, { "dropping-particle" : "", "family" : "Henshall", "given" : "D. C.", "non-dropping-particle" : "", "parse-names" : false, "suffix" : "" } ], "container-title" : "Neuroscience", "id" : "ITEM-1", "issued" : { "date-parts" : [ [ "2013" ] ] }, "page" : "218-229", "title" : "Epilepsy and microRNA", "type" : "article-journal", "volume" : "238" }, "uris" : [ "http://www.mendeley.com/documents/?uuid=5865739f-1482-43de-ad4c-3c376a6910d6" ] } ], "mendeley" : { "formattedCitation" : "(280)", "plainTextFormattedCitation" : "(280)", "previouslyFormattedCitation" : "(280)" }, "properties" : { "noteIndex" : 52 }, "schema" : "https://github.com/citation-style-language/schema/raw/master/csl-citation.json" }</w:instrText>
      </w:r>
      <w:r w:rsidR="00BC3BBB" w:rsidRPr="000B1F2A">
        <w:rPr>
          <w:rFonts w:ascii="Arial" w:hAnsi="Arial" w:cs="Arial"/>
          <w:sz w:val="22"/>
          <w:szCs w:val="22"/>
        </w:rPr>
        <w:fldChar w:fldCharType="separate"/>
      </w:r>
      <w:r w:rsidRPr="000B1F2A">
        <w:rPr>
          <w:rFonts w:ascii="Arial" w:hAnsi="Arial" w:cs="Arial"/>
          <w:noProof/>
          <w:sz w:val="22"/>
          <w:szCs w:val="22"/>
        </w:rPr>
        <w:t>(280)</w:t>
      </w:r>
      <w:r w:rsidR="00BC3BBB" w:rsidRPr="000B1F2A">
        <w:rPr>
          <w:rFonts w:ascii="Arial" w:hAnsi="Arial" w:cs="Arial"/>
          <w:sz w:val="22"/>
          <w:szCs w:val="22"/>
        </w:rPr>
        <w:fldChar w:fldCharType="end"/>
      </w:r>
      <w:r w:rsidRPr="000B1F2A">
        <w:rPr>
          <w:rFonts w:ascii="Arial" w:hAnsi="Arial" w:cs="Arial"/>
          <w:sz w:val="22"/>
          <w:szCs w:val="22"/>
        </w:rPr>
        <w:t xml:space="preserve">,  kardiak patolojiler </w:t>
      </w:r>
      <w:r w:rsidR="00BC3BBB" w:rsidRPr="000B1F2A">
        <w:rPr>
          <w:rFonts w:ascii="Arial" w:hAnsi="Arial" w:cs="Arial"/>
          <w:sz w:val="22"/>
          <w:szCs w:val="22"/>
        </w:rPr>
        <w:fldChar w:fldCharType="begin" w:fldLock="1"/>
      </w:r>
      <w:r w:rsidRPr="000B1F2A">
        <w:rPr>
          <w:rFonts w:ascii="Arial" w:hAnsi="Arial" w:cs="Arial"/>
          <w:sz w:val="22"/>
          <w:szCs w:val="22"/>
        </w:rPr>
        <w:instrText>ADDIN CSL_CITATION { "citationItems" : [ { "id" : "ITEM-1", "itemData" : { "DOI" : "10.1016/j.yjmcc.2016.03.015", "ISBN" : "1095-8584 (Electronic)\\r0022-2828 (Linking)", "ISSN" : "10958584", "PMID" : "27056419", "abstract" : "Cardiac miRNAs (miR-1, miR133a, miR-208a/b, and miR-499) are abundantly expressed in the myocardium. They play a central role in cardiogenesis, heart function and pathology. While miR-1 and miR-133a predominantly control early stages of cardiogenesis supporting commitment of cardiac-specific muscle lineage from embryonic stem cells and mesodermal precursors, miR-208 and miR-499 are involved in the late cardiogenic stages mediating differentiation of cardioblasts to cardiomyocytes and fast/slow muscle fiber specification. In the heart, miR-1/133a control cardiac conductance and automaticity by regulating all phases of the cardiac action potential. miR-208/499 located in introns of the heavy chain myosin genes regulate expression of sarcomeric contractile proteins. In cardiac pathology including myocardial infarction (MI), expression of cardiac miRNAs is markedly altered that leads to deleterious effects associated with heart wounding, arrhythmia, increased apoptosis, fibrosis, hypertrophy, and tissue remodeling. In acute MI, circulating levels of cardiac miRNAs are significantly elevated making them to be a promising diagnostic marker for early diagnosis of acute MI. Great cardiospecific capacity of these miRNAs is very helpful for enhancing regenerative properties and survival of stem cell and cardiac progenitor transplants and for reprogramming of mature non-cardiac cells to cardiomyocytes.", "author" : [ { "dropping-particle" : "", "family" : "Chistiakov", "given" : "Dimitry A.", "non-dropping-particle" : "", "parse-names" : false, "suffix" : "" }, { "dropping-particle" : "", "family" : "Orekhov", "given" : "Alexander N.", "non-dropping-particle" : "", "parse-names" : false, "suffix" : "" }, { "dropping-particle" : "V.", "family" : "Bobryshev", "given" : "Yuri", "non-dropping-particle" : "", "parse-names" : false, "suffix" : "" } ], "container-title" : "Journal of Molecular and Cellular Cardiology", "id" : "ITEM-1", "issued" : { "date-parts" : [ [ "2016" ] ] }, "page" : "107-121", "title" : "Cardiac-specific miRNA in cardiogenesis, heart function, and cardiac pathology (with focus on myocardial infarction)", "type" : "article-journal", "volume" : "94" }, "uris" : [ "http://www.mendeley.com/documents/?uuid=b6761ce6-d38a-4960-b698-ba4d53c7b5bf" ] } ], "mendeley" : { "formattedCitation" : "(281)", "plainTextFormattedCitation" : "(281)", "previouslyFormattedCitation" : "(281)" }, "properties" : { "noteIndex" : 52 }, "schema" : "https://github.com/citation-style-language/schema/raw/master/csl-citation.json" }</w:instrText>
      </w:r>
      <w:r w:rsidR="00BC3BBB" w:rsidRPr="000B1F2A">
        <w:rPr>
          <w:rFonts w:ascii="Arial" w:hAnsi="Arial" w:cs="Arial"/>
          <w:sz w:val="22"/>
          <w:szCs w:val="22"/>
        </w:rPr>
        <w:fldChar w:fldCharType="separate"/>
      </w:r>
      <w:r w:rsidRPr="000B1F2A">
        <w:rPr>
          <w:rFonts w:ascii="Arial" w:hAnsi="Arial" w:cs="Arial"/>
          <w:noProof/>
          <w:sz w:val="22"/>
          <w:szCs w:val="22"/>
        </w:rPr>
        <w:t>(281)</w:t>
      </w:r>
      <w:r w:rsidR="00BC3BBB" w:rsidRPr="000B1F2A">
        <w:rPr>
          <w:rFonts w:ascii="Arial" w:hAnsi="Arial" w:cs="Arial"/>
          <w:sz w:val="22"/>
          <w:szCs w:val="22"/>
        </w:rPr>
        <w:fldChar w:fldCharType="end"/>
      </w:r>
      <w:r w:rsidRPr="000B1F2A">
        <w:rPr>
          <w:rFonts w:ascii="Arial" w:hAnsi="Arial" w:cs="Arial"/>
          <w:sz w:val="22"/>
          <w:szCs w:val="22"/>
        </w:rPr>
        <w:t xml:space="preserve"> solunum sistemi hastalıkları </w:t>
      </w:r>
      <w:r w:rsidR="00BC3BBB" w:rsidRPr="000B1F2A">
        <w:rPr>
          <w:rFonts w:ascii="Arial" w:hAnsi="Arial" w:cs="Arial"/>
          <w:sz w:val="22"/>
          <w:szCs w:val="22"/>
        </w:rPr>
        <w:fldChar w:fldCharType="begin" w:fldLock="1"/>
      </w:r>
      <w:r w:rsidRPr="000B1F2A">
        <w:rPr>
          <w:rFonts w:ascii="Arial" w:hAnsi="Arial" w:cs="Arial"/>
          <w:sz w:val="22"/>
          <w:szCs w:val="22"/>
        </w:rPr>
        <w:instrText>ADDIN CSL_CITATION { "citationItems" : [ { "id" : "ITEM-1", "itemData" : { "DOI" : "10.1183/09031936.00212011", "ISBN" : "0903-1936", "ISSN" : "09031936", "PMID" : "22790917", "abstract" : "MicroRNAs (miRNA) are a family of endogenous, small, noncoding RNA molecules that modulate physiological and pathological processes by post-transcriptional inhibition of gene expression. They were first recognised as regulators of development in worms and fruitflies. In recent years extensive research has explored their pivotal role in the pathogenesis of human diseases. Over 1000 human miRNAs have been discovered to date, however the biological function and protein targets for the majority remain to be uncovered. Within the respiratory system, miRNAs are important in normal pulmonary development and maintaining lung homeostasis. Recent studies have also begun to reveal that altered miRNA expression profiles may be associated with pathological processes within the lung and lead to the development of various pulmonary diseases ranging from inflammatory diseases to lung cancers. Advancing our understanding of the role of miRNAs in the respiratory system will help provide new perspectives on disease mechanisms and reveal intriguing therapeutic targets and diagnostics for respiratory disorders.", "author" : [ { "dropping-particle" : "", "family" : "Rupani", "given" : "Hitasha", "non-dropping-particle" : "", "parse-names" : false, "suffix" : "" }, { "dropping-particle" : "", "family" : "Sanchez-Elsner", "given" : "Tilman", "non-dropping-particle" : "", "parse-names" : false, "suffix" : "" }, { "dropping-particle" : "", "family" : "Howarth", "given" : "Peter", "non-dropping-particle" : "", "parse-names" : false, "suffix" : "" } ], "container-title" : "European Respiratory Journal", "id" : "ITEM-1", "issue" : "3", "issued" : { "date-parts" : [ [ "2013" ] ] }, "page" : "695-705", "title" : "MicroRNAs and respiratory diseases", "type" : "article-journal", "volume" : "41" }, "uris" : [ "http://www.mendeley.com/documents/?uuid=80380810-c7c9-408a-8332-83a44c7ab588" ] } ], "mendeley" : { "formattedCitation" : "(282)", "plainTextFormattedCitation" : "(282)", "previouslyFormattedCitation" : "(282)" }, "properties" : { "noteIndex" : 52 }, "schema" : "https://github.com/citation-style-language/schema/raw/master/csl-citation.json" }</w:instrText>
      </w:r>
      <w:r w:rsidR="00BC3BBB" w:rsidRPr="000B1F2A">
        <w:rPr>
          <w:rFonts w:ascii="Arial" w:hAnsi="Arial" w:cs="Arial"/>
          <w:sz w:val="22"/>
          <w:szCs w:val="22"/>
        </w:rPr>
        <w:fldChar w:fldCharType="separate"/>
      </w:r>
      <w:r w:rsidRPr="000B1F2A">
        <w:rPr>
          <w:rFonts w:ascii="Arial" w:hAnsi="Arial" w:cs="Arial"/>
          <w:noProof/>
          <w:sz w:val="22"/>
          <w:szCs w:val="22"/>
        </w:rPr>
        <w:t>(282)</w:t>
      </w:r>
      <w:r w:rsidR="00BC3BBB" w:rsidRPr="000B1F2A">
        <w:rPr>
          <w:rFonts w:ascii="Arial" w:hAnsi="Arial" w:cs="Arial"/>
          <w:sz w:val="22"/>
          <w:szCs w:val="22"/>
        </w:rPr>
        <w:fldChar w:fldCharType="end"/>
      </w:r>
      <w:r w:rsidRPr="000B1F2A">
        <w:rPr>
          <w:rFonts w:ascii="Arial" w:hAnsi="Arial" w:cs="Arial"/>
          <w:sz w:val="22"/>
          <w:szCs w:val="22"/>
        </w:rPr>
        <w:t xml:space="preserve">, üriner sistem hastalıkları </w:t>
      </w:r>
      <w:r w:rsidR="00BC3BBB" w:rsidRPr="000B1F2A">
        <w:rPr>
          <w:rFonts w:ascii="Arial" w:hAnsi="Arial" w:cs="Arial"/>
          <w:sz w:val="22"/>
          <w:szCs w:val="22"/>
        </w:rPr>
        <w:fldChar w:fldCharType="begin" w:fldLock="1"/>
      </w:r>
      <w:r w:rsidRPr="000B1F2A">
        <w:rPr>
          <w:rFonts w:ascii="Arial" w:hAnsi="Arial" w:cs="Arial"/>
          <w:sz w:val="22"/>
          <w:szCs w:val="22"/>
        </w:rPr>
        <w:instrText>ADDIN CSL_CITATION { "citationItems" : [ { "id" : "ITEM-1", "itemData" : { "DOI" : "10.1007/s10157-013-0906-5", "ISBN" : "1342-1751", "ISSN" : "14377799", "PMID" : "24198052", "abstract" : "BACKGROUND: MicroRNAs (miRNAs), a family of endogenous small non-coding RNAs, are associated with the development of renal diseases. To clarify whether urinary miRNAs (UmiRNAs) can be used for the evaluation of renal disease, we examined the profiles of UmiRNAs in various renal diseases. METHODS: We extracted miRNAs from urine specimens of 5 healthy controls and 71 patients with renal diseases, and we examined the correlation between clinical and histological parameters and the profile of UmiRNAs by microarray analysis. RESULTS: The urinary concentration of miRNAs increased in patients with renal disease compared with healthy controls, and the levels correlated with urinary protein and the degree of glomerular sclerosis. The microarray analysis detected 83-137 distinct UmiRNAs. We observed 80-99 % of the miRNAs in both the healthy controls and the renal disease patients. The majority of UmiRNAs displayed higher signal intensity in renal disease patients than in healthy controls, including 39 miRNAs exhibiting signal intensities 100 times greater than in healthy controls. A different pattern of UmiRNAs was observed in each type of renal disease. A comparison of renal tissue and UmiRNAs revealed that the sample profiles were similar and that their signal intensity was significantly correlated. CONCLUSION: This study demonstrated that UmiRNAs are correlated with renal pathological changes and that the profile of UmiRNAs presented different patterns corresponding to the type of renal disease. These results suggest that UmiRNAs can potentially be used as novel biomarkers for renal diseases.", "author" : [ { "dropping-particle" : "", "family" : "Konta", "given" : "Tsuneo", "non-dropping-particle" : "", "parse-names" : false, "suffix" : "" }, { "dropping-particle" : "", "family" : "Ichikawa", "given" : "Kazunobu", "non-dropping-particle" : "", "parse-names" : false, "suffix" : "" }, { "dropping-particle" : "", "family" : "Suzuki", "given" : "Kazuko", "non-dropping-particle" : "", "parse-names" : false, "suffix" : "" }, { "dropping-particle" : "", "family" : "Kudo", "given" : "Kosuke", "non-dropping-particle" : "", "parse-names" : false, "suffix" : "" }, { "dropping-particle" : "", "family" : "Satoh", "given" : "Hiroko", "non-dropping-particle" : "", "parse-names" : false, "suffix" : "" }, { "dropping-particle" : "", "family" : "Kamei", "given" : "Keita", "non-dropping-particle" : "", "parse-names" : false, "suffix" : "" }, { "dropping-particle" : "", "family" : "Nishidate", "given" : "Emiko", "non-dropping-particle" : "", "parse-names" : false, "suffix" : "" }, { "dropping-particle" : "", "family" : "Kubota", "given" : "Isao", "non-dropping-particle" : "", "parse-names" : false, "suffix" : "" } ], "container-title" : "Clinical and Experimental Nephrology", "id" : "ITEM-1", "issue" : "5", "issued" : { "date-parts" : [ [ "2014" ] ] }, "page" : "711-717", "title" : "A microarray analysis of urinary microRNAs in renal diseases", "type" : "article-journal", "volume" : "18" }, "uris" : [ "http://www.mendeley.com/documents/?uuid=9d730b6b-789f-41a7-9bec-744324d7af55" ] } ], "mendeley" : { "formattedCitation" : "(283)", "plainTextFormattedCitation" : "(283)", "previouslyFormattedCitation" : "(283)" }, "properties" : { "noteIndex" : 52 }, "schema" : "https://github.com/citation-style-language/schema/raw/master/csl-citation.json" }</w:instrText>
      </w:r>
      <w:r w:rsidR="00BC3BBB" w:rsidRPr="000B1F2A">
        <w:rPr>
          <w:rFonts w:ascii="Arial" w:hAnsi="Arial" w:cs="Arial"/>
          <w:sz w:val="22"/>
          <w:szCs w:val="22"/>
        </w:rPr>
        <w:fldChar w:fldCharType="separate"/>
      </w:r>
      <w:r w:rsidRPr="000B1F2A">
        <w:rPr>
          <w:rFonts w:ascii="Arial" w:hAnsi="Arial" w:cs="Arial"/>
          <w:noProof/>
          <w:sz w:val="22"/>
          <w:szCs w:val="22"/>
        </w:rPr>
        <w:t>(283)</w:t>
      </w:r>
      <w:r w:rsidR="00BC3BBB" w:rsidRPr="000B1F2A">
        <w:rPr>
          <w:rFonts w:ascii="Arial" w:hAnsi="Arial" w:cs="Arial"/>
          <w:sz w:val="22"/>
          <w:szCs w:val="22"/>
        </w:rPr>
        <w:fldChar w:fldCharType="end"/>
      </w:r>
      <w:r w:rsidRPr="000B1F2A">
        <w:rPr>
          <w:rFonts w:ascii="Arial" w:hAnsi="Arial" w:cs="Arial"/>
          <w:color w:val="4F81BD" w:themeColor="accent1"/>
          <w:sz w:val="22"/>
          <w:szCs w:val="22"/>
        </w:rPr>
        <w:t xml:space="preserve"> </w:t>
      </w:r>
      <w:r w:rsidRPr="000B1F2A">
        <w:rPr>
          <w:rFonts w:ascii="Arial" w:hAnsi="Arial" w:cs="Arial"/>
          <w:sz w:val="22"/>
          <w:szCs w:val="22"/>
        </w:rPr>
        <w:t xml:space="preserve">metabolik sendrom </w:t>
      </w:r>
      <w:r w:rsidR="00BC3BBB" w:rsidRPr="000B1F2A">
        <w:rPr>
          <w:rFonts w:ascii="Arial" w:hAnsi="Arial" w:cs="Arial"/>
          <w:sz w:val="22"/>
          <w:szCs w:val="22"/>
        </w:rPr>
        <w:fldChar w:fldCharType="begin" w:fldLock="1"/>
      </w:r>
      <w:r w:rsidRPr="000B1F2A">
        <w:rPr>
          <w:rFonts w:ascii="Arial" w:hAnsi="Arial" w:cs="Arial"/>
          <w:sz w:val="22"/>
          <w:szCs w:val="22"/>
        </w:rPr>
        <w:instrText>ADDIN CSL_CITATION { "citationItems" : [ { "id" : "ITEM-1", "itemData" : { "DOI" : "10.1055/s-0033-1357139", "ISBN" : "1439-4286 0018-5043", "ISSN" : "14394286", "PMID" : "24136779", "abstract" : "The aim of the study was to investigate the associations between physical activity (PA)-related miRNAs and metabolic syndrome (MetS). A case-control study was conducted in 209 subjects with MetS and 234 controls. The MetS was defined by the International Diabetes Foundation (IDF) criteria of 2005. Serum PA-related miRNAs were detected by quantitative reverse transcriptase polymerase chain reaction (qRT-PCR) assays. Association analysis was performed by logistic regression models. The expression levels of miR-126 and miR-130a were lower in the highest metabolic equivalent hours per week (MET-h/week) quartile than in the lowest quartile [miR-126: Q5 vs. Q1, median (5-95%), 1.67 (0.54, 2.45) vs. 1.35 (0.45, 2.45), p=0.012; miR-130a: Q5 vs. Q1, median (5-95%), 0.90 (0.44, 1.35) vs. 0.53 (0.26, 1.01), p&lt;0.001]. However, miR-197 exhibited a trend with increased MET-h/week [Q5 vs. Q1, median (5-95%), 1.35 (0.45, 2.63) vs. 2.18 (0.87, 4.77), p=0.009]. MiR-126 increased MetS risk significantly while the effect of miR-197 was opposite (miR-126: OR=1.37, 95% CI 1.07-1.75; p=0.012; miR-197: OR=0.68, 95% CI 0.51-0.92; p=0.010). Individuals in the highest MET-h/week quartile had lower prevalence and odds rate of MetS compared with those in the lowest quartile (Q4 vs. Q1: OR=0.58, 95% CI 0.33-1.05; p for trend=0.026). However, further adjustment of both PA associated miRNAs abolished that association. All these results suggested that the association between PA and MetS risk might partly depend on miR-126 and miR-197.", "author" : [ { "dropping-particle" : "", "family" : "Zhou", "given" : "J.", "non-dropping-particle" : "", "parse-names" : false, "suffix" : "" }, { "dropping-particle" : "", "family" : "Zheng", "given" : "Q.", "non-dropping-particle" : "", "parse-names" : false, "suffix" : "" }, { "dropping-particle" : "", "family" : "Xu", "given" : "T.", "non-dropping-particle" : "", "parse-names" : false, "suffix" : "" }, { "dropping-particle" : "", "family" : "Liao", "given" : "D.", "non-dropping-particle" : "", "parse-names" : false, "suffix" : "" }, { "dropping-particle" : "", "family" : "Zhang", "given" : "Y.", "non-dropping-particle" : "", "parse-names" : false, "suffix" : "" }, { "dropping-particle" : "", "family" : "Yang", "given" : "S.", "non-dropping-particle" : "", "parse-names" : false, "suffix" : "" }, { "dropping-particle" : "", "family" : "Hu", "given" : "J.", "non-dropping-particle" : "", "parse-names" : false, "suffix" : "" } ], "container-title" : "Hormone and Metabolic Research", "id" : "ITEM-1", "issue" : "3", "issued" : { "date-parts" : [ [ "2014" ] ] }, "page" : "201-205", "title" : "Associations between physical activity-related miRNAs and metabolic syndrome", "type" : "article-journal", "volume" : "46" }, "uris" : [ "http://www.mendeley.com/documents/?uuid=333c50b5-21f1-46cf-90d3-1aee5a7b8283" ] } ], "mendeley" : { "formattedCitation" : "(284)", "plainTextFormattedCitation" : "(284)", "previouslyFormattedCitation" : "(284)" }, "properties" : { "noteIndex" : 52 }, "schema" : "https://github.com/citation-style-language/schema/raw/master/csl-citation.json" }</w:instrText>
      </w:r>
      <w:r w:rsidR="00BC3BBB" w:rsidRPr="000B1F2A">
        <w:rPr>
          <w:rFonts w:ascii="Arial" w:hAnsi="Arial" w:cs="Arial"/>
          <w:sz w:val="22"/>
          <w:szCs w:val="22"/>
        </w:rPr>
        <w:fldChar w:fldCharType="separate"/>
      </w:r>
      <w:r w:rsidRPr="000B1F2A">
        <w:rPr>
          <w:rFonts w:ascii="Arial" w:hAnsi="Arial" w:cs="Arial"/>
          <w:noProof/>
          <w:sz w:val="22"/>
          <w:szCs w:val="22"/>
        </w:rPr>
        <w:t>(284)</w:t>
      </w:r>
      <w:r w:rsidR="00BC3BBB" w:rsidRPr="000B1F2A">
        <w:rPr>
          <w:rFonts w:ascii="Arial" w:hAnsi="Arial" w:cs="Arial"/>
          <w:sz w:val="22"/>
          <w:szCs w:val="22"/>
        </w:rPr>
        <w:fldChar w:fldCharType="end"/>
      </w:r>
      <w:r w:rsidRPr="000B1F2A">
        <w:rPr>
          <w:rFonts w:ascii="Arial" w:hAnsi="Arial" w:cs="Arial"/>
          <w:sz w:val="22"/>
          <w:szCs w:val="22"/>
        </w:rPr>
        <w:t xml:space="preserve"> </w:t>
      </w:r>
      <w:r w:rsidRPr="000B1F2A">
        <w:rPr>
          <w:rFonts w:ascii="Arial" w:hAnsi="Arial" w:cs="Arial"/>
          <w:color w:val="000000" w:themeColor="text1"/>
          <w:sz w:val="22"/>
          <w:szCs w:val="22"/>
        </w:rPr>
        <w:t>ve</w:t>
      </w:r>
      <w:r w:rsidRPr="000B1F2A">
        <w:rPr>
          <w:rFonts w:ascii="Arial" w:hAnsi="Arial" w:cs="Arial"/>
          <w:color w:val="4F81BD" w:themeColor="accent1"/>
          <w:sz w:val="22"/>
          <w:szCs w:val="22"/>
        </w:rPr>
        <w:t xml:space="preserve"> </w:t>
      </w:r>
      <w:r w:rsidRPr="000B1F2A">
        <w:rPr>
          <w:rFonts w:ascii="Arial" w:hAnsi="Arial" w:cs="Arial"/>
          <w:color w:val="000000" w:themeColor="text1"/>
          <w:sz w:val="22"/>
          <w:szCs w:val="22"/>
        </w:rPr>
        <w:t xml:space="preserve">çeşitli endokrin bozuklukları </w:t>
      </w:r>
      <w:r w:rsidR="00BC3BBB" w:rsidRPr="000B1F2A">
        <w:rPr>
          <w:rFonts w:ascii="Arial" w:hAnsi="Arial" w:cs="Arial"/>
          <w:color w:val="000000" w:themeColor="text1"/>
          <w:sz w:val="22"/>
          <w:szCs w:val="22"/>
        </w:rPr>
        <w:fldChar w:fldCharType="begin" w:fldLock="1"/>
      </w:r>
      <w:r w:rsidRPr="000B1F2A">
        <w:rPr>
          <w:rFonts w:ascii="Arial" w:hAnsi="Arial" w:cs="Arial"/>
          <w:color w:val="000000" w:themeColor="text1"/>
          <w:sz w:val="22"/>
          <w:szCs w:val="22"/>
        </w:rPr>
        <w:instrText>ADDIN CSL_CITATION { "citationItems" : [ { "id" : "ITEM-1", "itemData" : { "DOI" : "10.1007/s40618-015-0316-5", "ISBN" : "1420-3049 (Electronic) 1420-3049 (Linking)", "ISSN" : "17208386", "PMID" : "24858274", "abstract" : "Neurodegenerative disorders, such as Alzheimer\u2019s disease (AD), Parkinson\u2019s disease (PD) and frontotemporal dementias (FTD), are considered distinct entities, however, there is increasing evidence of an overlap from the clinical, pathological and genetic points of view. All neurodegenerative diseases are characterized by neuronal loss and death in specific areas of the brain, for example, hippocampus and cortex for AD, midbrain for PD, frontal and temporal lobes for FTD. Loss of neurons is a relatively late event in the progression of neurodegenerative diseases that is typically preceded by other events such as metabolic changes, synaptic dysfunction and loss, neurite retraction, and the appearance of other abnormalities, such as axonal transport defects. The brain\u2019s ability to compensate for these dysfunctions occurs over a long period of time and results in late clinical manifestation of symptoms, when successful pharmacological intervention is no longer feasible. Currently, diagnosis of AD, PD and different forms of dementia is based primarily on analysis of the patient\u2019s cognitive function. It is therefore important to find non-invasive diagnostic methods useful to detect neurodegenerative diseases during early, preferably asymptomatic stages, when a pharmacological intervention is still possible. Altered expression of microRNAs (miRNAs) in many disease states, including neurodegeneration, and increasing relevance of miRNAs in biofluids in different pathologies has prompted the study of their possible application as neurodegenerative diseases biomarkers in order to identify new therapeutic targets. Here, we review what is known about the role of miRNAs in the pathogenesis of neurodegeneration and the possibilities and challenges of using these small RNA molecules as a signature for neurodegenerative conditions.", "author" : [ { "dropping-particle" : "", "family" : "Butz", "given" : "H.", "non-dropping-particle" : "", "parse-names" : false, "suffix" : "" }, { "dropping-particle" : "", "family" : "Kinga", "given" : "N.", "non-dropping-particle" : "", "parse-names" : false, "suffix" : "" }, { "dropping-particle" : "", "family" : "Racz", "given" : "K.", "non-dropping-particle" : "", "parse-names" : false, "suffix" : "" }, { "dropping-particle" : "", "family" : "Patocs", "given" : "A.", "non-dropping-particle" : "", "parse-names" : false, "suffix" : "" } ], "container-title" : "Journal of Endocrinological Investigation", "id" : "ITEM-1", "issue" : "1", "issued" : { "date-parts" : [ [ "2016" ] ] }, "page" : "1-10", "title" : "Circulating miRNAs as biomarkers for endocrine disorders", "type" : "article-journal", "volume" : "39" }, "uris" : [ "http://www.mendeley.com/documents/?uuid=0712e843-47de-4e3f-8804-c4ed16780e5e" ] } ], "mendeley" : { "formattedCitation" : "(285)", "plainTextFormattedCitation" : "(285)", "previouslyFormattedCitation" : "(285)" }, "properties" : { "noteIndex" : 53 }, "schema" : "https://github.com/citation-style-language/schema/raw/master/csl-citation.json" }</w:instrText>
      </w:r>
      <w:r w:rsidR="00BC3BBB" w:rsidRPr="000B1F2A">
        <w:rPr>
          <w:rFonts w:ascii="Arial" w:hAnsi="Arial" w:cs="Arial"/>
          <w:color w:val="000000" w:themeColor="text1"/>
          <w:sz w:val="22"/>
          <w:szCs w:val="22"/>
        </w:rPr>
        <w:fldChar w:fldCharType="separate"/>
      </w:r>
      <w:r w:rsidRPr="000B1F2A">
        <w:rPr>
          <w:rFonts w:ascii="Arial" w:hAnsi="Arial" w:cs="Arial"/>
          <w:noProof/>
          <w:color w:val="000000" w:themeColor="text1"/>
          <w:sz w:val="22"/>
          <w:szCs w:val="22"/>
        </w:rPr>
        <w:t>(285)</w:t>
      </w:r>
      <w:r w:rsidR="00BC3BBB" w:rsidRPr="000B1F2A">
        <w:rPr>
          <w:rFonts w:ascii="Arial" w:hAnsi="Arial" w:cs="Arial"/>
          <w:color w:val="000000" w:themeColor="text1"/>
          <w:sz w:val="22"/>
          <w:szCs w:val="22"/>
        </w:rPr>
        <w:fldChar w:fldCharType="end"/>
      </w:r>
      <w:r w:rsidRPr="000B1F2A">
        <w:rPr>
          <w:rFonts w:ascii="Arial" w:hAnsi="Arial" w:cs="Arial"/>
          <w:color w:val="4F81BD" w:themeColor="accent1"/>
          <w:sz w:val="22"/>
          <w:szCs w:val="22"/>
        </w:rPr>
        <w:t xml:space="preserve"> </w:t>
      </w:r>
      <w:r w:rsidRPr="000B1F2A">
        <w:rPr>
          <w:rFonts w:ascii="Arial" w:hAnsi="Arial" w:cs="Arial"/>
          <w:color w:val="000000" w:themeColor="text1"/>
          <w:sz w:val="22"/>
          <w:szCs w:val="22"/>
        </w:rPr>
        <w:t xml:space="preserve">gibi bir çok kronik fiziksel </w:t>
      </w:r>
      <w:r w:rsidRPr="000B1F2A">
        <w:rPr>
          <w:rFonts w:ascii="Arial" w:hAnsi="Arial" w:cs="Arial"/>
          <w:color w:val="000000" w:themeColor="text1"/>
          <w:sz w:val="22"/>
          <w:szCs w:val="22"/>
        </w:rPr>
        <w:lastRenderedPageBreak/>
        <w:t xml:space="preserve">rahatsızlığın miRNA düzeylerini etkilediği bildirilmiştir. Bu bilgiler göz önüne alındığında </w:t>
      </w:r>
      <w:r w:rsidRPr="000B1F2A">
        <w:rPr>
          <w:rFonts w:ascii="Arial" w:hAnsi="Arial" w:cs="Arial"/>
          <w:sz w:val="22"/>
          <w:szCs w:val="22"/>
        </w:rPr>
        <w:t>ek bir psikiyatrik eş tanı ya da bedensel hastalık varlığının çalışmanın sonuçlarını etkileyebileceği için olgu seçimi sırasında katılımcıların tıbbi ve psikiyatrik öyküleri dikkate alınmıştır</w:t>
      </w:r>
      <w:r w:rsidRPr="000B1F2A">
        <w:rPr>
          <w:sz w:val="22"/>
          <w:szCs w:val="22"/>
        </w:rPr>
        <w:t xml:space="preserve">. </w:t>
      </w:r>
      <w:r w:rsidRPr="000B1F2A">
        <w:rPr>
          <w:rFonts w:ascii="Arial" w:hAnsi="Arial" w:cs="Arial"/>
          <w:sz w:val="22"/>
          <w:szCs w:val="22"/>
        </w:rPr>
        <w:t xml:space="preserve">Psikotrop ilaçların miRNA düzeyleri üzerine etkisi olduğunun bildirilmesi </w:t>
      </w:r>
      <w:r w:rsidR="00BC3BBB" w:rsidRPr="000B1F2A">
        <w:rPr>
          <w:rFonts w:ascii="Arial" w:hAnsi="Arial" w:cs="Arial"/>
          <w:sz w:val="22"/>
          <w:szCs w:val="22"/>
        </w:rPr>
        <w:fldChar w:fldCharType="begin" w:fldLock="1"/>
      </w:r>
      <w:r w:rsidRPr="000B1F2A">
        <w:rPr>
          <w:rFonts w:ascii="Arial" w:hAnsi="Arial" w:cs="Arial"/>
          <w:sz w:val="22"/>
          <w:szCs w:val="22"/>
        </w:rPr>
        <w:instrText>ADDIN CSL_CITATION { "citationItems" : [ { "id" : "ITEM-1", "itemData" : { "DOI" : "10.9758/cpn.2014.12.2.94", "ISSN" : "1738-1088", "PMID" : "25191500", "abstract" : "Psychiatric disorders are among the most debilitating of all medical illnesses. Whilst there are drugs that can be used to treat these disorders, they give sub-optimal recovery in many people and a significant number of individuals do not respond to any treatments and remain treatment resistant. Surprisingly, the mechanism by which psychotropic drugs cause their therapeutic benefits remain unknown but likely involves the underlying molecular pathways affected by the drugs. Hence, in this review, we have focused on recent findings on the molecular mechanism affected by antipsychotic, mood stabilizing and antidepressant drugs at the levels of epigenetics, intracellular signalling cascades and microRNAs. We posit that understanding these important interactions will result in a better understanding of how these drugs act which in turn may aid in considering how to develop drugs with better efficacy or increased therapeutic reach.", "author" : [ { "dropping-particle" : "", "family" : "Seo", "given" : "Myoung Suk", "non-dropping-particle" : "", "parse-names" : false, "suffix" : "" }, { "dropping-particle" : "", "family" : "Scarr", "given" : "Elizabeth", "non-dropping-particle" : "", "parse-names" : false, "suffix" : "" }, { "dropping-particle" : "", "family" : "Lai", "given" : "Chi-Yu", "non-dropping-particle" : "", "parse-names" : false, "suffix" : "" }, { "dropping-particle" : "", "family" : "Dean", "given" : "Brian", "non-dropping-particle" : "", "parse-names" : false, "suffix" : "" } ], "container-title" : "Clinical psychopharmacology and neuroscience : the official scientific journal of the Korean College of Neuropsychopharmacology", "id" : "ITEM-1", "issue" : "2", "issued" : { "date-parts" : [ [ "2014" ] ] }, "page" : "94-110", "title" : "Potential molecular and cellular mechanism of psychotropic drugs.", "type" : "article-journal", "volume" : "12" }, "uris" : [ "http://www.mendeley.com/documents/?uuid=7a0e8c6e-c34c-4a37-b54f-58c0f15ec3e0" ] } ], "mendeley" : { "formattedCitation" : "(286)", "plainTextFormattedCitation" : "(286)", "previouslyFormattedCitation" : "(286)" }, "properties" : { "noteIndex" : 53 }, "schema" : "https://github.com/citation-style-language/schema/raw/master/csl-citation.json" }</w:instrText>
      </w:r>
      <w:r w:rsidR="00BC3BBB" w:rsidRPr="000B1F2A">
        <w:rPr>
          <w:rFonts w:ascii="Arial" w:hAnsi="Arial" w:cs="Arial"/>
          <w:sz w:val="22"/>
          <w:szCs w:val="22"/>
        </w:rPr>
        <w:fldChar w:fldCharType="separate"/>
      </w:r>
      <w:r w:rsidRPr="000B1F2A">
        <w:rPr>
          <w:rFonts w:ascii="Arial" w:hAnsi="Arial" w:cs="Arial"/>
          <w:noProof/>
          <w:sz w:val="22"/>
          <w:szCs w:val="22"/>
        </w:rPr>
        <w:t>(286)</w:t>
      </w:r>
      <w:r w:rsidR="00BC3BBB" w:rsidRPr="000B1F2A">
        <w:rPr>
          <w:rFonts w:ascii="Arial" w:hAnsi="Arial" w:cs="Arial"/>
          <w:sz w:val="22"/>
          <w:szCs w:val="22"/>
        </w:rPr>
        <w:fldChar w:fldCharType="end"/>
      </w:r>
      <w:r w:rsidRPr="000B1F2A">
        <w:rPr>
          <w:rFonts w:ascii="Arial" w:hAnsi="Arial" w:cs="Arial"/>
          <w:sz w:val="22"/>
          <w:szCs w:val="22"/>
        </w:rPr>
        <w:t xml:space="preserve"> nedeniyle hem olgu hem de kontrol grubunda psikotrop ilaç kullanım öyküsü olmayan katılımcılar dahil edilmiştir.</w:t>
      </w:r>
    </w:p>
    <w:p w:rsidR="000B1F2A" w:rsidRPr="000B1F2A" w:rsidRDefault="000B1F2A" w:rsidP="000B1F2A">
      <w:pPr>
        <w:spacing w:line="360" w:lineRule="auto"/>
        <w:ind w:firstLine="567"/>
        <w:contextualSpacing/>
        <w:jc w:val="both"/>
        <w:rPr>
          <w:rFonts w:ascii="Arial" w:hAnsi="Arial" w:cs="Arial"/>
          <w:sz w:val="22"/>
          <w:szCs w:val="22"/>
          <w:shd w:val="clear" w:color="auto" w:fill="FFFFFF"/>
        </w:rPr>
      </w:pPr>
      <w:r w:rsidRPr="000B1F2A">
        <w:rPr>
          <w:rFonts w:ascii="Arial" w:hAnsi="Arial" w:cs="Arial"/>
          <w:sz w:val="22"/>
          <w:szCs w:val="22"/>
          <w:shd w:val="clear" w:color="auto" w:fill="FFFFFF"/>
        </w:rPr>
        <w:t xml:space="preserve">Çalışmamızda olgu grubunun yaş ortalaması </w:t>
      </w:r>
      <w:r w:rsidRPr="000B1F2A">
        <w:rPr>
          <w:rFonts w:ascii="Arial" w:hAnsi="Arial" w:cs="Arial"/>
          <w:sz w:val="22"/>
          <w:szCs w:val="22"/>
          <w:lang w:val="en-US" w:eastAsia="en-US"/>
        </w:rPr>
        <w:t>9 ± 2.77</w:t>
      </w:r>
      <w:r w:rsidRPr="000B1F2A">
        <w:rPr>
          <w:rFonts w:ascii="Arial" w:hAnsi="Arial" w:cs="Arial"/>
          <w:sz w:val="22"/>
          <w:szCs w:val="22"/>
          <w:shd w:val="clear" w:color="auto" w:fill="FFFFFF"/>
        </w:rPr>
        <w:t xml:space="preserve"> </w:t>
      </w:r>
      <w:r w:rsidRPr="000B1F2A">
        <w:rPr>
          <w:rFonts w:ascii="Arial" w:hAnsi="Arial" w:cs="Arial"/>
          <w:sz w:val="22"/>
          <w:szCs w:val="22"/>
          <w:lang w:val="en-US" w:eastAsia="en-US"/>
        </w:rPr>
        <w:t>(6-16)</w:t>
      </w:r>
      <w:r w:rsidRPr="000B1F2A">
        <w:rPr>
          <w:rFonts w:ascii="Arial" w:hAnsi="Arial" w:cs="Arial"/>
          <w:sz w:val="22"/>
          <w:szCs w:val="22"/>
          <w:shd w:val="clear" w:color="auto" w:fill="FFFFFF"/>
        </w:rPr>
        <w:t xml:space="preserve"> yıl, kontrol grubunun yaş ortalaması ise </w:t>
      </w:r>
      <w:r w:rsidRPr="000B1F2A">
        <w:rPr>
          <w:rFonts w:ascii="Arial" w:hAnsi="Arial" w:cs="Arial"/>
          <w:sz w:val="22"/>
          <w:szCs w:val="22"/>
          <w:lang w:val="en-US" w:eastAsia="en-US"/>
        </w:rPr>
        <w:t>10.4 ± 3.64</w:t>
      </w:r>
      <w:r w:rsidRPr="000B1F2A">
        <w:rPr>
          <w:rFonts w:ascii="Arial" w:hAnsi="Arial" w:cs="Arial"/>
          <w:sz w:val="22"/>
          <w:szCs w:val="22"/>
          <w:shd w:val="clear" w:color="auto" w:fill="FFFFFF"/>
        </w:rPr>
        <w:t xml:space="preserve"> </w:t>
      </w:r>
      <w:r w:rsidRPr="000B1F2A">
        <w:rPr>
          <w:rFonts w:ascii="Arial" w:hAnsi="Arial" w:cs="Arial"/>
          <w:sz w:val="22"/>
          <w:szCs w:val="22"/>
          <w:lang w:val="en-US" w:eastAsia="en-US"/>
        </w:rPr>
        <w:t>(6-17)</w:t>
      </w:r>
      <w:r w:rsidRPr="000B1F2A">
        <w:rPr>
          <w:rFonts w:ascii="Arial" w:hAnsi="Arial" w:cs="Arial"/>
          <w:sz w:val="22"/>
          <w:szCs w:val="22"/>
          <w:shd w:val="clear" w:color="auto" w:fill="FFFFFF"/>
        </w:rPr>
        <w:t xml:space="preserve"> yıldır. Yaş açısından iki grup arasında istatistiksel olarak anlamlı fark saptanmamıştır. DEHB belirtileri nedeniyle yapılan başvuruların çocuk ve ergenlerde 4-17 yaş arasında değiştiği, en sık başvuru yaşı aralığının ise 9-17 yaş olduğu bildirilmiştir </w:t>
      </w:r>
      <w:r w:rsidR="00BC3BBB" w:rsidRPr="000B1F2A">
        <w:rPr>
          <w:rFonts w:ascii="Arial" w:hAnsi="Arial" w:cs="Arial"/>
          <w:sz w:val="22"/>
          <w:szCs w:val="22"/>
          <w:shd w:val="clear" w:color="auto" w:fill="FFFFFF"/>
        </w:rPr>
        <w:fldChar w:fldCharType="begin" w:fldLock="1"/>
      </w:r>
      <w:r w:rsidR="005827F2">
        <w:rPr>
          <w:rFonts w:ascii="Arial" w:hAnsi="Arial" w:cs="Arial"/>
          <w:sz w:val="22"/>
          <w:szCs w:val="22"/>
          <w:shd w:val="clear" w:color="auto" w:fill="FFFFFF"/>
        </w:rPr>
        <w:instrText>ADDIN CSL_CITATION { "citationItems" : [ { "id" : "ITEM-1", "itemData" : { "ISSN" : "1545-861X", "PMID" : "16138075", "abstract" : "Attention-deficit/hyperactivity disorder (ADHD), previously known as attention deficit disorder, is a neurobehavioral disorder characterized by pervasive inattention and hyperactivity-impulsivity that often results in substantial functional impairment. Prevalence estimates of ADHD in school-aged children have ranged from 2% to 18% in community samples. Although stimulant medications are an effective first-line treatment for ADHD , concern persists regarding the possible side effects and long-term health outcomes associated with stimulant consumption. Estimating the number of children who have had ADHD diagnosed and are currently taking medication for the disorder is an important step toward understanding the overall burden of ADHD in the United States. Previously, population-based estimates of medication treatment for ADHD were not available or were limited by their lack of generalizability. To estimate rates of parent-reported ADHD diagnosis and medication treatment for ADHD, CDC analyzed data from the 2003 National Survey of Children's Health (NSCH). This report describes the results of that analysis, which indicated that, in 2003, approximately 4.4 million children aged 4-17 years were reported to have a history of ADHD diagnosis; of these, 2.5 million (56%) were reported to be taking medication for the disorder. Because both substantial health risks and benefits might be associated with medication treatment for ADHD, further study of this population of children with ADHD is needed.", "author" : [ { "dropping-particle" : "", "family" : "Centers for Disease Control and Prevention (CDC)", "given" : "", "non-dropping-particle" : "", "parse-names" : false, "suffix" : "" } ], "container-title" : "MMWR. Morbidity and mortality weekly report", "id" : "ITEM-1", "issue" : "34", "issued" : { "date-parts" : [ [ "2005", "9", "2" ] ] }, "page" : "842-7", "title" : "Mental health in the United States. Prevalence of diagnosis and medication treatment for attention-deficit/hyperactivity disorder--United States, 2003.", "type" : "article-journal", "volume" : "54" }, "uris" : [ "http://www.mendeley.com/documents/?uuid=625878d6-ebf9-3221-9c88-609303304529" ] } ], "mendeley" : { "formattedCitation" : "(287)", "plainTextFormattedCitation" : "(287)", "previouslyFormattedCitation" : "(287)" }, "properties" : { "noteIndex" : 53 }, "schema" : "https://github.com/citation-style-language/schema/raw/master/csl-citation.json" }</w:instrText>
      </w:r>
      <w:r w:rsidR="00BC3BBB" w:rsidRPr="000B1F2A">
        <w:rPr>
          <w:rFonts w:ascii="Arial" w:hAnsi="Arial" w:cs="Arial"/>
          <w:sz w:val="22"/>
          <w:szCs w:val="22"/>
          <w:shd w:val="clear" w:color="auto" w:fill="FFFFFF"/>
        </w:rPr>
        <w:fldChar w:fldCharType="separate"/>
      </w:r>
      <w:r w:rsidR="0037573A" w:rsidRPr="0037573A">
        <w:rPr>
          <w:rFonts w:ascii="Arial" w:hAnsi="Arial" w:cs="Arial"/>
          <w:noProof/>
          <w:sz w:val="22"/>
          <w:szCs w:val="22"/>
          <w:shd w:val="clear" w:color="auto" w:fill="FFFFFF"/>
        </w:rPr>
        <w:t>(287)</w:t>
      </w:r>
      <w:r w:rsidR="00BC3BBB" w:rsidRPr="000B1F2A">
        <w:rPr>
          <w:rFonts w:ascii="Arial" w:hAnsi="Arial" w:cs="Arial"/>
          <w:sz w:val="22"/>
          <w:szCs w:val="22"/>
          <w:shd w:val="clear" w:color="auto" w:fill="FFFFFF"/>
        </w:rPr>
        <w:fldChar w:fldCharType="end"/>
      </w:r>
      <w:r w:rsidRPr="000B1F2A">
        <w:rPr>
          <w:rFonts w:ascii="Arial" w:hAnsi="Arial" w:cs="Arial"/>
          <w:sz w:val="22"/>
          <w:szCs w:val="22"/>
          <w:shd w:val="clear" w:color="auto" w:fill="FFFFFF"/>
        </w:rPr>
        <w:t xml:space="preserve">. </w:t>
      </w:r>
      <w:r w:rsidRPr="000B1F2A">
        <w:rPr>
          <w:rFonts w:ascii="Arial" w:hAnsi="Arial" w:cs="Arial"/>
          <w:sz w:val="22"/>
          <w:szCs w:val="22"/>
        </w:rPr>
        <w:t xml:space="preserve">Ülkemizde yürütülen başka bir çalışmada, tüm yaş gruplarında en sık gözlenen tanının DEHB olduğu, DEHB'li çocukların yaş gruplarına göre dağılımlarına bakıldığında, bozukluğun en sık 7-11 yaş arasındaki çocuklarda saptandığı bulunmuştur </w:t>
      </w:r>
      <w:r w:rsidR="00BC3BBB" w:rsidRPr="000B1F2A">
        <w:rPr>
          <w:rFonts w:ascii="Arial" w:hAnsi="Arial" w:cs="Arial"/>
          <w:sz w:val="22"/>
          <w:szCs w:val="22"/>
        </w:rPr>
        <w:fldChar w:fldCharType="begin" w:fldLock="1"/>
      </w:r>
      <w:r w:rsidR="005827F2">
        <w:rPr>
          <w:rFonts w:ascii="Arial" w:hAnsi="Arial" w:cs="Arial"/>
          <w:sz w:val="22"/>
          <w:szCs w:val="22"/>
        </w:rPr>
        <w:instrText>ADDIN CSL_CITATION { "citationItems" : [ { "id" : "ITEM-1", "itemData" : { "DOI" : "10.5350/DAJPN2011240204", "ISBN" : "2011240204", "ISSN" : "13095749", "abstract" : "Objective: The aim of the present study is to identify the diagnoses of patients who referred to a child and adolescent psychiatry outpatient clinic. Method: Medical records of 538 patients referred to the Children and Adolescent Psychiatry outpatient clinic at Gulhane Military Medical School, between January 2009 and June 2009 were studied retrospectively. Results: It was found that the patients were mostly male and within 7 to 18 years of age. It was also determined that three quarters of patients had at least one diagnosis and the diagnosis rate in children between the ages of 0-6 was 50 percent. Comorbid diagnoses were found in 13.7 percent of all cases and they were mainly in the attention deficit hyperactivity disorder (ADHD) group. The most common diagnoses were ADHD, generalized anxiety disorder, mental retardation, depression and enuresis, respectively. The most common diagnosis in all age subgroups was ADHD. While the most common diagnoses in boys are ADHD, mental retardation, generalized anxiety disorder, enuresis and depression respectively, they were ADHD, generalized anxiety disorder, depression, mental retardation and enuresis in girls. Conclusion: To know the most common diagnoses, diagnosis differences within genders and possible diagnoses for certain age groups will be useful for improving child and adolescent psychiatry services.", "author" : [ { "dropping-particle" : "", "family" : "Durukan", "given" : "Ibrahim", "non-dropping-particle" : "", "parse-names" : false, "suffix" : "" }, { "dropping-particle" : "", "family" : "Karaman", "given" : "Dursun", "non-dropping-particle" : "", "parse-names" : false, "suffix" : "" }, { "dropping-particle" : "", "family" : "Kara", "given" : "Koray", "non-dropping-particle" : "", "parse-names" : false, "suffix" : "" }, { "dropping-particle" : "", "family" : "T\u00fcrker", "given" : "T\u00fcrker", "non-dropping-particle" : "", "parse-names" : false, "suffix" : "" }, { "dropping-particle" : "", "family" : "Tufan", "given" : "Ali Evren", "non-dropping-particle" : "", "parse-names" : false, "suffix" : "" }, { "dropping-particle" : "", "family" : "Yal\u00e7in", "given" : "\u00d6zhan", "non-dropping-particle" : "", "parse-names" : false, "suffix" : "" }, { "dropping-particle" : "", "family" : "Karabekiro\u01e7lu", "given" : "Koray", "non-dropping-particle" : "", "parse-names" : false, "suffix" : "" } ], "container-title" : "Dusunen Adam", "id" : "ITEM-1", "issue" : "2", "issued" : { "date-parts" : [ [ "2011" ] ] }, "page" : "113-120", "title" : "Diagnoses of patients referring to a child and adolescent psychiatry outpatient clinic", "type" : "article-journal", "volume" : "24" }, "uris" : [ "http://www.mendeley.com/documents/?uuid=b26f8247-4453-4ff6-a0c4-fbdc8c1adc2d" ] } ], "mendeley" : { "formattedCitation" : "(288)", "plainTextFormattedCitation" : "(288)", "previouslyFormattedCitation" : "(288)" }, "properties" : { "noteIndex" : 53 }, "schema" : "https://github.com/citation-style-language/schema/raw/master/csl-citation.json" }</w:instrText>
      </w:r>
      <w:r w:rsidR="00BC3BBB" w:rsidRPr="000B1F2A">
        <w:rPr>
          <w:rFonts w:ascii="Arial" w:hAnsi="Arial" w:cs="Arial"/>
          <w:sz w:val="22"/>
          <w:szCs w:val="22"/>
        </w:rPr>
        <w:fldChar w:fldCharType="separate"/>
      </w:r>
      <w:r w:rsidR="0037573A" w:rsidRPr="0037573A">
        <w:rPr>
          <w:rFonts w:ascii="Arial" w:hAnsi="Arial" w:cs="Arial"/>
          <w:noProof/>
          <w:sz w:val="22"/>
          <w:szCs w:val="22"/>
        </w:rPr>
        <w:t>(288)</w:t>
      </w:r>
      <w:r w:rsidR="00BC3BBB" w:rsidRPr="000B1F2A">
        <w:rPr>
          <w:rFonts w:ascii="Arial" w:hAnsi="Arial" w:cs="Arial"/>
          <w:sz w:val="22"/>
          <w:szCs w:val="22"/>
        </w:rPr>
        <w:fldChar w:fldCharType="end"/>
      </w:r>
      <w:r w:rsidRPr="000B1F2A">
        <w:rPr>
          <w:rFonts w:ascii="Arial" w:hAnsi="Arial" w:cs="Arial"/>
          <w:sz w:val="22"/>
          <w:szCs w:val="22"/>
        </w:rPr>
        <w:t>. Bu bilgiler ışığında çalışmamızdaki çocukların yaş ortalamaları diğer DEHB çalışmalarıyla uyumluluk göstermektedir.</w:t>
      </w:r>
    </w:p>
    <w:p w:rsidR="000B1F2A" w:rsidRPr="000B1F2A" w:rsidRDefault="000B1F2A" w:rsidP="000B1F2A">
      <w:pPr>
        <w:spacing w:line="360" w:lineRule="auto"/>
        <w:ind w:firstLine="567"/>
        <w:contextualSpacing/>
        <w:jc w:val="both"/>
        <w:rPr>
          <w:rFonts w:ascii="Arial" w:hAnsi="Arial" w:cs="Arial"/>
          <w:sz w:val="22"/>
          <w:szCs w:val="22"/>
        </w:rPr>
      </w:pPr>
      <w:r w:rsidRPr="000B1F2A">
        <w:rPr>
          <w:rFonts w:ascii="Arial" w:hAnsi="Arial" w:cs="Arial"/>
          <w:sz w:val="22"/>
          <w:szCs w:val="22"/>
        </w:rPr>
        <w:t xml:space="preserve">Ebeveynlerin eğitim düzeyleri açısından değerlendirildiğinde, iki grup arasında istatistiksel olarak anlamlı bir farka rastlanmamıştır. 8.132 çocuk ve ebeveynlerinin değerlendirildiği geniş katılımlı bir çalışmada, DEHB'si olan ve olmayan çocuklar arasında annelerin eğitim düzeyleri açısından anlamlı bir farka rastlanmamıştır </w:t>
      </w:r>
      <w:r w:rsidR="00BC3BBB" w:rsidRPr="000B1F2A">
        <w:rPr>
          <w:rFonts w:ascii="Arial" w:hAnsi="Arial" w:cs="Arial"/>
          <w:sz w:val="22"/>
          <w:szCs w:val="22"/>
        </w:rPr>
        <w:fldChar w:fldCharType="begin" w:fldLock="1"/>
      </w:r>
      <w:r w:rsidR="005827F2">
        <w:rPr>
          <w:rFonts w:ascii="Arial" w:hAnsi="Arial" w:cs="Arial"/>
          <w:sz w:val="22"/>
          <w:szCs w:val="22"/>
        </w:rPr>
        <w:instrText>ADDIN CSL_CITATION { "citationItems" : [ { "id" : "ITEM-1", "itemData" : { "DOI" : "10.1007/s10578-015-0578-3", "ISBN" : "1057801505783", "ISSN" : "0009-398X", "PMID" : "26266467", "abstract" : "This systematic review examines associations between parental socioeconomic disadvantage and childhood attention deficit/hyperactivity disorder (ADHD). Socioeconomic status (SES) was measured by parental income, education, occupation and marital status. Results were mixed by measure of SES with no one aspect being differentially related to ADHD. 42 studies were included in the review, of which 35 found a significant univariate association between socioeconomic disadvantage and ADHD. Meta-analyses of dimensions of SES and their association with ADHD indicate that children in families of low SES are on average 1.85-2.21 more likely to have ADHD than their peers in high SES families. In spite of substantial between-study heterogeneity, there is evidence for an association between socioeconomic disadvantage and risk of ADHD measured in different ways. This is likely mediated by factors linked to low SES such as parental mental health and maternal smoking during pregnancy.", "author" : [ { "dropping-particle" : "", "family" : "Russell", "given" : "Abigail Emma", "non-dropping-particle" : "", "parse-names" : false, "suffix" : "" }, { "dropping-particle" : "", "family" : "Ford", "given" : "Tamsin", "non-dropping-particle" : "", "parse-names" : false, "suffix" : "" }, { "dropping-particle" : "", "family" : "Williams", "given" : "Rebecca", "non-dropping-particle" : "", "parse-names" : false, "suffix" : "" }, { "dropping-particle" : "", "family" : "Russell", "given" : "Ginny", "non-dropping-particle" : "", "parse-names" : false, "suffix" : "" } ], "container-title" : "Child Psychiatry &amp; Human Development", "id" : "ITEM-1", "issue" : "3", "issued" : { "date-parts" : [ [ "2016" ] ] }, "page" : "440-458", "title" : "The Association Between Socioeconomic Disadvantage and Attention Deficit/Hyperactivity Disorder (ADHD): A Systematic Review", "type" : "article-journal", "volume" : "47" }, "uris" : [ "http://www.mendeley.com/documents/?uuid=9b862175-d7f9-4bb7-9eef-e1fde5f8ddb5" ] } ], "mendeley" : { "formattedCitation" : "(289)", "plainTextFormattedCitation" : "(289)", "previouslyFormattedCitation" : "(289)" }, "properties" : { "noteIndex" : 53 }, "schema" : "https://github.com/citation-style-language/schema/raw/master/csl-citation.json" }</w:instrText>
      </w:r>
      <w:r w:rsidR="00BC3BBB" w:rsidRPr="000B1F2A">
        <w:rPr>
          <w:rFonts w:ascii="Arial" w:hAnsi="Arial" w:cs="Arial"/>
          <w:sz w:val="22"/>
          <w:szCs w:val="22"/>
        </w:rPr>
        <w:fldChar w:fldCharType="separate"/>
      </w:r>
      <w:r w:rsidR="0037573A" w:rsidRPr="0037573A">
        <w:rPr>
          <w:rFonts w:ascii="Arial" w:hAnsi="Arial" w:cs="Arial"/>
          <w:noProof/>
          <w:sz w:val="22"/>
          <w:szCs w:val="22"/>
        </w:rPr>
        <w:t>(289)</w:t>
      </w:r>
      <w:r w:rsidR="00BC3BBB" w:rsidRPr="000B1F2A">
        <w:rPr>
          <w:rFonts w:ascii="Arial" w:hAnsi="Arial" w:cs="Arial"/>
          <w:sz w:val="22"/>
          <w:szCs w:val="22"/>
        </w:rPr>
        <w:fldChar w:fldCharType="end"/>
      </w:r>
      <w:r w:rsidRPr="000B1F2A">
        <w:rPr>
          <w:rFonts w:ascii="Arial" w:hAnsi="Arial" w:cs="Arial"/>
          <w:sz w:val="22"/>
          <w:szCs w:val="22"/>
        </w:rPr>
        <w:t>. Bizim bulgularımızın da bu çalışmanın verileri ile tutarlı olduğu düşünülmüştür.</w:t>
      </w:r>
    </w:p>
    <w:p w:rsidR="000B1F2A" w:rsidRPr="000B1F2A" w:rsidRDefault="000B1F2A" w:rsidP="000B1F2A">
      <w:pPr>
        <w:spacing w:line="360" w:lineRule="auto"/>
        <w:ind w:firstLine="567"/>
        <w:contextualSpacing/>
        <w:jc w:val="both"/>
        <w:rPr>
          <w:rFonts w:ascii="Arial" w:hAnsi="Arial" w:cs="Arial"/>
          <w:sz w:val="22"/>
          <w:szCs w:val="22"/>
          <w:shd w:val="clear" w:color="auto" w:fill="FFFFFF"/>
        </w:rPr>
      </w:pPr>
      <w:r w:rsidRPr="000B1F2A">
        <w:rPr>
          <w:rFonts w:ascii="Arial" w:hAnsi="Arial" w:cs="Arial"/>
          <w:sz w:val="22"/>
          <w:szCs w:val="22"/>
          <w:shd w:val="clear" w:color="auto" w:fill="FFFFFF"/>
        </w:rPr>
        <w:t xml:space="preserve">Mesleki durum </w:t>
      </w:r>
      <w:r w:rsidR="003B12C8">
        <w:rPr>
          <w:rFonts w:ascii="Arial" w:hAnsi="Arial" w:cs="Arial"/>
          <w:sz w:val="22"/>
          <w:szCs w:val="22"/>
          <w:shd w:val="clear" w:color="auto" w:fill="FFFFFF"/>
        </w:rPr>
        <w:t>açısından değerlendirildiğinde o</w:t>
      </w:r>
      <w:r w:rsidRPr="000B1F2A">
        <w:rPr>
          <w:rFonts w:ascii="Arial" w:hAnsi="Arial" w:cs="Arial"/>
          <w:sz w:val="22"/>
          <w:szCs w:val="22"/>
          <w:shd w:val="clear" w:color="auto" w:fill="FFFFFF"/>
        </w:rPr>
        <w:t>lgu ve kontrol grupları arasında annelerin çalışma durumları açısından istatistiksel olarak anlamlı fark saptanmış (</w:t>
      </w:r>
      <w:r w:rsidRPr="000B1F2A">
        <w:rPr>
          <w:rFonts w:ascii="Arial" w:hAnsi="Arial" w:cs="Arial"/>
          <w:b/>
          <w:sz w:val="22"/>
          <w:szCs w:val="22"/>
          <w:shd w:val="clear" w:color="auto" w:fill="FFFFFF"/>
        </w:rPr>
        <w:t>p = 0.034</w:t>
      </w:r>
      <w:r w:rsidRPr="000B1F2A">
        <w:rPr>
          <w:rFonts w:ascii="Arial" w:hAnsi="Arial" w:cs="Arial"/>
          <w:sz w:val="22"/>
          <w:szCs w:val="22"/>
          <w:shd w:val="clear" w:color="auto" w:fill="FFFFFF"/>
        </w:rPr>
        <w:t xml:space="preserve">), bu bulgumuzun DEHB’li çocukların ebeveynlerinin daha düşük mesleki seviyeleri olduğunu gösteren çalışma </w:t>
      </w:r>
      <w:r w:rsidR="00BC3BBB" w:rsidRPr="000B1F2A">
        <w:rPr>
          <w:rFonts w:ascii="Arial" w:hAnsi="Arial" w:cs="Arial"/>
          <w:sz w:val="22"/>
          <w:szCs w:val="22"/>
          <w:shd w:val="clear" w:color="auto" w:fill="FFFFFF"/>
        </w:rPr>
        <w:fldChar w:fldCharType="begin" w:fldLock="1"/>
      </w:r>
      <w:r w:rsidR="005827F2">
        <w:rPr>
          <w:rFonts w:ascii="Arial" w:hAnsi="Arial" w:cs="Arial"/>
          <w:sz w:val="22"/>
          <w:szCs w:val="22"/>
          <w:shd w:val="clear" w:color="auto" w:fill="FFFFFF"/>
        </w:rPr>
        <w:instrText>ADDIN CSL_CITATION { "citationItems" : [ { "id" : "ITEM-1", "itemData" : { "DOI" : "10.1371/journal.pone.0128248", "ISBN" : "1932-6203", "ISSN" : "19326203", "PMID" : "26030626", "abstract" : "BACKGROUND: Children from disadvantaged socioeconomic backgrounds are at greater risk of a range of negative outcomes throughout their life course than their peers; however the specific mechanisms by which socioeconomic status relates to different health outcomes in childhood are as yet unclear. AIMS: The current study investigates the relationship between socioeconomic disadvantage in childhood and attention deficit/hyperactivity disorder (ADHD), and investigates putative mediators of this association in a longitudinal population-based birth cohort in the UK. METHODS: Data from the Avon Longitudinal Study of Parents and Children was used (n = 8,132) to explore the relationship between different measures of socioeconomic status at birth-3 years and their association with a diagnosis of ADHD at age 7. A multiple mediation model was utilised to examine factors occurring between these ages that may mediate the association. RESULTS: Financial difficulties, housing tenure, maternal age at birth of child and marital status were significantly associated with an outcome of ADHD, such that families either living in financial difficulty, living in council housing, with younger or single mothers\u2019 were more likely to have a child with a research diagnosis of ADHD at age 7. Financial difficulties was the strongest predictor of ADHD (OR 2.23 95% CI 1.57-3.16). In the multiple mediation model, involvement in parenting at age 6 and presence of adversity at age 2-4 mediated 27.8% of the association. CONCLUSIONS: Socioeconomic disadvantage, conceptualised as reported difficulty in affording basic necessities (e.g. heating, food) has both direct and indirect impacts on a child\u2019s risk of ADHD. Lower levels of parent involvement mediates this association, as does presence of adversity; with children exposed to adversity and those with less involved parents being at an increased risk of having ADHD. This study highlights the importance of home and environmental factors as small but important contributors toward the aetiology of ADHD.", "author" : [ { "dropping-particle" : "", "family" : "Russell", "given" : "Abigail Emma", "non-dropping-particle" : "", "parse-names" : false, "suffix" : "" }, { "dropping-particle" : "", "family" : "Ford", "given" : "Tamsin", "non-dropping-particle" : "", "parse-names" : false, "suffix" : "" }, { "dropping-particle" : "", "family" : "Russell", "given" : "Ginny", "non-dropping-particle" : "", "parse-names" : false, "suffix" : "" } ], "container-title" : "PLoS ONE", "id" : "ITEM-1", "issue" : "6", "issued" : { "date-parts" : [ [ "2015" ] ] }, "title" : "Socioeconomic associations with ADHD: Findings from a mediation analysis", "type" : "article-journal", "volume" : "10" }, "uris" : [ "http://www.mendeley.com/documents/?uuid=9f2d3779-dafc-49bd-bb2f-2675c8e26a3f" ] } ], "mendeley" : { "formattedCitation" : "(290)", "plainTextFormattedCitation" : "(290)", "previouslyFormattedCitation" : "(290)" }, "properties" : { "noteIndex" : 53 }, "schema" : "https://github.com/citation-style-language/schema/raw/master/csl-citation.json" }</w:instrText>
      </w:r>
      <w:r w:rsidR="00BC3BBB" w:rsidRPr="000B1F2A">
        <w:rPr>
          <w:rFonts w:ascii="Arial" w:hAnsi="Arial" w:cs="Arial"/>
          <w:sz w:val="22"/>
          <w:szCs w:val="22"/>
          <w:shd w:val="clear" w:color="auto" w:fill="FFFFFF"/>
        </w:rPr>
        <w:fldChar w:fldCharType="separate"/>
      </w:r>
      <w:r w:rsidR="0037573A" w:rsidRPr="0037573A">
        <w:rPr>
          <w:rFonts w:ascii="Arial" w:hAnsi="Arial" w:cs="Arial"/>
          <w:noProof/>
          <w:sz w:val="22"/>
          <w:szCs w:val="22"/>
          <w:shd w:val="clear" w:color="auto" w:fill="FFFFFF"/>
        </w:rPr>
        <w:t>(290)</w:t>
      </w:r>
      <w:r w:rsidR="00BC3BBB" w:rsidRPr="000B1F2A">
        <w:rPr>
          <w:rFonts w:ascii="Arial" w:hAnsi="Arial" w:cs="Arial"/>
          <w:sz w:val="22"/>
          <w:szCs w:val="22"/>
          <w:shd w:val="clear" w:color="auto" w:fill="FFFFFF"/>
        </w:rPr>
        <w:fldChar w:fldCharType="end"/>
      </w:r>
      <w:r w:rsidRPr="000B1F2A">
        <w:rPr>
          <w:rFonts w:ascii="Arial" w:hAnsi="Arial" w:cs="Arial"/>
          <w:sz w:val="22"/>
          <w:szCs w:val="22"/>
          <w:shd w:val="clear" w:color="auto" w:fill="FFFFFF"/>
        </w:rPr>
        <w:t xml:space="preserve"> ile tutarlı olduğu düşünülmüştür. Fakat babaların çalışma durumları açısından iki grup arasında herhangi bir farklılık bulunmamıştır. </w:t>
      </w:r>
    </w:p>
    <w:p w:rsidR="00772052" w:rsidRDefault="000B1F2A" w:rsidP="000B1F2A">
      <w:pPr>
        <w:spacing w:line="360" w:lineRule="auto"/>
        <w:ind w:firstLine="567"/>
        <w:contextualSpacing/>
        <w:jc w:val="both"/>
        <w:rPr>
          <w:rFonts w:ascii="Arial" w:hAnsi="Arial" w:cs="Arial"/>
          <w:sz w:val="22"/>
          <w:szCs w:val="22"/>
        </w:rPr>
      </w:pPr>
      <w:r w:rsidRPr="000B1F2A">
        <w:rPr>
          <w:rFonts w:ascii="Arial" w:hAnsi="Arial" w:cs="Arial"/>
          <w:sz w:val="22"/>
          <w:szCs w:val="22"/>
          <w:shd w:val="clear" w:color="auto" w:fill="FFFFFF"/>
        </w:rPr>
        <w:t xml:space="preserve">Çalışmaya katılan ailelerin gelir düzeylerine bakıldığında, iki grup arasında </w:t>
      </w:r>
      <w:r w:rsidR="00B56722">
        <w:rPr>
          <w:rFonts w:ascii="Arial" w:hAnsi="Arial" w:cs="Arial"/>
          <w:sz w:val="22"/>
          <w:szCs w:val="22"/>
          <w:shd w:val="clear" w:color="auto" w:fill="FFFFFF"/>
        </w:rPr>
        <w:t>eşit dağılım</w:t>
      </w:r>
      <w:r w:rsidRPr="000B1F2A">
        <w:rPr>
          <w:rFonts w:ascii="Arial" w:hAnsi="Arial" w:cs="Arial"/>
          <w:sz w:val="22"/>
          <w:szCs w:val="22"/>
          <w:shd w:val="clear" w:color="auto" w:fill="FFFFFF"/>
        </w:rPr>
        <w:t xml:space="preserve"> olduğu gözlenmiştir (p=1.00). Literatürde düşük sosyoekonomik düzey ile DEHB arasındaki ilişkiyi gösteren çalışmalar bulunmaktadır </w:t>
      </w:r>
      <w:r w:rsidR="00BC3BBB" w:rsidRPr="000B1F2A">
        <w:rPr>
          <w:rFonts w:ascii="Arial" w:hAnsi="Arial" w:cs="Arial"/>
          <w:sz w:val="22"/>
          <w:szCs w:val="22"/>
          <w:shd w:val="clear" w:color="auto" w:fill="FFFFFF"/>
        </w:rPr>
        <w:fldChar w:fldCharType="begin" w:fldLock="1"/>
      </w:r>
      <w:r w:rsidR="005827F2">
        <w:rPr>
          <w:rFonts w:ascii="Arial" w:hAnsi="Arial" w:cs="Arial"/>
          <w:sz w:val="22"/>
          <w:szCs w:val="22"/>
          <w:shd w:val="clear" w:color="auto" w:fill="FFFFFF"/>
        </w:rPr>
        <w:instrText>ADDIN CSL_CITATION { "citationItems" : [ { "id" : "ITEM-1", "itemData" : { "DOI" : "10.1007/s00787-008-1012-1", "ISBN" : "1018-8827\\r1435-165X", "ISSN" : "10188827", "PMID" : "19132310", "abstract" : "BACKGROUND AND OBJECTIVE: To examine and compare the psychometric properties of two short screening instruments for children and adolescents suffering from attention deficit-/ hyperactivity disorder (ADHD). The Conners' Hyperactivity Index consists of ten items that assess symptoms of hyperactivity through self-report and parents' proxy. The German ADHD Rating scale (FBB-HKS/ADHS) consists of 20 items that assess the severity and perceived burden of inattention, hyperactivity, and impulsiveness as defined by the ICD-10 and DSM-IV. METHODS: Within the BELLA module of the German Health Interview and Examination Survey for Children and Adolescents (KiGGS), the parents of 2,863 children and adolescents rated the Conners' Hyperactivity Index and the FBB-HKS. RESULTS: The internal consistency of item responses was assessed via Cronbach's alpha and showed that both instrument scores were able to obtain a reliable measurement. The factorial validity of the FBB-HKS measurement model as well as the unidimensionality of the Conners' scale was tested by means of exploratory and confirmatory factor analysis (EFA and CFA), indicating satisfactory goodness of fit for the FBB-HKS (RMSEA=0.06) and some deviation from the unidimensionality assumption of the Conners' scale. Stability of results across age could be confirmed with few exceptions. Mean scores differences were found between both sexes, age groups, and different socioeconomic status groups (Winkler-Index) with males, younger respondents, and children with low socioeconomic status displaying more ADHD-related behaviour. Correlation coefficients between the two instruments' scores and other scales assessing emotional and behavioural problems hinted at convergent validity. CONCLUSION: Both instruments' scores showed reliability as well as factorial and convergent/discriminant validity. The pros and cons of the two instruments as well as for which purpose and under which circumstances one of the measures can be favoured must be considered prior to applying such a measure.", "author" : [ { "dropping-particle" : "", "family" : "Erhart", "given" : "Michael", "non-dropping-particle" : "", "parse-names" : false, "suffix" : "" }, { "dropping-particle" : "", "family" : "D\u00f6pfner", "given" : "Manfred", "non-dropping-particle" : "", "parse-names" : false, "suffix" : "" }, { "dropping-particle" : "", "family" : "Ravens-Sieberer", "given" : "Ulrike", "non-dropping-particle" : "", "parse-names" : false, "suffix" : "" } ], "container-title" : "European Child and Adolescent Psychiatry", "id" : "ITEM-1", "issue" : "SUPPL. 1", "issued" : { "date-parts" : [ [ "2008" ] ] }, "page" : "106-115", "title" : "Psychometric properties of two ADHD questionnaires: Comparing the conners' scale and the FBB-HKS in the general population of german children and adolescents - Results of the BELLA study", "type" : "article-journal", "volume" : "17" }, "uris" : [ "http://www.mendeley.com/documents/?uuid=61d6dfdf-d186-48c6-8508-9fa85211e34f" ] }, { "id" : "ITEM-2", "itemData" : { "DOI" : "10.1007/s10578-015-0578-3", "ISBN" : "1057801505783", "ISSN" : "0009-398X", "PMID" : "26266467", "abstract" : "This systematic review examines associations between parental socioeconomic disadvantage and childhood attention deficit/hyperactivity disorder (ADHD). Socioeconomic status (SES) was measured by parental income, education, occupation and marital status. Results were mixed by measure of SES with no one aspect being differentially related to ADHD. 42 studies were included in the review, of which 35 found a significant univariate association between socioeconomic disadvantage and ADHD. Meta-analyses of dimensions of SES and their association with ADHD indicate that children in families of low SES are on average 1.85-2.21 more likely to have ADHD than their peers in high SES families. In spite of substantial between-study heterogeneity, there is evidence for an association between socioeconomic disadvantage and risk of ADHD measured in different ways. This is likely mediated by factors linked to low SES such as parental mental health and maternal smoking during pregnancy.", "author" : [ { "dropping-particle" : "", "family" : "Russell", "given" : "Abigail Emma", "non-dropping-particle" : "", "parse-names" : false, "suffix" : "" }, { "dropping-particle" : "", "family" : "Ford", "given" : "Tamsin", "non-dropping-particle" : "", "parse-names" : false, "suffix" : "" }, { "dropping-particle" : "", "family" : "Williams", "given" : "Rebecca", "non-dropping-particle" : "", "parse-names" : false, "suffix" : "" }, { "dropping-particle" : "", "family" : "Russell", "given" : "Ginny", "non-dropping-particle" : "", "parse-names" : false, "suffix" : "" } ], "container-title" : "Child Psychiatry &amp; Human Development", "id" : "ITEM-2", "issue" : "3", "issued" : { "date-parts" : [ [ "2016" ] ] }, "page" : "440-458", "title" : "The Association Between Socioeconomic Disadvantage and Attention Deficit/Hyperactivity Disorder (ADHD): A Systematic Review", "type" : "article-journal", "volume" : "47" }, "uris" : [ "http://www.mendeley.com/documents/?uuid=9b862175-d7f9-4bb7-9eef-e1fde5f8ddb5" ] } ], "mendeley" : { "formattedCitation" : "(289, 291)", "plainTextFormattedCitation" : "(289, 291)", "previouslyFormattedCitation" : "(289, 291)" }, "properties" : { "noteIndex" : 54 }, "schema" : "https://github.com/citation-style-language/schema/raw/master/csl-citation.json" }</w:instrText>
      </w:r>
      <w:r w:rsidR="00BC3BBB" w:rsidRPr="000B1F2A">
        <w:rPr>
          <w:rFonts w:ascii="Arial" w:hAnsi="Arial" w:cs="Arial"/>
          <w:sz w:val="22"/>
          <w:szCs w:val="22"/>
          <w:shd w:val="clear" w:color="auto" w:fill="FFFFFF"/>
        </w:rPr>
        <w:fldChar w:fldCharType="separate"/>
      </w:r>
      <w:r w:rsidR="0037573A" w:rsidRPr="0037573A">
        <w:rPr>
          <w:rFonts w:ascii="Arial" w:hAnsi="Arial" w:cs="Arial"/>
          <w:noProof/>
          <w:sz w:val="22"/>
          <w:szCs w:val="22"/>
          <w:shd w:val="clear" w:color="auto" w:fill="FFFFFF"/>
        </w:rPr>
        <w:t>(289, 291)</w:t>
      </w:r>
      <w:r w:rsidR="00BC3BBB" w:rsidRPr="000B1F2A">
        <w:rPr>
          <w:rFonts w:ascii="Arial" w:hAnsi="Arial" w:cs="Arial"/>
          <w:sz w:val="22"/>
          <w:szCs w:val="22"/>
          <w:shd w:val="clear" w:color="auto" w:fill="FFFFFF"/>
        </w:rPr>
        <w:fldChar w:fldCharType="end"/>
      </w:r>
      <w:r w:rsidRPr="000B1F2A">
        <w:rPr>
          <w:rFonts w:ascii="Arial" w:hAnsi="Arial" w:cs="Arial"/>
          <w:sz w:val="22"/>
          <w:szCs w:val="22"/>
          <w:shd w:val="clear" w:color="auto" w:fill="FFFFFF"/>
        </w:rPr>
        <w:t xml:space="preserve">. </w:t>
      </w:r>
      <w:r w:rsidRPr="000B1F2A">
        <w:rPr>
          <w:rFonts w:ascii="Arial" w:hAnsi="Arial" w:cs="Arial"/>
          <w:sz w:val="22"/>
          <w:szCs w:val="22"/>
        </w:rPr>
        <w:t>Bizim çalışmamızda DEHB grubunun sosyoekonomik düzeylerinin kontrol grubuna benzer olması ilk bakışta yazın ile uyumlu değil gibi gözükmektedir. Ancak önemli bir çevre</w:t>
      </w:r>
      <w:r w:rsidR="00772052">
        <w:rPr>
          <w:rFonts w:ascii="Arial" w:hAnsi="Arial" w:cs="Arial"/>
          <w:sz w:val="22"/>
          <w:szCs w:val="22"/>
        </w:rPr>
        <w:t xml:space="preserve">sel faktör olarak etki edebilen </w:t>
      </w:r>
      <w:r w:rsidRPr="000B1F2A">
        <w:rPr>
          <w:rFonts w:ascii="Arial" w:hAnsi="Arial" w:cs="Arial"/>
          <w:sz w:val="22"/>
          <w:szCs w:val="22"/>
        </w:rPr>
        <w:t xml:space="preserve">sosyoekonomik düzeyin gruplar arasında farklılaşmaması esasen çalışmamızda metodolojik olarak istenilen bir durumdur.  </w:t>
      </w:r>
    </w:p>
    <w:p w:rsidR="000B1F2A" w:rsidRPr="000B1F2A" w:rsidRDefault="000B1F2A" w:rsidP="000B1F2A">
      <w:pPr>
        <w:spacing w:line="360" w:lineRule="auto"/>
        <w:ind w:firstLine="567"/>
        <w:contextualSpacing/>
        <w:jc w:val="both"/>
        <w:rPr>
          <w:rFonts w:ascii="Arial" w:hAnsi="Arial" w:cs="Arial"/>
          <w:color w:val="4F81BD" w:themeColor="accent1"/>
          <w:sz w:val="22"/>
          <w:szCs w:val="22"/>
        </w:rPr>
      </w:pPr>
      <w:r w:rsidRPr="000B1F2A">
        <w:rPr>
          <w:rFonts w:ascii="Arial" w:hAnsi="Arial" w:cs="Arial"/>
          <w:sz w:val="22"/>
          <w:szCs w:val="22"/>
        </w:rPr>
        <w:lastRenderedPageBreak/>
        <w:t xml:space="preserve">Olgu ve kontrol grupları ailedeki toplam çocuk sayısı açısından karşılaştırıldıklarında, kardeş sayısı ortanca değeri her iki grupta da 2 olarak bulunmuş, gruplar arasında istatistiksel olarak anlamlı </w:t>
      </w:r>
      <w:r w:rsidR="007340E0">
        <w:rPr>
          <w:rFonts w:ascii="Arial" w:hAnsi="Arial" w:cs="Arial"/>
          <w:sz w:val="22"/>
          <w:szCs w:val="22"/>
        </w:rPr>
        <w:t>bir fark saptanmamıştır</w:t>
      </w:r>
      <w:r w:rsidRPr="000B1F2A">
        <w:rPr>
          <w:rFonts w:ascii="Arial" w:hAnsi="Arial" w:cs="Arial"/>
          <w:sz w:val="22"/>
          <w:szCs w:val="22"/>
        </w:rPr>
        <w:t xml:space="preserve">. DEHB’li çocuğa sahip ebeveynlerin daha çok ebeveynlik stresi yaşadığı bildirilmesine rağmen </w:t>
      </w:r>
      <w:r w:rsidR="00BC3BBB" w:rsidRPr="000B1F2A">
        <w:rPr>
          <w:rFonts w:ascii="Arial" w:hAnsi="Arial" w:cs="Arial"/>
          <w:sz w:val="22"/>
          <w:szCs w:val="22"/>
        </w:rPr>
        <w:fldChar w:fldCharType="begin" w:fldLock="1"/>
      </w:r>
      <w:r w:rsidR="0037573A">
        <w:rPr>
          <w:rFonts w:ascii="Arial" w:hAnsi="Arial" w:cs="Arial"/>
          <w:sz w:val="22"/>
          <w:szCs w:val="22"/>
        </w:rPr>
        <w:instrText>ADDIN CSL_CITATION { "citationItems" : [ { "id" : "ITEM-1", "itemData" : { "ISSN" : "10964037", "abstract" : "This review integrates and critically evaluates what is known about family characteristics associated with childhood Attention-Deficit/Hyperactivity Disorder (ADHD). Evidence suggests that the presence of ADHD in children is associated to varying degrees with disturbances in family and marital functioning, disrupted parent\u2013child relationships, specific patterns of parental cognitions about child behavior and reduced parenting self-efficacy, and increased levels of parenting stress and parental psychopathology, particularly when ADHD is comorbid with conduct problems. However, the review reveals that little is known about the developmental mechanisms that underlie these associations, or the pathways through which child and family characteristics transact to exert their influences over time. In addition, the influence of factors such as gender, culture, and ADHD subtype on the association between ADHD and family factors remains largely unknown. We conclude with recommendations regarding the necessity for research that will inform a developmental psychopathology perspective of ADHD. [ABSTRACT FROM AUTHOR]", "author" : [ { "dropping-particle" : "", "family" : "Johnston", "given" : "Charlotte", "non-dropping-particle" : "", "parse-names" : false, "suffix" : "" }, { "dropping-particle" : "", "family" : "Mash", "given" : "Eric J", "non-dropping-particle" : "", "parse-names" : false, "suffix" : "" } ], "container-title" : "Clinical Child &amp; Family Psychology Review", "id" : "ITEM-1", "issue" : "3", "issued" : { "date-parts" : [ [ "2001" ] ] }, "page" : "183-207", "title" : "Families of Children With Attention-Deficit/Hyperactivity Disorder: Review and Recommendations for Future Research.", "type" : "article-journal", "volume" : "4" }, "uris" : [ "http://www.mendeley.com/documents/?uuid=a31aa83d-aabd-41f0-9f1a-ecfce0ab7640" ] } ], "mendeley" : { "formattedCitation" : "(89)", "plainTextFormattedCitation" : "(89)", "previouslyFormattedCitation" : "(89)" }, "properties" : { "noteIndex" : 54 }, "schema" : "https://github.com/citation-style-language/schema/raw/master/csl-citation.json" }</w:instrText>
      </w:r>
      <w:r w:rsidR="00BC3BBB" w:rsidRPr="000B1F2A">
        <w:rPr>
          <w:rFonts w:ascii="Arial" w:hAnsi="Arial" w:cs="Arial"/>
          <w:sz w:val="22"/>
          <w:szCs w:val="22"/>
        </w:rPr>
        <w:fldChar w:fldCharType="separate"/>
      </w:r>
      <w:r w:rsidRPr="000B1F2A">
        <w:rPr>
          <w:rFonts w:ascii="Arial" w:hAnsi="Arial" w:cs="Arial"/>
          <w:noProof/>
          <w:sz w:val="22"/>
          <w:szCs w:val="22"/>
        </w:rPr>
        <w:t>(89)</w:t>
      </w:r>
      <w:r w:rsidR="00BC3BBB" w:rsidRPr="000B1F2A">
        <w:rPr>
          <w:rFonts w:ascii="Arial" w:hAnsi="Arial" w:cs="Arial"/>
          <w:sz w:val="22"/>
          <w:szCs w:val="22"/>
        </w:rPr>
        <w:fldChar w:fldCharType="end"/>
      </w:r>
      <w:r w:rsidRPr="000B1F2A">
        <w:rPr>
          <w:rFonts w:ascii="Arial" w:hAnsi="Arial" w:cs="Arial"/>
          <w:sz w:val="22"/>
          <w:szCs w:val="22"/>
        </w:rPr>
        <w:t xml:space="preserve">, kardeş sayısı ile DEHB arasında ilişki olmadığı gösterilmiştir </w:t>
      </w:r>
      <w:r w:rsidR="00BC3BBB" w:rsidRPr="000B1F2A">
        <w:rPr>
          <w:rFonts w:ascii="Arial" w:hAnsi="Arial" w:cs="Arial"/>
          <w:sz w:val="22"/>
          <w:szCs w:val="22"/>
        </w:rPr>
        <w:fldChar w:fldCharType="begin" w:fldLock="1"/>
      </w:r>
      <w:r w:rsidR="005827F2">
        <w:rPr>
          <w:rFonts w:ascii="Arial" w:hAnsi="Arial" w:cs="Arial"/>
          <w:sz w:val="22"/>
          <w:szCs w:val="22"/>
        </w:rPr>
        <w:instrText>ADDIN CSL_CITATION { "citationItems" : [ { "id" : "ITEM-1", "itemData" : { "DOI" : "10.4274/TPA.682", "ISSN" : "1306-0015", "abstract" : "Aim: The aim of this study is to examine Attention Deficit Hyperactivity Disorder  ADHD  and its association with perinatal risk factors in preterm children at the age of 5     Material and Method: The cohort was derived from children born between 30 36 weeks of gestation and hospitalized in the Neonatal Intensive Care Unit  Children who have survived beyond age 5  without a history of congenital anomaly  neurological or chronic disease and mental motor retardation  106 children who met the inclusion criteria were evaluated when they were five years old  The Perinatal Risk Factors Form was completed for each child  All children and their parents were interviewed using the schedule for affective disorders and schizophrenia for school aged children  present and lifetime version for psychiatric diagnosis  Approval from the ethics committee  HEK 08 3 4  and written assent from all parents were obtained     Results: 20 8  of the children were diagnosed as ADHD  Diagnosis of ADHD was more common in children who had smaller gestational age and lower birth weight  who developed respiratory distress syndrome  received surfactant therapy and mechanical ventilation treatment and had longer hospitalization period  ADHD was less prevalent among children from high socioeconomic status families  Among the perinatal factors assessed  gestational age was found to be the main predictor for ADHD     Conclusions: In the long term follow up of premature children  with regard to perinatal risk factors  psychopathologies and especially ADHD should be taken into account for early recognition and intervention   Turk Arch Ped 2013; 48: 315 22", "author" : [ { "dropping-particle" : "", "family" : "\u00c7ak", "given" : "Halime Tuna", "non-dropping-particle" : "", "parse-names" : false, "suffix" : "" }, { "dropping-particle" : "", "family" : "G\u00f6kler", "given" : "Bahar", "non-dropping-particle" : "", "parse-names" : false, "suffix" : "" } ], "container-title" : "T\u00fcrk Pediatri Ar\u015fivi", "id" : "ITEM-1", "issue" : "4", "issued" : { "date-parts" : [ [ "2013" ] ] }, "title" : "Erken do\u011fan \u00e7ocuklarda dikkat eksikli\u011fi hiperaktivite bozuklu\u011fu ve ili\u015fkili do\u011fum \u00f6ncesi risk etkenleri", "type" : "article-journal", "volume" : "48" }, "uris" : [ "http://www.mendeley.com/documents/?uuid=2fdb2ad4-e49d-36c7-902d-09a026981514" ] } ], "mendeley" : { "formattedCitation" : "(292)", "plainTextFormattedCitation" : "(292)", "previouslyFormattedCitation" : "(292)" }, "properties" : { "noteIndex" : 54 }, "schema" : "https://github.com/citation-style-language/schema/raw/master/csl-citation.json" }</w:instrText>
      </w:r>
      <w:r w:rsidR="00BC3BBB" w:rsidRPr="000B1F2A">
        <w:rPr>
          <w:rFonts w:ascii="Arial" w:hAnsi="Arial" w:cs="Arial"/>
          <w:sz w:val="22"/>
          <w:szCs w:val="22"/>
        </w:rPr>
        <w:fldChar w:fldCharType="separate"/>
      </w:r>
      <w:r w:rsidR="0037573A" w:rsidRPr="0037573A">
        <w:rPr>
          <w:rFonts w:ascii="Arial" w:hAnsi="Arial" w:cs="Arial"/>
          <w:noProof/>
          <w:sz w:val="22"/>
          <w:szCs w:val="22"/>
        </w:rPr>
        <w:t>(292)</w:t>
      </w:r>
      <w:r w:rsidR="00BC3BBB" w:rsidRPr="000B1F2A">
        <w:rPr>
          <w:rFonts w:ascii="Arial" w:hAnsi="Arial" w:cs="Arial"/>
          <w:sz w:val="22"/>
          <w:szCs w:val="22"/>
        </w:rPr>
        <w:fldChar w:fldCharType="end"/>
      </w:r>
      <w:r w:rsidRPr="000B1F2A">
        <w:rPr>
          <w:rFonts w:ascii="Arial" w:hAnsi="Arial" w:cs="Arial"/>
          <w:sz w:val="22"/>
          <w:szCs w:val="22"/>
        </w:rPr>
        <w:t>.</w:t>
      </w:r>
    </w:p>
    <w:p w:rsidR="00E04E5C" w:rsidRDefault="000B1F2A" w:rsidP="000B1F2A">
      <w:pPr>
        <w:spacing w:line="360" w:lineRule="auto"/>
        <w:ind w:firstLine="567"/>
        <w:contextualSpacing/>
        <w:jc w:val="both"/>
        <w:rPr>
          <w:rFonts w:ascii="Arial" w:hAnsi="Arial" w:cs="Arial"/>
          <w:sz w:val="22"/>
          <w:szCs w:val="22"/>
          <w:shd w:val="clear" w:color="auto" w:fill="FFFFFF"/>
        </w:rPr>
      </w:pPr>
      <w:r w:rsidRPr="000B1F2A">
        <w:rPr>
          <w:rFonts w:ascii="Arial" w:hAnsi="Arial" w:cs="Arial"/>
          <w:sz w:val="22"/>
          <w:szCs w:val="22"/>
          <w:shd w:val="clear" w:color="auto" w:fill="FFFFFF"/>
        </w:rPr>
        <w:t xml:space="preserve">Olgu ve kontrol grupları arasında aile yapıları açısından anlamlı bir fark saptanmamıştır (p&gt;0.05). Perales ve arkadaşları, yaptıkları çalışmada, tek ebeveynli ailede yaşayan çocuklarda DEHB görülme olasılığının daha yüksek olduğunu göstermişlerdir </w:t>
      </w:r>
      <w:r w:rsidR="00BC3BBB" w:rsidRPr="000B1F2A">
        <w:rPr>
          <w:rFonts w:ascii="Arial" w:hAnsi="Arial" w:cs="Arial"/>
          <w:sz w:val="22"/>
          <w:szCs w:val="22"/>
          <w:shd w:val="clear" w:color="auto" w:fill="FFFFFF"/>
        </w:rPr>
        <w:fldChar w:fldCharType="begin" w:fldLock="1"/>
      </w:r>
      <w:r w:rsidR="005827F2">
        <w:rPr>
          <w:rFonts w:ascii="Arial" w:hAnsi="Arial" w:cs="Arial"/>
          <w:sz w:val="22"/>
          <w:szCs w:val="22"/>
          <w:shd w:val="clear" w:color="auto" w:fill="FFFFFF"/>
        </w:rPr>
        <w:instrText>ADDIN CSL_CITATION { "citationItems" : [ { "id" : "ITEM-1", "itemData" : { "DOI" : "10.1007/s00127-016-1328-y", "abstract" : "Purpose: Many children now live in non-traditional families\u2014including one-parent, blended, and step families. While a substantial body of international evidence indicates that these children display poorer cognitive and socio-emotional outcomes than children living in traditional families, research on childhood mental disorders is scarce. This report provides new evidence of the relationships between family structure and childhood mental disorders in an under-researched context, Australia. Methods: We use recent, nationally representative data on children aged 4\u201317 from Young Minds Matter, the second Australian Child and Adolescent Survey of Mental Health and Well-being (N\u00a0=\u00a06310). Mental disorders were assessed using the Diagnostic Interview Schedule for Children\u2014Version IV and included social phobia, separation anxiety disorder, generalised anxiety disorder, obsessive\u2013compulsive disorder, major depressive disorder, attention-deficit/hyperactivity disorder, and conduct disorder. Results: Compared to children living in original families, children in one-parent, blended, and step families experienced a higher prevalence of mental disorders. Amongst children whose parents separated, the time since separation was not statistically significantly related to the prevalence of mental disorders. Conclusions: Although we are unable to assess causality, our findings highlight the strength of the association between family structure and child and adolescent mental health. They also stress the need for programs to support children, parents, and families in non-traditional family types to reduce mental\u00a0health inequalities in childhood and later life. \u00a9 2016, Springer-Verlag Berlin Heidelberg.", "author" : [ { "dropping-particle" : "", "family" : "Perales", "given" : "F.", "non-dropping-particle" : "", "parse-names" : false, "suffix" : "" }, { "dropping-particle" : "", "family" : "Johnson", "given" : "S.E. E", "non-dropping-particle" : "", "parse-names" : false, "suffix" : "" }, { "dropping-particle" : "", "family" : "Baxter", "given" : "J.", "non-dropping-particle" : "", "parse-names" : false, "suffix" : "" }, { "dropping-particle" : "", "family" : "Lawrence", "given" : "D.", "non-dropping-particle" : "", "parse-names" : false, "suffix" : "" }, { "dropping-particle" : "", "family" : "Zubrick", "given" : "S.R. R", "non-dropping-particle" : "", "parse-names" : false, "suffix" : "" } ], "container-title" : "Social Psychiatry and Psychiatric Epidemiology", "id" : "ITEM-1", "issue" : "4", "issued" : { "date-parts" : [ [ "2017" ] ] }, "page" : "423-433", "title" : "Family structure and childhood mental disorders: new findings from Australia", "type" : "article-journal", "volume" : "52" }, "uris" : [ "http://www.mendeley.com/documents/?uuid=4c8944cc-90fb-4fa0-82bb-6b2cc448876e" ] } ], "mendeley" : { "formattedCitation" : "(293)", "plainTextFormattedCitation" : "(293)", "previouslyFormattedCitation" : "(293)" }, "properties" : { "noteIndex" : 54 }, "schema" : "https://github.com/citation-style-language/schema/raw/master/csl-citation.json" }</w:instrText>
      </w:r>
      <w:r w:rsidR="00BC3BBB" w:rsidRPr="000B1F2A">
        <w:rPr>
          <w:rFonts w:ascii="Arial" w:hAnsi="Arial" w:cs="Arial"/>
          <w:sz w:val="22"/>
          <w:szCs w:val="22"/>
          <w:shd w:val="clear" w:color="auto" w:fill="FFFFFF"/>
        </w:rPr>
        <w:fldChar w:fldCharType="separate"/>
      </w:r>
      <w:r w:rsidR="0037573A" w:rsidRPr="0037573A">
        <w:rPr>
          <w:rFonts w:ascii="Arial" w:hAnsi="Arial" w:cs="Arial"/>
          <w:noProof/>
          <w:sz w:val="22"/>
          <w:szCs w:val="22"/>
          <w:shd w:val="clear" w:color="auto" w:fill="FFFFFF"/>
        </w:rPr>
        <w:t>(293)</w:t>
      </w:r>
      <w:r w:rsidR="00BC3BBB" w:rsidRPr="000B1F2A">
        <w:rPr>
          <w:rFonts w:ascii="Arial" w:hAnsi="Arial" w:cs="Arial"/>
          <w:sz w:val="22"/>
          <w:szCs w:val="22"/>
          <w:shd w:val="clear" w:color="auto" w:fill="FFFFFF"/>
        </w:rPr>
        <w:fldChar w:fldCharType="end"/>
      </w:r>
      <w:r w:rsidRPr="000B1F2A">
        <w:rPr>
          <w:rFonts w:ascii="Arial" w:hAnsi="Arial" w:cs="Arial"/>
          <w:sz w:val="22"/>
          <w:szCs w:val="22"/>
          <w:shd w:val="clear" w:color="auto" w:fill="FFFFFF"/>
        </w:rPr>
        <w:t>.</w:t>
      </w:r>
      <w:r w:rsidRPr="000B1F2A">
        <w:rPr>
          <w:rFonts w:ascii="Arial" w:hAnsi="Arial" w:cs="Arial"/>
          <w:sz w:val="22"/>
          <w:szCs w:val="22"/>
        </w:rPr>
        <w:t xml:space="preserve"> </w:t>
      </w:r>
      <w:r w:rsidRPr="000B1F2A">
        <w:rPr>
          <w:rFonts w:ascii="Arial" w:hAnsi="Arial" w:cs="Arial"/>
          <w:sz w:val="22"/>
          <w:szCs w:val="22"/>
          <w:shd w:val="clear" w:color="auto" w:fill="FFFFFF"/>
        </w:rPr>
        <w:t xml:space="preserve">Derleme türündeki bir başka çalışmada da, tek ebeveyn ile yaşama DEHB ile güçlü bir şekilde ilişkili bulunmuştur </w:t>
      </w:r>
      <w:r w:rsidR="00BC3BBB" w:rsidRPr="000B1F2A">
        <w:rPr>
          <w:rFonts w:ascii="Arial" w:hAnsi="Arial" w:cs="Arial"/>
          <w:sz w:val="22"/>
          <w:szCs w:val="22"/>
          <w:shd w:val="clear" w:color="auto" w:fill="FFFFFF"/>
        </w:rPr>
        <w:fldChar w:fldCharType="begin" w:fldLock="1"/>
      </w:r>
      <w:r w:rsidR="005827F2">
        <w:rPr>
          <w:rFonts w:ascii="Arial" w:hAnsi="Arial" w:cs="Arial"/>
          <w:sz w:val="22"/>
          <w:szCs w:val="22"/>
          <w:shd w:val="clear" w:color="auto" w:fill="FFFFFF"/>
        </w:rPr>
        <w:instrText>ADDIN CSL_CITATION { "citationItems" : [ { "id" : "ITEM-1", "itemData" : { "DOI" : "10.1007/s10578-015-0578-3", "ISBN" : "1057801505783", "ISSN" : "0009-398X", "PMID" : "26266467", "abstract" : "This systematic review examines associations between parental socioeconomic disadvantage and childhood attention deficit/hyperactivity disorder (ADHD). Socioeconomic status (SES) was measured by parental income, education, occupation and marital status. Results were mixed by measure of SES with no one aspect being differentially related to ADHD. 42 studies were included in the review, of which 35 found a significant univariate association between socioeconomic disadvantage and ADHD. Meta-analyses of dimensions of SES and their association with ADHD indicate that children in families of low SES are on average 1.85-2.21 more likely to have ADHD than their peers in high SES families. In spite of substantial between-study heterogeneity, there is evidence for an association between socioeconomic disadvantage and risk of ADHD measured in different ways. This is likely mediated by factors linked to low SES such as parental mental health and maternal smoking during pregnancy.", "author" : [ { "dropping-particle" : "", "family" : "Russell", "given" : "Abigail Emma", "non-dropping-particle" : "", "parse-names" : false, "suffix" : "" }, { "dropping-particle" : "", "family" : "Ford", "given" : "Tamsin", "non-dropping-particle" : "", "parse-names" : false, "suffix" : "" }, { "dropping-particle" : "", "family" : "Williams", "given" : "Rebecca", "non-dropping-particle" : "", "parse-names" : false, "suffix" : "" }, { "dropping-particle" : "", "family" : "Russell", "given" : "Ginny", "non-dropping-particle" : "", "parse-names" : false, "suffix" : "" } ], "container-title" : "Child Psychiatry &amp; Human Development", "id" : "ITEM-1", "issue" : "3", "issued" : { "date-parts" : [ [ "2016" ] ] }, "page" : "440-458", "title" : "The Association Between Socioeconomic Disadvantage and Attention Deficit/Hyperactivity Disorder (ADHD): A Systematic Review", "type" : "article-journal", "volume" : "47" }, "uris" : [ "http://www.mendeley.com/documents/?uuid=9b862175-d7f9-4bb7-9eef-e1fde5f8ddb5" ] } ], "mendeley" : { "formattedCitation" : "(289)", "plainTextFormattedCitation" : "(289)", "previouslyFormattedCitation" : "(289)" }, "properties" : { "noteIndex" : 54 }, "schema" : "https://github.com/citation-style-language/schema/raw/master/csl-citation.json" }</w:instrText>
      </w:r>
      <w:r w:rsidR="00BC3BBB" w:rsidRPr="000B1F2A">
        <w:rPr>
          <w:rFonts w:ascii="Arial" w:hAnsi="Arial" w:cs="Arial"/>
          <w:sz w:val="22"/>
          <w:szCs w:val="22"/>
          <w:shd w:val="clear" w:color="auto" w:fill="FFFFFF"/>
        </w:rPr>
        <w:fldChar w:fldCharType="separate"/>
      </w:r>
      <w:r w:rsidR="0037573A" w:rsidRPr="0037573A">
        <w:rPr>
          <w:rFonts w:ascii="Arial" w:hAnsi="Arial" w:cs="Arial"/>
          <w:noProof/>
          <w:sz w:val="22"/>
          <w:szCs w:val="22"/>
          <w:shd w:val="clear" w:color="auto" w:fill="FFFFFF"/>
        </w:rPr>
        <w:t>(289)</w:t>
      </w:r>
      <w:r w:rsidR="00BC3BBB" w:rsidRPr="000B1F2A">
        <w:rPr>
          <w:rFonts w:ascii="Arial" w:hAnsi="Arial" w:cs="Arial"/>
          <w:sz w:val="22"/>
          <w:szCs w:val="22"/>
          <w:shd w:val="clear" w:color="auto" w:fill="FFFFFF"/>
        </w:rPr>
        <w:fldChar w:fldCharType="end"/>
      </w:r>
      <w:r w:rsidRPr="000B1F2A">
        <w:rPr>
          <w:rFonts w:ascii="Arial" w:hAnsi="Arial" w:cs="Arial"/>
          <w:sz w:val="22"/>
          <w:szCs w:val="22"/>
          <w:shd w:val="clear" w:color="auto" w:fill="FFFFFF"/>
        </w:rPr>
        <w:t xml:space="preserve">. Bizim çalışmamızda ise gruplar arasında bu yönde bir farklılık bulunmamıştır. Örneklem sayısınız azlığı ve de çalışmanın toplum örneklemli çalışma olmaması gibi nedenler bu durumla ilişkili olabilir. </w:t>
      </w:r>
    </w:p>
    <w:p w:rsidR="000B1F2A" w:rsidRPr="000B1F2A" w:rsidRDefault="000B1F2A" w:rsidP="000B1F2A">
      <w:pPr>
        <w:spacing w:line="360" w:lineRule="auto"/>
        <w:ind w:firstLine="567"/>
        <w:contextualSpacing/>
        <w:jc w:val="both"/>
        <w:rPr>
          <w:rFonts w:ascii="Arial" w:hAnsi="Arial" w:cs="Arial"/>
          <w:sz w:val="22"/>
          <w:szCs w:val="22"/>
        </w:rPr>
      </w:pPr>
      <w:r w:rsidRPr="000B1F2A">
        <w:rPr>
          <w:rFonts w:ascii="Arial" w:hAnsi="Arial" w:cs="Arial"/>
          <w:sz w:val="22"/>
          <w:szCs w:val="22"/>
        </w:rPr>
        <w:t xml:space="preserve">Katılımcıların birinci derece yakınlarındaki fiziksel ya da psikiyatrik hastalık varlığı açısından gruplar değerlendirildiğinde, iki grup arasında anlamlı bir farklılık saptanmamıştır. DEHB’lilerin birinci derece yakınlarında artmış psikiyatrik rahatsızlık görülme sıklığı bildirildiği gibi </w:t>
      </w:r>
      <w:r w:rsidR="00BC3BBB" w:rsidRPr="000B1F2A">
        <w:rPr>
          <w:rFonts w:ascii="Arial" w:hAnsi="Arial" w:cs="Arial"/>
          <w:sz w:val="22"/>
          <w:szCs w:val="22"/>
        </w:rPr>
        <w:fldChar w:fldCharType="begin" w:fldLock="1"/>
      </w:r>
      <w:r w:rsidR="005827F2">
        <w:rPr>
          <w:rFonts w:ascii="Arial" w:hAnsi="Arial" w:cs="Arial"/>
          <w:sz w:val="22"/>
          <w:szCs w:val="22"/>
        </w:rPr>
        <w:instrText>ADDIN CSL_CITATION { "citationItems" : [ { "id" : "ITEM-1", "itemData" : { "DOI" : "10.1007/s00787-015-0813-2", "ISBN" : "0078701508132", "ISSN" : "1435165X", "PMID" : "26757722", "abstract" : "Knowledge is lacking regarding current psychopathology in parents whose children are evaluated in a psychiatric outpatient clinic. This especially accounts for fathers. We provide insight into the prevalence rates of parental psychopathology and the association with their offspring psychopathology by analyzing data on psychiatric problems collected in 701 mothers and 530 fathers of 757 referred children. Prevalence rates of parental psychopathology were based on (sub)clinical scores on the adult self report. Parent--offspring associations were investigated in multivariate analyses taking into account co-morbidity. Around 20\u00a0% of the parents had a (sub)clinical score on internalizing problems and around 10\u00a0% on attention deficit hyperactivity (ADH) problems. Prevalence rates did not differ between mothers and fathers. Parent--offspring associations did not differ between girls and boys. Maternal anxiety was associated with all offspring problem scores. In addition, maternal ADH problems were associated with offspring ADH problems. Paternal anxiety and ADH problems scores were specifically associated with offspring internalizing and externalizing problem scores, respectively. Associations with offspring psychopathology were of similar magnitude for mothers and fathers and were not influenced by spousal resemblance. Our study shows that both fathers and mothers are at increased risk for psychiatric problems at the time of a child's evaluation and that their problems are equally associated with their offspring problems. The results emphasize the need to screen mothers as well as fathers for psychiatric problems. Specific treatment programs should be developed for these families in especially high need.", "author" : [ { "dropping-particle" : "", "family" : "Middeldorp", "given" : "Christel M.", "non-dropping-particle" : "", "parse-names" : false, "suffix" : "" }, { "dropping-particle" : "", "family" : "Wesseldijk", "given" : "Laura W.", "non-dropping-particle" : "", "parse-names" : false, "suffix" : "" }, { "dropping-particle" : "", "family" : "Hudziak", "given" : "James J.", "non-dropping-particle" : "", "parse-names" : false, "suffix" : "" }, { "dropping-particle" : "", "family" : "Verhulst", "given" : "Frank C.", "non-dropping-particle" : "", "parse-names" : false, "suffix" : "" }, { "dropping-particle" : "", "family" : "Lindauer", "given" : "Ramon J.L.", "non-dropping-particle" : "", "parse-names" : false, "suffix" : "" }, { "dropping-particle" : "", "family" : "Dieleman", "given" : "Gwen C.", "non-dropping-particle" : "", "parse-names" : false, "suffix" : "" } ], "container-title" : "European Child and Adolescent Psychiatry", "id" : "ITEM-1", "issue" : "8", "issued" : { "date-parts" : [ [ "2016" ] ] }, "page" : "919-927", "title" : "Parents of children with psychopathology: psychiatric problems and the association with their child\u2019s problems", "type" : "article-journal", "volume" : "25" }, "uris" : [ "http://www.mendeley.com/documents/?uuid=03cbde93-7c39-4103-9046-e6d2b0851116" ] } ], "mendeley" : { "formattedCitation" : "(294)", "plainTextFormattedCitation" : "(294)", "previouslyFormattedCitation" : "(294)" }, "properties" : { "noteIndex" : 54 }, "schema" : "https://github.com/citation-style-language/schema/raw/master/csl-citation.json" }</w:instrText>
      </w:r>
      <w:r w:rsidR="00BC3BBB" w:rsidRPr="000B1F2A">
        <w:rPr>
          <w:rFonts w:ascii="Arial" w:hAnsi="Arial" w:cs="Arial"/>
          <w:sz w:val="22"/>
          <w:szCs w:val="22"/>
        </w:rPr>
        <w:fldChar w:fldCharType="separate"/>
      </w:r>
      <w:r w:rsidR="0037573A" w:rsidRPr="0037573A">
        <w:rPr>
          <w:rFonts w:ascii="Arial" w:hAnsi="Arial" w:cs="Arial"/>
          <w:noProof/>
          <w:sz w:val="22"/>
          <w:szCs w:val="22"/>
        </w:rPr>
        <w:t>(294)</w:t>
      </w:r>
      <w:r w:rsidR="00BC3BBB" w:rsidRPr="000B1F2A">
        <w:rPr>
          <w:rFonts w:ascii="Arial" w:hAnsi="Arial" w:cs="Arial"/>
          <w:sz w:val="22"/>
          <w:szCs w:val="22"/>
        </w:rPr>
        <w:fldChar w:fldCharType="end"/>
      </w:r>
      <w:r w:rsidRPr="000B1F2A">
        <w:rPr>
          <w:rFonts w:ascii="Arial" w:hAnsi="Arial" w:cs="Arial"/>
          <w:sz w:val="22"/>
          <w:szCs w:val="22"/>
        </w:rPr>
        <w:t>,</w:t>
      </w:r>
      <w:r w:rsidRPr="000B1F2A">
        <w:rPr>
          <w:rFonts w:ascii="Arial" w:hAnsi="Arial" w:cs="Arial"/>
          <w:noProof/>
          <w:sz w:val="22"/>
          <w:szCs w:val="22"/>
        </w:rPr>
        <w:t xml:space="preserve"> </w:t>
      </w:r>
      <w:r w:rsidRPr="000B1F2A">
        <w:rPr>
          <w:rFonts w:ascii="Arial" w:hAnsi="Arial" w:cs="Arial"/>
          <w:sz w:val="22"/>
          <w:szCs w:val="22"/>
        </w:rPr>
        <w:t>DEHB ve kontrol grupları arasında birinci derece yakınlarında psikiyatrik bozukluk varlığı açısından anlamlı bir fark saptamayan çalışmalar da mevcuttur</w:t>
      </w:r>
      <w:r w:rsidRPr="000B1F2A">
        <w:rPr>
          <w:rFonts w:ascii="Arial" w:hAnsi="Arial" w:cs="Arial"/>
          <w:noProof/>
          <w:sz w:val="22"/>
          <w:szCs w:val="22"/>
        </w:rPr>
        <w:t xml:space="preserve"> </w:t>
      </w:r>
      <w:r w:rsidR="00BC3BBB" w:rsidRPr="000B1F2A">
        <w:rPr>
          <w:rFonts w:ascii="Arial" w:hAnsi="Arial" w:cs="Arial"/>
          <w:noProof/>
          <w:sz w:val="22"/>
          <w:szCs w:val="22"/>
        </w:rPr>
        <w:fldChar w:fldCharType="begin" w:fldLock="1"/>
      </w:r>
      <w:r w:rsidR="005827F2">
        <w:rPr>
          <w:rFonts w:ascii="Arial" w:hAnsi="Arial" w:cs="Arial"/>
          <w:noProof/>
          <w:sz w:val="22"/>
          <w:szCs w:val="22"/>
        </w:rPr>
        <w:instrText>ADDIN CSL_CITATION { "citationItems" : [ { "id" : "ITEM-1", "itemData" : { "DOI" : "10.1016/j.psychres.2016.01.002", "ISSN" : "01651781", "PMID" : "26774190", "abstract" : "The aim of this study was to investigate the blood lead level and parental marital status that might influence the development of attention-deficit/hyperactivity disorder (ADHD) symptoms in school-aged children. The participants in the survey included elementary school children, and they were followed up biennially. The participants' parents or caregivers were administered a questionnaire including ADHD rating scale. Among 2967 who were not suspected to have ADHD at baseline survey, 2195 children who took follow-up test for ADHD were evaluated. The incidence rate of suspected ADHD was 5.0% (107 cases) during the two years of the follow-up period. The geometric mean blood lead level was 1.56\u03bcg/dL. Relative risk ratio for ADHD was estimated using logistic regression analysis. After adjustment for potential confounders, ADHD developed more frequently in children with blood lead levels of &gt;2.17\u03bcg/dL (highest quartile) (RR 1.552, 95% CI 1.002\u20132.403) and in children with a single parent (RR 1.805, 95% CI 1.002\u20133.254). The RR was 3.567 (95% CI 1.595\u20137.980) in children with relatively high blood lead levels (&gt;2.17\u03bcg/dL) from single-parent families, compared with those with low blood lead and a two-parent family. The ADHD risk in association with blood lead level was modified by family status.", "author" : [ { "dropping-particle" : "", "family" : "Choi", "given" : "Won-Jun", "non-dropping-particle" : "", "parse-names" : false, "suffix" : "" }, { "dropping-particle" : "", "family" : "Kwon", "given" : "Ho-Jang", "non-dropping-particle" : "", "parse-names" : false, "suffix" : "" }, { "dropping-particle" : "", "family" : "Lim", "given" : "Myung Ho", "non-dropping-particle" : "", "parse-names" : false, "suffix" : "" }, { "dropping-particle" : "", "family" : "Lim", "given" : "Ji-Ae", "non-dropping-particle" : "", "parse-names" : false, "suffix" : "" }, { "dropping-particle" : "", "family" : "Ha", "given" : "Mina", "non-dropping-particle" : "", "parse-names" : false, "suffix" : "" } ], "container-title" : "Psychiatry Research", "id" : "ITEM-1", "issued" : { "date-parts" : [ [ "2016" ] ] }, "page" : "42-46", "title" : "Blood lead, parental marital status and the risk of attention-deficit/hyperactivity disorder in elementary school children: A longitudinal study", "type" : "article-journal", "volume" : "236" }, "uris" : [ "http://www.mendeley.com/documents/?uuid=3163c789-b85b-498a-a884-ce20d3be177e" ] }, { "id" : "ITEM-2", "itemData" : { "DOI" : "10.1177/1087054716638511", "ISSN" : "1557-1246", "PMID" : "27009923", "abstract" : "OBJECTIVE The object was to examine the prevalence of ADHD among preschoolers, analyzing comorbidity, and the association with socio-demographic factors. METHOD We conducted a two-phase epidemiological study of 1,104 preschoolers aged 3 to 6 years in Catalonia, Spain. The Early Childhood Inventory-4 (ECI-4) was administered to parents and teachers. Children at risk of ADHD were assessed using open-ended face-to-face interviews and were observed in a school setting. ADHD diagnoses were based onDiagnostic and Statistical Manual of Mental Disorders(4th ed.;DSM-IV) criteria. RESULTS The prevalence of ADHD diagnosis was 5.4%. Male sex and first-born status were risk factors for ADHD. Parents reported more symptoms (12.9%) than teachers (8.7%). Behavioral problems (odds ratio [OR] = 12,p= .001), autism spectrum disorder problems (OR = 9.5,p= .001), and obsessive-compulsive problems and tics (OR = 5.9,p= .001) were specifically related to ADHD diagnosis. Mother's health status and school achievement were lower in ADHD children. CONCLUSION Even at early stages of development, ADHD has high rates of comorbidity and a significant impact on school performance and family health.", "author" : [ { "dropping-particle" : "", "family" : "Canals", "given" : "Josefa", "non-dropping-particle" : "", "parse-names" : false, "suffix" : "" }, { "dropping-particle" : "", "family" : "Morales-Hidalgo", "given" : "Paula", "non-dropping-particle" : "", "parse-names" : false, "suffix" : "" }, { "dropping-particle" : "", "family" : "Jan\u00e9", "given" : "M Claustre", "non-dropping-particle" : "", "parse-names" : false, "suffix" : "" }, { "dropping-particle" : "", "family" : "Dom\u00e8nech", "given" : "Edelmira", "non-dropping-particle" : "", "parse-names" : false, "suffix" : "" } ], "container-title" : "Journal of attention disorders", "id" : "ITEM-2", "issued" : { "date-parts" : [ [ "2016" ] ] }, "title" : "ADHD Prevalence in Spanish Preschoolers: Comorbidity, Socio-Demographic Factors, and Functional Consequences.", "type" : "article-journal" }, "uris" : [ "http://www.mendeley.com/documents/?uuid=91c4833d-24ce-4b21-aa22-e362fa7543ab" ] } ], "mendeley" : { "formattedCitation" : "(295, 296)", "plainTextFormattedCitation" : "(295, 296)", "previouslyFormattedCitation" : "(295, 296)" }, "properties" : { "noteIndex" : 54 }, "schema" : "https://github.com/citation-style-language/schema/raw/master/csl-citation.json" }</w:instrText>
      </w:r>
      <w:r w:rsidR="00BC3BBB" w:rsidRPr="000B1F2A">
        <w:rPr>
          <w:rFonts w:ascii="Arial" w:hAnsi="Arial" w:cs="Arial"/>
          <w:noProof/>
          <w:sz w:val="22"/>
          <w:szCs w:val="22"/>
        </w:rPr>
        <w:fldChar w:fldCharType="separate"/>
      </w:r>
      <w:r w:rsidR="0037573A" w:rsidRPr="0037573A">
        <w:rPr>
          <w:rFonts w:ascii="Arial" w:hAnsi="Arial" w:cs="Arial"/>
          <w:noProof/>
          <w:sz w:val="22"/>
          <w:szCs w:val="22"/>
        </w:rPr>
        <w:t>(295, 296)</w:t>
      </w:r>
      <w:r w:rsidR="00BC3BBB" w:rsidRPr="000B1F2A">
        <w:rPr>
          <w:rFonts w:ascii="Arial" w:hAnsi="Arial" w:cs="Arial"/>
          <w:noProof/>
          <w:sz w:val="22"/>
          <w:szCs w:val="22"/>
        </w:rPr>
        <w:fldChar w:fldCharType="end"/>
      </w:r>
      <w:r w:rsidRPr="000B1F2A">
        <w:rPr>
          <w:rFonts w:ascii="Arial" w:hAnsi="Arial" w:cs="Arial"/>
          <w:noProof/>
          <w:sz w:val="22"/>
          <w:szCs w:val="22"/>
        </w:rPr>
        <w:t>.</w:t>
      </w:r>
      <w:r w:rsidRPr="000B1F2A">
        <w:rPr>
          <w:rFonts w:ascii="Arial" w:hAnsi="Arial" w:cs="Arial"/>
          <w:sz w:val="22"/>
          <w:szCs w:val="22"/>
        </w:rPr>
        <w:t xml:space="preserve"> </w:t>
      </w:r>
      <w:r w:rsidR="00E04E5C">
        <w:rPr>
          <w:rFonts w:ascii="Arial" w:hAnsi="Arial" w:cs="Arial"/>
          <w:sz w:val="22"/>
          <w:szCs w:val="22"/>
        </w:rPr>
        <w:t>Ç</w:t>
      </w:r>
      <w:r w:rsidRPr="000B1F2A">
        <w:rPr>
          <w:rFonts w:ascii="Arial" w:hAnsi="Arial" w:cs="Arial"/>
          <w:sz w:val="22"/>
          <w:szCs w:val="22"/>
        </w:rPr>
        <w:t>alışmamızdaki bulgular</w:t>
      </w:r>
      <w:r w:rsidR="00E04E5C">
        <w:rPr>
          <w:rFonts w:ascii="Arial" w:hAnsi="Arial" w:cs="Arial"/>
          <w:sz w:val="22"/>
          <w:szCs w:val="22"/>
        </w:rPr>
        <w:t>,</w:t>
      </w:r>
      <w:r w:rsidRPr="000B1F2A">
        <w:rPr>
          <w:rFonts w:ascii="Arial" w:hAnsi="Arial" w:cs="Arial"/>
          <w:sz w:val="22"/>
          <w:szCs w:val="22"/>
        </w:rPr>
        <w:t xml:space="preserve"> birinci derece akrabalarda psikopatoloji varlığı açısından DEHB ve kontrol grupları arasında fark saptamayan çalışmalarla uyumludur.</w:t>
      </w:r>
    </w:p>
    <w:p w:rsidR="000B1F2A" w:rsidRPr="000B1F2A" w:rsidRDefault="000B1F2A" w:rsidP="000B1F2A">
      <w:pPr>
        <w:spacing w:line="360" w:lineRule="auto"/>
        <w:ind w:firstLine="567"/>
        <w:contextualSpacing/>
        <w:jc w:val="both"/>
        <w:rPr>
          <w:rFonts w:ascii="Arial" w:hAnsi="Arial" w:cs="Arial"/>
          <w:color w:val="000000"/>
          <w:sz w:val="22"/>
          <w:szCs w:val="22"/>
          <w:shd w:val="clear" w:color="auto" w:fill="FFFFFF"/>
        </w:rPr>
      </w:pPr>
      <w:r w:rsidRPr="000B1F2A">
        <w:rPr>
          <w:rFonts w:ascii="Arial" w:hAnsi="Arial" w:cs="Arial"/>
          <w:sz w:val="22"/>
          <w:szCs w:val="22"/>
        </w:rPr>
        <w:t xml:space="preserve">Doğum şekilleri açısında iki grup karşılaştırıldığında anlamlı bir fark gözlenmemiştir. Talge ve ark. yaptıkları çalışmada sezaryen doğum ile dünyaya gelenlerde daha fazla DEHB semptomu bulgulandığını saptamışlar, fakat prenatal, antepartum ve postnatal faktörlerin de buna katkıda bulunabileceğini belirtmişlerdir </w:t>
      </w:r>
      <w:r w:rsidR="00BC3BBB" w:rsidRPr="000B1F2A">
        <w:rPr>
          <w:rFonts w:ascii="Arial" w:hAnsi="Arial" w:cs="Arial"/>
          <w:sz w:val="22"/>
          <w:szCs w:val="22"/>
        </w:rPr>
        <w:fldChar w:fldCharType="begin" w:fldLock="1"/>
      </w:r>
      <w:r w:rsidR="005827F2">
        <w:rPr>
          <w:rFonts w:ascii="Arial" w:hAnsi="Arial" w:cs="Arial"/>
          <w:sz w:val="22"/>
          <w:szCs w:val="22"/>
        </w:rPr>
        <w:instrText>ADDIN CSL_CITATION { "citationItems" : [ { "id" : "ITEM-1", "itemData" : { "DOI" : "10.1111/ppe.12274", "ISSN" : "13653016", "PMID" : "26739771", "abstract" : "BackgroundPerinatal characteristics may identify subgroups of term-born children at risk for academic and behavioural difficulties. Using follow-up data from the Pregnancy Outcomes and Community Health Study, we subdivided term births according to two potential markers of perinatal risk (gestational age, delivery circumstance) and evaluated their association with attention deficit hyperactivity disorder (ADHD) symptoms. MethodsWe included children born at term whose mothers completed the Conners' Parent Rating Scales-Revised-Short Form (CPRS-R-S) (n=610; ages: 3-9 years). The CPRS-R-S yields age and sex-referenced T-scores for the two primary dimensions of ADHD (inattention, hyperactivity) and an ADHD Index that reflects both dimensions. Using general linear models, we evaluated whether: (1) term delivery defined by gestational week (reference: 39-40 weeks), or (2) term delivery circumstance defined by labour onset type and mode of delivery (reference: spontaneous labour, vaginal delivery) was associated with these problems. ResultsFollowing adjustment for parity, sociodemographics, and maternal mental health both during pregnancy and at the child follow-up survey, the induced labour plus caesarean group exhibited higher inattention and ADHD Index scores relative to the spontaneous labour, vaginal delivery group (inattention: mean difference=5.1, 95% CI 0.6, 9.7; ADHD Index: mean difference=4.1, 95% CI 0.5, 7.8). Findings were primarily driven by male children. ConclusionsAmong term-born children, only those whose mothers experienced induction of labour that culminated in caesarean delivery exhibited higher levels of ADHD symptoms. Prenatal, antepartum, and/or postnatal factors associated with this delivery profile may reflect increased risk for such problems.", "author" : [ { "dropping-particle" : "", "family" : "Talge", "given" : "Nicole M.", "non-dropping-particle" : "", "parse-names" : false, "suffix" : "" }, { "dropping-particle" : "", "family" : "Allswede", "given" : "Dana M.", "non-dropping-particle" : "", "parse-names" : false, "suffix" : "" }, { "dropping-particle" : "", "family" : "Holzman", "given" : "Claudia", "non-dropping-particle" : "", "parse-names" : false, "suffix" : "" } ], "container-title" : "Paediatric and Perinatal Epidemiology", "id" : "ITEM-1", "issue" : "2", "issued" : { "date-parts" : [ [ "2016" ] ] }, "page" : "171-180", "title" : "Gestational Age at Term, Delivery Circumstance, and Their Association with Childhood Attention Deficit Hyperactivity Disorder Symptoms", "type" : "article-journal", "volume" : "30" }, "uris" : [ "http://www.mendeley.com/documents/?uuid=c9ef4359-a6cc-405e-aa48-fe289b65db62" ] } ], "mendeley" : { "formattedCitation" : "(297)", "plainTextFormattedCitation" : "(297)", "previouslyFormattedCitation" : "(297)" }, "properties" : { "noteIndex" : 54 }, "schema" : "https://github.com/citation-style-language/schema/raw/master/csl-citation.json" }</w:instrText>
      </w:r>
      <w:r w:rsidR="00BC3BBB" w:rsidRPr="000B1F2A">
        <w:rPr>
          <w:rFonts w:ascii="Arial" w:hAnsi="Arial" w:cs="Arial"/>
          <w:sz w:val="22"/>
          <w:szCs w:val="22"/>
        </w:rPr>
        <w:fldChar w:fldCharType="separate"/>
      </w:r>
      <w:r w:rsidR="0037573A" w:rsidRPr="0037573A">
        <w:rPr>
          <w:rFonts w:ascii="Arial" w:hAnsi="Arial" w:cs="Arial"/>
          <w:noProof/>
          <w:sz w:val="22"/>
          <w:szCs w:val="22"/>
        </w:rPr>
        <w:t>(297)</w:t>
      </w:r>
      <w:r w:rsidR="00BC3BBB" w:rsidRPr="000B1F2A">
        <w:rPr>
          <w:rFonts w:ascii="Arial" w:hAnsi="Arial" w:cs="Arial"/>
          <w:sz w:val="22"/>
          <w:szCs w:val="22"/>
        </w:rPr>
        <w:fldChar w:fldCharType="end"/>
      </w:r>
      <w:r w:rsidRPr="000B1F2A">
        <w:rPr>
          <w:rFonts w:ascii="Arial" w:hAnsi="Arial" w:cs="Arial"/>
          <w:sz w:val="22"/>
          <w:szCs w:val="22"/>
        </w:rPr>
        <w:t xml:space="preserve">. </w:t>
      </w:r>
      <w:r w:rsidRPr="000B1F2A">
        <w:rPr>
          <w:rFonts w:ascii="Arial" w:hAnsi="Arial" w:cs="Arial"/>
          <w:color w:val="000000"/>
          <w:sz w:val="22"/>
          <w:szCs w:val="22"/>
          <w:shd w:val="clear" w:color="auto" w:fill="FFFFFF"/>
        </w:rPr>
        <w:t xml:space="preserve">1 722 548 çocuktan oluşan kohort çalışmasında sezaryen doğum ile DEHB arasındaki ilişkinin varlığının çelişkili olduğu belirtilmiştir </w:t>
      </w:r>
      <w:r w:rsidR="00BC3BBB" w:rsidRPr="000B1F2A">
        <w:rPr>
          <w:rFonts w:ascii="Arial" w:hAnsi="Arial" w:cs="Arial"/>
          <w:color w:val="000000"/>
          <w:sz w:val="22"/>
          <w:szCs w:val="22"/>
          <w:shd w:val="clear" w:color="auto" w:fill="FFFFFF"/>
        </w:rPr>
        <w:fldChar w:fldCharType="begin" w:fldLock="1"/>
      </w:r>
      <w:r w:rsidR="005827F2">
        <w:rPr>
          <w:rFonts w:ascii="Arial" w:hAnsi="Arial" w:cs="Arial"/>
          <w:color w:val="000000"/>
          <w:sz w:val="22"/>
          <w:szCs w:val="22"/>
          <w:shd w:val="clear" w:color="auto" w:fill="FFFFFF"/>
        </w:rPr>
        <w:instrText>ADDIN CSL_CITATION { "citationItems" : [ { "id" : "ITEM-1", "itemData" : { "DOI" : "10.1093/ije/dyw001", "ISSN" : "14643685", "PMID" : "27063604", "abstract" : "BACKGROUND: It has been suggested that birth by caesarean section (CS) may affect psychological development through changes in microbiota or stress response. We assessed the impact of mode of delivery, specifically CS, on the development of attention-deficit/hyperactivity disorder (ADHD), using a large, population-based cohort.\\n\\nMETHODS: The study cohort consisted of all singleton live births in Sweden from 1990 to 2008 using data from Swedish national registers. Mode of delivery included: unassisted vaginal delivery(VD), assisted VD, elective CS or emergency CS. ADHD was determined using International Classification of Diseases version 10 (F90 or F98.8), or prescription for ADHD medication. We used Cox regression to assess the association between birth by CS and ADHD in the total study population, adjusting for perinatal and sociodemographic factors, then stratified Cox regression analysis on maternal identification number to assess the association among siblings.\\n\\nRESULTS: Our cohort consisted of 1\u00a0722\u00a0548 children, and among these 47\u00a0778 cases of ADHD. The hazard ratio (HR) of the association between elective CS, compared with unassisted VD, and ADHD was 1.15 [95% confidence interval (CI): 1.11-1.20] in the cohort, and 1.05 (95% CI: 0.93-1.18) in the stratified analysis. The HR of the association between emergency CS and ADHD was 1.16 (95% CI: 1.12-1.20])in the cohort and 1.13 (95% CI: 1.01-1.26) in the stratified analysis.\\n\\nCONCLUSION: Birth by CS is associated with a small increased risk of ADHD. However among siblings the association only remained for emergency CS. If this were a causal effect by CS, the association would be expected to persist for both types of CS, suggesting the observed association is due to confounding.", "author" : [ { "dropping-particle" : "", "family" : "Curran", "given" : "Eileen A.", "non-dropping-particle" : "", "parse-names" : false, "suffix" : "" }, { "dropping-particle" : "", "family" : "Khashan", "given" : "Ali S.", "non-dropping-particle" : "", "parse-names" : false, "suffix" : "" }, { "dropping-particle" : "", "family" : "Dalman", "given" : "Christina", "non-dropping-particle" : "", "parse-names" : false, "suffix" : "" }, { "dropping-particle" : "", "family" : "Kenny", "given" : "Louise C.", "non-dropping-particle" : "", "parse-names" : false, "suffix" : "" }, { "dropping-particle" : "", "family" : "Cryan", "given" : "John F.", "non-dropping-particle" : "", "parse-names" : false, "suffix" : "" }, { "dropping-particle" : "", "family" : "Dinan", "given" : "Timothy G.", "non-dropping-particle" : "", "parse-names" : false, "suffix" : "" }, { "dropping-particle" : "", "family" : "Kearney", "given" : "Patricia M.", "non-dropping-particle" : "", "parse-names" : false, "suffix" : "" } ], "container-title" : "International Journal of Epidemiology", "id" : "ITEM-1", "issue" : "2", "issued" : { "date-parts" : [ [ "2016" ] ] }, "page" : "532-542", "title" : "Obstetric mode of delivery and attention-deficit/hyperactivity disorder: A sibling-matched study", "type" : "article-journal", "volume" : "45" }, "uris" : [ "http://www.mendeley.com/documents/?uuid=c673102d-829e-491e-b186-0a6be383ea5f" ] } ], "mendeley" : { "formattedCitation" : "(298)", "plainTextFormattedCitation" : "(298)", "previouslyFormattedCitation" : "(298)" }, "properties" : { "noteIndex" : 54 }, "schema" : "https://github.com/citation-style-language/schema/raw/master/csl-citation.json" }</w:instrText>
      </w:r>
      <w:r w:rsidR="00BC3BBB" w:rsidRPr="000B1F2A">
        <w:rPr>
          <w:rFonts w:ascii="Arial" w:hAnsi="Arial" w:cs="Arial"/>
          <w:color w:val="000000"/>
          <w:sz w:val="22"/>
          <w:szCs w:val="22"/>
          <w:shd w:val="clear" w:color="auto" w:fill="FFFFFF"/>
        </w:rPr>
        <w:fldChar w:fldCharType="separate"/>
      </w:r>
      <w:r w:rsidR="0037573A" w:rsidRPr="0037573A">
        <w:rPr>
          <w:rFonts w:ascii="Arial" w:hAnsi="Arial" w:cs="Arial"/>
          <w:noProof/>
          <w:color w:val="000000"/>
          <w:sz w:val="22"/>
          <w:szCs w:val="22"/>
          <w:shd w:val="clear" w:color="auto" w:fill="FFFFFF"/>
        </w:rPr>
        <w:t>(298)</w:t>
      </w:r>
      <w:r w:rsidR="00BC3BBB" w:rsidRPr="000B1F2A">
        <w:rPr>
          <w:rFonts w:ascii="Arial" w:hAnsi="Arial" w:cs="Arial"/>
          <w:color w:val="000000"/>
          <w:sz w:val="22"/>
          <w:szCs w:val="22"/>
          <w:shd w:val="clear" w:color="auto" w:fill="FFFFFF"/>
        </w:rPr>
        <w:fldChar w:fldCharType="end"/>
      </w:r>
      <w:r w:rsidRPr="000B1F2A">
        <w:rPr>
          <w:rFonts w:ascii="Arial" w:hAnsi="Arial" w:cs="Arial"/>
          <w:color w:val="000000"/>
          <w:sz w:val="22"/>
          <w:szCs w:val="22"/>
          <w:shd w:val="clear" w:color="auto" w:fill="FFFFFF"/>
        </w:rPr>
        <w:t>.</w:t>
      </w:r>
      <w:r w:rsidRPr="000B1F2A">
        <w:rPr>
          <w:rFonts w:ascii="Arial" w:hAnsi="Arial" w:cs="Arial"/>
          <w:color w:val="000000"/>
          <w:sz w:val="22"/>
          <w:szCs w:val="22"/>
        </w:rPr>
        <w:t xml:space="preserve"> </w:t>
      </w:r>
      <w:r w:rsidRPr="000B1F2A">
        <w:rPr>
          <w:rFonts w:ascii="Arial" w:hAnsi="Arial" w:cs="Arial"/>
          <w:color w:val="000000"/>
          <w:sz w:val="22"/>
          <w:szCs w:val="22"/>
          <w:shd w:val="clear" w:color="auto" w:fill="FFFFFF"/>
        </w:rPr>
        <w:t>Çalışmamızdaki bulgular da DEHB ile doğum şekli arasında bir ilişki ortaya koymamıştır..</w:t>
      </w:r>
    </w:p>
    <w:p w:rsidR="000B1F2A" w:rsidRPr="000B1F2A" w:rsidRDefault="000B1F2A" w:rsidP="000B1F2A">
      <w:pPr>
        <w:spacing w:line="360" w:lineRule="auto"/>
        <w:ind w:firstLine="567"/>
        <w:contextualSpacing/>
        <w:jc w:val="both"/>
        <w:rPr>
          <w:rFonts w:ascii="Arial" w:hAnsi="Arial" w:cs="Arial"/>
          <w:color w:val="000000" w:themeColor="text1"/>
          <w:sz w:val="22"/>
          <w:szCs w:val="22"/>
          <w:shd w:val="clear" w:color="auto" w:fill="FFFFFF"/>
        </w:rPr>
      </w:pPr>
      <w:r w:rsidRPr="000B1F2A">
        <w:rPr>
          <w:rFonts w:ascii="Arial" w:hAnsi="Arial" w:cs="Arial"/>
          <w:sz w:val="22"/>
          <w:szCs w:val="22"/>
        </w:rPr>
        <w:t>Olgu ve kontrol grubundaki çocuklar doğum haftal</w:t>
      </w:r>
      <w:r w:rsidR="003B12C8">
        <w:rPr>
          <w:rFonts w:ascii="Arial" w:hAnsi="Arial" w:cs="Arial"/>
          <w:sz w:val="22"/>
          <w:szCs w:val="22"/>
        </w:rPr>
        <w:t xml:space="preserve">arına göre karşılaştırıldığında </w:t>
      </w:r>
      <w:r w:rsidRPr="000B1F2A">
        <w:rPr>
          <w:rFonts w:ascii="Arial" w:hAnsi="Arial" w:cs="Arial"/>
          <w:sz w:val="22"/>
          <w:szCs w:val="22"/>
        </w:rPr>
        <w:t xml:space="preserve">iki grup arasında anlamlı fark gözlenmemiştir. Bu bulgu, </w:t>
      </w:r>
      <w:r w:rsidRPr="000B1F2A">
        <w:rPr>
          <w:rFonts w:ascii="Arial" w:hAnsi="Arial" w:cs="Arial"/>
          <w:color w:val="000000" w:themeColor="text1"/>
          <w:sz w:val="22"/>
          <w:szCs w:val="22"/>
          <w:shd w:val="clear" w:color="auto" w:fill="FFFFFF"/>
        </w:rPr>
        <w:t>Heinonen ve ark. tarafından yapılan</w:t>
      </w:r>
      <w:r w:rsidRPr="000B1F2A">
        <w:rPr>
          <w:rFonts w:ascii="Arial" w:hAnsi="Arial" w:cs="Arial"/>
          <w:sz w:val="22"/>
          <w:szCs w:val="22"/>
        </w:rPr>
        <w:t xml:space="preserve"> </w:t>
      </w:r>
      <w:r w:rsidRPr="000B1F2A">
        <w:rPr>
          <w:rFonts w:ascii="Arial" w:hAnsi="Arial" w:cs="Arial"/>
          <w:color w:val="000000" w:themeColor="text1"/>
          <w:sz w:val="22"/>
          <w:szCs w:val="22"/>
          <w:shd w:val="clear" w:color="auto" w:fill="FFFFFF"/>
        </w:rPr>
        <w:t xml:space="preserve">pre-term doğum ile DEHB semptomları arasında ilişki olmadığını belirten çalışma </w:t>
      </w:r>
      <w:r w:rsidR="00BC3BBB" w:rsidRPr="000B1F2A">
        <w:rPr>
          <w:rFonts w:ascii="Arial" w:hAnsi="Arial" w:cs="Arial"/>
          <w:color w:val="000000" w:themeColor="text1"/>
          <w:sz w:val="22"/>
          <w:szCs w:val="22"/>
          <w:shd w:val="clear" w:color="auto" w:fill="FFFFFF"/>
        </w:rPr>
        <w:fldChar w:fldCharType="begin" w:fldLock="1"/>
      </w:r>
      <w:r w:rsidR="0037573A">
        <w:rPr>
          <w:rFonts w:ascii="Arial" w:hAnsi="Arial" w:cs="Arial"/>
          <w:color w:val="000000" w:themeColor="text1"/>
          <w:sz w:val="22"/>
          <w:szCs w:val="22"/>
          <w:shd w:val="clear" w:color="auto" w:fill="FFFFFF"/>
        </w:rPr>
        <w:instrText>ADDIN CSL_CITATION { "citationItems" : [ { "id" : "ITEM-1", "itemData" : { "DOI" : "10.1186/1471-2431-10-91", "ISBN" : "1471-2431 (Electronic)\\r1471-2431 (Linking)", "ISSN" : "1471-2431", "PMID" : "21159164", "abstract" : "BACKGROUND: It remains unclear whether it is more detrimental to be born too early or too small in relation to symptoms of attention deficit/hyperactivity disorder (ADHD). Thus, we tested whether preterm birth and small body size at birth adjusted for gestational age are independently associated with symptoms of ADHD in children.\\n\\nMETHODS: A longitudinal regional birth cohort study comprising 1535 live-born infants between 03/15/1985 and 03/14/1986 admitted to the neonatal wards and 658 randomly recruited non-admitted infants, in Finland. The present study sample comprised 828 children followed up to 56 months. The association between birth status and parent-rated ADHD symptoms of the child was analysed with multiple linear and logistic regression analyses.\\n\\nRESULTS: Neither prematurity (birth &lt; 37 weeks of gestation) nor lower gestational age was associated with ADHD symptoms. However, small for gestational age (SGA &lt; -2 standard deviations [SD] below the mean for weight at birth) status and lower birth weight SD score were significantly, and independently of gestational age, associated with higher ADHD symptoms. Those born SGA, relative to those born AGA, were also 3.60-times more likely to have ADHD symptoms scores above the clinical cut-off. The associations were not confounded by factors implicated as risks for pregnancy and/or ADHD.\\n\\nCONCLUSIONS: Intrauterine growth restriction, reflected in SGA status and lower birth weight, rather than prematurity or lower gestational age per se, may increase risk for symptoms of ADHD in young children.", "author" : [ { "dropping-particle" : "", "family" : "Heinonen", "given" : "Kati", "non-dropping-particle" : "", "parse-names" : false, "suffix" : "" }, { "dropping-particle" : "", "family" : "R\u00e4ikk\u00f6nen", "given" : "Katri", "non-dropping-particle" : "", "parse-names" : false, "suffix" : "" }, { "dropping-particle" : "", "family" : "Pesonen", "given" : "Anu-Katriina", "non-dropping-particle" : "", "parse-names" : false, "suffix" : "" }, { "dropping-particle" : "", "family" : "Andersson", "given" : "Sture", "non-dropping-particle" : "", "parse-names" : false, "suffix" : "" }, { "dropping-particle" : "", "family" : "Kajantie", "given" : "Eero", "non-dropping-particle" : "", "parse-names" : false, "suffix" : "" }, { "dropping-particle" : "", "family" : "Eriksson", "given" : "Johan G", "non-dropping-particle" : "", "parse-names" : false, "suffix" : "" }, { "dropping-particle" : "", "family" : "Wolke", "given" : "Dieter", "non-dropping-particle" : "", "parse-names" : false, "suffix" : "" }, { "dropping-particle" : "", "family" : "Lano", "given" : "Aulikki", "non-dropping-particle" : "", "parse-names" : false, "suffix" : "" } ], "container-title" : "BMC pediatrics", "id" : "ITEM-1", "issue" : "1", "issued" : { "date-parts" : [ [ "2010" ] ] }, "page" : "91", "title" : "Behavioural symptoms of attention deficit/hyperactivity disorder in preterm and term children born small and appropriate for gestational age: a longitudinal study.", "type" : "article-journal", "volume" : "10" }, "uris" : [ "http://www.mendeley.com/documents/?uuid=f34cd017-7c90-437d-bdc0-c0383be168d3" ] } ], "mendeley" : { "formattedCitation" : "(77)", "plainTextFormattedCitation" : "(77)", "previouslyFormattedCitation" : "(77)" }, "properties" : { "noteIndex" : 54 }, "schema" : "https://github.com/citation-style-language/schema/raw/master/csl-citation.json" }</w:instrText>
      </w:r>
      <w:r w:rsidR="00BC3BBB" w:rsidRPr="000B1F2A">
        <w:rPr>
          <w:rFonts w:ascii="Arial" w:hAnsi="Arial" w:cs="Arial"/>
          <w:color w:val="000000" w:themeColor="text1"/>
          <w:sz w:val="22"/>
          <w:szCs w:val="22"/>
          <w:shd w:val="clear" w:color="auto" w:fill="FFFFFF"/>
        </w:rPr>
        <w:fldChar w:fldCharType="separate"/>
      </w:r>
      <w:r w:rsidRPr="000B1F2A">
        <w:rPr>
          <w:rFonts w:ascii="Arial" w:hAnsi="Arial" w:cs="Arial"/>
          <w:noProof/>
          <w:color w:val="000000" w:themeColor="text1"/>
          <w:sz w:val="22"/>
          <w:szCs w:val="22"/>
          <w:shd w:val="clear" w:color="auto" w:fill="FFFFFF"/>
        </w:rPr>
        <w:t>(77)</w:t>
      </w:r>
      <w:r w:rsidR="00BC3BBB" w:rsidRPr="000B1F2A">
        <w:rPr>
          <w:rFonts w:ascii="Arial" w:hAnsi="Arial" w:cs="Arial"/>
          <w:color w:val="000000" w:themeColor="text1"/>
          <w:sz w:val="22"/>
          <w:szCs w:val="22"/>
          <w:shd w:val="clear" w:color="auto" w:fill="FFFFFF"/>
        </w:rPr>
        <w:fldChar w:fldCharType="end"/>
      </w:r>
      <w:r w:rsidRPr="000B1F2A">
        <w:rPr>
          <w:rFonts w:ascii="Arial" w:hAnsi="Arial" w:cs="Arial"/>
          <w:color w:val="000000" w:themeColor="text1"/>
          <w:sz w:val="22"/>
          <w:szCs w:val="22"/>
          <w:shd w:val="clear" w:color="auto" w:fill="FFFFFF"/>
        </w:rPr>
        <w:t xml:space="preserve"> ile tutarlıdır. </w:t>
      </w:r>
      <w:r w:rsidR="0037573A">
        <w:rPr>
          <w:rFonts w:ascii="Arial" w:hAnsi="Arial" w:cs="Arial"/>
          <w:color w:val="000000" w:themeColor="text1"/>
          <w:sz w:val="22"/>
          <w:szCs w:val="22"/>
          <w:shd w:val="clear" w:color="auto" w:fill="FFFFFF"/>
        </w:rPr>
        <w:t xml:space="preserve">Fakat literatürde preterm doğumun DEHB ile ilişkisini gösteren çalışmalar da mevcuttur </w:t>
      </w:r>
      <w:r w:rsidR="00BC3BBB">
        <w:rPr>
          <w:rFonts w:ascii="Arial" w:hAnsi="Arial" w:cs="Arial"/>
          <w:color w:val="000000" w:themeColor="text1"/>
          <w:sz w:val="22"/>
          <w:szCs w:val="22"/>
          <w:shd w:val="clear" w:color="auto" w:fill="FFFFFF"/>
        </w:rPr>
        <w:fldChar w:fldCharType="begin" w:fldLock="1"/>
      </w:r>
      <w:r w:rsidR="005827F2">
        <w:rPr>
          <w:rFonts w:ascii="Arial" w:hAnsi="Arial" w:cs="Arial"/>
          <w:color w:val="000000" w:themeColor="text1"/>
          <w:sz w:val="22"/>
          <w:szCs w:val="22"/>
          <w:shd w:val="clear" w:color="auto" w:fill="FFFFFF"/>
        </w:rPr>
        <w:instrText>ADDIN CSL_CITATION { "citationItems" : [ { "id" : "ITEM-1", "itemData" : { "DOI" : "10.1017/S0033291712001031", "ISBN" : "1469-8978 (Electronic) 0033-2917 (Linking)", "ISSN" : "0033-2917", "PMID" : "22608065", "abstract" : "BACKGROUND: Very preterm (VP) children are at particular risk for attention deficit/hyperactivity disorder (ADHD) of the inattentive subtype. It is unknown whether the neurodevelopmental pathways to academic underachievement are the same as in the general population. This study investigated whether middle childhood attention or hyperactivity/impulsivity problems are better predictors of VP adolescents' academic achievement. METHOD: In a geographically defined prospective whole-population sample of VP (&lt;32 weeks gestation) and/or very low birth weight (&lt;1500 g birth weight) (VLBW/VP; n = 281) and full-term control children (n = 286) in South Germany, ADHD subtypes were assessed at 6 years 3 months and 8 years 5 months using multiple data sources. Academic achievement was assessed at 13 years of age. RESULTS: Compared with full-term controls, VLBW/VP children were at higher risk for ADHD inattentive subtype [6 years 3 months: odds ratio (OR) 2.8, p &lt; 0.001; 8 years 5 months: OR 1.7, p = 0.020] but not for ADHD hyperactive-impulsive subtype (6 years 3 months: OR 1.4, p = 0.396; 8 years 5 months: OR 0.9, p = 0.820). Childhood attention measures predicted academic achievement in VLBW/VP and also full-term adolescents, whereas hyperactive/impulsive behaviour did not. CONCLUSIONS: Attention is an important prerequisite for learning and predicts long-term academic underachievement. As ADHD inattentive subtype and cognitive impairments are frequent in VLBW/VP children, their study may help to identify the neurofunctional pathways from early brain development and dysfunction to attention problems and academic underachievement.", "author" : [ { "dropping-particle" : "", "family" : "Jaekel", "given" : "J.", "non-dropping-particle" : "", "parse-names" : false, "suffix" : "" }, { "dropping-particle" : "", "family" : "Wolke", "given" : "D.", "non-dropping-particle" : "", "parse-names" : false, "suffix" : "" }, { "dropping-particle" : "", "family" : "Bartmann", "given" : "P.", "non-dropping-particle" : "", "parse-names" : false, "suffix" : "" } ], "container-title" : "Psychological Medicine", "id" : "ITEM-1", "issue" : "01", "issued" : { "date-parts" : [ [ "2013" ] ] }, "page" : "183-196", "title" : "Poor attention rather than hyperactivity/impulsivity predicts academic achievement in very preterm and full-term adolescents", "type" : "article-journal", "volume" : "43" }, "uris" : [ "http://www.mendeley.com/documents/?uuid=55927d2e-fe66-4197-bf2a-f8c30dd8d973" ] } ], "mendeley" : { "formattedCitation" : "(299)", "plainTextFormattedCitation" : "(299)", "previouslyFormattedCitation" : "(299)" }, "properties" : { "noteIndex" : 76 }, "schema" : "https://github.com/citation-style-language/schema/raw/master/csl-citation.json" }</w:instrText>
      </w:r>
      <w:r w:rsidR="00BC3BBB">
        <w:rPr>
          <w:rFonts w:ascii="Arial" w:hAnsi="Arial" w:cs="Arial"/>
          <w:color w:val="000000" w:themeColor="text1"/>
          <w:sz w:val="22"/>
          <w:szCs w:val="22"/>
          <w:shd w:val="clear" w:color="auto" w:fill="FFFFFF"/>
        </w:rPr>
        <w:fldChar w:fldCharType="separate"/>
      </w:r>
      <w:r w:rsidR="0037573A" w:rsidRPr="0037573A">
        <w:rPr>
          <w:rFonts w:ascii="Arial" w:hAnsi="Arial" w:cs="Arial"/>
          <w:noProof/>
          <w:color w:val="000000" w:themeColor="text1"/>
          <w:sz w:val="22"/>
          <w:szCs w:val="22"/>
          <w:shd w:val="clear" w:color="auto" w:fill="FFFFFF"/>
        </w:rPr>
        <w:t>(299)</w:t>
      </w:r>
      <w:r w:rsidR="00BC3BBB">
        <w:rPr>
          <w:rFonts w:ascii="Arial" w:hAnsi="Arial" w:cs="Arial"/>
          <w:color w:val="000000" w:themeColor="text1"/>
          <w:sz w:val="22"/>
          <w:szCs w:val="22"/>
          <w:shd w:val="clear" w:color="auto" w:fill="FFFFFF"/>
        </w:rPr>
        <w:fldChar w:fldCharType="end"/>
      </w:r>
      <w:r w:rsidR="0037573A">
        <w:rPr>
          <w:rFonts w:ascii="Arial" w:hAnsi="Arial" w:cs="Arial"/>
          <w:color w:val="000000" w:themeColor="text1"/>
          <w:sz w:val="22"/>
          <w:szCs w:val="22"/>
          <w:shd w:val="clear" w:color="auto" w:fill="FFFFFF"/>
        </w:rPr>
        <w:t>.</w:t>
      </w:r>
    </w:p>
    <w:p w:rsidR="000B1F2A" w:rsidRPr="000B1F2A" w:rsidRDefault="000B1F2A" w:rsidP="000B1F2A">
      <w:pPr>
        <w:spacing w:line="360" w:lineRule="auto"/>
        <w:ind w:firstLine="567"/>
        <w:contextualSpacing/>
        <w:jc w:val="both"/>
        <w:rPr>
          <w:rStyle w:val="pagelast"/>
          <w:rFonts w:ascii="Arial" w:hAnsi="Arial" w:cs="Arial"/>
          <w:color w:val="E36C0A" w:themeColor="accent6" w:themeShade="BF"/>
          <w:sz w:val="22"/>
          <w:szCs w:val="22"/>
          <w:bdr w:val="none" w:sz="0" w:space="0" w:color="auto" w:frame="1"/>
          <w:shd w:val="clear" w:color="auto" w:fill="FFFFFF"/>
        </w:rPr>
      </w:pPr>
      <w:r w:rsidRPr="000B1F2A">
        <w:rPr>
          <w:rFonts w:ascii="Arial" w:hAnsi="Arial" w:cs="Arial"/>
          <w:sz w:val="22"/>
          <w:szCs w:val="22"/>
        </w:rPr>
        <w:lastRenderedPageBreak/>
        <w:t xml:space="preserve">IU maternal sigara maruziyeti açısından gruplar arasında istatistiksel olarak anlamlı bir fark saptanmamıştır.  Bir çalışma </w:t>
      </w:r>
      <w:r w:rsidRPr="000B1F2A">
        <w:rPr>
          <w:rFonts w:ascii="Arial" w:hAnsi="Arial" w:cs="Arial"/>
          <w:color w:val="000000" w:themeColor="text1"/>
          <w:sz w:val="22"/>
          <w:szCs w:val="22"/>
        </w:rPr>
        <w:t xml:space="preserve">gebelik sırasında annenin sigara içmesinin yalnızca genetik olarak anneleri ile ilişkili olan çocuklarda görülen DEHB semptomlarını artırdığını ortaya koymuştur </w:t>
      </w:r>
      <w:r w:rsidR="00BC3BBB" w:rsidRPr="000B1F2A">
        <w:rPr>
          <w:rFonts w:ascii="Arial" w:hAnsi="Arial" w:cs="Arial"/>
          <w:color w:val="000000" w:themeColor="text1"/>
          <w:sz w:val="22"/>
          <w:szCs w:val="22"/>
        </w:rPr>
        <w:fldChar w:fldCharType="begin" w:fldLock="1"/>
      </w:r>
      <w:r w:rsidR="0037573A">
        <w:rPr>
          <w:rFonts w:ascii="Arial" w:hAnsi="Arial" w:cs="Arial"/>
          <w:color w:val="000000" w:themeColor="text1"/>
          <w:sz w:val="22"/>
          <w:szCs w:val="22"/>
        </w:rPr>
        <w:instrText>ADDIN CSL_CITATION { "citationItems" : [ { "id" : "ITEM-1", "itemData" : { "DOI" : "10.1016/j.biopsych.2009.05.032", "ISBN" : "1873-2402 (Electronic)\\r0006-3223 (Linking)", "PMID" : "19596120", "abstract" : "BACKGROUND: It is widely considered that exposure to maternal cigarette smoking in pregnancy has risk effects on offspring attention-deficit/hyperactivity disorder (ADHD). This view is supported by consistent observations of association. It is, however, impossible to be certain of adequate control for confounding factors with observational designs. We use a novel \"natural experiment\" design that separates prenatal environmental from alternative inherited effects. METHODS: The design is based on offspring conceived with Assisted Reproductive Technologies recruited from 20 fertility clinics in the United Kingdom and United States who were: 1) genetically unrelated, and 2) related to the woman who underwent the pregnancy. If maternal smoking in pregnancy has true risk effects, association will be observed with ADHD regardless of whether mother and offspring are related or unrelated. Data were obtained from 815 families of children ages 4 years-11 years with parent questionnaires and antenatal records. Birth weight was used as a comparison outcome. The key outcome considered was child ADHD symptoms. RESULTS: Association between smoking in pregnancy and lower birth weight was found in unrelated and related mother-offspring pairs, consistent with a true risk effect. However, for ADHD symptoms, the magnitude of association was significantly higher in the related pairs (beta = .102, p &lt; .02) than in the unrelated pairs (beta= -.052, p &gt; .10), suggesting inherited effects. CONCLUSIONS: Our findings highlight the need to test causal hypotheses with genetically sensitive designs. Inherited confounds are not necessarily removed by statistical controls. The previously observed association between maternal smoking in pregnancy and ADHD might represent an inherited effect.", "author" : [ { "dropping-particle" : "", "family" : "Thapar", "given" : "A", "non-dropping-particle" : "", "parse-names" : false, "suffix" : "" }, { "dropping-particle" : "", "family" : "Rice", "given" : "F", "non-dropping-particle" : "", "parse-names" : false, "suffix" : "" }, { "dropping-particle" : "", "family" : "Hay", "given" : "D", "non-dropping-particle" : "", "parse-names" : false, "suffix" : "" }, { "dropping-particle" : "", "family" : "Boivin", "given" : "J", "non-dropping-particle" : "", "parse-names" : false, "suffix" : "" }, { "dropping-particle" : "", "family" : "Langley", "given" : "K", "non-dropping-particle" : "", "parse-names" : false, "suffix" : "" }, { "dropping-particle" : "", "family" : "Bree", "given" : "M", "non-dropping-particle" : "van den", "parse-names" : false, "suffix" : "" }, { "dropping-particle" : "", "family" : "Rutter", "given" : "M", "non-dropping-particle" : "", "parse-names" : false, "suffix" : "" }, { "dropping-particle" : "", "family" : "Harold", "given" : "G", "non-dropping-particle" : "", "parse-names" : false, "suffix" : "" } ], "container-title" : "Biological Psychiatry", "id" : "ITEM-1", "issue" : "8", "issued" : { "date-parts" : [ [ "2009" ] ] }, "page" : "722-727", "title" : "Prenatal smoking might not cause attention-deficit/hyperactivity disorder: evidence from a novel design", "type" : "article-journal", "volume" : "66" }, "uris" : [ "http://www.mendeley.com/documents/?uuid=3a26096a-05a0-40ba-8306-85968c89c65e" ] } ], "mendeley" : { "formattedCitation" : "(61)", "plainTextFormattedCitation" : "(61)", "previouslyFormattedCitation" : "(61)" }, "properties" : { "noteIndex" : 55 }, "schema" : "https://github.com/citation-style-language/schema/raw/master/csl-citation.json" }</w:instrText>
      </w:r>
      <w:r w:rsidR="00BC3BBB" w:rsidRPr="000B1F2A">
        <w:rPr>
          <w:rFonts w:ascii="Arial" w:hAnsi="Arial" w:cs="Arial"/>
          <w:color w:val="000000" w:themeColor="text1"/>
          <w:sz w:val="22"/>
          <w:szCs w:val="22"/>
        </w:rPr>
        <w:fldChar w:fldCharType="separate"/>
      </w:r>
      <w:r w:rsidRPr="000B1F2A">
        <w:rPr>
          <w:rFonts w:ascii="Arial" w:hAnsi="Arial" w:cs="Arial"/>
          <w:noProof/>
          <w:color w:val="000000" w:themeColor="text1"/>
          <w:sz w:val="22"/>
          <w:szCs w:val="22"/>
        </w:rPr>
        <w:t>(61)</w:t>
      </w:r>
      <w:r w:rsidR="00BC3BBB" w:rsidRPr="000B1F2A">
        <w:rPr>
          <w:rFonts w:ascii="Arial" w:hAnsi="Arial" w:cs="Arial"/>
          <w:color w:val="000000" w:themeColor="text1"/>
          <w:sz w:val="22"/>
          <w:szCs w:val="22"/>
        </w:rPr>
        <w:fldChar w:fldCharType="end"/>
      </w:r>
      <w:r w:rsidRPr="000B1F2A">
        <w:rPr>
          <w:rFonts w:ascii="Arial" w:hAnsi="Arial" w:cs="Arial"/>
          <w:color w:val="000000" w:themeColor="text1"/>
          <w:sz w:val="22"/>
          <w:szCs w:val="22"/>
        </w:rPr>
        <w:t xml:space="preserve">. </w:t>
      </w:r>
      <w:r w:rsidRPr="000B1F2A">
        <w:rPr>
          <w:rFonts w:ascii="Arial" w:hAnsi="Arial" w:cs="Arial"/>
          <w:sz w:val="22"/>
          <w:szCs w:val="22"/>
        </w:rPr>
        <w:t>Buna rağmen h</w:t>
      </w:r>
      <w:r w:rsidRPr="000B1F2A">
        <w:rPr>
          <w:rFonts w:ascii="Arial" w:hAnsi="Arial" w:cs="Arial"/>
          <w:color w:val="000000" w:themeColor="text1"/>
          <w:sz w:val="22"/>
          <w:szCs w:val="22"/>
          <w:shd w:val="clear" w:color="auto" w:fill="FFFFFF"/>
        </w:rPr>
        <w:t xml:space="preserve">amilelik sırasında sigara içen veya bunu bildiren görece az sayıdaki anne nedeniyle bugüne kadar örneklem boyutları az kalmış ve gebelik sırasında sigaranın potansiyel çevresel riskleri henüz kategorik olarak dışlanamamıştır </w:t>
      </w:r>
      <w:r w:rsidR="00BC3BBB" w:rsidRPr="000B1F2A">
        <w:rPr>
          <w:rFonts w:ascii="Arial" w:hAnsi="Arial" w:cs="Arial"/>
          <w:color w:val="000000" w:themeColor="text1"/>
          <w:sz w:val="22"/>
          <w:szCs w:val="22"/>
          <w:shd w:val="clear" w:color="auto" w:fill="FFFFFF"/>
        </w:rPr>
        <w:fldChar w:fldCharType="begin" w:fldLock="1"/>
      </w:r>
      <w:r w:rsidR="0037573A">
        <w:rPr>
          <w:rFonts w:ascii="Arial" w:hAnsi="Arial" w:cs="Arial"/>
          <w:color w:val="000000" w:themeColor="text1"/>
          <w:sz w:val="22"/>
          <w:szCs w:val="22"/>
          <w:shd w:val="clear" w:color="auto" w:fill="FFFFFF"/>
        </w:rPr>
        <w:instrText>ADDIN CSL_CITATION { "citationItems" : [ { "id" : "ITEM-1", "itemData" : { "DOI" : "10.1016/j.biopsych.2009.05.032", "ISBN" : "1873-2402 (Electronic)\\r0006-3223 (Linking)", "PMID" : "19596120", "abstract" : "BACKGROUND: It is widely considered that exposure to maternal cigarette smoking in pregnancy has risk effects on offspring attention-deficit/hyperactivity disorder (ADHD). This view is supported by consistent observations of association. It is, however, impossible to be certain of adequate control for confounding factors with observational designs. We use a novel \"natural experiment\" design that separates prenatal environmental from alternative inherited effects. METHODS: The design is based on offspring conceived with Assisted Reproductive Technologies recruited from 20 fertility clinics in the United Kingdom and United States who were: 1) genetically unrelated, and 2) related to the woman who underwent the pregnancy. If maternal smoking in pregnancy has true risk effects, association will be observed with ADHD regardless of whether mother and offspring are related or unrelated. Data were obtained from 815 families of children ages 4 years-11 years with parent questionnaires and antenatal records. Birth weight was used as a comparison outcome. The key outcome considered was child ADHD symptoms. RESULTS: Association between smoking in pregnancy and lower birth weight was found in unrelated and related mother-offspring pairs, consistent with a true risk effect. However, for ADHD symptoms, the magnitude of association was significantly higher in the related pairs (beta = .102, p &lt; .02) than in the unrelated pairs (beta= -.052, p &gt; .10), suggesting inherited effects. CONCLUSIONS: Our findings highlight the need to test causal hypotheses with genetically sensitive designs. Inherited confounds are not necessarily removed by statistical controls. The previously observed association between maternal smoking in pregnancy and ADHD might represent an inherited effect.", "author" : [ { "dropping-particle" : "", "family" : "Thapar", "given" : "A", "non-dropping-particle" : "", "parse-names" : false, "suffix" : "" }, { "dropping-particle" : "", "family" : "Rice", "given" : "F", "non-dropping-particle" : "", "parse-names" : false, "suffix" : "" }, { "dropping-particle" : "", "family" : "Hay", "given" : "D", "non-dropping-particle" : "", "parse-names" : false, "suffix" : "" }, { "dropping-particle" : "", "family" : "Boivin", "given" : "J", "non-dropping-particle" : "", "parse-names" : false, "suffix" : "" }, { "dropping-particle" : "", "family" : "Langley", "given" : "K", "non-dropping-particle" : "", "parse-names" : false, "suffix" : "" }, { "dropping-particle" : "", "family" : "Bree", "given" : "M", "non-dropping-particle" : "van den", "parse-names" : false, "suffix" : "" }, { "dropping-particle" : "", "family" : "Rutter", "given" : "M", "non-dropping-particle" : "", "parse-names" : false, "suffix" : "" }, { "dropping-particle" : "", "family" : "Harold", "given" : "G", "non-dropping-particle" : "", "parse-names" : false, "suffix" : "" } ], "container-title" : "Biological Psychiatry", "id" : "ITEM-1", "issue" : "8", "issued" : { "date-parts" : [ [ "2009" ] ] }, "page" : "722-727", "title" : "Prenatal smoking might not cause attention-deficit/hyperactivity disorder: evidence from a novel design", "type" : "article-journal", "volume" : "66" }, "uris" : [ "http://www.mendeley.com/documents/?uuid=3a26096a-05a0-40ba-8306-85968c89c65e" ] } ], "mendeley" : { "formattedCitation" : "(61)", "plainTextFormattedCitation" : "(61)", "previouslyFormattedCitation" : "(61)" }, "properties" : { "noteIndex" : 55 }, "schema" : "https://github.com/citation-style-language/schema/raw/master/csl-citation.json" }</w:instrText>
      </w:r>
      <w:r w:rsidR="00BC3BBB" w:rsidRPr="000B1F2A">
        <w:rPr>
          <w:rFonts w:ascii="Arial" w:hAnsi="Arial" w:cs="Arial"/>
          <w:color w:val="000000" w:themeColor="text1"/>
          <w:sz w:val="22"/>
          <w:szCs w:val="22"/>
          <w:shd w:val="clear" w:color="auto" w:fill="FFFFFF"/>
        </w:rPr>
        <w:fldChar w:fldCharType="separate"/>
      </w:r>
      <w:r w:rsidRPr="000B1F2A">
        <w:rPr>
          <w:rFonts w:ascii="Arial" w:hAnsi="Arial" w:cs="Arial"/>
          <w:noProof/>
          <w:color w:val="000000" w:themeColor="text1"/>
          <w:sz w:val="22"/>
          <w:szCs w:val="22"/>
          <w:shd w:val="clear" w:color="auto" w:fill="FFFFFF"/>
        </w:rPr>
        <w:t>(61)</w:t>
      </w:r>
      <w:r w:rsidR="00BC3BBB" w:rsidRPr="000B1F2A">
        <w:rPr>
          <w:rFonts w:ascii="Arial" w:hAnsi="Arial" w:cs="Arial"/>
          <w:color w:val="000000" w:themeColor="text1"/>
          <w:sz w:val="22"/>
          <w:szCs w:val="22"/>
          <w:shd w:val="clear" w:color="auto" w:fill="FFFFFF"/>
        </w:rPr>
        <w:fldChar w:fldCharType="end"/>
      </w:r>
      <w:r w:rsidRPr="000B1F2A">
        <w:rPr>
          <w:rFonts w:ascii="Arial" w:hAnsi="Arial" w:cs="Arial"/>
          <w:color w:val="000000" w:themeColor="text1"/>
          <w:sz w:val="22"/>
          <w:szCs w:val="22"/>
          <w:shd w:val="clear" w:color="auto" w:fill="FFFFFF"/>
        </w:rPr>
        <w:t xml:space="preserve"> </w:t>
      </w:r>
    </w:p>
    <w:p w:rsidR="0037573A" w:rsidRPr="0037573A" w:rsidRDefault="003B12C8" w:rsidP="00C60153">
      <w:pPr>
        <w:spacing w:line="360" w:lineRule="auto"/>
        <w:ind w:firstLine="567"/>
        <w:contextualSpacing/>
        <w:jc w:val="both"/>
        <w:rPr>
          <w:rFonts w:ascii="Arial" w:hAnsi="Arial" w:cs="Arial"/>
          <w:sz w:val="22"/>
          <w:szCs w:val="22"/>
        </w:rPr>
      </w:pPr>
      <w:r>
        <w:rPr>
          <w:rFonts w:ascii="Arial" w:hAnsi="Arial" w:cs="Arial"/>
          <w:color w:val="000000" w:themeColor="text1"/>
          <w:sz w:val="22"/>
          <w:szCs w:val="22"/>
        </w:rPr>
        <w:t>Olgu</w:t>
      </w:r>
      <w:r w:rsidR="0037573A" w:rsidRPr="0037573A">
        <w:rPr>
          <w:rFonts w:ascii="Arial" w:hAnsi="Arial" w:cs="Arial"/>
          <w:color w:val="000000" w:themeColor="text1"/>
          <w:sz w:val="22"/>
          <w:szCs w:val="22"/>
        </w:rPr>
        <w:t xml:space="preserve"> ve kontrol grubu arasında gebelikte maternal hastalık açısından istatistiksel olarak anlamlı bir ilişki saptanmamıştır. Bir çalışmada gebelikte artmış mater</w:t>
      </w:r>
      <w:r w:rsidR="00C353CF">
        <w:rPr>
          <w:rFonts w:ascii="Arial" w:hAnsi="Arial" w:cs="Arial"/>
          <w:color w:val="000000" w:themeColor="text1"/>
          <w:sz w:val="22"/>
          <w:szCs w:val="22"/>
        </w:rPr>
        <w:t>nal TSH seviyeleri ile kız çocu</w:t>
      </w:r>
      <w:r w:rsidR="0037573A" w:rsidRPr="0037573A">
        <w:rPr>
          <w:rFonts w:ascii="Arial" w:hAnsi="Arial" w:cs="Arial"/>
          <w:color w:val="000000" w:themeColor="text1"/>
          <w:sz w:val="22"/>
          <w:szCs w:val="22"/>
        </w:rPr>
        <w:t xml:space="preserve">klarındaki DEHB arasında ilişki kurulmuş </w:t>
      </w:r>
      <w:r w:rsidR="00BC3BBB" w:rsidRPr="0037573A">
        <w:rPr>
          <w:rFonts w:ascii="Arial" w:hAnsi="Arial" w:cs="Arial"/>
          <w:color w:val="000000" w:themeColor="text1"/>
          <w:sz w:val="22"/>
          <w:szCs w:val="22"/>
        </w:rPr>
        <w:fldChar w:fldCharType="begin" w:fldLock="1"/>
      </w:r>
      <w:r w:rsidR="0037573A" w:rsidRPr="0037573A">
        <w:rPr>
          <w:rFonts w:ascii="Arial" w:hAnsi="Arial" w:cs="Arial"/>
          <w:color w:val="000000" w:themeColor="text1"/>
          <w:sz w:val="22"/>
          <w:szCs w:val="22"/>
        </w:rPr>
        <w:instrText>ADDIN CSL_CITATION { "citationItems" : [ { "id" : "ITEM-1", "itemData" : { "DOI" : "10.1210/jc.2013-2943", "ISBN" : "1945-7197 (Electronic)\\r0021-972X (Linking)", "ISSN" : "0021972X", "PMID" : "24384024", "abstract" : "CONTEXT: Maternal hypothyroidism during pregnancy is associated with adverse neuropsychological development in the offspring. OBJECTIVE: The objective of the study was to evaluate the effect of maternal thyroid dysfunction during pregnancy on a child's attention-deficit/hyperactivity disorder (ADHD) symptoms. DESIGN, SETTINGS, AND PARTICIPANTS: The prospective, population-based Northern Finland Birth Cohort 1986 (9362 pregnancies; 9479 infants) included analysis of maternal TSH, free T4, and thyroid-peroxidase antibodies (TPO-Abs) from early pregnancy samples (5791 women). Teachers evaluated the children's ADHD symptoms at 8 years using the Rutter B2 scale (5131 mother-child pairs), in which a high score indicated probable psychiatric disorders and three questions focused directly on ADHD. MAIN OUTCOME MEASURES: The odds ratios (ORs) and 95% confidence intervals (95% CIs) of child having ADHD symptoms and/or a high Rutter B2 score after exposure to increases in maternal TSH levels (after logarithmic transformation), low free T4 levels, and TPO-Ab positivity was tested with logistic regression, adjusting for maternal/family covariates. Data were stratified by the child's gender due to interaction. RESULTS: Among girls the odds of inattention (OR 1.18, 95% CI 1.02-1.37), high Rutter B2 total score (OR 1.23, 95% CI 1.03-1.48), and combined ADHD symptoms (OR 1.39, 95% CI 1.07-1.80) significantly increased with every natural log increase in maternal TSH concentrations. Such findings were not evident in boys. No associations were seen between ADHD symptoms and low maternal free T4 levels or TPO-Ab positivity. CONCLUSIONS: Increases in maternal TSH in early pregnancy showed weak but significant association with girls' ADHD symptoms.", "author" : [ { "dropping-particle" : "", "family" : "P\u00e4kkil\u00e4", "given" : "Fanni", "non-dropping-particle" : "", "parse-names" : false, "suffix" : "" }, { "dropping-particle" : "", "family" : "M\u00e4nnist\u00f6", "given" : "Tuija", "non-dropping-particle" : "", "parse-names" : false, "suffix" : "" }, { "dropping-particle" : "", "family" : "Pouta", "given" : "Anneli", "non-dropping-particle" : "", "parse-names" : false, "suffix" : "" }, { "dropping-particle" : "", "family" : "Hartikainen", "given" : "Anna Liisa", "non-dropping-particle" : "", "parse-names" : false, "suffix" : "" }, { "dropping-particle" : "", "family" : "Ruokonen", "given" : "Aimo", "non-dropping-particle" : "", "parse-names" : false, "suffix" : "" }, { "dropping-particle" : "", "family" : "Surcel", "given" : "Helj\u00e4 Marja", "non-dropping-particle" : "", "parse-names" : false, "suffix" : "" }, { "dropping-particle" : "", "family" : "Bloigu", "given" : "Aini", "non-dropping-particle" : "", "parse-names" : false, "suffix" : "" }, { "dropping-particle" : "", "family" : "V\u00e4\u00e4r\u00e4sm\u00e4ki", "given" : "Marja", "non-dropping-particle" : "", "parse-names" : false, "suffix" : "" }, { "dropping-particle" : "", "family" : "J\u00e4rvelin", "given" : "Marjo Riitta", "non-dropping-particle" : "", "parse-names" : false, "suffix" : "" }, { "dropping-particle" : "", "family" : "Moilanen", "given" : "Irma", "non-dropping-particle" : "", "parse-names" : false, "suffix" : "" }, { "dropping-particle" : "", "family" : "Suvanto", "given" : "Eila", "non-dropping-particle" : "", "parse-names" : false, "suffix" : "" } ], "container-title" : "Journal of Clinical Endocrinology and Metabolism", "id" : "ITEM-1", "issue" : "1", "issued" : { "date-parts" : [ [ "2014" ] ] }, "title" : "The impact of gestational thyroid hormone concentrations on ADHD symptoms of the child", "type" : "article-journal", "volume" : "99" }, "uris" : [ "http://www.mendeley.com/documents/?uuid=c666f3a2-0bb7-4441-a617-344008de1bdc" ] } ], "mendeley" : { "formattedCitation" : "(300)", "plainTextFormattedCitation" : "(300)", "previouslyFormattedCitation" : "(300)" }, "properties" : { "noteIndex" : 55 }, "schema" : "https://github.com/citation-style-language/schema/raw/master/csl-citation.json" }</w:instrText>
      </w:r>
      <w:r w:rsidR="00BC3BBB" w:rsidRPr="0037573A">
        <w:rPr>
          <w:rFonts w:ascii="Arial" w:hAnsi="Arial" w:cs="Arial"/>
          <w:color w:val="000000" w:themeColor="text1"/>
          <w:sz w:val="22"/>
          <w:szCs w:val="22"/>
        </w:rPr>
        <w:fldChar w:fldCharType="separate"/>
      </w:r>
      <w:r w:rsidR="0037573A" w:rsidRPr="0037573A">
        <w:rPr>
          <w:rFonts w:ascii="Arial" w:hAnsi="Arial" w:cs="Arial"/>
          <w:noProof/>
          <w:color w:val="000000" w:themeColor="text1"/>
          <w:sz w:val="22"/>
          <w:szCs w:val="22"/>
        </w:rPr>
        <w:t>(300)</w:t>
      </w:r>
      <w:r w:rsidR="00BC3BBB" w:rsidRPr="0037573A">
        <w:rPr>
          <w:rFonts w:ascii="Arial" w:hAnsi="Arial" w:cs="Arial"/>
          <w:color w:val="000000" w:themeColor="text1"/>
          <w:sz w:val="22"/>
          <w:szCs w:val="22"/>
        </w:rPr>
        <w:fldChar w:fldCharType="end"/>
      </w:r>
      <w:r w:rsidR="0037573A" w:rsidRPr="0037573A">
        <w:rPr>
          <w:rFonts w:ascii="Arial" w:hAnsi="Arial" w:cs="Arial"/>
          <w:color w:val="000000" w:themeColor="text1"/>
          <w:sz w:val="22"/>
          <w:szCs w:val="22"/>
        </w:rPr>
        <w:t xml:space="preserve">, </w:t>
      </w:r>
      <w:r w:rsidR="0037573A" w:rsidRPr="0037573A">
        <w:rPr>
          <w:rFonts w:ascii="Arial" w:hAnsi="Arial" w:cs="Arial"/>
          <w:sz w:val="22"/>
          <w:szCs w:val="22"/>
        </w:rPr>
        <w:t xml:space="preserve">fakat bizim çalışmamızda sadece bir katılımcının gebelikte guatr öyküsü olması nedeniyle benzer bir değerlendirmeyi yapma imkanımız olmamıştır. Park ve ark. yaptığı başka bir çalışmada ise gestasyonel ve perinatal periyod boyunca ortaya çıkan biyolojik çevresel faktörlerle (gebelikte geçirilen hastalık) dikkat eksikliğinin baskın olduğu DEHB alt tipi arasında ilişki gösterilmiştir </w:t>
      </w:r>
      <w:r w:rsidR="00BC3BBB" w:rsidRPr="0037573A">
        <w:rPr>
          <w:rFonts w:ascii="Arial" w:hAnsi="Arial" w:cs="Arial"/>
          <w:sz w:val="22"/>
          <w:szCs w:val="22"/>
        </w:rPr>
        <w:fldChar w:fldCharType="begin" w:fldLock="1"/>
      </w:r>
      <w:r w:rsidR="0037573A" w:rsidRPr="0037573A">
        <w:rPr>
          <w:rFonts w:ascii="Arial" w:hAnsi="Arial" w:cs="Arial"/>
          <w:sz w:val="22"/>
          <w:szCs w:val="22"/>
        </w:rPr>
        <w:instrText>ADDIN CSL_CITATION { "citationItems" : [ { "id" : "ITEM-1", "itemData" : { "DOI" : "10.1016/j.psychres.2014.05.036", "ISBN" : "1872-7123 0165-1781", "ISSN" : "1872-7123", "PMID" : "24997783", "abstract" : "a b s t r a c t We compared the attention-deficit/hyperactivity disorder(ADHD) combined subtype (ADHD-C) to the ADHD inattentive subtype (ADHD-I) in terms of genetic, perinatal, and developmental risk factors as well as clinical and neuropsychological characteristics. A total of 147 children diagnosed with ADHD between the ages of 6 and 15 years participated in this study. The parents of the children completed the structured diagnostic interview, the ADHD Rating Scale-IV, the Children's Behavior Checklist, and structured questionnaires on perinatal risk factors, and the children underwent a neuropsychological test and were genotyped. A total of 502 children without ADHD were recruited from the community as a healthy control group. The ADHD-C children showed more severe externalizing symptoms, showed more deficits in a continuous performance test, and were more likely to have comorbid disorders. Maternal stress during pregnancy, postpartum depression, and changes in the primary caretaker during first 3 years were significantly associated with both ADHD-I and ADHD-C. The ADHD-I group was less likely to have received regular prenatal check-ups and more likely to have had postnatal medical illness than the ADHD-C group. There were no significant differences in the genotype frequencies of the dopamine transporter (DAT1) and the serotonin transporter \u2013linked polymorphic region (5-HTTLPR) polymorph-isms between ADHD-I and ADHD-C groups. This study shows that the inattentive subtype of ADHD is different from the combined subtype in many parameters including severity of symptoms, comorbidity, neuropsychological characteristics, and environmental risk factors.", "author" : [ { "dropping-particle" : "", "family" : "Park", "given" : "Subin", "non-dropping-particle" : "", "parse-names" : false, "suffix" : "" }, { "dropping-particle" : "", "family" : "Cho", "given" : "Soo-Churl", "non-dropping-particle" : "", "parse-names" : false, "suffix" : "" }, { "dropping-particle" : "", "family" : "Kim", "given" : "Jae-Won", "non-dropping-particle" : "", "parse-names" : false, "suffix" : "" }, { "dropping-particle" : "", "family" : "Shin", "given" : "Min-Sup", "non-dropping-particle" : "", "parse-names" : false, "suffix" : "" }, { "dropping-particle" : "", "family" : "Yoo", "given" : "Hee-Jeong", "non-dropping-particle" : "", "parse-names" : false, "suffix" : "" }, { "dropping-particle" : "", "family" : "Oh", "given" : "Seung Min", "non-dropping-particle" : "", "parse-names" : false, "suffix" : "" }, { "dropping-particle" : "", "family" : "Han", "given" : "Doug Hyun", "non-dropping-particle" : "", "parse-names" : false, "suffix" : "" }, { "dropping-particle" : "", "family" : "Cheong", "given" : "Jae Hoon", "non-dropping-particle" : "", "parse-names" : false, "suffix" : "" }, { "dropping-particle" : "", "family" : "Kim", "given" : "Bung-Nyun", "non-dropping-particle" : "", "parse-names" : false, "suffix" : "" } ], "container-title" : "Psychiatry Research", "id" : "ITEM-1", "issue" : "3", "issued" : { "date-parts" : [ [ "2014" ] ] }, "page" : "609-616", "title" : "Differential perinatal risk factors in children with attention-deficit/hyperactivity disorder by subtype", "type" : "article-journal", "volume" : "219" }, "uris" : [ "http://www.mendeley.com/documents/?uuid=1e11584c-37b8-412a-8b7a-feca2f24ccd5" ] } ], "mendeley" : { "formattedCitation" : "(301)", "plainTextFormattedCitation" : "(301)", "previouslyFormattedCitation" : "(301)" }, "properties" : { "noteIndex" : 55 }, "schema" : "https://github.com/citation-style-language/schema/raw/master/csl-citation.json" }</w:instrText>
      </w:r>
      <w:r w:rsidR="00BC3BBB" w:rsidRPr="0037573A">
        <w:rPr>
          <w:rFonts w:ascii="Arial" w:hAnsi="Arial" w:cs="Arial"/>
          <w:sz w:val="22"/>
          <w:szCs w:val="22"/>
        </w:rPr>
        <w:fldChar w:fldCharType="separate"/>
      </w:r>
      <w:r w:rsidR="0037573A" w:rsidRPr="0037573A">
        <w:rPr>
          <w:rFonts w:ascii="Arial" w:hAnsi="Arial" w:cs="Arial"/>
          <w:noProof/>
          <w:sz w:val="22"/>
          <w:szCs w:val="22"/>
        </w:rPr>
        <w:t>(301)</w:t>
      </w:r>
      <w:r w:rsidR="00BC3BBB" w:rsidRPr="0037573A">
        <w:rPr>
          <w:rFonts w:ascii="Arial" w:hAnsi="Arial" w:cs="Arial"/>
          <w:sz w:val="22"/>
          <w:szCs w:val="22"/>
        </w:rPr>
        <w:fldChar w:fldCharType="end"/>
      </w:r>
      <w:r w:rsidR="0037573A" w:rsidRPr="0037573A">
        <w:rPr>
          <w:rFonts w:ascii="Arial" w:hAnsi="Arial" w:cs="Arial"/>
          <w:sz w:val="22"/>
          <w:szCs w:val="22"/>
        </w:rPr>
        <w:t xml:space="preserve">. Bizim çalışmamızda ise yalnızca kombine tip DEHB’si olan çocuklar çalışmaya dahil edilmiştir. Benzer bir bulgunun bu örneklemde gösterilememesi bu durum ile ilişkili olabileceği gibi, örneklem sayısının görece azlığı ile ilişkili de olabilir. </w:t>
      </w:r>
    </w:p>
    <w:p w:rsidR="0037573A" w:rsidRPr="0037573A" w:rsidRDefault="0037573A" w:rsidP="0037573A">
      <w:pPr>
        <w:spacing w:line="360" w:lineRule="auto"/>
        <w:ind w:firstLine="567"/>
        <w:contextualSpacing/>
        <w:jc w:val="both"/>
        <w:rPr>
          <w:rFonts w:ascii="Arial" w:hAnsi="Arial" w:cs="Arial"/>
          <w:sz w:val="22"/>
          <w:szCs w:val="22"/>
        </w:rPr>
      </w:pPr>
      <w:r w:rsidRPr="0037573A">
        <w:rPr>
          <w:rFonts w:ascii="Arial" w:hAnsi="Arial" w:cs="Arial"/>
          <w:sz w:val="22"/>
          <w:szCs w:val="22"/>
        </w:rPr>
        <w:t xml:space="preserve">DEHB’li grupta kontrol grubuna göre ders başarısı istatistiksel olarak anlamlı düzeyde daha düşük saptanmıştır (p&lt;0.001). DEHB'li çocuklarda okuldaki işlevselliğin ve akademik başarının ciddi bir şekilde bozulduğu bilinmektedir </w:t>
      </w:r>
      <w:r w:rsidR="00BC3BBB" w:rsidRPr="0037573A">
        <w:rPr>
          <w:rFonts w:ascii="Arial" w:hAnsi="Arial" w:cs="Arial"/>
          <w:sz w:val="22"/>
          <w:szCs w:val="22"/>
        </w:rPr>
        <w:fldChar w:fldCharType="begin" w:fldLock="1"/>
      </w:r>
      <w:r w:rsidR="005827F2">
        <w:rPr>
          <w:rFonts w:ascii="Arial" w:hAnsi="Arial" w:cs="Arial"/>
          <w:sz w:val="22"/>
          <w:szCs w:val="22"/>
        </w:rPr>
        <w:instrText>ADDIN CSL_CITATION { "citationItems" : [ { "id" : "ITEM-1", "itemData" : { "DOI" : "10.1177/00222194070400010401", "ISBN" : "0022-2194, 0022-2194", "ISSN" : "0022-2194", "PMID" : "17274547", "abstract" : "This article presents results from two interrelated studies. The first study conducted a meta-analysis of the published literature since 1990 to determine the magnitude of achievement problems associated with attention-deficit/hyperactivity disorder (ADHD). Effect sizes were significantly different between participants with and without ADHD (sample weighted r = .32, sample weighted d = . 71; p = .001). Effects were also examined according to the moderators of age, gender, achievement domain (reading, math, spelling), measurement method (standardized tests vs. grades, parent/teacher ratings, etc.), sample type (clinical vs. nonclinical), and system used to identify ADHD (DSM-III-R vs. DSM-IV). Significant differences emerged from the moderator comparisons. The second study, using averaged effect sizes from the first study as a baseline for comparison, investigated achievement levels for an understudied age group with ADHD, namely, college students. Unlike previous studies at the college level, the sample incorporated both student and parent ratings (N = 380 dyads). The results were comparable to outcomes from the meta-analysis for college students and adults. Analyses demonstrated modest (R = .21) but meaningful predictive validity across 1 year to end-of-first-year grades. However, unlike earlier studies with children and adolescents, student ratings were as predictive as parent ratings. Findings are discussed in terms of the impact of moderator variables on ADHD and achievement.", "author" : [ { "dropping-particle" : "", "family" : "Frazier", "given" : "T. W.", "non-dropping-particle" : "", "parse-names" : false, "suffix" : "" }, { "dropping-particle" : "", "family" : "Youngstrom", "given" : "E. A.", "non-dropping-particle" : "", "parse-names" : false, "suffix" : "" }, { "dropping-particle" : "", "family" : "Glutting", "given" : "J. J.", "non-dropping-particle" : "", "parse-names" : false, "suffix" : "" }, { "dropping-particle" : "", "family" : "Watkins", "given" : "M. W.", "non-dropping-particle" : "", "parse-names" : false, "suffix" : "" } ], "container-title" : "Journal of Learning Disabilities", "id" : "ITEM-1", "issue" : "1", "issued" : { "date-parts" : [ [ "2007" ] ] }, "page" : "49-65", "title" : "ADHD and Achievement: Meta-Analysis of the Child, Adolescent, and Adult Literatures and a Concomitant Study With College Students", "type" : "article-journal", "volume" : "40" }, "uris" : [ "http://www.mendeley.com/documents/?uuid=fc245675-3f5e-4988-9d63-3796cdd5757d" ] } ], "mendeley" : { "formattedCitation" : "(26)", "plainTextFormattedCitation" : "(26)", "previouslyFormattedCitation" : "(26)" }, "properties" : { "noteIndex" : 55 }, "schema" : "https://github.com/citation-style-language/schema/raw/master/csl-citation.json" }</w:instrText>
      </w:r>
      <w:r w:rsidR="00BC3BBB" w:rsidRPr="0037573A">
        <w:rPr>
          <w:rFonts w:ascii="Arial" w:hAnsi="Arial" w:cs="Arial"/>
          <w:sz w:val="22"/>
          <w:szCs w:val="22"/>
        </w:rPr>
        <w:fldChar w:fldCharType="separate"/>
      </w:r>
      <w:r w:rsidRPr="0037573A">
        <w:rPr>
          <w:rFonts w:ascii="Arial" w:hAnsi="Arial" w:cs="Arial"/>
          <w:noProof/>
          <w:sz w:val="22"/>
          <w:szCs w:val="22"/>
        </w:rPr>
        <w:t>(26)</w:t>
      </w:r>
      <w:r w:rsidR="00BC3BBB" w:rsidRPr="0037573A">
        <w:rPr>
          <w:rFonts w:ascii="Arial" w:hAnsi="Arial" w:cs="Arial"/>
          <w:sz w:val="22"/>
          <w:szCs w:val="22"/>
        </w:rPr>
        <w:fldChar w:fldCharType="end"/>
      </w:r>
      <w:r w:rsidRPr="0037573A">
        <w:rPr>
          <w:rFonts w:ascii="Arial" w:hAnsi="Arial" w:cs="Arial"/>
          <w:sz w:val="22"/>
          <w:szCs w:val="22"/>
        </w:rPr>
        <w:t xml:space="preserve">. Son dönemde yapılan çalışmalar, DEHB'li bireylerde akademik performansın yaşıtlarına göre daha düşük olduğunu ortaya koymaktadır </w:t>
      </w:r>
      <w:r w:rsidR="00BC3BBB" w:rsidRPr="0037573A">
        <w:rPr>
          <w:rFonts w:ascii="Arial" w:hAnsi="Arial" w:cs="Arial"/>
          <w:sz w:val="22"/>
          <w:szCs w:val="22"/>
        </w:rPr>
        <w:fldChar w:fldCharType="begin" w:fldLock="1"/>
      </w:r>
      <w:r w:rsidRPr="0037573A">
        <w:rPr>
          <w:rFonts w:ascii="Arial" w:hAnsi="Arial" w:cs="Arial"/>
          <w:sz w:val="22"/>
          <w:szCs w:val="22"/>
        </w:rPr>
        <w:instrText>ADDIN CSL_CITATION { "citationItems" : [ { "id" : "ITEM-1", "itemData" : { "DOI" : "10.1542/peds.2014-1027", "ISBN" : "0031-4005", "ISSN" : "0031-4005", "PMID" : "25266432", "abstract" : "WHAT'S KNOWN ON THIS SUBJECT: Children who have attention-deficit/hyperactivity disorder (ADHD) attending clinical services have poorer outcomes in adolescence on a range of measures. However, it is unknown how early in development these impairments appear, particularly for community-ascertained samples. WHAT THIS STUDY ADDS: At age 6 to 8 years, children in the community with ADHD have significantly poorer mental health, academic performance and social function compared with control children. Children who have impairing ADHD symptoms should be referred early for assessment and intervention. abstract OBJECTIVES: To examine the functional status (mental health, academic performance, peer problems) of a community-based sample of children who have attention-deficit/hyperactivity disorder (ADHD) and non-ADHD controls, and to investigate gender and subtype differences. METHODS: Children aged 6 to 8 years were recruited through 43 Mel-bourne schools, using a 2-stage screening (parent and teacher Conners 3 ADHD index) and case confirmation (Diagnostic Interview Schedule for Children, Version IV; [DISC-IV]) procedure. Outcome measures were men-tal health disorders (DISC-IV), academic performance (Wide Range Achievement Test 4), and peer problems (Strength and Difficulties Ques-tionnaire). Unadjusted and adjusted linear and logistic regression were used to compare ADHD and non-ADHD controls. RESULTS: A total of 179 children who have ADHD and 212 non-ADHD controls were recruited. Compared with controls, children who had ADHD had higher odds of externalizing (odds ratio [OR], 11.0; 95% confidence interval [CI], 5.6\u201321.6; P , .001) and internalizing (OR, 2.9; 95% CI, 1.2\u20137.2; P = .02) disorders; poorer reading (effect size, 20.66) and mathematics (effect size, 20.69) performance; and more peer prob-lems (P , .001). Boys and girls who had ADHD were equally impaired. Only 17% of children in our ADHD group had been previously diagnosed. Previous diagnosis was higher in the Combined group and for boys.", "author" : [ { "dropping-particle" : "", "family" : "Efron", "given" : "D.", "non-dropping-particle" : "", "parse-names" : false, "suffix" : "" }, { "dropping-particle" : "", "family" : "Sciberras", "given" : "E.", "non-dropping-particle" : "", "parse-names" : false, "suffix" : "" }, { "dropping-particle" : "", "family" : "Anderson", "given" : "V.", "non-dropping-particle" : "", "parse-names" : false, "suffix" : "" }, { "dropping-particle" : "", "family" : "Hazell", "given" : "P.", "non-dropping-particle" : "", "parse-names" : false, "suffix" : "" }, { "dropping-particle" : "", "family" : "Ukoumunne", "given" : "O. C.", "non-dropping-particle" : "", "parse-names" : false, "suffix" : "" }, { "dropping-particle" : "", "family" : "Jongeling", "given" : "B.", "non-dropping-particle" : "", "parse-names" : false, "suffix" : "" }, { "dropping-particle" : "", "family" : "Schilpzand", "given" : "E. J.", "non-dropping-particle" : "", "parse-names" : false, "suffix" : "" }, { "dropping-particle" : "", "family" : "Bisset", "given" : "M.", "non-dropping-particle" : "", "parse-names" : false, "suffix" : "" }, { "dropping-particle" : "", "family" : "Nicholson", "given" : "J. M.", "non-dropping-particle" : "", "parse-names" : false, "suffix" : "" } ], "container-title" : "Pediatrics", "id" : "ITEM-1", "issue" : "4", "issued" : { "date-parts" : [ [ "2014" ] ] }, "page" : "e992-e1000", "title" : "Functional Status in Children With ADHD at Age 6-8: A Controlled Community Study", "type" : "article-journal", "volume" : "134" }, "uris" : [ "http://www.mendeley.com/documents/?uuid=628e734f-a76b-4b17-9faa-63422a1c23da" ] } ], "mendeley" : { "formattedCitation" : "(302)", "plainTextFormattedCitation" : "(302)", "previouslyFormattedCitation" : "(302)" }, "properties" : { "noteIndex" : 55 }, "schema" : "https://github.com/citation-style-language/schema/raw/master/csl-citation.json" }</w:instrText>
      </w:r>
      <w:r w:rsidR="00BC3BBB" w:rsidRPr="0037573A">
        <w:rPr>
          <w:rFonts w:ascii="Arial" w:hAnsi="Arial" w:cs="Arial"/>
          <w:sz w:val="22"/>
          <w:szCs w:val="22"/>
        </w:rPr>
        <w:fldChar w:fldCharType="separate"/>
      </w:r>
      <w:r w:rsidRPr="0037573A">
        <w:rPr>
          <w:rFonts w:ascii="Arial" w:hAnsi="Arial" w:cs="Arial"/>
          <w:noProof/>
          <w:sz w:val="22"/>
          <w:szCs w:val="22"/>
        </w:rPr>
        <w:t>(302)</w:t>
      </w:r>
      <w:r w:rsidR="00BC3BBB" w:rsidRPr="0037573A">
        <w:rPr>
          <w:rFonts w:ascii="Arial" w:hAnsi="Arial" w:cs="Arial"/>
          <w:sz w:val="22"/>
          <w:szCs w:val="22"/>
        </w:rPr>
        <w:fldChar w:fldCharType="end"/>
      </w:r>
      <w:r w:rsidRPr="0037573A">
        <w:rPr>
          <w:rFonts w:ascii="Arial" w:hAnsi="Arial" w:cs="Arial"/>
          <w:sz w:val="22"/>
          <w:szCs w:val="22"/>
        </w:rPr>
        <w:t xml:space="preserve">. Çalışmamızda elde ettiğimiz bulgular önceki çalışmalarla benzerlik göstermektedir. </w:t>
      </w:r>
    </w:p>
    <w:p w:rsidR="0037573A" w:rsidRPr="0037573A" w:rsidRDefault="0037573A" w:rsidP="0037573A">
      <w:pPr>
        <w:spacing w:line="360" w:lineRule="auto"/>
        <w:ind w:firstLine="567"/>
        <w:contextualSpacing/>
        <w:jc w:val="both"/>
        <w:rPr>
          <w:rFonts w:ascii="Arial" w:hAnsi="Arial" w:cs="Arial"/>
          <w:sz w:val="22"/>
          <w:szCs w:val="22"/>
        </w:rPr>
      </w:pPr>
      <w:r w:rsidRPr="0037573A">
        <w:rPr>
          <w:rFonts w:ascii="Arial" w:hAnsi="Arial" w:cs="Arial"/>
          <w:sz w:val="22"/>
          <w:szCs w:val="22"/>
        </w:rPr>
        <w:t xml:space="preserve">Olgu grubunda ödev yapabilme durumu istatistisel olarak anlamlı düzeyde daha sorunlu olarak saptanmıştır (p&lt;0.001). DEHB’nin ödev yapma üzerine olumsuz etkilerinin olabileceği bildirilmiştir </w:t>
      </w:r>
      <w:r w:rsidR="00BC3BBB" w:rsidRPr="0037573A">
        <w:rPr>
          <w:rFonts w:ascii="Arial" w:hAnsi="Arial" w:cs="Arial"/>
          <w:sz w:val="22"/>
          <w:szCs w:val="22"/>
        </w:rPr>
        <w:fldChar w:fldCharType="begin" w:fldLock="1"/>
      </w:r>
      <w:r w:rsidRPr="0037573A">
        <w:rPr>
          <w:rFonts w:ascii="Arial" w:hAnsi="Arial" w:cs="Arial"/>
          <w:sz w:val="22"/>
          <w:szCs w:val="22"/>
        </w:rPr>
        <w:instrText>ADDIN CSL_CITATION { "citationItems" : [ { "id" : "ITEM-1", "itemData" : { "DOI" : "10.1521/scpq.2006.21.1.13", "ISBN" : "1045-3830", "ISSN" : "1939-1560", "abstract" : "This study was the first to investigate patterns of homework problems, as assessed by parent reports on the Homework Problem Checklist (HPC), among children in general education and those referred to an evaluation and treatment program for attention-deficit/hyperactivity disorder (ADHD). In Study 1, parents of general education students in grades 3 through 6 (n = 675) completed the HPC. An exploratory factor analysis revealed two salient factors: Inattention/Avoidance of Homework (Factor I), and Poor Productivity/ Nonadherence with Homework Rules (Factor II). Study 2, an exploratory factor analysis of a clinic-referred sample (grades 1 through 8; n = 356), uncovered a factor structure that was highly similar to that of the general sample. For purposes of validation, the HPC factors were correlated with subscales from the Behavior Assessment System for Children-Parent and Teacher Ratings Scales. These correlations demonstrated that Factor I was primarily related to aspects of homework functioning that are readily observable by parents (e.g., inattention, avoidance of work, and anxiety during homework); Factor II was primarily related to aspects of homework functioning that are observable by both parents and teachers (failure to accurately record homework assignments, and failure to complete and submit homework). The two-factor model is a useful way to conceptualize homework problems and has important implications for future practice and research aimed at improving assessment and intervention for children with significant homework difficulties", "author" : [ { "dropping-particle" : "", "family" : "Power", "given" : "Thomas J.", "non-dropping-particle" : "", "parse-names" : false, "suffix" : "" }, { "dropping-particle" : "", "family" : "Werba", "given" : "Branlyn E.", "non-dropping-particle" : "", "parse-names" : false, "suffix" : "" }, { "dropping-particle" : "", "family" : "Watkins", "given" : "Marley W.", "non-dropping-particle" : "", "parse-names" : false, "suffix" : "" }, { "dropping-particle" : "", "family" : "Angelucci", "given" : "Jennifer G.", "non-dropping-particle" : "", "parse-names" : false, "suffix" : "" }, { "dropping-particle" : "", "family" : "Eiraldi", "given" : "Ricardo B.", "non-dropping-particle" : "", "parse-names" : false, "suffix" : "" } ], "container-title" : "School Psychology Quarterly", "id" : "ITEM-1", "issue" : "1", "issued" : { "date-parts" : [ [ "2006" ] ] }, "page" : "13-33", "title" : "Patterns of parent-reported homework problems among ADHD-referred and non-referred children.", "type" : "article-journal", "volume" : "21" }, "uris" : [ "http://www.mendeley.com/documents/?uuid=e0923130-56f4-4358-8164-0e769b99dd77" ] } ], "mendeley" : { "formattedCitation" : "(303)", "plainTextFormattedCitation" : "(303)", "previouslyFormattedCitation" : "(303)" }, "properties" : { "noteIndex" : 56 }, "schema" : "https://github.com/citation-style-language/schema/raw/master/csl-citation.json" }</w:instrText>
      </w:r>
      <w:r w:rsidR="00BC3BBB" w:rsidRPr="0037573A">
        <w:rPr>
          <w:rFonts w:ascii="Arial" w:hAnsi="Arial" w:cs="Arial"/>
          <w:sz w:val="22"/>
          <w:szCs w:val="22"/>
        </w:rPr>
        <w:fldChar w:fldCharType="separate"/>
      </w:r>
      <w:r w:rsidRPr="0037573A">
        <w:rPr>
          <w:rFonts w:ascii="Arial" w:hAnsi="Arial" w:cs="Arial"/>
          <w:noProof/>
          <w:sz w:val="22"/>
          <w:szCs w:val="22"/>
        </w:rPr>
        <w:t>(303)</w:t>
      </w:r>
      <w:r w:rsidR="00BC3BBB" w:rsidRPr="0037573A">
        <w:rPr>
          <w:rFonts w:ascii="Arial" w:hAnsi="Arial" w:cs="Arial"/>
          <w:sz w:val="22"/>
          <w:szCs w:val="22"/>
        </w:rPr>
        <w:fldChar w:fldCharType="end"/>
      </w:r>
      <w:r w:rsidRPr="0037573A">
        <w:rPr>
          <w:rFonts w:ascii="Arial" w:hAnsi="Arial" w:cs="Arial"/>
          <w:sz w:val="22"/>
          <w:szCs w:val="22"/>
        </w:rPr>
        <w:t>.</w:t>
      </w:r>
      <w:r w:rsidRPr="0037573A">
        <w:rPr>
          <w:rFonts w:ascii="Arial" w:hAnsi="Arial" w:cs="Arial"/>
          <w:color w:val="4F81BD" w:themeColor="accent1"/>
          <w:sz w:val="22"/>
          <w:szCs w:val="22"/>
          <w:shd w:val="clear" w:color="auto" w:fill="FFFFFF"/>
        </w:rPr>
        <w:t xml:space="preserve"> </w:t>
      </w:r>
      <w:r w:rsidRPr="0037573A">
        <w:rPr>
          <w:rFonts w:ascii="Arial" w:hAnsi="Arial" w:cs="Arial"/>
          <w:sz w:val="22"/>
          <w:szCs w:val="22"/>
          <w:shd w:val="clear" w:color="auto" w:fill="FFFFFF"/>
        </w:rPr>
        <w:t xml:space="preserve">Yine bir ikiz çalışmasında da DEHB ile ödev yapmada yaşanan sorunlar arasında ilişki saptanmıştır </w:t>
      </w:r>
      <w:r w:rsidR="00BC3BBB" w:rsidRPr="0037573A">
        <w:rPr>
          <w:rFonts w:ascii="Arial" w:hAnsi="Arial" w:cs="Arial"/>
          <w:sz w:val="22"/>
          <w:szCs w:val="22"/>
          <w:shd w:val="clear" w:color="auto" w:fill="FFFFFF"/>
        </w:rPr>
        <w:fldChar w:fldCharType="begin" w:fldLock="1"/>
      </w:r>
      <w:r w:rsidRPr="0037573A">
        <w:rPr>
          <w:rFonts w:ascii="Arial" w:hAnsi="Arial" w:cs="Arial"/>
          <w:sz w:val="22"/>
          <w:szCs w:val="22"/>
          <w:shd w:val="clear" w:color="auto" w:fill="FFFFFF"/>
        </w:rPr>
        <w:instrText>ADDIN CSL_CITATION { "citationItems" : [ { "id" : "ITEM-1", "itemData" : { "DOI" : "10.1177/0022219414555715", "ISSN" : "0022-2194", "PMID" : "25349092", "abstract" : "Previous literature has indicated an important association between reading comprehension and both attention-deficit/hyperactivity disorder (ADHD) and homework habits. This investigation sought to extend previous knowledge by providing information about how ADHD and homework behavior (i.e., completing homework regularly) may jointly influence reading comprehension. Using a genetically sensitive design, this study examined the genetic and environmental influences on and between ADHD, homework behavior and reading comprehension. Participants for this study included 691 twin pairs (351 monozygotic, 340 same-sex dizygotic) from the Florida Twin Project on Behavior and Environment (FTP-BE) and 2647 twin pairs (865 monozygotic, 1782 dizygotic) from the larger Florida Twin Project on Reading (FTP-R) in Grades 3 through 7. Three separate models, each representing a different definition of ADHD (full ADHD, inattention only, and hyperactivity/impulsivity only), showed similar patterns of results; therefore, results of the full ADHD model are discussed. Overlapping genetic influences were found between ADHD, homework behavior, and reading comprehension, but no shared environmental influences among all three. However, shared environmental influences overlapped between homework behavior and reading comprehension. Although the sources of this environmental overlap are unknown, these results have implications for improving homework practices and their subsequent influence on literacy skills through homework environments.", "author" : [ { "dropping-particle" : "", "family" : "Little", "given" : "Callie W.", "non-dropping-particle" : "", "parse-names" : false, "suffix" : "" }, { "dropping-particle" : "", "family" : "Hart", "given" : "Sara A.", "non-dropping-particle" : "", "parse-names" : false, "suffix" : "" }, { "dropping-particle" : "", "family" : "Schatschneider", "given" : "Christopher", "non-dropping-particle" : "", "parse-names" : false, "suffix" : "" }, { "dropping-particle" : "", "family" : "Taylor", "given" : "Jeanette", "non-dropping-particle" : "", "parse-names" : false, "suffix" : "" } ], "container-title" : "Journal of Learning Disabilities", "id" : "ITEM-1", "issue" : "4", "issued" : { "date-parts" : [ [ "2016" ] ] }, "page" : "410-423", "title" : "Examining Associations Among ADHD, Homework Behavior, and Reading Comprehension", "type" : "article-journal", "volume" : "49" }, "uris" : [ "http://www.mendeley.com/documents/?uuid=db82b9fb-db7a-48b4-b67f-ab97c4013258" ] } ], "mendeley" : { "formattedCitation" : "(304)", "plainTextFormattedCitation" : "(304)", "previouslyFormattedCitation" : "(304)" }, "properties" : { "noteIndex" : 56 }, "schema" : "https://github.com/citation-style-language/schema/raw/master/csl-citation.json" }</w:instrText>
      </w:r>
      <w:r w:rsidR="00BC3BBB" w:rsidRPr="0037573A">
        <w:rPr>
          <w:rFonts w:ascii="Arial" w:hAnsi="Arial" w:cs="Arial"/>
          <w:sz w:val="22"/>
          <w:szCs w:val="22"/>
          <w:shd w:val="clear" w:color="auto" w:fill="FFFFFF"/>
        </w:rPr>
        <w:fldChar w:fldCharType="separate"/>
      </w:r>
      <w:r w:rsidRPr="0037573A">
        <w:rPr>
          <w:rFonts w:ascii="Arial" w:hAnsi="Arial" w:cs="Arial"/>
          <w:noProof/>
          <w:sz w:val="22"/>
          <w:szCs w:val="22"/>
          <w:shd w:val="clear" w:color="auto" w:fill="FFFFFF"/>
        </w:rPr>
        <w:t>(304)</w:t>
      </w:r>
      <w:r w:rsidR="00BC3BBB" w:rsidRPr="0037573A">
        <w:rPr>
          <w:rFonts w:ascii="Arial" w:hAnsi="Arial" w:cs="Arial"/>
          <w:sz w:val="22"/>
          <w:szCs w:val="22"/>
          <w:shd w:val="clear" w:color="auto" w:fill="FFFFFF"/>
        </w:rPr>
        <w:fldChar w:fldCharType="end"/>
      </w:r>
      <w:r w:rsidRPr="0037573A">
        <w:rPr>
          <w:rFonts w:ascii="Arial" w:hAnsi="Arial" w:cs="Arial"/>
          <w:sz w:val="22"/>
          <w:szCs w:val="22"/>
          <w:shd w:val="clear" w:color="auto" w:fill="FFFFFF"/>
        </w:rPr>
        <w:t xml:space="preserve">. </w:t>
      </w:r>
      <w:r w:rsidRPr="0037573A">
        <w:rPr>
          <w:rFonts w:ascii="Arial" w:hAnsi="Arial" w:cs="Arial"/>
          <w:sz w:val="22"/>
          <w:szCs w:val="22"/>
        </w:rPr>
        <w:t>Mevcut çalışmamızdaki bulgular diğer çalışmalarla benzerlik sergilemektedir.</w:t>
      </w:r>
    </w:p>
    <w:p w:rsidR="0037573A" w:rsidRPr="0037573A" w:rsidRDefault="0037573A" w:rsidP="0037573A">
      <w:pPr>
        <w:spacing w:line="360" w:lineRule="auto"/>
        <w:ind w:firstLine="567"/>
        <w:contextualSpacing/>
        <w:jc w:val="both"/>
        <w:rPr>
          <w:rFonts w:ascii="Arial" w:hAnsi="Arial" w:cs="Arial"/>
          <w:sz w:val="22"/>
          <w:szCs w:val="22"/>
        </w:rPr>
      </w:pPr>
      <w:r w:rsidRPr="0037573A">
        <w:rPr>
          <w:rFonts w:ascii="Arial" w:hAnsi="Arial" w:cs="Arial"/>
          <w:sz w:val="22"/>
          <w:szCs w:val="22"/>
        </w:rPr>
        <w:t xml:space="preserve">Katılımcılar akran ilişkileri açısından iyi ve üzeri ile orta ve altı olarak iki alt gruba ayrıldıklarında, olgu grubunda akran ilişkilerinin istatistiksel olarak anlamlı şekilde daha sorunlu olduğu gözlenmiştir (p&lt;0.001). </w:t>
      </w:r>
      <w:r w:rsidRPr="0037573A">
        <w:rPr>
          <w:rFonts w:ascii="Arial" w:hAnsi="Arial" w:cs="Arial"/>
          <w:color w:val="212121"/>
          <w:sz w:val="22"/>
          <w:szCs w:val="22"/>
          <w:lang w:eastAsia="en-US"/>
        </w:rPr>
        <w:t xml:space="preserve">DEHB tanılı çocukların genellikle sosyal performansının bozulmuş olduğu ve akranları tarafından arkadaş edinilme olasılıklarının daha düşük olduğu belirtilmiştir </w:t>
      </w:r>
      <w:r w:rsidR="00BC3BBB" w:rsidRPr="0037573A">
        <w:rPr>
          <w:rFonts w:ascii="Arial" w:hAnsi="Arial" w:cs="Arial"/>
          <w:color w:val="212121"/>
          <w:sz w:val="22"/>
          <w:szCs w:val="22"/>
          <w:lang w:eastAsia="en-US"/>
        </w:rPr>
        <w:fldChar w:fldCharType="begin" w:fldLock="1"/>
      </w:r>
      <w:r w:rsidR="005827F2">
        <w:rPr>
          <w:rFonts w:ascii="Arial" w:hAnsi="Arial" w:cs="Arial"/>
          <w:color w:val="212121"/>
          <w:sz w:val="22"/>
          <w:szCs w:val="22"/>
          <w:lang w:eastAsia="en-US"/>
        </w:rPr>
        <w:instrText>ADDIN CSL_CITATION { "citationItems" : [ { "id" : "ITEM-1", "itemData" : { "author" : [ { "dropping-particle" : "", "family" : "Hinshaw", "given" : "Stephen P", "non-dropping-particle" : "", "parse-names" : false, "suffix" : "" }, { "dropping-particle" : "", "family" : "Melnick", "given" : "Sharon M", "non-dropping-particle" : "", "parse-names" : false, "suffix" : "" } ], "id" : "ITEM-1", "issued" : { "date-parts" : [ [ "1995" ] ] }, "title" : "Peer relationships in boys with attention-deficit hyperactivity disorder with and without comorbid aggression", "type" : "article-journal" }, "uris" : [ "http://www.mendeley.com/documents/?uuid=eef49138-4b71-45ec-bfe8-77fa160b77ac" ] } ], "mendeley" : { "formattedCitation" : "(121)", "plainTextFormattedCitation" : "(121)", "previouslyFormattedCitation" : "(121)" }, "properties" : { "noteIndex" : 56 }, "schema" : "https://github.com/citation-style-language/schema/raw/master/csl-citation.json" }</w:instrText>
      </w:r>
      <w:r w:rsidR="00BC3BBB" w:rsidRPr="0037573A">
        <w:rPr>
          <w:rFonts w:ascii="Arial" w:hAnsi="Arial" w:cs="Arial"/>
          <w:color w:val="212121"/>
          <w:sz w:val="22"/>
          <w:szCs w:val="22"/>
          <w:lang w:eastAsia="en-US"/>
        </w:rPr>
        <w:fldChar w:fldCharType="separate"/>
      </w:r>
      <w:r w:rsidRPr="0037573A">
        <w:rPr>
          <w:rFonts w:ascii="Arial" w:hAnsi="Arial" w:cs="Arial"/>
          <w:noProof/>
          <w:color w:val="212121"/>
          <w:sz w:val="22"/>
          <w:szCs w:val="22"/>
          <w:lang w:eastAsia="en-US"/>
        </w:rPr>
        <w:t>(121)</w:t>
      </w:r>
      <w:r w:rsidR="00BC3BBB" w:rsidRPr="0037573A">
        <w:rPr>
          <w:rFonts w:ascii="Arial" w:hAnsi="Arial" w:cs="Arial"/>
          <w:color w:val="212121"/>
          <w:sz w:val="22"/>
          <w:szCs w:val="22"/>
          <w:lang w:eastAsia="en-US"/>
        </w:rPr>
        <w:fldChar w:fldCharType="end"/>
      </w:r>
      <w:r w:rsidRPr="0037573A">
        <w:rPr>
          <w:rFonts w:ascii="Arial" w:hAnsi="Arial" w:cs="Arial"/>
          <w:color w:val="212121"/>
          <w:sz w:val="22"/>
          <w:szCs w:val="22"/>
          <w:lang w:eastAsia="en-US"/>
        </w:rPr>
        <w:t>.</w:t>
      </w:r>
      <w:r w:rsidRPr="0037573A">
        <w:rPr>
          <w:rFonts w:ascii="Arial" w:hAnsi="Arial" w:cs="Arial"/>
          <w:color w:val="212121"/>
          <w:sz w:val="22"/>
          <w:szCs w:val="22"/>
          <w:lang w:val="en-US" w:eastAsia="en-US"/>
        </w:rPr>
        <w:t xml:space="preserve"> </w:t>
      </w:r>
      <w:r w:rsidRPr="0037573A">
        <w:rPr>
          <w:rFonts w:ascii="Arial" w:hAnsi="Arial" w:cs="Arial"/>
          <w:sz w:val="22"/>
          <w:szCs w:val="22"/>
        </w:rPr>
        <w:t xml:space="preserve">Bizim çalışmamıza benzer şekilde </w:t>
      </w:r>
      <w:r w:rsidRPr="0037573A">
        <w:rPr>
          <w:rFonts w:ascii="Arial" w:hAnsi="Arial" w:cs="Arial"/>
          <w:sz w:val="22"/>
          <w:szCs w:val="22"/>
          <w:shd w:val="clear" w:color="auto" w:fill="FFFFFF"/>
        </w:rPr>
        <w:t xml:space="preserve">kombine tip DEHB tanısı olan çocukların değerlendirildiği bir </w:t>
      </w:r>
      <w:r w:rsidRPr="0037573A">
        <w:rPr>
          <w:rFonts w:ascii="Arial" w:hAnsi="Arial" w:cs="Arial"/>
          <w:sz w:val="22"/>
          <w:szCs w:val="22"/>
          <w:shd w:val="clear" w:color="auto" w:fill="FFFFFF"/>
        </w:rPr>
        <w:lastRenderedPageBreak/>
        <w:t xml:space="preserve">çalışmada, bu çocukların kontrollere göre sosyal etkileşim sırasında daha agresif ve müdahaleci oldukları belirtilmiştir </w:t>
      </w:r>
      <w:r w:rsidR="00BC3BBB" w:rsidRPr="0037573A">
        <w:rPr>
          <w:rFonts w:ascii="Arial" w:hAnsi="Arial" w:cs="Arial"/>
          <w:sz w:val="22"/>
          <w:szCs w:val="22"/>
          <w:shd w:val="clear" w:color="auto" w:fill="FFFFFF"/>
        </w:rPr>
        <w:fldChar w:fldCharType="begin" w:fldLock="1"/>
      </w:r>
      <w:r w:rsidR="005827F2">
        <w:rPr>
          <w:rFonts w:ascii="Arial" w:hAnsi="Arial" w:cs="Arial"/>
          <w:sz w:val="22"/>
          <w:szCs w:val="22"/>
          <w:shd w:val="clear" w:color="auto" w:fill="FFFFFF"/>
        </w:rPr>
        <w:instrText>ADDIN CSL_CITATION { "citationItems" : [ { "id" : "ITEM-1", "itemData" : { "DOI" : "10.1007/s10802-007-9108-5", "ISBN" : "0091-0627", "ISSN" : "00910627", "PMID" : "17354064", "abstract" : "This study assessed social skills in 116 children aged 7-12 with ADHD-Combined Type (ADHD-C; n=33), ADHD-Inattentive Type (ADHD-I; n=45), and comparison children (n=38), with consideration of the role sluggish cognitive tempo (SCT) symptoms play in distinguishing profiles. Social skills were assessed using a novel computerized chat room task, in which participants were encouraged to join a conversation and type messages to interact with four computer-simulated peers. Every participant received the identical stimulus from the simulated peers, but was free to respond to it in his or her own unique way. Relative to comparison children, children with ADHD-C made off-topic and hostile responses; children with ADHD-I made off-topic responses, few responses and showed poor memory for the conversation. ADHD subtype differences remained after statistical control of IQ, reading achievement, typing skill, and comorbid disruptive behavior disorders. SCT symptoms, most prevalent among children with ADHD-I, predicted a distinct pattern of social withdrawal and lower hostility. Parent and teacher ratings and in-vivo observations of social skills correlate with this new measure.", "author" : [ { "dropping-particle" : "", "family" : "Mikami", "given" : "Amori Yee", "non-dropping-particle" : "", "parse-names" : false, "suffix" : "" }, { "dropping-particle" : "", "family" : "Huang-Pollock", "given" : "Cynthia L.", "non-dropping-particle" : "", "parse-names" : false, "suffix" : "" }, { "dropping-particle" : "", "family" : "Pfiffner", "given" : "Linda J.", "non-dropping-particle" : "", "parse-names" : false, "suffix" : "" }, { "dropping-particle" : "", "family" : "McBurnett", "given" : "Keith", "non-dropping-particle" : "", "parse-names" : false, "suffix" : "" }, { "dropping-particle" : "", "family" : "Hangai", "given" : "Dana", "non-dropping-particle" : "", "parse-names" : false, "suffix" : "" } ], "container-title" : "Journal of Abnormal Child Psychology", "id" : "ITEM-1", "issue" : "4", "issued" : { "date-parts" : [ [ "2007" ] ] }, "page" : "509-521", "title" : "Social skills differences among Attention-Deficit/Hyperactivity Disorder types in a chat room assessment task", "type" : "article-journal", "volume" : "35" }, "uris" : [ "http://www.mendeley.com/documents/?uuid=282f6b32-3c57-4ece-9702-3f415f78c259" ] } ], "mendeley" : { "formattedCitation" : "(123)", "plainTextFormattedCitation" : "(123)", "previouslyFormattedCitation" : "(123)" }, "properties" : { "noteIndex" : 56 }, "schema" : "https://github.com/citation-style-language/schema/raw/master/csl-citation.json" }</w:instrText>
      </w:r>
      <w:r w:rsidR="00BC3BBB" w:rsidRPr="0037573A">
        <w:rPr>
          <w:rFonts w:ascii="Arial" w:hAnsi="Arial" w:cs="Arial"/>
          <w:sz w:val="22"/>
          <w:szCs w:val="22"/>
          <w:shd w:val="clear" w:color="auto" w:fill="FFFFFF"/>
        </w:rPr>
        <w:fldChar w:fldCharType="separate"/>
      </w:r>
      <w:r w:rsidRPr="0037573A">
        <w:rPr>
          <w:rFonts w:ascii="Arial" w:hAnsi="Arial" w:cs="Arial"/>
          <w:noProof/>
          <w:sz w:val="22"/>
          <w:szCs w:val="22"/>
          <w:shd w:val="clear" w:color="auto" w:fill="FFFFFF"/>
        </w:rPr>
        <w:t>(123)</w:t>
      </w:r>
      <w:r w:rsidR="00BC3BBB" w:rsidRPr="0037573A">
        <w:rPr>
          <w:rFonts w:ascii="Arial" w:hAnsi="Arial" w:cs="Arial"/>
          <w:sz w:val="22"/>
          <w:szCs w:val="22"/>
          <w:shd w:val="clear" w:color="auto" w:fill="FFFFFF"/>
        </w:rPr>
        <w:fldChar w:fldCharType="end"/>
      </w:r>
      <w:r w:rsidRPr="0037573A">
        <w:rPr>
          <w:rFonts w:ascii="Arial" w:hAnsi="Arial" w:cs="Arial"/>
          <w:sz w:val="22"/>
          <w:szCs w:val="22"/>
          <w:shd w:val="clear" w:color="auto" w:fill="FFFFFF"/>
        </w:rPr>
        <w:t xml:space="preserve">. </w:t>
      </w:r>
      <w:r w:rsidRPr="0037573A">
        <w:rPr>
          <w:rFonts w:ascii="Arial" w:hAnsi="Arial" w:cs="Arial"/>
          <w:sz w:val="22"/>
          <w:szCs w:val="22"/>
        </w:rPr>
        <w:t>Çalışmamızda akran işlevselliğini bozan neden araştırılmamıştır, fakat diğer çalışmalarla benzer şekilde DEHB grubunda akran ilişkilerinin daha sorunlu olduğu gözlenmiştir.</w:t>
      </w:r>
    </w:p>
    <w:p w:rsidR="0037573A" w:rsidRPr="0037573A" w:rsidRDefault="0037573A" w:rsidP="0037573A">
      <w:pPr>
        <w:spacing w:line="360" w:lineRule="auto"/>
        <w:ind w:firstLine="567"/>
        <w:contextualSpacing/>
        <w:jc w:val="both"/>
        <w:rPr>
          <w:rFonts w:ascii="Arial" w:hAnsi="Arial" w:cs="Arial"/>
          <w:sz w:val="22"/>
          <w:szCs w:val="22"/>
        </w:rPr>
      </w:pPr>
      <w:r w:rsidRPr="0037573A">
        <w:rPr>
          <w:rFonts w:ascii="Arial" w:hAnsi="Arial" w:cs="Arial"/>
          <w:sz w:val="22"/>
          <w:szCs w:val="22"/>
        </w:rPr>
        <w:t xml:space="preserve">Katılımcılar kardeş ilişkileri açısından iyi ve üzeri ile orta ve altı olarak iki alt gruba ayrılmış, olgu grubunda kardeş ilişkilerinin istatistiksel olarak anlamlı şekilde daha kötü olduğu bulunmuştur (p&lt;0.001). Çalışmamızda DEHB’li çocuklarda kardeş ilişkilerinde daha sık problem yaşandığını gösteren çalışma </w:t>
      </w:r>
      <w:r w:rsidR="00BC3BBB" w:rsidRPr="0037573A">
        <w:rPr>
          <w:rFonts w:ascii="Arial" w:hAnsi="Arial" w:cs="Arial"/>
          <w:sz w:val="22"/>
          <w:szCs w:val="22"/>
        </w:rPr>
        <w:fldChar w:fldCharType="begin" w:fldLock="1"/>
      </w:r>
      <w:r w:rsidRPr="0037573A">
        <w:rPr>
          <w:rFonts w:ascii="Arial" w:hAnsi="Arial" w:cs="Arial"/>
          <w:sz w:val="22"/>
          <w:szCs w:val="22"/>
        </w:rPr>
        <w:instrText>ADDIN CSL_CITATION { "citationItems" : [ { "id" : "ITEM-1", "itemData" : { "PMID" : "17494830", "abstract" : "OBJECTIVE: This study investigated the quality of sibling relationships among children with ADHD relative to those without ADHD. Additional analyses examined whether externalizing and internalizing problems comorbid with ADHD affected sibling relationships. METHOD: Participants were 77 children with ADHD and 14 nonproblem control children. Sibling relationships were assessed via three informants: mother report, self-report, and sibling report. RESULTS: In analyses utilizing hierarchical linear modeling to combine data from the three informants, children with ADHD showed increased conflict in sibling relationships, relative to nonproblem children. Comorbid externalizing problems were associated with less warmth/ closeness and increased conflict in the sibling relationship and largely accounted for the finding that children with ADHD showed greater sibling relationship problems. Comorbid internalizing problems were associated with less warmth/closeness in the sibling relationship. CONCLUSION: It is recommended that sibling relationships be incorporated into theories of social impairment in ADHD", "author" : [ { "dropping-particle" : "", "family" : "Mikami", "given" : "A Y", "non-dropping-particle" : "", "parse-names" : false, "suffix" : "" }, { "dropping-particle" : "", "family" : "Pfiffner", "given" : "L J", "non-dropping-particle" : "", "parse-names" : false, "suffix" : "" } ], "container-title" : "J Atten.Disord", "id" : "ITEM-1", "issue" : "4", "issued" : { "date-parts" : [ [ "2008" ] ] }, "page" : "482-492", "title" : "Sibling relationships among children with ADHD", "type" : "article-journal", "volume" : "11" }, "uris" : [ "http://www.mendeley.com/documents/?uuid=6c0e258d-4536-4807-89b6-0a213a8b5746" ] } ], "mendeley" : { "formattedCitation" : "(305)", "plainTextFormattedCitation" : "(305)", "previouslyFormattedCitation" : "(305)" }, "properties" : { "noteIndex" : 56 }, "schema" : "https://github.com/citation-style-language/schema/raw/master/csl-citation.json" }</w:instrText>
      </w:r>
      <w:r w:rsidR="00BC3BBB" w:rsidRPr="0037573A">
        <w:rPr>
          <w:rFonts w:ascii="Arial" w:hAnsi="Arial" w:cs="Arial"/>
          <w:sz w:val="22"/>
          <w:szCs w:val="22"/>
        </w:rPr>
        <w:fldChar w:fldCharType="separate"/>
      </w:r>
      <w:r w:rsidRPr="0037573A">
        <w:rPr>
          <w:rFonts w:ascii="Arial" w:hAnsi="Arial" w:cs="Arial"/>
          <w:noProof/>
          <w:sz w:val="22"/>
          <w:szCs w:val="22"/>
        </w:rPr>
        <w:t>(305)</w:t>
      </w:r>
      <w:r w:rsidR="00BC3BBB" w:rsidRPr="0037573A">
        <w:rPr>
          <w:rFonts w:ascii="Arial" w:hAnsi="Arial" w:cs="Arial"/>
          <w:sz w:val="22"/>
          <w:szCs w:val="22"/>
        </w:rPr>
        <w:fldChar w:fldCharType="end"/>
      </w:r>
      <w:r w:rsidRPr="0037573A">
        <w:rPr>
          <w:rFonts w:ascii="Arial" w:hAnsi="Arial" w:cs="Arial"/>
          <w:sz w:val="22"/>
          <w:szCs w:val="22"/>
        </w:rPr>
        <w:t xml:space="preserve"> ile benzer bulgular elde edilmiştir.</w:t>
      </w:r>
    </w:p>
    <w:p w:rsidR="00C60153" w:rsidRDefault="00C60153" w:rsidP="00C60153">
      <w:pPr>
        <w:spacing w:line="360" w:lineRule="auto"/>
        <w:ind w:firstLine="567"/>
        <w:contextualSpacing/>
        <w:jc w:val="both"/>
      </w:pPr>
    </w:p>
    <w:p w:rsidR="00C60153" w:rsidRPr="00FA0571" w:rsidRDefault="00C60153" w:rsidP="00C60153">
      <w:pPr>
        <w:spacing w:line="360" w:lineRule="auto"/>
        <w:ind w:firstLine="567"/>
        <w:contextualSpacing/>
        <w:jc w:val="both"/>
        <w:rPr>
          <w:rFonts w:ascii="Arial" w:hAnsi="Arial" w:cs="Arial"/>
          <w:sz w:val="22"/>
          <w:szCs w:val="22"/>
        </w:rPr>
      </w:pPr>
      <w:r w:rsidRPr="00FA0571">
        <w:rPr>
          <w:rFonts w:ascii="Arial" w:hAnsi="Arial" w:cs="Arial"/>
          <w:b/>
          <w:sz w:val="22"/>
          <w:szCs w:val="22"/>
        </w:rPr>
        <w:t>miR-5692b, miR-let-7d, miR-124-3p, miR-107 ve miR-4447 Ekspresyon Profillerine İlişkin Bulgular</w:t>
      </w:r>
    </w:p>
    <w:p w:rsidR="00FA0571" w:rsidRPr="00FA0571" w:rsidRDefault="00FA0571" w:rsidP="00FA0571">
      <w:pPr>
        <w:spacing w:line="360" w:lineRule="auto"/>
        <w:ind w:firstLine="720"/>
        <w:jc w:val="both"/>
        <w:rPr>
          <w:rFonts w:ascii="Arial" w:hAnsi="Arial" w:cs="Arial"/>
          <w:color w:val="212121"/>
          <w:sz w:val="22"/>
          <w:szCs w:val="22"/>
        </w:rPr>
      </w:pPr>
      <w:r w:rsidRPr="00FA0571">
        <w:rPr>
          <w:rFonts w:ascii="Arial" w:hAnsi="Arial" w:cs="Arial"/>
          <w:color w:val="212121"/>
          <w:sz w:val="22"/>
          <w:szCs w:val="22"/>
        </w:rPr>
        <w:t>DEHB tanılı çocuk ve ergenlerde, kontrollere kıyasla artmış miR 5692b ve azalmış miR-let-7d periferik kan düzeyleri bulundu. miR 124-3p, miR-107 ve miR-4447 miR24-3p düzeyleri açısından gruplar arasında istatistiksel olarak anlamlı bir fark saptanmadı.</w:t>
      </w:r>
    </w:p>
    <w:p w:rsidR="00FA0571" w:rsidRPr="00FA0571" w:rsidRDefault="00C60153" w:rsidP="00C60153">
      <w:pPr>
        <w:pStyle w:val="HTMLncedenBiimlendirilmi"/>
        <w:shd w:val="clear" w:color="auto" w:fill="FFFFFF"/>
        <w:spacing w:line="360" w:lineRule="auto"/>
        <w:jc w:val="both"/>
        <w:rPr>
          <w:rFonts w:ascii="Arial" w:hAnsi="Arial" w:cs="Arial"/>
          <w:sz w:val="22"/>
          <w:szCs w:val="22"/>
        </w:rPr>
      </w:pPr>
      <w:r w:rsidRPr="00FA0571">
        <w:rPr>
          <w:rFonts w:ascii="Arial" w:hAnsi="Arial" w:cs="Arial"/>
          <w:color w:val="212121"/>
          <w:sz w:val="22"/>
          <w:szCs w:val="22"/>
          <w:shd w:val="clear" w:color="auto" w:fill="FFFFFF"/>
        </w:rPr>
        <w:tab/>
      </w:r>
      <w:r w:rsidR="00FA0571" w:rsidRPr="00FA0571">
        <w:rPr>
          <w:rFonts w:ascii="Arial" w:hAnsi="Arial" w:cs="Arial"/>
          <w:b/>
          <w:sz w:val="22"/>
          <w:szCs w:val="22"/>
          <w:shd w:val="clear" w:color="auto" w:fill="FFFFFF"/>
        </w:rPr>
        <w:t>miR-5692b:</w:t>
      </w:r>
      <w:r w:rsidR="00FA0571" w:rsidRPr="00FA0571">
        <w:rPr>
          <w:rFonts w:ascii="Arial" w:hAnsi="Arial" w:cs="Arial"/>
          <w:sz w:val="22"/>
          <w:szCs w:val="22"/>
          <w:shd w:val="clear" w:color="auto" w:fill="FFFFFF"/>
        </w:rPr>
        <w:t xml:space="preserve"> Çalışmamızda Homer1a genini hedef alan miR-5692b’nın</w:t>
      </w:r>
      <w:r w:rsidR="00FA0571" w:rsidRPr="00FA0571">
        <w:rPr>
          <w:rFonts w:ascii="Arial" w:hAnsi="Arial" w:cs="Arial"/>
          <w:color w:val="212121"/>
          <w:sz w:val="22"/>
          <w:szCs w:val="22"/>
          <w:shd w:val="clear" w:color="auto" w:fill="FFFFFF"/>
        </w:rPr>
        <w:t xml:space="preserve"> </w:t>
      </w:r>
      <w:r w:rsidR="00BC3BBB" w:rsidRPr="00FA0571">
        <w:rPr>
          <w:rFonts w:ascii="Arial" w:hAnsi="Arial" w:cs="Arial"/>
          <w:color w:val="212121"/>
          <w:sz w:val="22"/>
          <w:szCs w:val="22"/>
          <w:shd w:val="clear" w:color="auto" w:fill="FFFFFF"/>
        </w:rPr>
        <w:fldChar w:fldCharType="begin" w:fldLock="1"/>
      </w:r>
      <w:r w:rsidR="005827F2">
        <w:rPr>
          <w:rFonts w:ascii="Arial" w:hAnsi="Arial" w:cs="Arial"/>
          <w:color w:val="212121"/>
          <w:sz w:val="22"/>
          <w:szCs w:val="22"/>
          <w:shd w:val="clear" w:color="auto" w:fill="FFFFFF"/>
        </w:rPr>
        <w:instrText>ADDIN CSL_CITATION { "citationItems" : [ { "id" : "ITEM-1", "itemData" : { "DOI" : "10.1038/nmeth.3485", "ISBN" : "doi:10.1038/nmeth.3485", "ISSN" : "1548-7091", "PMID" : "26226356", "author" : [ { "dropping-particle" : "", "family" : "Dweep", "given" : "Harsh", "non-dropping-particle" : "", "parse-names" : false, "suffix" : "" }, { "dropping-particle" : "", "family" : "Gretz", "given" : "Norbert", "non-dropping-particle" : "", "parse-names" : false, "suffix" : "" } ], "container-title" : "Nature Methods", "id" : "ITEM-1", "issue" : "8", "issued" : { "date-parts" : [ [ "2015" ] ] }, "page" : "697-697", "title" : "miRWalk2.0: a comprehensive atlas of microRNA-target interactions", "type" : "article-journal", "volume" : "12" }, "uris" : [ "http://www.mendeley.com/documents/?uuid=19a19e62-aa75-42c6-ab66-5654528a1299" ] }, { "id" : "ITEM-2", "itemData" : { "DOI" : "10.1093/nar/gku1104", "ISSN" : "0305-1048", "author" : [ { "dropping-particle" : "", "family" : "Wong", "given" : "N", "non-dropping-particle" : "", "parse-names" : false, "suffix" : "" }, { "dropping-particle" : "", "family" : "Wang", "given" : "X W", "non-dropping-particle" : "", "parse-names" : false, "suffix" : "" } ], "container-title" : "Nucleic Acids Research", "id" : "ITEM-2", "issue" : "D1", "issued" : { "date-parts" : [ [ "2015" ] ] }, "page" : "D146-D152", "title" : "miRDB: an online resource for microRNA target prediction and functional annotations", "type" : "article-journal", "volume" : "43" }, "uris" : [ "http://www.mendeley.com/documents/?uuid=131d1896-4bd8-46db-935f-15341eb3ba12" ] } ], "mendeley" : { "formattedCitation" : "(21, 22)", "plainTextFormattedCitation" : "(21, 22)", "previouslyFormattedCitation" : "(21,22)" }, "properties" : { "noteIndex" : 56 }, "schema" : "https://github.com/citation-style-language/schema/raw/master/csl-citation.json" }</w:instrText>
      </w:r>
      <w:r w:rsidR="00BC3BBB" w:rsidRPr="00FA0571">
        <w:rPr>
          <w:rFonts w:ascii="Arial" w:hAnsi="Arial" w:cs="Arial"/>
          <w:color w:val="212121"/>
          <w:sz w:val="22"/>
          <w:szCs w:val="22"/>
          <w:shd w:val="clear" w:color="auto" w:fill="FFFFFF"/>
        </w:rPr>
        <w:fldChar w:fldCharType="separate"/>
      </w:r>
      <w:r w:rsidR="005827F2" w:rsidRPr="005827F2">
        <w:rPr>
          <w:rFonts w:ascii="Arial" w:hAnsi="Arial" w:cs="Arial"/>
          <w:noProof/>
          <w:color w:val="212121"/>
          <w:sz w:val="22"/>
          <w:szCs w:val="22"/>
          <w:shd w:val="clear" w:color="auto" w:fill="FFFFFF"/>
        </w:rPr>
        <w:t>(21, 22)</w:t>
      </w:r>
      <w:r w:rsidR="00BC3BBB" w:rsidRPr="00FA0571">
        <w:rPr>
          <w:rFonts w:ascii="Arial" w:hAnsi="Arial" w:cs="Arial"/>
          <w:color w:val="212121"/>
          <w:sz w:val="22"/>
          <w:szCs w:val="22"/>
          <w:shd w:val="clear" w:color="auto" w:fill="FFFFFF"/>
        </w:rPr>
        <w:fldChar w:fldCharType="end"/>
      </w:r>
      <w:r w:rsidR="00FA0571" w:rsidRPr="00FA0571">
        <w:rPr>
          <w:rFonts w:ascii="Arial" w:hAnsi="Arial" w:cs="Arial"/>
          <w:color w:val="E36C0A" w:themeColor="accent6" w:themeShade="BF"/>
          <w:sz w:val="22"/>
          <w:szCs w:val="22"/>
        </w:rPr>
        <w:t xml:space="preserve"> </w:t>
      </w:r>
      <w:r w:rsidR="00FA0571" w:rsidRPr="00FA0571">
        <w:rPr>
          <w:rFonts w:ascii="Arial" w:hAnsi="Arial" w:cs="Arial"/>
          <w:sz w:val="22"/>
          <w:szCs w:val="22"/>
        </w:rPr>
        <w:t>periferik kan örneklerindeki düzeyi DEHB’li grupta anlamlı olarak artmış saptandı.</w:t>
      </w:r>
      <w:r w:rsidR="00FA0571" w:rsidRPr="00FA0571">
        <w:rPr>
          <w:rFonts w:ascii="Arial" w:hAnsi="Arial" w:cs="Arial"/>
          <w:sz w:val="22"/>
          <w:szCs w:val="22"/>
          <w:shd w:val="clear" w:color="auto" w:fill="FFFFFF"/>
        </w:rPr>
        <w:t xml:space="preserve"> Homer ailesindeki en önemli iskele proteinlerinden olan Homer 1a’nın </w:t>
      </w:r>
      <w:r w:rsidR="00BC3BBB" w:rsidRPr="00FA0571">
        <w:rPr>
          <w:rFonts w:ascii="Arial" w:hAnsi="Arial" w:cs="Arial"/>
          <w:sz w:val="22"/>
          <w:szCs w:val="22"/>
          <w:shd w:val="clear" w:color="auto" w:fill="FFFFFF"/>
        </w:rPr>
        <w:fldChar w:fldCharType="begin" w:fldLock="1"/>
      </w:r>
      <w:r w:rsidR="005827F2">
        <w:rPr>
          <w:rFonts w:ascii="Arial" w:hAnsi="Arial" w:cs="Arial"/>
          <w:sz w:val="22"/>
          <w:szCs w:val="22"/>
          <w:shd w:val="clear" w:color="auto" w:fill="FFFFFF"/>
        </w:rPr>
        <w:instrText>ADDIN CSL_CITATION { "citationItems" : [ { "id" : "ITEM-1", "itemData" : { "DOI" : "10.1007/s11033-009-9596-1", "ISBN" : "1573-4978 (Electronic)\\r0301-4851 (Linking)", "ISSN" : "03014851", "PMID" : "19572212", "abstract" : "We have undertaken cDNA microarrays to identify differentially expressed genes in the prefrontal cortex (PFC) of spontaneously hypertensive-rat (SHR), a rodent model of attention deficit hyperactivity disorder (ADHD) versus control Wistar-Kyoto (WKY) rats. The analysis of the gene expression profiles indicated that 57 genes were up-regulated and 97 genes were down-regulated in the PFC of SHR. These predominately expressed genes included genes involved in neural development, immunity, transcription factor, monoamine neurotransmitter, metabolism, signal transduction, apoptosis and so on. Although more detailed analyses are necessary, it is anticipated that further study of genes identified will provide insights into their specific roles in the etiology of ADHD.", "author" : [ { "dropping-particle" : "", "family" : "Qiu", "given" : "Jie", "non-dropping-particle" : "", "parse-names" : false, "suffix" : "" }, { "dropping-particle" : "", "family" : "Hong", "given" : "Qin", "non-dropping-particle" : "", "parse-names" : false, "suffix" : "" }, { "dropping-particle" : "", "family" : "Chen", "given" : "Rong Hua", "non-dropping-particle" : "", "parse-names" : false, "suffix" : "" }, { "dropping-particle" : "", "family" : "Tong", "given" : "Mei Ling", "non-dropping-particle" : "", "parse-names" : false, "suffix" : "" }, { "dropping-particle" : "", "family" : "Zhang", "given" : "Min", "non-dropping-particle" : "", "parse-names" : false, "suffix" : "" }, { "dropping-particle" : "", "family" : "Fei", "given" : "Li", "non-dropping-particle" : "", "parse-names" : false, "suffix" : "" }, { "dropping-particle" : "", "family" : "Pan", "given" : "Xiao Qin", "non-dropping-particle" : "", "parse-names" : false, "suffix" : "" }, { "dropping-particle" : "", "family" : "Guo", "given" : "Mei", "non-dropping-particle" : "", "parse-names" : false, "suffix" : "" }, { "dropping-particle" : "", "family" : "Guo", "given" : "Xi Rong", "non-dropping-particle" : "", "parse-names" : false, "suffix" : "" }, { "dropping-particle" : "", "family" : "Chi", "given" : "Xia", "non-dropping-particle" : "", "parse-names" : false, "suffix" : "" } ], "container-title" : "Molecular Biology Reports", "id" : "ITEM-1", "issue" : "4", "issued" : { "date-parts" : [ [ "2010" ] ] }, "page" : "1733-1740", "title" : "Gene expression profiles in the prefrontal cortex of SHR rats by cDNA microarrays", "type" : "article-journal", "volume" : "37" }, "uris" : [ "http://www.mendeley.com/documents/?uuid=e1c934eb-c36d-4b94-81d7-5ccf5154a36c" ] } ], "mendeley" : { "formattedCitation" : "(245)", "plainTextFormattedCitation" : "(245)", "previouslyFormattedCitation" : "(245)" }, "properties" : { "noteIndex" : 56 }, "schema" : "https://github.com/citation-style-language/schema/raw/master/csl-citation.json" }</w:instrText>
      </w:r>
      <w:r w:rsidR="00BC3BBB" w:rsidRPr="00FA0571">
        <w:rPr>
          <w:rFonts w:ascii="Arial" w:hAnsi="Arial" w:cs="Arial"/>
          <w:sz w:val="22"/>
          <w:szCs w:val="22"/>
          <w:shd w:val="clear" w:color="auto" w:fill="FFFFFF"/>
        </w:rPr>
        <w:fldChar w:fldCharType="separate"/>
      </w:r>
      <w:r w:rsidR="00FA0571" w:rsidRPr="00FA0571">
        <w:rPr>
          <w:rFonts w:ascii="Arial" w:hAnsi="Arial" w:cs="Arial"/>
          <w:noProof/>
          <w:sz w:val="22"/>
          <w:szCs w:val="22"/>
          <w:shd w:val="clear" w:color="auto" w:fill="FFFFFF"/>
        </w:rPr>
        <w:t>(245)</w:t>
      </w:r>
      <w:r w:rsidR="00BC3BBB" w:rsidRPr="00FA0571">
        <w:rPr>
          <w:rFonts w:ascii="Arial" w:hAnsi="Arial" w:cs="Arial"/>
          <w:sz w:val="22"/>
          <w:szCs w:val="22"/>
          <w:shd w:val="clear" w:color="auto" w:fill="FFFFFF"/>
        </w:rPr>
        <w:fldChar w:fldCharType="end"/>
      </w:r>
      <w:r w:rsidR="00FA0571" w:rsidRPr="00FA0571">
        <w:rPr>
          <w:rFonts w:ascii="Arial" w:hAnsi="Arial" w:cs="Arial"/>
          <w:color w:val="E36C0A" w:themeColor="accent6" w:themeShade="BF"/>
          <w:sz w:val="22"/>
          <w:szCs w:val="22"/>
          <w:shd w:val="clear" w:color="auto" w:fill="FFFFFF"/>
        </w:rPr>
        <w:t xml:space="preserve"> </w:t>
      </w:r>
      <w:r w:rsidR="00FA0571" w:rsidRPr="00FA0571">
        <w:rPr>
          <w:rFonts w:ascii="Arial" w:hAnsi="Arial" w:cs="Arial"/>
          <w:color w:val="212121"/>
          <w:sz w:val="22"/>
          <w:szCs w:val="22"/>
          <w:shd w:val="clear" w:color="auto" w:fill="FFFFFF"/>
        </w:rPr>
        <w:t xml:space="preserve">dopamin, norepinefrin ve glutamat sinyal yolaklarında rol aldığı bulunmuştur </w:t>
      </w:r>
      <w:r w:rsidR="00BC3BBB" w:rsidRPr="00FA0571">
        <w:rPr>
          <w:rFonts w:ascii="Arial" w:hAnsi="Arial" w:cs="Arial"/>
          <w:color w:val="212121"/>
          <w:sz w:val="22"/>
          <w:szCs w:val="22"/>
          <w:shd w:val="clear" w:color="auto" w:fill="FFFFFF"/>
        </w:rPr>
        <w:fldChar w:fldCharType="begin" w:fldLock="1"/>
      </w:r>
      <w:r w:rsidR="005827F2">
        <w:rPr>
          <w:rFonts w:ascii="Arial" w:hAnsi="Arial" w:cs="Arial"/>
          <w:color w:val="212121"/>
          <w:sz w:val="22"/>
          <w:szCs w:val="22"/>
          <w:shd w:val="clear" w:color="auto" w:fill="FFFFFF"/>
        </w:rPr>
        <w:instrText>ADDIN CSL_CITATION { "citationItems" : [ { "id" : "ITEM-1", "itemData" : { "DOI" : "10.1007/s12035-012-8293-6", "ISBN" : "1559-1182", "ISSN" : "08937648", "PMID" : "22763587", "abstract" : "Dopamine and glutamate systems are both involved in cognitive, behavioral, and motor processes. Dysfunction of dopamine-glutamate interplay has been suggested in several psychotic diseases, above all in schizophrenia, for which there exists a need for novel medications. Intracellular calcium-dependent transduction pathways are key determinants of dopamine-glutamate interactions, which take place mainly, albeit not exclusively, in the postsynaptic density (PSD), a highly specialized postsynaptic ultrastructure. Stimulation of dopamine and glutamate receptors modulates the gene expression and the function of specific PSD proteins, the \"scaffolding\" proteins (Homer, Shank, and PSD95), belonging to a complex Ca(2+)-regulated network that integrates and converges dopamine and glutamate signaling to appropriate nuclear targets. Dysfunction of scaffolding proteins leads to severe impairment of Ca(2+)-dependent signaling, which may underlie the dopamine-glutamate aberrations putatively implicated in the pathogenesis of psychotic disorders. Antipsychotic therapy has been demonstrated to directly and indirectly affect the neuronal Ca(2+)-dependent pathways through the modulation of PSD scaffolding proteins, such as Homer, therefore influencing both dopaminergic and glutamatergic functions and enforcing Ca(2+)-mediated long-term synaptic changes. In this review, we will discuss the role of PSD scaffolding proteins in routing Ca(2+)-dependent signals to the nucleus. In particular, we will address the implication of PSD scaffolding proteins in the intracellular connections between dopamine and glutamate pathways, which involve both Ca(2+)-dependent and Ca(2+)-independent mechanisms. Finally, we will discuss how new strategies for the treatment of psychosis aim at developing antipsychotics that may impact both glutamate and dopamine signaling, and what should be the possible role of PSD scaffolding proteins.", "author" : [ { "dropping-particle" : "", "family" : "Bartolomeis", "given" : "Andrea", "non-dropping-particle" : "De", "parse-names" : false, "suffix" : "" }, { "dropping-particle" : "", "family" : "Tomasetti", "given" : "Carmine", "non-dropping-particle" : "", "parse-names" : false, "suffix" : "" } ], "container-title" : "Molecular Neurobiology", "id" : "ITEM-1", "issue" : "2", "issued" : { "date-parts" : [ [ "2012" ] ] }, "page" : "275-296", "title" : "Calcium-dependent networks in dopamine-glutamate interaction: The role of postsynaptic scaffolding proteins", "type" : "article-journal", "volume" : "46" }, "uris" : [ "http://www.mendeley.com/documents/?uuid=8a0d9dbe-1780-4028-a60c-6623daa0059e" ] }, { "id" : "ITEM-2", "itemData" : { "DOI" : "10.1016/j.pnpbp.2009.02.009", "ISBN" : "1878-4216 (Electronic)\\r0278-5846 (Linking)", "ISSN" : "02785846", "PMID" : "19243698", "abstract" : "The inducible gene Homer1a has been considered a candidate gene for schizophrenia. Drugs efficacious in schizophrenia and acting as dopamine receptor antagonists induce Homer1a expression, although the specific role of the different dopamine receptors in its induction is not completely known. In this study, we explored Homer1a expression induced by selective antagonists at dopamine receptors (SCH-23390, D1 receptor selective antagonist, 0.5??mg/kg; L-741,626, D2 receptor selective antagonist, 2??mg/kg; U-99194, D3 receptor selective antagonist, 5??mg/kg; L-745,870, D4 receptor selective antagonist, 3??mg/kg), haloperidol (0.8??mg/kg), and terguride (0.5??mg/kg), a partial agonist at D2 receptors. Moreover, we evaluated the expression of two Homer1a-related genes which play essential roles in synaptic plasticity: mGluR5 and Homer1b. Gene expression was analyzed in brain regions relevant for schizophrenia pathophysiology and therapy, namely the striatum, the cortex, and the hippocampus. In striatum, Homer1a was induced by D2 receptor antagonists and, with a different distribution, by SCH-23390. In the cortex, Homer1a was differentially induced by D1, D2, and D3 receptors antagonists, while haloperidol and terguride did not affect or reduced its expression. Homer1b expression was reduced by L-741,626, L-745,870, terguride, and haloperidol in the ventral caudate-putamen, in the nucleus accumbens and in the cortex, while SCH-23390 increased the expression in the core of the accumbens. mGluR5 expression was increased by SCH-23390 in the dorsomedial putamen, the core of the accumbens, and in some hippocampal subregions. A reduction of gene expression by terguride and an increase by L-745,870 was observed in the dorsomedial putamen. The changes in expression suggest that these gene transcripts are differentially regulated by antagonism at different dopamine receptors. ?? 2009 Elsevier Inc. All rights reserved.", "author" : [ { "dropping-particle" : "", "family" : "Iasevoli", "given" : "Felice", "non-dropping-particle" : "", "parse-names" : false, "suffix" : "" }, { "dropping-particle" : "", "family" : "Tomasetti", "given" : "Carmine", "non-dropping-particle" : "", "parse-names" : false, "suffix" : "" }, { "dropping-particle" : "", "family" : "Ambesi-Impiombato", "given" : "Alberto", "non-dropping-particle" : "", "parse-names" : false, "suffix" : "" }, { "dropping-particle" : "", "family" : "Muscettola", "given" : "Giovanni", "non-dropping-particle" : "", "parse-names" : false, "suffix" : "" }, { "dropping-particle" : "", "family" : "Bartolomeis", "given" : "Andrea", "non-dropping-particle" : "de", "parse-names" : false, "suffix" : "" } ], "container-title" : "Progress in Neuro-Psychopharmacology and Biological Psychiatry", "id" : "ITEM-2", "issue" : "5", "issued" : { "date-parts" : [ [ "2009" ] ] }, "page" : "813-821", "title" : "Dopamine receptor subtypes contribution to Homer1a induction: Insights into antipsychotic molecular action", "type" : "article-journal", "volume" : "33" }, "uris" : [ "http://www.mendeley.com/documents/?uuid=4b59a128-b27a-455e-9d16-0ae55a7816fc" ] } ], "mendeley" : { "formattedCitation" : "(246, 247)", "plainTextFormattedCitation" : "(246, 247)", "previouslyFormattedCitation" : "(246,247)" }, "properties" : { "noteIndex" : 56 }, "schema" : "https://github.com/citation-style-language/schema/raw/master/csl-citation.json" }</w:instrText>
      </w:r>
      <w:r w:rsidR="00BC3BBB" w:rsidRPr="00FA0571">
        <w:rPr>
          <w:rFonts w:ascii="Arial" w:hAnsi="Arial" w:cs="Arial"/>
          <w:color w:val="212121"/>
          <w:sz w:val="22"/>
          <w:szCs w:val="22"/>
          <w:shd w:val="clear" w:color="auto" w:fill="FFFFFF"/>
        </w:rPr>
        <w:fldChar w:fldCharType="separate"/>
      </w:r>
      <w:r w:rsidR="005827F2" w:rsidRPr="005827F2">
        <w:rPr>
          <w:rFonts w:ascii="Arial" w:hAnsi="Arial" w:cs="Arial"/>
          <w:noProof/>
          <w:color w:val="212121"/>
          <w:sz w:val="22"/>
          <w:szCs w:val="22"/>
          <w:shd w:val="clear" w:color="auto" w:fill="FFFFFF"/>
        </w:rPr>
        <w:t>(246, 247)</w:t>
      </w:r>
      <w:r w:rsidR="00BC3BBB" w:rsidRPr="00FA0571">
        <w:rPr>
          <w:rFonts w:ascii="Arial" w:hAnsi="Arial" w:cs="Arial"/>
          <w:color w:val="212121"/>
          <w:sz w:val="22"/>
          <w:szCs w:val="22"/>
          <w:shd w:val="clear" w:color="auto" w:fill="FFFFFF"/>
        </w:rPr>
        <w:fldChar w:fldCharType="end"/>
      </w:r>
      <w:r w:rsidR="00FA0571" w:rsidRPr="00FA0571">
        <w:rPr>
          <w:rFonts w:ascii="Arial" w:hAnsi="Arial" w:cs="Arial"/>
          <w:color w:val="212121"/>
          <w:sz w:val="22"/>
          <w:szCs w:val="22"/>
          <w:shd w:val="clear" w:color="auto" w:fill="FFFFFF"/>
        </w:rPr>
        <w:t xml:space="preserve">. </w:t>
      </w:r>
      <w:r w:rsidR="00FA0571" w:rsidRPr="00FA0571">
        <w:rPr>
          <w:rFonts w:ascii="Arial" w:hAnsi="Arial" w:cs="Arial"/>
          <w:sz w:val="22"/>
          <w:szCs w:val="22"/>
        </w:rPr>
        <w:t xml:space="preserve">Ayrıca nörotransmitterlerin nöronlar arası iletimi ile ilişkili olup, sinaptik plastisitede etkili oldukları bildirilmiştir </w:t>
      </w:r>
      <w:r w:rsidR="00BC3BBB" w:rsidRPr="00FA0571">
        <w:rPr>
          <w:rFonts w:ascii="Arial" w:hAnsi="Arial" w:cs="Arial"/>
          <w:sz w:val="22"/>
          <w:szCs w:val="22"/>
        </w:rPr>
        <w:fldChar w:fldCharType="begin" w:fldLock="1"/>
      </w:r>
      <w:r w:rsidR="005827F2">
        <w:rPr>
          <w:rFonts w:ascii="Arial" w:hAnsi="Arial" w:cs="Arial"/>
          <w:sz w:val="22"/>
          <w:szCs w:val="22"/>
        </w:rPr>
        <w:instrText>ADDIN CSL_CITATION { "citationItems" : [ { "id" : "ITEM-1", "itemData" : { "DOI" : "10.1371/journal.pone.0006011", "ISBN" : "1932-6203 (Electronic)\\r1932-6203 (Linking)", "ISSN" : "19326203", "PMID" : "19547699", "abstract" : "Disruption of the postsynaptic density (PSD), a network of scaffold proteins located in dendritic spines, is thought to be responsible for synaptic dysfunction and loss in early-stage Alzheimer's disease (AD). Extending our previous demonstration that derangement of the PSD by soluble amyloid-beta (Abeta) involves proteasomal degradation of PSD-95, a protein important for ionotropic glutamate receptor trafficking, we now show that Abeta also disrupts two other scaffold proteins, Homer1b and Shank1, that couple PSD-95 with ionotropic and metabotropic glutamate receptors. Treatment of fronto-cortical neurons with soluble Abeta results in rapid (within 1 h) and significant thinning of the PSD, decreased synaptic levels of Homer1b and Shank1, and reduced synaptic mGluR1 levels. We show that de novo protein synthesis is required for the declustering effects of Abeta on Homer1b (but not Shank1) and that, in contrast to PSD-95, Abeta-induced Homer1b and Shank1 cluster disassembly does not depend on proteasome activity. The regulation of Homer1b and Shank1 by Abeta diverges in two other respects: i) whereas the activity of both NMDAR and VDCC is required for Abeta-induced declustering of Homer1b, Abeta-induced declustering of Shank1 only requires NMDAR activity; and ii) whereas the effects of Abeta on Homer1b involve engagement of the PI-3K pathway and calcineurin phosphatase (PP2B) activity, those on Shank1 involve activation of the ERK pathway. In summary, soluble Abeta recruits discrete signalling pathways to rapidly reduce the synaptic localization of major components of the PSD and to regulate the availability of mGluR1 in the synapse.", "author" : [ { "dropping-particle" : "", "family" : "Roselli", "given" : "Francesco", "non-dropping-particle" : "", "parse-names" : false, "suffix" : "" }, { "dropping-particle" : "", "family" : "Hutzler", "given" : "Peter", "non-dropping-particle" : "", "parse-names" : false, "suffix" : "" }, { "dropping-particle" : "", "family" : "Wegerich", "given" : "Yvonne", "non-dropping-particle" : "", "parse-names" : false, "suffix" : "" }, { "dropping-particle" : "", "family" : "Livrea", "given" : "Paolo", "non-dropping-particle" : "", "parse-names" : false, "suffix" : "" }, { "dropping-particle" : "", "family" : "Almeida", "given" : "Osborne F X", "non-dropping-particle" : "", "parse-names" : false, "suffix" : "" } ], "container-title" : "PLoS ONE", "id" : "ITEM-1", "issue" : "6", "issued" : { "date-parts" : [ [ "2009" ] ] }, "title" : "Disassembly of shank and homer synaptic clusters is driven by soluble b-amyloid 1-40 through divergent NMDAR-dependent signalling pathways", "type" : "article-journal", "volume" : "4" }, "uris" : [ "http://www.mendeley.com/documents/?uuid=e50370c8-5d43-439a-9073-736ce4b67491" ] } ], "mendeley" : { "formattedCitation" : "(248)", "plainTextFormattedCitation" : "(248)", "previouslyFormattedCitation" : "(248)" }, "properties" : { "noteIndex" : 57 }, "schema" : "https://github.com/citation-style-language/schema/raw/master/csl-citation.json" }</w:instrText>
      </w:r>
      <w:r w:rsidR="00BC3BBB" w:rsidRPr="00FA0571">
        <w:rPr>
          <w:rFonts w:ascii="Arial" w:hAnsi="Arial" w:cs="Arial"/>
          <w:sz w:val="22"/>
          <w:szCs w:val="22"/>
        </w:rPr>
        <w:fldChar w:fldCharType="separate"/>
      </w:r>
      <w:r w:rsidR="00FA0571" w:rsidRPr="00FA0571">
        <w:rPr>
          <w:rFonts w:ascii="Arial" w:hAnsi="Arial" w:cs="Arial"/>
          <w:noProof/>
          <w:sz w:val="22"/>
          <w:szCs w:val="22"/>
        </w:rPr>
        <w:t>(248)</w:t>
      </w:r>
      <w:r w:rsidR="00BC3BBB" w:rsidRPr="00FA0571">
        <w:rPr>
          <w:rFonts w:ascii="Arial" w:hAnsi="Arial" w:cs="Arial"/>
          <w:sz w:val="22"/>
          <w:szCs w:val="22"/>
        </w:rPr>
        <w:fldChar w:fldCharType="end"/>
      </w:r>
      <w:r w:rsidR="00FA0571" w:rsidRPr="00FA0571">
        <w:rPr>
          <w:rFonts w:ascii="Arial" w:hAnsi="Arial" w:cs="Arial"/>
          <w:color w:val="212121"/>
          <w:sz w:val="22"/>
          <w:szCs w:val="22"/>
        </w:rPr>
        <w:t xml:space="preserve">. </w:t>
      </w:r>
      <w:r w:rsidR="00FA0571" w:rsidRPr="00FA0571">
        <w:rPr>
          <w:rFonts w:ascii="Arial" w:hAnsi="Arial" w:cs="Arial"/>
          <w:sz w:val="22"/>
          <w:szCs w:val="22"/>
          <w:shd w:val="clear" w:color="auto" w:fill="FFFFFF"/>
        </w:rPr>
        <w:t>Postsinaptik yoğunluk</w:t>
      </w:r>
      <w:r w:rsidR="00FA0571" w:rsidRPr="00FA0571">
        <w:rPr>
          <w:rFonts w:ascii="Arial" w:hAnsi="Arial" w:cs="Arial"/>
          <w:color w:val="212121"/>
          <w:sz w:val="22"/>
          <w:szCs w:val="22"/>
          <w:shd w:val="clear" w:color="auto" w:fill="FFFFFF"/>
        </w:rPr>
        <w:t xml:space="preserve"> </w:t>
      </w:r>
      <w:r w:rsidR="00FA0571" w:rsidRPr="00FA0571">
        <w:rPr>
          <w:rFonts w:ascii="Arial" w:hAnsi="Arial" w:cs="Arial"/>
          <w:sz w:val="22"/>
          <w:szCs w:val="22"/>
        </w:rPr>
        <w:t xml:space="preserve">iskele proteinleri dopaminerjik ve glutaminerjik sinyal yolakları arasındaki post-sinaptik ağın temelini oluştururlar. Bu sebeple nöropsikiyatrik bozuklukların patofizyolojisinde rol alabilecekleri belirtilmiştir </w:t>
      </w:r>
      <w:r w:rsidR="00BC3BBB" w:rsidRPr="00FA0571">
        <w:rPr>
          <w:rFonts w:ascii="Arial" w:hAnsi="Arial" w:cs="Arial"/>
          <w:sz w:val="22"/>
          <w:szCs w:val="22"/>
        </w:rPr>
        <w:fldChar w:fldCharType="begin" w:fldLock="1"/>
      </w:r>
      <w:r w:rsidR="005827F2">
        <w:rPr>
          <w:rFonts w:ascii="Arial" w:hAnsi="Arial" w:cs="Arial"/>
          <w:sz w:val="22"/>
          <w:szCs w:val="22"/>
        </w:rPr>
        <w:instrText>ADDIN CSL_CITATION { "citationItems" : [ { "id" : "ITEM-1", "itemData" : { "DOI" : "10.1007/s12035-012-8293-6", "ISBN" : "1559-1182", "ISSN" : "08937648", "PMID" : "22763587", "abstract" : "Dopamine and glutamate systems are both involved in cognitive, behavioral, and motor processes. Dysfunction of dopamine-glutamate interplay has been suggested in several psychotic diseases, above all in schizophrenia, for which there exists a need for novel medications. Intracellular calcium-dependent transduction pathways are key determinants of dopamine-glutamate interactions, which take place mainly, albeit not exclusively, in the postsynaptic density (PSD), a highly specialized postsynaptic ultrastructure. Stimulation of dopamine and glutamate receptors modulates the gene expression and the function of specific PSD proteins, the \"scaffolding\" proteins (Homer, Shank, and PSD95), belonging to a complex Ca(2+)-regulated network that integrates and converges dopamine and glutamate signaling to appropriate nuclear targets. Dysfunction of scaffolding proteins leads to severe impairment of Ca(2+)-dependent signaling, which may underlie the dopamine-glutamate aberrations putatively implicated in the pathogenesis of psychotic disorders. Antipsychotic therapy has been demonstrated to directly and indirectly affect the neuronal Ca(2+)-dependent pathways through the modulation of PSD scaffolding proteins, such as Homer, therefore influencing both dopaminergic and glutamatergic functions and enforcing Ca(2+)-mediated long-term synaptic changes. In this review, we will discuss the role of PSD scaffolding proteins in routing Ca(2+)-dependent signals to the nucleus. In particular, we will address the implication of PSD scaffolding proteins in the intracellular connections between dopamine and glutamate pathways, which involve both Ca(2+)-dependent and Ca(2+)-independent mechanisms. Finally, we will discuss how new strategies for the treatment of psychosis aim at developing antipsychotics that may impact both glutamate and dopamine signaling, and what should be the possible role of PSD scaffolding proteins.", "author" : [ { "dropping-particle" : "", "family" : "Bartolomeis", "given" : "Andrea", "non-dropping-particle" : "De", "parse-names" : false, "suffix" : "" }, { "dropping-particle" : "", "family" : "Tomasetti", "given" : "Carmine", "non-dropping-particle" : "", "parse-names" : false, "suffix" : "" } ], "container-title" : "Molecular Neurobiology", "id" : "ITEM-1", "issue" : "2", "issued" : { "date-parts" : [ [ "2012" ] ] }, "page" : "275-296", "title" : "Calcium-dependent networks in dopamine-glutamate interaction: The role of postsynaptic scaffolding proteins", "type" : "article-journal", "volume" : "46" }, "uris" : [ "http://www.mendeley.com/documents/?uuid=8a0d9dbe-1780-4028-a60c-6623daa0059e" ] } ], "mendeley" : { "formattedCitation" : "(247)", "plainTextFormattedCitation" : "(247)", "previouslyFormattedCitation" : "(247)" }, "properties" : { "noteIndex" : 57 }, "schema" : "https://github.com/citation-style-language/schema/raw/master/csl-citation.json" }</w:instrText>
      </w:r>
      <w:r w:rsidR="00BC3BBB" w:rsidRPr="00FA0571">
        <w:rPr>
          <w:rFonts w:ascii="Arial" w:hAnsi="Arial" w:cs="Arial"/>
          <w:sz w:val="22"/>
          <w:szCs w:val="22"/>
        </w:rPr>
        <w:fldChar w:fldCharType="separate"/>
      </w:r>
      <w:r w:rsidR="00FA0571" w:rsidRPr="00FA0571">
        <w:rPr>
          <w:rFonts w:ascii="Arial" w:hAnsi="Arial" w:cs="Arial"/>
          <w:noProof/>
          <w:sz w:val="22"/>
          <w:szCs w:val="22"/>
        </w:rPr>
        <w:t>(247)</w:t>
      </w:r>
      <w:r w:rsidR="00BC3BBB" w:rsidRPr="00FA0571">
        <w:rPr>
          <w:rFonts w:ascii="Arial" w:hAnsi="Arial" w:cs="Arial"/>
          <w:sz w:val="22"/>
          <w:szCs w:val="22"/>
        </w:rPr>
        <w:fldChar w:fldCharType="end"/>
      </w:r>
      <w:r w:rsidR="00FA0571" w:rsidRPr="00FA0571">
        <w:rPr>
          <w:rFonts w:ascii="Arial" w:hAnsi="Arial" w:cs="Arial"/>
          <w:sz w:val="22"/>
          <w:szCs w:val="22"/>
        </w:rPr>
        <w:t xml:space="preserve">. </w:t>
      </w:r>
      <w:r w:rsidR="00FA0571" w:rsidRPr="00FA0571">
        <w:rPr>
          <w:rFonts w:ascii="Arial" w:hAnsi="Arial" w:cs="Arial"/>
          <w:sz w:val="22"/>
          <w:szCs w:val="22"/>
          <w:shd w:val="clear" w:color="auto" w:fill="FFFFFF"/>
        </w:rPr>
        <w:t xml:space="preserve">Homer1a ekspresyonunun MGluR (metabotropic glutamate receptor) uyarılmış hücre içi Ca (+2) salımının modülasyonu, Shank-Homer1b/c etkileşimlerinin bozulması  ve postsinaptik bölge moleküler içeriğinin değişimi gibi birden fazla mekanizma aracılığıyla sinaptik yeniden düzenlemede yer alabileceği belirtilmiştir (Shank proteinleri de Homer proteinleri gibi postsinaptik yoğunlukta bulunur ve sinyal iletim sürecinde rol alır) </w:t>
      </w:r>
      <w:r w:rsidR="00BC3BBB" w:rsidRPr="00FA0571">
        <w:rPr>
          <w:rFonts w:ascii="Arial" w:hAnsi="Arial" w:cs="Arial"/>
          <w:sz w:val="22"/>
          <w:szCs w:val="22"/>
          <w:shd w:val="clear" w:color="auto" w:fill="FFFFFF"/>
        </w:rPr>
        <w:fldChar w:fldCharType="begin" w:fldLock="1"/>
      </w:r>
      <w:r w:rsidR="005827F2">
        <w:rPr>
          <w:rFonts w:ascii="Arial" w:hAnsi="Arial" w:cs="Arial"/>
          <w:sz w:val="22"/>
          <w:szCs w:val="22"/>
          <w:shd w:val="clear" w:color="auto" w:fill="FFFFFF"/>
        </w:rPr>
        <w:instrText>ADDIN CSL_CITATION { "citationItems" : [ { "id" : "ITEM-1", "itemData" : { "DOI" : "10.1016/S0896-6273(00)80810-7", "ISBN" : "0896-6273 (Print)", "ISSN" : "08966273", "PMID" : "10433269", "abstract" : "Shank is a recently described family of postsynaptic proteins that function as part of the NMDA receptor-associated PSD-95 complex (Naisbitt et al., 1999 [this issue of Neuron]). Here, we report that Shank proteins also bind to Homer. Homer proteins form multivalent complexes that bind proline- rich motifs in group 1 metabotropic glutamate receptors and inositol trisphosphate receptors, thereby coupling these receptors in a signaling complex. A single Homer-binding site is identified in Shank, and Shank and Homer coimmunoprecipitate from brain and colocalize at postsynaptic densities. Moreover, Shank clusters mGluR5 in heterologous cells in the presence of Homer and mediates the coclustering of Homer with PSD-95/GKAP. Thus, Shank may cross-link Homer and PSD-95 complexes in the PSD and play a role in the signaling mechanisms of both mGluRs and NMDA receptors.", "author" : [ { "dropping-particle" : "", "family" : "Tu", "given" : "Jian Cheng", "non-dropping-particle" : "", "parse-names" : false, "suffix" : "" }, { "dropping-particle" : "", "family" : "Xiao", "given" : "Bo", "non-dropping-particle" : "", "parse-names" : false, "suffix" : "" }, { "dropping-particle" : "", "family" : "Naisbitt", "given" : "Scott", "non-dropping-particle" : "", "parse-names" : false, "suffix" : "" }, { "dropping-particle" : "", "family" : "Yuan", "given" : "Joseph P.", "non-dropping-particle" : "", "parse-names" : false, "suffix" : "" }, { "dropping-particle" : "", "family" : "Petralia", "given" : "Ronald S.", "non-dropping-particle" : "", "parse-names" : false, "suffix" : "" }, { "dropping-particle" : "", "family" : "Brakeman", "given" : "Paul", "non-dropping-particle" : "", "parse-names" : false, "suffix" : "" }, { "dropping-particle" : "", "family" : "Doan", "given" : "Andrew", "non-dropping-particle" : "", "parse-names" : false, "suffix" : "" }, { "dropping-particle" : "", "family" : "Aakalu", "given" : "Vinay K.", "non-dropping-particle" : "", "parse-names" : false, "suffix" : "" }, { "dropping-particle" : "", "family" : "Lanahan", "given" : "Anthony A.", "non-dropping-particle" : "", "parse-names" : false, "suffix" : "" }, { "dropping-particle" : "", "family" : "Sheng", "given" : "Morgan", "non-dropping-particle" : "", "parse-names" : false, "suffix" : "" }, { "dropping-particle" : "", "family" : "Worley", "given" : "Paul F.", "non-dropping-particle" : "", "parse-names" : false, "suffix" : "" } ], "container-title" : "Neuron", "id" : "ITEM-1", "issue" : "3", "issued" : { "date-parts" : [ [ "1999" ] ] }, "page" : "583-592", "title" : "Coupling of mGluR/Homer and PSD-95 complexes by the Shank family of postsynaptic density proteins", "type" : "article-journal", "volume" : "23" }, "uris" : [ "http://www.mendeley.com/documents/?uuid=0fbbf96f-9f66-46a0-952e-f5fd82b9377a" ] }, { "id" : "ITEM-2", "itemData" : { "DOI" : "10.1007/s12035-013-8534-3", "ISBN" : "1559-1182 (Electronic)\\r0893-7648 (Linking)", "ISSN" : "08937648", "PMID" : "23999870", "abstract" : "Emerging researches point to a relevant role of postsynaptic density (PSD) proteins, such as PSD-95, Homer, Shank, and DISC-1, in the pathophysiology of schizophrenia and autism spectrum disorders. The PSD is a thickness, detectable at electronic microscopy, localized at the postsynaptic membrane of glutamatergic synapses, and made by scaffolding proteins, receptors, and effector proteins; it is considered a structural and functional crossroad where multiple neurotransmitter systems converge, including the dopaminergic, serotonergic, and glutamatergic ones, which are all implicated in the pathophysiology of psychosis. Decreased PSD-95 protein levels have been reported in postmortem brains of schizophrenia patients. Variants of Homer1, a key PSD protein for glutamate signaling, have been associated with schizophrenia symptoms severity and therapeutic response. Mutations in Shank gene have been recognized in autism spectrum disorder patients, as well as reported to be associated to behaviors reminiscent of schizophrenia symptoms when expressed in genetically engineered mice. Here, we provide a critical appraisal of PSD proteins role in the pathophysiology of schizophrenia and autism spectrum disorders. Then, we discuss how antipsychotics may affect PSD proteins in brain regions relevant to psychosis pathophysiology, possibly by controlling synaptic plasticity and dendritic spine rearrangements through the modulation of glutamate-related targets. We finally provide a framework that may explain how PSD proteins might be useful candidates to develop new therapeutic approaches for schizophrenia and related disorders in which there is a need for new biological treatments, especially against some symptom domains, such as negative symptoms, that are poorly affected by current antipsychotics.", "author" : [ { "dropping-particle" : "", "family" : "Bartolomeis", "given" : "Andrea", "non-dropping-particle" : "De", "parse-names" : false, "suffix" : "" }, { "dropping-particle" : "", "family" : "Latte", "given" : "Gianmarco", "non-dropping-particle" : "", "parse-names" : false, "suffix" : "" }, { "dropping-particle" : "", "family" : "Tomasetti", "given" : "Carmine", "non-dropping-particle" : "", "parse-names" : false, "suffix" : "" }, { "dropping-particle" : "", "family" : "Iasevoli", "given" : "Felice", "non-dropping-particle" : "", "parse-names" : false, "suffix" : "" } ], "container-title" : "Molecular Neurobiology", "id" : "ITEM-2", "issue" : "1", "issued" : { "date-parts" : [ [ "2014" ] ] }, "page" : "484-511", "title" : "Glutamatergic postsynaptic density protein dysfunctions in synaptic plasticity and dendritic spines morphology: Relevance to schizophrenia and other behavioral disorders pathophysiology, and implications for novel therapeutic approaches", "type" : "article-journal", "volume" : "49" }, "uris" : [ "http://www.mendeley.com/documents/?uuid=1b93ce3f-252b-42d5-91f8-7a3cde7f212c" ] } ], "mendeley" : { "formattedCitation" : "(306, 307)", "plainTextFormattedCitation" : "(306, 307)", "previouslyFormattedCitation" : "(306,307)" }, "properties" : { "noteIndex" : 57 }, "schema" : "https://github.com/citation-style-language/schema/raw/master/csl-citation.json" }</w:instrText>
      </w:r>
      <w:r w:rsidR="00BC3BBB" w:rsidRPr="00FA0571">
        <w:rPr>
          <w:rFonts w:ascii="Arial" w:hAnsi="Arial" w:cs="Arial"/>
          <w:sz w:val="22"/>
          <w:szCs w:val="22"/>
          <w:shd w:val="clear" w:color="auto" w:fill="FFFFFF"/>
        </w:rPr>
        <w:fldChar w:fldCharType="separate"/>
      </w:r>
      <w:r w:rsidR="005827F2" w:rsidRPr="005827F2">
        <w:rPr>
          <w:rFonts w:ascii="Arial" w:hAnsi="Arial" w:cs="Arial"/>
          <w:noProof/>
          <w:sz w:val="22"/>
          <w:szCs w:val="22"/>
          <w:shd w:val="clear" w:color="auto" w:fill="FFFFFF"/>
        </w:rPr>
        <w:t>(306, 307)</w:t>
      </w:r>
      <w:r w:rsidR="00BC3BBB" w:rsidRPr="00FA0571">
        <w:rPr>
          <w:rFonts w:ascii="Arial" w:hAnsi="Arial" w:cs="Arial"/>
          <w:sz w:val="22"/>
          <w:szCs w:val="22"/>
          <w:shd w:val="clear" w:color="auto" w:fill="FFFFFF"/>
        </w:rPr>
        <w:fldChar w:fldCharType="end"/>
      </w:r>
      <w:r w:rsidR="00FA0571" w:rsidRPr="00FA0571">
        <w:rPr>
          <w:rFonts w:ascii="Arial" w:hAnsi="Arial" w:cs="Arial"/>
          <w:color w:val="212121"/>
          <w:sz w:val="22"/>
          <w:szCs w:val="22"/>
          <w:shd w:val="clear" w:color="auto" w:fill="FFFFFF"/>
        </w:rPr>
        <w:t>.</w:t>
      </w:r>
      <w:r w:rsidR="00FA0571" w:rsidRPr="00FA0571">
        <w:rPr>
          <w:rFonts w:ascii="Arial" w:hAnsi="Arial" w:cs="Arial"/>
          <w:sz w:val="22"/>
          <w:szCs w:val="22"/>
        </w:rPr>
        <w:t xml:space="preserve"> Yapılan çalışmada Homer 1a nöronal proteininin SHR sıçan PFK'sinde ve hipokampusunda önemli ölçüde azalmış saptanmıştır</w:t>
      </w:r>
      <w:r w:rsidR="00FA0571" w:rsidRPr="00FA0571">
        <w:rPr>
          <w:rFonts w:ascii="Arial" w:hAnsi="Arial" w:cs="Arial"/>
          <w:color w:val="212121"/>
          <w:sz w:val="22"/>
          <w:szCs w:val="22"/>
        </w:rPr>
        <w:t xml:space="preserve"> </w:t>
      </w:r>
      <w:r w:rsidR="00BC3BBB" w:rsidRPr="00FA0571">
        <w:rPr>
          <w:rFonts w:ascii="Arial" w:hAnsi="Arial" w:cs="Arial"/>
          <w:color w:val="212121"/>
          <w:sz w:val="22"/>
          <w:szCs w:val="22"/>
        </w:rPr>
        <w:fldChar w:fldCharType="begin" w:fldLock="1"/>
      </w:r>
      <w:r w:rsidR="005827F2">
        <w:rPr>
          <w:rFonts w:ascii="Arial" w:hAnsi="Arial" w:cs="Arial"/>
          <w:color w:val="212121"/>
          <w:sz w:val="22"/>
          <w:szCs w:val="22"/>
        </w:rPr>
        <w:instrText>ADDIN CSL_CITATION { "citationItems" : [ { "id" : "ITEM-1", "itemData" : { "DOI" : "10.3892/mmr.2011.479", "ISBN" : "1791-3004", "ISSN" : "17912997", "PMID" : "21523321", "abstract" : "Attention-deficit/hyperactivity disorder (ADHD) is a pervasive neurobehavioral disorder. We previously demonstrated differential expression of some isoforms of Homer, a family of scaffolding proteins localized to the postsynaptic density of glutamatergic excitatory synapses, in the spontaneous hypertensive rat (SHR), which is the most frequently used animal model of ADHD. Since these changes were observed in the prefrontal cortex (PFC), a critical structure in ADHD, it was hypothesized that these Homer isoforms may play a role in ADHD. The present study aimed to extend these findings to the hippocampus, which has direct connections to the PFC and subserves attention and cognition, two functions that are disturbed in ADHD. Hippocampal mRNA and protein expression of several Homer isoforms were investigated in both SHR and control Wistar-Kyoto (WKY) rats using reverse transcription-polymerase chain reaction and Western blotting, respectively. Both mRNA and protein for Homer 1a and Homer 2a/b, but not Homer 1b/c, were expressed at significantly lower levels in the hippocampus of SHR compared to WKY rats. The effects of methylphenidate (MPH) on spatial learning and memory in SHRs were also examined using the Morris water maze and on hippocampal expression of Homer isoforms. MPH improved spatial learning and memory and up-regulated hippocampal expression of Homer 1a and Homer 2a/b, but not Homer 1b/c, in SHRs. The animal model of ADHD may have altered expression of Homer 1a and Homer 2a/b in the hippocampus, in addition to the PFC. Future studies will focus on elucidating the specific mechanisms of Homer 1a and Homer 2a/b in ADHD.", "author" : [ { "dropping-particle" : "", "family" : "Hong", "given" : "Qin", "non-dropping-particle" : "", "parse-names" : false, "suffix" : "" }, { "dropping-particle" : "", "family" : "Wang", "given" : "Yan Ping", "non-dropping-particle" : "", "parse-names" : false, "suffix" : "" }, { "dropping-particle" : "", "family" : "Zhang", "given" : "Min", "non-dropping-particle" : "", "parse-names" : false, "suffix" : "" }, { "dropping-particle" : "", "family" : "Pan", "given" : "Xiao Qin", "non-dropping-particle" : "", "parse-names" : false, "suffix" : "" }, { "dropping-particle" : "", "family" : "Guo", "given" : "Mei", "non-dropping-particle" : "", "parse-names" : false, "suffix" : "" }, { "dropping-particle" : "", "family" : "Li", "given" : "Fei", "non-dropping-particle" : "", "parse-names" : false, "suffix" : "" }, { "dropping-particle" : "", "family" : "Tong", "given" : "Mei Ling", "non-dropping-particle" : "", "parse-names" : false, "suffix" : "" }, { "dropping-particle" : "", "family" : "Chen", "given" : "Rong Hua", "non-dropping-particle" : "", "parse-names" : false, "suffix" : "" }, { "dropping-particle" : "", "family" : "Guo", "given" : "Xi Rong", "non-dropping-particle" : "", "parse-names" : false, "suffix" : "" }, { "dropping-particle" : "", "family" : "Chi", "given" : "Xia", "non-dropping-particle" : "", "parse-names" : false, "suffix" : "" } ], "container-title" : "Molecular Medicine Reports", "id" : "ITEM-1", "issue" : "4", "issued" : { "date-parts" : [ [ "2011" ] ] }, "page" : "705-712", "title" : "Homer expression in the hippocampus of an animal model of attention-deficit/hyperactivity disorder", "type" : "article-journal", "volume" : "4" }, "uris" : [ "http://www.mendeley.com/documents/?uuid=55e7a718-1bf3-4e87-8788-6f7a42c94b6d" ] }, { "id" : "ITEM-2", "itemData" : { "DOI" : "10.1016/j.jns.2009.07.024", "ISBN" : "1878-5883 (Electronic)\\r0022-510X (Linking)", "ISSN" : "0022510X", "PMID" : "19709672", "abstract" : "Background: Attention-deficit/hyperactivity disorder (ADHD) is a pervasive neurobehavioral disorder affecting approximately 5% of children and adolescents and 3% of adults, and the prefrontal cortex (PFC) may play the most critical role in the expression of ADHD. Converging previous studies indicate a potential role of Homer - a scaffolding protein family localized at the postsynaptic density (PSD) of glutamatergic excitatory synapses - in behavioral pathologies associated with neuropsychiatric disorders. Accordingly, we speculate that these Homer isoforms might contribute to the etiology and development of ADHD. Method: We investigated the differential mRNA and protein expressions of several Homer isoforms in the PFC of the spontaneous hypertensive rat/Wistar-Kyoto rats (SHR/WKY), the most frequently used animal model of ADHD, using RT-PCR and western blotting. Furthermore, we examined the effects of methylphenidate (MPH) exposure on the behaviors and the expression of different Homer isoforms in the PFC of SHR, using L??t maze, RT-PCR and western blotting, respectively. Results: Homer 1a and Homer 2a/b, but not Homer 1b/c, were expressed at a significantly lower levels in the PFC of SHR compared with WKY. MPH exposure decreased the locomotor activity and non-selective attention of SHR, and it up regulated the expression of Homer 1a and Homer 2a/b, but not Homer 1b/c, in the PFC of SHR. Conclusion: It is plausible that Homer 1a and Homer 2a/b may be involved in the etiology and pathogenesis of ADHD. Future work will focus on elucidating the specific mechanisms of Homer 1a and Homer 2a/b in ADHD. ?? 2009 Elsevier B.V. All rights reserved.", "author" : [ { "dropping-particle" : "", "family" : "Hong", "given" : "Qin", "non-dropping-particle" : "", "parse-names" : false, "suffix" : "" }, { "dropping-particle" : "", "family" : "Zhang", "given" : "Min", "non-dropping-particle" : "", "parse-names" : false, "suffix" : "" }, { "dropping-particle" : "", "family" : "Pan", "given" : "Xiao qin", "non-dropping-particle" : "", "parse-names" : false, "suffix" : "" }, { "dropping-particle" : "", "family" : "Guo", "given" : "Mei", "non-dropping-particle" : "", "parse-names" : false, "suffix" : "" }, { "dropping-particle" : "", "family" : "Li", "given" : "Fei", "non-dropping-particle" : "", "parse-names" : false, "suffix" : "" }, { "dropping-particle" : "", "family" : "Tong", "given" : "Mei ling", "non-dropping-particle" : "", "parse-names" : false, "suffix" : "" }, { "dropping-particle" : "", "family" : "Chen", "given" : "Rong hua", "non-dropping-particle" : "", "parse-names" : false, "suffix" : "" }, { "dropping-particle" : "", "family" : "Guo", "given" : "Xi rong", "non-dropping-particle" : "", "parse-names" : false, "suffix" : "" }, { "dropping-particle" : "", "family" : "Chi", "given" : "Xia", "non-dropping-particle" : "", "parse-names" : false, "suffix" : "" } ], "container-title" : "Journal of the Neurological Sciences", "id" : "ITEM-2", "issue" : "1-2", "issued" : { "date-parts" : [ [ "2009" ] ] }, "page" : "205-211", "title" : "Prefrontal cortex Homer expression in an animal model of attention-deficit/hyperactivity disorder", "type" : "article-journal", "volume" : "287" }, "uris" : [ "http://www.mendeley.com/documents/?uuid=f6d3b125-7ccd-4ceb-b78c-36f19ca5e672" ] }, { "id" : "ITEM-3", "itemData" : { "DOI" : "10.1007/s11033-009-9596-1", "ISBN" : "1573-4978 (Electronic)\\r0301-4851 (Linking)", "ISSN" : "03014851", "PMID" : "19572212", "abstract" : "We have undertaken cDNA microarrays to identify differentially expressed genes in the prefrontal cortex (PFC) of spontaneously hypertensive-rat (SHR), a rodent model of attention deficit hyperactivity disorder (ADHD) versus control Wistar-Kyoto (WKY) rats. The analysis of the gene expression profiles indicated that 57 genes were up-regulated and 97 genes were down-regulated in the PFC of SHR. These predominately expressed genes included genes involved in neural development, immunity, transcription factor, monoamine neurotransmitter, metabolism, signal transduction, apoptosis and so on. Although more detailed analyses are necessary, it is anticipated that further study of genes identified will provide insights into their specific roles in the etiology of ADHD.", "author" : [ { "dropping-particle" : "", "family" : "Qiu", "given" : "Jie", "non-dropping-particle" : "", "parse-names" : false, "suffix" : "" }, { "dropping-particle" : "", "family" : "Hong", "given" : "Qin", "non-dropping-particle" : "", "parse-names" : false, "suffix" : "" }, { "dropping-particle" : "", "family" : "Chen", "given" : "Rong Hua", "non-dropping-particle" : "", "parse-names" : false, "suffix" : "" }, { "dropping-particle" : "", "family" : "Tong", "given" : "Mei Ling", "non-dropping-particle" : "", "parse-names" : false, "suffix" : "" }, { "dropping-particle" : "", "family" : "Zhang", "given" : "Min", "non-dropping-particle" : "", "parse-names" : false, "suffix" : "" }, { "dropping-particle" : "", "family" : "Fei", "given" : "Li", "non-dropping-particle" : "", "parse-names" : false, "suffix" : "" }, { "dropping-particle" : "", "family" : "Pan", "given" : "Xiao Qin", "non-dropping-particle" : "", "parse-names" : false, "suffix" : "" }, { "dropping-particle" : "", "family" : "Guo", "given" : "Mei", "non-dropping-particle" : "", "parse-names" : false, "suffix" : "" }, { "dropping-particle" : "", "family" : "Guo", "given" : "Xi Rong", "non-dropping-particle" : "", "parse-names" : false, "suffix" : "" }, { "dropping-particle" : "", "family" : "Chi", "given" : "Xia", "non-dropping-particle" : "", "parse-names" : false, "suffix" : "" } ], "container-title" : "Molecular Biology Reports", "id" : "ITEM-3", "issue" : "4", "issued" : { "date-parts" : [ [ "2010" ] ] }, "page" : "1733-1740", "title" : "Gene expression profiles in the prefrontal cortex of SHR rats by cDNA microarrays", "type" : "article-journal", "volume" : "37" }, "uris" : [ "http://www.mendeley.com/documents/?uuid=e1c934eb-c36d-4b94-81d7-5ccf5154a36c" ] } ], "mendeley" : { "formattedCitation" : "(245, 308, 309)", "plainTextFormattedCitation" : "(245, 308, 309)", "previouslyFormattedCitation" : "(245,308,309)" }, "properties" : { "noteIndex" : 57 }, "schema" : "https://github.com/citation-style-language/schema/raw/master/csl-citation.json" }</w:instrText>
      </w:r>
      <w:r w:rsidR="00BC3BBB" w:rsidRPr="00FA0571">
        <w:rPr>
          <w:rFonts w:ascii="Arial" w:hAnsi="Arial" w:cs="Arial"/>
          <w:color w:val="212121"/>
          <w:sz w:val="22"/>
          <w:szCs w:val="22"/>
        </w:rPr>
        <w:fldChar w:fldCharType="separate"/>
      </w:r>
      <w:r w:rsidR="005827F2" w:rsidRPr="005827F2">
        <w:rPr>
          <w:rFonts w:ascii="Arial" w:hAnsi="Arial" w:cs="Arial"/>
          <w:noProof/>
          <w:color w:val="212121"/>
          <w:sz w:val="22"/>
          <w:szCs w:val="22"/>
        </w:rPr>
        <w:t>(245, 308, 309)</w:t>
      </w:r>
      <w:r w:rsidR="00BC3BBB" w:rsidRPr="00FA0571">
        <w:rPr>
          <w:rFonts w:ascii="Arial" w:hAnsi="Arial" w:cs="Arial"/>
          <w:color w:val="212121"/>
          <w:sz w:val="22"/>
          <w:szCs w:val="22"/>
        </w:rPr>
        <w:fldChar w:fldCharType="end"/>
      </w:r>
      <w:r w:rsidR="00FA0571" w:rsidRPr="00FA0571">
        <w:rPr>
          <w:rFonts w:ascii="Arial" w:hAnsi="Arial" w:cs="Arial"/>
          <w:color w:val="212121"/>
          <w:sz w:val="22"/>
          <w:szCs w:val="22"/>
        </w:rPr>
        <w:t xml:space="preserve">.  </w:t>
      </w:r>
      <w:r w:rsidR="00FA0571" w:rsidRPr="00FA0571">
        <w:rPr>
          <w:rFonts w:ascii="Arial" w:hAnsi="Arial" w:cs="Arial"/>
          <w:sz w:val="22"/>
          <w:szCs w:val="22"/>
        </w:rPr>
        <w:t>Ayrıca</w:t>
      </w:r>
      <w:r w:rsidR="00FA0571" w:rsidRPr="00FA0571">
        <w:rPr>
          <w:rFonts w:ascii="Arial" w:hAnsi="Arial" w:cs="Arial"/>
          <w:color w:val="4F81BD" w:themeColor="accent1"/>
          <w:sz w:val="22"/>
          <w:szCs w:val="22"/>
        </w:rPr>
        <w:t xml:space="preserve"> </w:t>
      </w:r>
      <w:r w:rsidR="00FA0571" w:rsidRPr="00FA0571">
        <w:rPr>
          <w:rFonts w:ascii="Arial" w:hAnsi="Arial" w:cs="Arial"/>
          <w:sz w:val="22"/>
          <w:szCs w:val="22"/>
        </w:rPr>
        <w:t xml:space="preserve">Homer 1 knock out farelerde öğrenmede ve çalışma belleğinde bozulma gözlendiği </w:t>
      </w:r>
      <w:r w:rsidR="00BC3BBB" w:rsidRPr="00FA0571">
        <w:rPr>
          <w:rFonts w:ascii="Arial" w:hAnsi="Arial" w:cs="Arial"/>
          <w:sz w:val="22"/>
          <w:szCs w:val="22"/>
        </w:rPr>
        <w:fldChar w:fldCharType="begin" w:fldLock="1"/>
      </w:r>
      <w:r w:rsidR="005827F2">
        <w:rPr>
          <w:rFonts w:ascii="Arial" w:hAnsi="Arial" w:cs="Arial"/>
          <w:sz w:val="22"/>
          <w:szCs w:val="22"/>
        </w:rPr>
        <w:instrText>ADDIN CSL_CITATION { "citationItems" : [ { "id" : "ITEM-1", "itemData" : { "DOI" : "10.1111/j.1601-183X.2005.00120.x", "ISBN" : "1601-1848 (Print)\\n1601-183X (Linking)", "ISSN" : "16011848", "PMID" : "16011574", "abstract" : "Homer proteins are involved in the functional assembly of postsynaptic density proteins at glutamatergic synapses and are implicated in learning, memory and drug addiction. Here, we report that Homer1-knockout (Homer1-KO) mice exhibit behavioral and neurochemical abnormalities that are consistent with the animal models of schizophrenia. Relative to wild-type mice, Homer1-KO mice exhibited deficits in radial arm maze performance, impaired prepulse inhibition, enhanced 'behavioral despair', increased anxiety in a novel objects test, enhanced reactivity to novel environments, decreased instrumental responding for sucrose and enhanced MK-801- and methamphetamine-stimulated motor behavior. No-net-flux in vivo microdialysis revealed a decrease in extracellular glutamate content in the nucleus accumbens and an increase in the prefrontal cortex. Moreover, in Homer1-KO mice, cocaine did not stimulate a rise in frontal cortex extracellular glutamate levels, suggesting hypofrontality. These behavioral and neurochemical data derived from Homer1 mutant mice are consistent with the recent association of schizophrenia with a single-nucleotide polymorphism in the Homer1 gene and suggest that the regulation of extracellular levels of glutamate within limbo-corticostriatal structures by Homer1 gene products may be involved in the pathogenesis of this neuropsychiatric disorder.", "author" : [ { "dropping-particle" : "", "family" : "Szumlinski", "given" : "K. K.", "non-dropping-particle" : "", "parse-names" : false, "suffix" : "" }, { "dropping-particle" : "", "family" : "Lominac", "given" : "K. D.", "non-dropping-particle" : "", "parse-names" : false, "suffix" : "" }, { "dropping-particle" : "", "family" : "Kleschen", "given" : "M. J.", "non-dropping-particle" : "", "parse-names" : false, "suffix" : "" }, { "dropping-particle" : "", "family" : "Oleson", "given" : "E. B.", "non-dropping-particle" : "", "parse-names" : false, "suffix" : "" }, { "dropping-particle" : "", "family" : "Dehoff", "given" : "M. H.", "non-dropping-particle" : "", "parse-names" : false, "suffix" : "" }, { "dropping-particle" : "", "family" : "Schwartz", "given" : "M. K.", "non-dropping-particle" : "", "parse-names" : false, "suffix" : "" }, { "dropping-particle" : "", "family" : "Seeberg", "given" : "P. H.", "non-dropping-particle" : "", "parse-names" : false, "suffix" : "" }, { "dropping-particle" : "", "family" : "Worley", "given" : "P. F.", "non-dropping-particle" : "", "parse-names" : false, "suffix" : "" }, { "dropping-particle" : "", "family" : "Kalivas", "given" : "P. W.", "non-dropping-particle" : "", "parse-names" : false, "suffix" : "" } ], "container-title" : "Genes, Brain and Behavior", "id" : "ITEM-1", "issue" : "5", "issued" : { "date-parts" : [ [ "2005" ] ] }, "page" : "273-288", "title" : "Behavioral and neurochemical phenotyping of Homer1 mutant mice: Possible relevance to schizophrenia", "type" : "article-journal", "volume" : "4" }, "uris" : [ "http://www.mendeley.com/documents/?uuid=7e1490d0-b9df-49d2-a1dd-21ffc94c073e" ] }, { "id" : "ITEM-2", "itemData" : { "DOI" : "10.1111/j.1601-183X.2006.00240.x", "ISBN" : "1601-1848 (Print)\\r1601-183X (Linking)", "ISSN" : "16011848", "PMID" : "16734773", "abstract" : "Proteins of the Homer1 immediate early gene family have been associated with synaptogenesis and synaptic plasticity suggesting broad behavioral consequences of loss of function. This study examined the behavior of male Homer1 knockout (KO) mice compared with wild-type (WT) and heterozygous mice using a battery of 10 behavioral tests probing sensory, motor, social, emotional and learning/memory functions. KO mice showed mild somatic growth retardation, poor motor coordination, enhanced sensory reactivity and learning deficits. Heterozygous mice showed increased aggression in social interactions with conspecifics. The distribution of mGluR5 and N-methyl-D-aspartate receptors (NMDA) receptors appeared to be unaltered in the hippocampus (HIP) of Homer1 KO mice. The results indicate an extensive range of disrupted behaviors that should contribute to the understanding of the Homer1 gene in brain development and behavior.", "author" : [ { "dropping-particle" : "", "family" : "Jaubert", "given" : "P. J.", "non-dropping-particle" : "", "parse-names" : false, "suffix" : "" }, { "dropping-particle" : "", "family" : "Golub", "given" : "M. S.", "non-dropping-particle" : "", "parse-names" : false, "suffix" : "" }, { "dropping-particle" : "", "family" : "Lo", "given" : "Y. Y.", "non-dropping-particle" : "", "parse-names" : false, "suffix" : "" }, { "dropping-particle" : "", "family" : "Germann", "given" : "S. L.", "non-dropping-particle" : "", "parse-names" : false, "suffix" : "" }, { "dropping-particle" : "", "family" : "Dehoff", "given" : "M. H.", "non-dropping-particle" : "", "parse-names" : false, "suffix" : "" }, { "dropping-particle" : "", "family" : "Worley", "given" : "P. F.", "non-dropping-particle" : "", "parse-names" : false, "suffix" : "" }, { "dropping-particle" : "", "family" : "Kang", "given" : "S. H.", "non-dropping-particle" : "", "parse-names" : false, "suffix" : "" }, { "dropping-particle" : "", "family" : "Schwarz", "given" : "M. K.", "non-dropping-particle" : "", "parse-names" : false, "suffix" : "" }, { "dropping-particle" : "", "family" : "Seeburg", "given" : "P. H.", "non-dropping-particle" : "", "parse-names" : false, "suffix" : "" }, { "dropping-particle" : "", "family" : "Berman", "given" : "R. F.", "non-dropping-particle" : "", "parse-names" : false, "suffix" : "" } ], "container-title" : "Genes, Brain and Behavior", "id" : "ITEM-2", "issue" : "2", "issued" : { "date-parts" : [ [ "2007" ] ] }, "page" : "141-154", "title" : "Complex, multimodal behavioral profile of the Homer1 knockout mouse", "type" : "article-journal", "volume" : "6" }, "uris" : [ "http://www.mendeley.com/documents/?uuid=9707586b-69f0-4f6a-adad-a1543773ce39" ] } ], "mendeley" : { "formattedCitation" : "(249, 250)", "plainTextFormattedCitation" : "(249, 250)", "previouslyFormattedCitation" : "(249,250)" }, "properties" : { "noteIndex" : 57 }, "schema" : "https://github.com/citation-style-language/schema/raw/master/csl-citation.json" }</w:instrText>
      </w:r>
      <w:r w:rsidR="00BC3BBB" w:rsidRPr="00FA0571">
        <w:rPr>
          <w:rFonts w:ascii="Arial" w:hAnsi="Arial" w:cs="Arial"/>
          <w:sz w:val="22"/>
          <w:szCs w:val="22"/>
        </w:rPr>
        <w:fldChar w:fldCharType="separate"/>
      </w:r>
      <w:r w:rsidR="005827F2" w:rsidRPr="005827F2">
        <w:rPr>
          <w:rFonts w:ascii="Arial" w:hAnsi="Arial" w:cs="Arial"/>
          <w:noProof/>
          <w:sz w:val="22"/>
          <w:szCs w:val="22"/>
        </w:rPr>
        <w:t>(249, 250)</w:t>
      </w:r>
      <w:r w:rsidR="00BC3BBB" w:rsidRPr="00FA0571">
        <w:rPr>
          <w:rFonts w:ascii="Arial" w:hAnsi="Arial" w:cs="Arial"/>
          <w:sz w:val="22"/>
          <w:szCs w:val="22"/>
        </w:rPr>
        <w:fldChar w:fldCharType="end"/>
      </w:r>
      <w:r w:rsidR="00FA0571" w:rsidRPr="00FA0571">
        <w:rPr>
          <w:rFonts w:ascii="Arial" w:hAnsi="Arial" w:cs="Arial"/>
          <w:sz w:val="22"/>
          <w:szCs w:val="22"/>
        </w:rPr>
        <w:t xml:space="preserve">, Homer1a ekspresyonun artışının ise kognitif işlevleri iyileştirdiği bildirilmiştir </w:t>
      </w:r>
      <w:r w:rsidR="00BC3BBB" w:rsidRPr="00FA0571">
        <w:rPr>
          <w:rFonts w:ascii="Arial" w:hAnsi="Arial" w:cs="Arial"/>
          <w:sz w:val="22"/>
          <w:szCs w:val="22"/>
        </w:rPr>
        <w:fldChar w:fldCharType="begin" w:fldLock="1"/>
      </w:r>
      <w:r w:rsidR="005827F2">
        <w:rPr>
          <w:rFonts w:ascii="Arial" w:hAnsi="Arial" w:cs="Arial"/>
          <w:sz w:val="22"/>
          <w:szCs w:val="22"/>
        </w:rPr>
        <w:instrText>ADDIN CSL_CITATION { "citationItems" : [ { "id" : "ITEM-1", "itemData" : { "DOI" : "25/50/11586 [pii]\\r10.1523/JNEUROSCI.3764-05.2005", "ISBN" : "1529-2401 (Electronic)\\r0270-6474 (Linking)", "ISSN" : "1529-2401", "PMID" : "16354916", "abstract" : "Homer1 mutant mice exhibit behavioral and neurochemical abnormalities that are consistent with an animal model of schizophrenia. Because the Homer1 gene encodes both immediate early gene (IEG) and constitutively expressed (CC) gene products, we used the local infusion of adeno-associated viral vectors carrying different Homer1 transcriptional variants into the prefrontal cortex (PFC) to distinguish between the roles for IEG and CC Homer1 isoforms in the \"schizophrenia-like\" phenotype of Homer1 mutant mice. PFC overexpression of the IEG Homer1 isoform Homer1a reversed the genotypic differences in behavioral adaptation to repeated stress, whereas overexpression of the constitutively expressed Homer1 isoform Homer1c reversed the genotypic differences in sensorimotor and cognitive processing, as well as cocaine behavioral sensitivity. Homer1a overexpression did not influence PFC basal glutamate content but blunted the glutamate response to cocaine in wild-type mice. In contrast, Homer1c overexpression reversed the genotypic difference in PFC basal glutamate content and enhanced cocaine-induced elevations in glutamate. These data demonstrate active and distinct roles for Homer1a and Homer1c isoforms in the PFC in the mediation of behavior, in the maintenance of basal extracellular glutamate, and in the regulation of PFC glutamate release relevant to schizophrenia and stimulant abuse comorbidity.", "author" : [ { "dropping-particle" : "", "family" : "Lominac", "given" : "K D", "non-dropping-particle" : "", "parse-names" : false, "suffix" : "" }, { "dropping-particle" : "", "family" : "Oleson", "given" : "E B", "non-dropping-particle" : "", "parse-names" : false, "suffix" : "" }, { "dropping-particle" : "", "family" : "Pava", "given" : "M", "non-dropping-particle" : "", "parse-names" : false, "suffix" : "" }, { "dropping-particle" : "", "family" : "Klugmann", "given" : "M", "non-dropping-particle" : "", "parse-names" : false, "suffix" : "" }, { "dropping-particle" : "", "family" : "Schwarz", "given" : "M K", "non-dropping-particle" : "", "parse-names" : false, "suffix" : "" }, { "dropping-particle" : "", "family" : "Seeburg", "given" : "P H", "non-dropping-particle" : "", "parse-names" : false, "suffix" : "" }, { "dropping-particle" : "", "family" : "During", "given" : "M J", "non-dropping-particle" : "", "parse-names" : false, "suffix" : "" }, { "dropping-particle" : "", "family" : "Worley", "given" : "P F", "non-dropping-particle" : "", "parse-names" : false, "suffix" : "" }, { "dropping-particle" : "", "family" : "Kalivas", "given" : "P W", "non-dropping-particle" : "", "parse-names" : false, "suffix" : "" }, { "dropping-particle" : "", "family" : "Szumlinski", "given" : "K K", "non-dropping-particle" : "", "parse-names" : false, "suffix" : "" } ], "container-title" : "J Neurosci", "id" : "ITEM-1", "issue" : "50", "issued" : { "date-parts" : [ [ "2005" ] ] }, "page" : "11586-11594", "title" : "Distinct roles for different Homer1 isoforms in behaviors and associated prefrontal cortex function", "type" : "article-journal", "volume" : "25" }, "uris" : [ "http://www.mendeley.com/documents/?uuid=d5f5584e-9ae1-4f97-8434-9d1e8a2a79cd" ] } ], "mendeley" : { "formattedCitation" : "(251)", "plainTextFormattedCitation" : "(251)", "previouslyFormattedCitation" : "(251)" }, "properties" : { "noteIndex" : 57 }, "schema" : "https://github.com/citation-style-language/schema/raw/master/csl-citation.json" }</w:instrText>
      </w:r>
      <w:r w:rsidR="00BC3BBB" w:rsidRPr="00FA0571">
        <w:rPr>
          <w:rFonts w:ascii="Arial" w:hAnsi="Arial" w:cs="Arial"/>
          <w:sz w:val="22"/>
          <w:szCs w:val="22"/>
        </w:rPr>
        <w:fldChar w:fldCharType="separate"/>
      </w:r>
      <w:r w:rsidR="00FA0571" w:rsidRPr="00FA0571">
        <w:rPr>
          <w:rFonts w:ascii="Arial" w:hAnsi="Arial" w:cs="Arial"/>
          <w:noProof/>
          <w:sz w:val="22"/>
          <w:szCs w:val="22"/>
        </w:rPr>
        <w:t>(251)</w:t>
      </w:r>
      <w:r w:rsidR="00BC3BBB" w:rsidRPr="00FA0571">
        <w:rPr>
          <w:rFonts w:ascii="Arial" w:hAnsi="Arial" w:cs="Arial"/>
          <w:sz w:val="22"/>
          <w:szCs w:val="22"/>
        </w:rPr>
        <w:fldChar w:fldCharType="end"/>
      </w:r>
      <w:r w:rsidR="00FA0571" w:rsidRPr="00FA0571">
        <w:rPr>
          <w:rFonts w:ascii="Arial" w:hAnsi="Arial" w:cs="Arial"/>
          <w:sz w:val="22"/>
          <w:szCs w:val="22"/>
        </w:rPr>
        <w:t xml:space="preserve">. Uzun dönem potensiyalizasyonu (LTP) hippokampusta hafıza ve öğrenmenin kabul edilen </w:t>
      </w:r>
      <w:r w:rsidR="00FA0571" w:rsidRPr="00FA0571">
        <w:rPr>
          <w:rFonts w:ascii="Arial" w:hAnsi="Arial" w:cs="Arial"/>
          <w:sz w:val="22"/>
          <w:szCs w:val="22"/>
        </w:rPr>
        <w:lastRenderedPageBreak/>
        <w:t xml:space="preserve">hücre sinaps modelidir, ayrıca Homer1a ekspresyonunu artırdığı gösterilmiştir </w:t>
      </w:r>
      <w:r w:rsidR="00BC3BBB" w:rsidRPr="00FA0571">
        <w:rPr>
          <w:rFonts w:ascii="Arial" w:hAnsi="Arial" w:cs="Arial"/>
          <w:sz w:val="22"/>
          <w:szCs w:val="22"/>
        </w:rPr>
        <w:fldChar w:fldCharType="begin" w:fldLock="1"/>
      </w:r>
      <w:r w:rsidR="00FA0571" w:rsidRPr="00FA0571">
        <w:rPr>
          <w:rFonts w:ascii="Arial" w:hAnsi="Arial" w:cs="Arial"/>
          <w:sz w:val="22"/>
          <w:szCs w:val="22"/>
        </w:rPr>
        <w:instrText>ADDIN CSL_CITATION { "citationItems" : [ { "id" : "ITEM-1", "itemData" : { "DOI" : "10.1016/j.neuroscience.2007.09.081", "ISSN" : "0306-4522", "PMID" : "18006237", "abstract" : "Activity-dependent re-organizations of central synapses are thought to play important roles in learning and memory. Although the precise mechanisms of how neuronal activities modify synaptic connections remain to be elucidated, the activity-induced neuronal proteins such as Homer1a may contribute to the onset of synaptic remodeling. To further understand the physiological roles of Homer1a, we first examined prolonged effects of neuronal stimulation capable of inducing Homer1a on the distribution of a postsynaptic protein Homer1c by live imaging and immunostaining. We found that glutamate stimulation induced a biphasic change in the distribution of Homer1c, in which the postsynaptic clusters of Homer1c defused initially after 30 min to 1 h, and then reassembled more than the original level after 4-8 h. When other synaptic proteins (postsynaptic density-95 (PSD95), Filamentous actin (F-actin), glutamate receptors, synaptotagmin, synaptophysin and synapsin) were analyzed by immunocytochemical methods, the distribution of these proteins also showed a similar biphasic pattern, suggesting that glutamate stimulation induces a global alteration in synaptic structures. To further dissect the functions of Homer1a in the activity-induced synaptic remodeling, the short hairpin RNA (shRNA) vectors that specifically block the expression of endogenous Homer1a were constructed. When the shRNA of Homer1a was introduced to the cells, the activity-induced changes were almost completely suppressed. The expression of surface glutamate receptor 2 was also inhibited, suggesting that Homer1a may modulate the efficacy of synaptic transmission. Furthermore, we found that Homer1a contributes to the presynaptic remodeling in a retrograde manner. Our data indicate that Homer1a regulates the activity-induced biphasic changes of post- and pre-synaptic sites.", "author" : [ { "dropping-particle" : "", "family" : "Inoue", "given" : "Y", "non-dropping-particle" : "", "parse-names" : false, "suffix" : "" }, { "dropping-particle" : "", "family" : "Udo", "given" : "H", "non-dropping-particle" : "", "parse-names" : false, "suffix" : "" }, { "dropping-particle" : "", "family" : "Inokuchi", "given" : "K", "non-dropping-particle" : "", "parse-names" : false, "suffix" : "" }, { "dropping-particle" : "", "family" : "Sugiyama", "given" : "H", "non-dropping-particle" : "", "parse-names" : false, "suffix" : "" } ], "container-title" : "Neuroscience", "id" : "ITEM-1", "issue" : "4", "issued" : { "date-parts" : [ [ "2007", "12", "19" ] ] }, "page" : "841-52", "title" : "Homer1a regulates the activity-induced remodeling of synaptic structures in cultured hippocampal neurons.", "type" : "article-journal", "volume" : "150" }, "uris" : [ "http://www.mendeley.com/documents/?uuid=742a0ebc-b1b4-3cbc-a5b9-0b68bd332a56" ] } ], "mendeley" : { "formattedCitation" : "(310)", "plainTextFormattedCitation" : "(310)", "previouslyFormattedCitation" : "(310)" }, "properties" : { "noteIndex" : 57 }, "schema" : "https://github.com/citation-style-language/schema/raw/master/csl-citation.json" }</w:instrText>
      </w:r>
      <w:r w:rsidR="00BC3BBB" w:rsidRPr="00FA0571">
        <w:rPr>
          <w:rFonts w:ascii="Arial" w:hAnsi="Arial" w:cs="Arial"/>
          <w:sz w:val="22"/>
          <w:szCs w:val="22"/>
        </w:rPr>
        <w:fldChar w:fldCharType="separate"/>
      </w:r>
      <w:r w:rsidR="00FA0571" w:rsidRPr="00FA0571">
        <w:rPr>
          <w:rFonts w:ascii="Arial" w:hAnsi="Arial" w:cs="Arial"/>
          <w:noProof/>
          <w:sz w:val="22"/>
          <w:szCs w:val="22"/>
        </w:rPr>
        <w:t>(310)</w:t>
      </w:r>
      <w:r w:rsidR="00BC3BBB" w:rsidRPr="00FA0571">
        <w:rPr>
          <w:rFonts w:ascii="Arial" w:hAnsi="Arial" w:cs="Arial"/>
          <w:sz w:val="22"/>
          <w:szCs w:val="22"/>
        </w:rPr>
        <w:fldChar w:fldCharType="end"/>
      </w:r>
      <w:r w:rsidR="00FA0571" w:rsidRPr="00FA0571">
        <w:rPr>
          <w:rFonts w:ascii="Arial" w:hAnsi="Arial" w:cs="Arial"/>
          <w:sz w:val="22"/>
          <w:szCs w:val="22"/>
        </w:rPr>
        <w:t>.</w:t>
      </w:r>
      <w:r w:rsidR="00FA0571" w:rsidRPr="00FA0571">
        <w:rPr>
          <w:sz w:val="22"/>
          <w:szCs w:val="22"/>
        </w:rPr>
        <w:t xml:space="preserve"> </w:t>
      </w:r>
      <w:r w:rsidR="00FA0571" w:rsidRPr="00FA0571">
        <w:rPr>
          <w:rFonts w:ascii="Arial" w:hAnsi="Arial" w:cs="Arial"/>
          <w:sz w:val="22"/>
          <w:szCs w:val="22"/>
        </w:rPr>
        <w:t>Yang ve ark. sıçanlarda yaptıkları çalışmada intraserebroventriküler enjeksiyon ile yapay Homer1a</w:t>
      </w:r>
      <w:r w:rsidR="00E86A9C">
        <w:rPr>
          <w:rFonts w:ascii="Arial" w:hAnsi="Arial" w:cs="Arial"/>
          <w:sz w:val="22"/>
          <w:szCs w:val="22"/>
        </w:rPr>
        <w:t>’ya</w:t>
      </w:r>
      <w:r w:rsidR="00FA0571" w:rsidRPr="00FA0571">
        <w:rPr>
          <w:rFonts w:ascii="Arial" w:hAnsi="Arial" w:cs="Arial"/>
          <w:sz w:val="22"/>
          <w:szCs w:val="22"/>
        </w:rPr>
        <w:t xml:space="preserve"> </w:t>
      </w:r>
      <w:r w:rsidR="00E86A9C" w:rsidRPr="00FA0571">
        <w:rPr>
          <w:rFonts w:ascii="Arial" w:hAnsi="Arial" w:cs="Arial"/>
          <w:sz w:val="22"/>
          <w:szCs w:val="22"/>
        </w:rPr>
        <w:t xml:space="preserve">spesifik </w:t>
      </w:r>
      <w:r w:rsidR="00E86A9C">
        <w:rPr>
          <w:rFonts w:ascii="Arial" w:hAnsi="Arial" w:cs="Arial"/>
          <w:sz w:val="22"/>
          <w:szCs w:val="22"/>
        </w:rPr>
        <w:t>sessizleştirici</w:t>
      </w:r>
      <w:r w:rsidR="00FA0571" w:rsidRPr="00FA0571">
        <w:rPr>
          <w:rFonts w:ascii="Arial" w:hAnsi="Arial" w:cs="Arial"/>
          <w:sz w:val="22"/>
          <w:szCs w:val="22"/>
        </w:rPr>
        <w:t xml:space="preserve"> miRNA verdikleri sıçan grubunda striatum ve hippokampusta Homer1a mRNA ve protein ekspresyonlarında anlamlı bir azalma saptamışlardır. Bu sıçanlarda lokomotor aktivitede artış, öğrenme ve dikkatte azalma gözlendiği, fakat intragastrik gavaj ile MPH verildiğinde bu anormal bulgularda düzelme olduğu belirtilmiştir </w:t>
      </w:r>
      <w:r w:rsidR="00BC3BBB" w:rsidRPr="00FA0571">
        <w:rPr>
          <w:rFonts w:ascii="Arial" w:hAnsi="Arial" w:cs="Arial"/>
          <w:sz w:val="22"/>
          <w:szCs w:val="22"/>
        </w:rPr>
        <w:fldChar w:fldCharType="begin" w:fldLock="1"/>
      </w:r>
      <w:r w:rsidR="00FA0571" w:rsidRPr="00FA0571">
        <w:rPr>
          <w:rFonts w:ascii="Arial" w:hAnsi="Arial" w:cs="Arial"/>
          <w:sz w:val="22"/>
          <w:szCs w:val="22"/>
        </w:rPr>
        <w:instrText>ADDIN CSL_CITATION { "citationItems" : [ { "id" : "ITEM-1", "itemData" : { "DOI" : "10.1016/j.brainres.2013.03.030", "ISBN" : "0006-8993\\r1872-6240", "ISSN" : "00068993", "PMID" : "23587936", "abstract" : "The current study aimed to investigate the possible role of Homer 1a in the etiology and pathogenesis of attention deficit hyperactivity disorder (ADHD). We divided 32 rats into four groups. The rats in the RNAi-MPH group were given the lentiviral vector containing Homer 1a-specific miRNA (Homer 1a-RNAi-LV) by intracerebroventricular injection, and 7 days later they were given three daily doses of methylphenidate (MPH) by intragastric gavage. The RNAi-SAL group was given Homer 1a-RNAi-LV and saline later. The NC-MPH group was given the negative control lentiviral vector (NC-LV) and MPH later. The NC-SAL group was given NC-LV and saline later. Rats that were given Homer 1a RNAi exhibited increased locomotor activity and non-selective attention, and impaired learning and memory abilities, which is in line with the behavioral findings of animal models of ADHD. However, MPH ameliorated these abnormal behaviors. All findings indicated that Homer 1a may play an important role in the etiology and pathogenesis of ADHD. ?? 2013 Elsevier B.V.", "author" : [ { "dropping-particle" : "", "family" : "Yang", "given" : "Lei", "non-dropping-particle" : "", "parse-names" : false, "suffix" : "" }, { "dropping-particle" : "", "family" : "Hong", "given" : "Qin", "non-dropping-particle" : "", "parse-names" : false, "suffix" : "" }, { "dropping-particle" : "", "family" : "Zhang", "given" : "Min", "non-dropping-particle" : "", "parse-names" : false, "suffix" : "" }, { "dropping-particle" : "", "family" : "Liu", "given" : "Xiao", "non-dropping-particle" : "", "parse-names" : false, "suffix" : "" }, { "dropping-particle" : "", "family" : "Pan", "given" : "Xiao Qin", "non-dropping-particle" : "", "parse-names" : false, "suffix" : "" }, { "dropping-particle" : "", "family" : "Guo", "given" : "Mei", "non-dropping-particle" : "", "parse-names" : false, "suffix" : "" }, { "dropping-particle" : "", "family" : "Fei", "given" : "Li", "non-dropping-particle" : "", "parse-names" : false, "suffix" : "" }, { "dropping-particle" : "", "family" : "Guo", "given" : "Xi Rong", "non-dropping-particle" : "", "parse-names" : false, "suffix" : "" }, { "dropping-particle" : "", "family" : "Tong", "given" : "Mei Ling", "non-dropping-particle" : "", "parse-names" : false, "suffix" : "" }, { "dropping-particle" : "", "family" : "Chi", "given" : "Xia", "non-dropping-particle" : "", "parse-names" : false, "suffix" : "" } ], "container-title" : "Brain Research", "id" : "ITEM-1", "issued" : { "date-parts" : [ [ "2013" ] ] }, "page" : "39-47", "title" : "The role of Homer 1a in increasing locomotor activity and non-selective attention, and impairing learning and memory abilities", "type" : "article-journal", "volume" : "1515" }, "uris" : [ "http://www.mendeley.com/documents/?uuid=015df265-5cf7-465e-843c-f2618644901e" ] } ], "mendeley" : { "formattedCitation" : "(20)", "plainTextFormattedCitation" : "(20)", "previouslyFormattedCitation" : "(20)" }, "properties" : { "noteIndex" : 57 }, "schema" : "https://github.com/citation-style-language/schema/raw/master/csl-citation.json" }</w:instrText>
      </w:r>
      <w:r w:rsidR="00BC3BBB" w:rsidRPr="00FA0571">
        <w:rPr>
          <w:rFonts w:ascii="Arial" w:hAnsi="Arial" w:cs="Arial"/>
          <w:sz w:val="22"/>
          <w:szCs w:val="22"/>
        </w:rPr>
        <w:fldChar w:fldCharType="separate"/>
      </w:r>
      <w:r w:rsidR="00FA0571" w:rsidRPr="00FA0571">
        <w:rPr>
          <w:rFonts w:ascii="Arial" w:hAnsi="Arial" w:cs="Arial"/>
          <w:noProof/>
          <w:sz w:val="22"/>
          <w:szCs w:val="22"/>
        </w:rPr>
        <w:t>(20)</w:t>
      </w:r>
      <w:r w:rsidR="00BC3BBB" w:rsidRPr="00FA0571">
        <w:rPr>
          <w:rFonts w:ascii="Arial" w:hAnsi="Arial" w:cs="Arial"/>
          <w:sz w:val="22"/>
          <w:szCs w:val="22"/>
        </w:rPr>
        <w:fldChar w:fldCharType="end"/>
      </w:r>
      <w:r w:rsidR="00FA0571" w:rsidRPr="00FA0571">
        <w:rPr>
          <w:rFonts w:ascii="Arial" w:hAnsi="Arial" w:cs="Arial"/>
          <w:sz w:val="22"/>
          <w:szCs w:val="22"/>
        </w:rPr>
        <w:t>.</w:t>
      </w:r>
      <w:r w:rsidRPr="00FA0571">
        <w:rPr>
          <w:rFonts w:ascii="Arial" w:hAnsi="Arial" w:cs="Arial"/>
          <w:sz w:val="22"/>
          <w:szCs w:val="22"/>
        </w:rPr>
        <w:t xml:space="preserve"> DEHB’li çocukların striatumunda kontrol grubuyla karşılaştırıldığında anormaliikler gözlenmiş </w:t>
      </w:r>
      <w:r w:rsidR="00BC3BBB" w:rsidRPr="00FA0571">
        <w:rPr>
          <w:rFonts w:ascii="Arial" w:hAnsi="Arial" w:cs="Arial"/>
          <w:sz w:val="22"/>
          <w:szCs w:val="22"/>
        </w:rPr>
        <w:fldChar w:fldCharType="begin" w:fldLock="1"/>
      </w:r>
      <w:r w:rsidRPr="00FA0571">
        <w:rPr>
          <w:rFonts w:ascii="Arial" w:hAnsi="Arial" w:cs="Arial"/>
          <w:sz w:val="22"/>
          <w:szCs w:val="22"/>
        </w:rPr>
        <w:instrText>ADDIN CSL_CITATION { "citationItems" : [ { "id" : "ITEM-1", "itemData" : { "DOI" : "10.1007/s00787-012-0241-5", "ISBN" : "10188827", "ISSN" : "1435165X", "PMID" : "22302474", "abstract" : "Neuroanatomical correlates of developmental psychopathology such as attention deficit hyperactivity and conduct disorder have been identified. The majority of studies point to lesser gray matter in psychopathology, often involving prefrontal cortices. The goal of this study was to test whether similar neural correlates exist for behavioral variance in healthy children and adolescents. A large sample (n = 106) aged 8-19 years underwent MR scanning and their parents completed the Strength and Difficulties Questionnaire. The relationships between cortical thickness and conduct problems and hyperactivity/inattention scale scores were investigated throughout the cerebrum. No associations were found between normal variance in hyperactivity/inattention and cortical thickness. Normal variance in conduct problems was associated with thinner left hemisphere prefrontal and supramarginal cortices. Relationships between conduct problems and cortical thickness interacted with age, with the greatest differences in cortical thickness seen in the younger children. These interactions were observed in the anterior cingulate, orbitofrontal, middle and superior frontal, as well as lateral and medial temporal cortices. In conclusion, the results indicate neurobiological continuity between symptoms of conduct problems within the normal range, and conduct disorder. Relationships of thinner cortices and conduct problems were primarily seen in younger children, and appeared to decrease with age, indicative of different maturational trajectories in the groups. The long-term consequences are unknown, and the results point to a need for longitudinal studies of developmental trajectories of neuroanatomical foundations of behavioral adjustment.", "author" : [ { "dropping-particle" : "", "family" : "Walhovd", "given" : "Kristine B.", "non-dropping-particle" : "", "parse-names" : false, "suffix" : "" }, { "dropping-particle" : "", "family" : "Tamnes", "given" : "Christian K.", "non-dropping-particle" : "", "parse-names" : false, "suffix" : "" }, { "dropping-particle" : "", "family" : "??stby", "given" : "Ylva", "non-dropping-particle" : "", "parse-names" : false, "suffix" : "" }, { "dropping-particle" : "", "family" : "Due-T??nnessen", "given" : "Paulina", "non-dropping-particle" : "", "parse-names" : false, "suffix" : "" }, { "dropping-particle" : "", "family" : "Fjell", "given" : "Anders M.", "non-dropping-particle" : "", "parse-names" : false, "suffix" : "" } ], "container-title" : "European Child and Adolescent Psychiatry", "id" : "ITEM-1", "issue" : "3", "issued" : { "date-parts" : [ [ "2012" ] ] }, "page" : "133-140", "title" : "Normal variation in behavioral adjustment relates to regional differences in cortical thickness in children", "type" : "article-journal", "volume" : "21" }, "uris" : [ "http://www.mendeley.com/documents/?uuid=ba7a490c-3017-4f64-940b-6a25969ae19d" ] } ], "mendeley" : { "formattedCitation" : "(311)", "plainTextFormattedCitation" : "(311)", "previouslyFormattedCitation" : "(311)" }, "properties" : { "noteIndex" : 57 }, "schema" : "https://github.com/citation-style-language/schema/raw/master/csl-citation.json" }</w:instrText>
      </w:r>
      <w:r w:rsidR="00BC3BBB" w:rsidRPr="00FA0571">
        <w:rPr>
          <w:rFonts w:ascii="Arial" w:hAnsi="Arial" w:cs="Arial"/>
          <w:sz w:val="22"/>
          <w:szCs w:val="22"/>
        </w:rPr>
        <w:fldChar w:fldCharType="separate"/>
      </w:r>
      <w:r w:rsidRPr="00FA0571">
        <w:rPr>
          <w:rFonts w:ascii="Arial" w:hAnsi="Arial" w:cs="Arial"/>
          <w:noProof/>
          <w:sz w:val="22"/>
          <w:szCs w:val="22"/>
        </w:rPr>
        <w:t>(311)</w:t>
      </w:r>
      <w:r w:rsidR="00BC3BBB" w:rsidRPr="00FA0571">
        <w:rPr>
          <w:rFonts w:ascii="Arial" w:hAnsi="Arial" w:cs="Arial"/>
          <w:sz w:val="22"/>
          <w:szCs w:val="22"/>
        </w:rPr>
        <w:fldChar w:fldCharType="end"/>
      </w:r>
      <w:r w:rsidRPr="00FA0571">
        <w:rPr>
          <w:rFonts w:ascii="Arial" w:hAnsi="Arial" w:cs="Arial"/>
          <w:sz w:val="22"/>
          <w:szCs w:val="22"/>
        </w:rPr>
        <w:t xml:space="preserve">, ayrıca fonksiyonel manyetik rezonans görüntüleme çalışmalarında striatumda azalmış kanlanma </w:t>
      </w:r>
      <w:r w:rsidR="00BC3BBB" w:rsidRPr="00FA0571">
        <w:rPr>
          <w:rFonts w:ascii="Arial" w:hAnsi="Arial" w:cs="Arial"/>
          <w:sz w:val="22"/>
          <w:szCs w:val="22"/>
        </w:rPr>
        <w:fldChar w:fldCharType="begin" w:fldLock="1"/>
      </w:r>
      <w:r w:rsidRPr="00FA0571">
        <w:rPr>
          <w:rFonts w:ascii="Arial" w:hAnsi="Arial" w:cs="Arial"/>
          <w:sz w:val="22"/>
          <w:szCs w:val="22"/>
        </w:rPr>
        <w:instrText>ADDIN CSL_CITATION { "citationItems" : [ { "id" : "ITEM-1", "itemData" : { "DOI" : "10.1016/j.biopsych.2011.03.022", "ISBN" : "0006-3223", "ISSN" : "00063223", "PMID" : "21546000", "abstract" : "Functional neuroimaging studies have identified multiple nodes of dysfunction in frontostriatal and mesocorticolimbic networks in attention-deficit/hyperactivity disorder (ADHD). Yet relatively few studies have examined how structural and functional connectivity between nodes in these networks might relate to the behavioral symptoms of ADHD. Moreover, it is unknown whether abnormalities in connectivity are a primary cause of symptoms or arise secondary to common etiologic mechanisms. We review the most recent diffusion tensor imaging and functional magnetic resonance imaging studies of connectivity in ADHD to characterize associations between frontostriatal connectivity abnormalities and the behavioral symptoms of inattention and impulsivity in ADHD. Furthermore, we examine how structural and functional connectivity measures relate to environmental and genetic pathways to ADHD. Diffusion tensor imaging studies indicate that ADHD is associated with significant irregularities in white matter microstructure, especially in frontostriatal and select corticocortical tracts. Resting state functional magnetic resonance imaging studies implicate altered connectivity within a default mode network of structures active during introspective, task-free processes and disrupted interactions between this network and frontostriatal attentional systems. Deficits in functional connectivity within frontostriatal and mesocorticolimbic networks might give rise, in part, to ADHD symptoms. Conversely, structural connectivity deficits and ADHD symptoms might arise incidentally from a common etiologic mechanism, involving altered modulation of synaptic potentiation and pruning by dopamine and other factors during development. Collectively, these studies suggest that the core symptoms of ADHD might derive from dysregulated modulation of cortical plasticity in the developing brain, resulting in altered patterns of corticocortical connectivity that might persist into adulthood. ?? 2011 Society of Biological Psychiatry.", "author" : [ { "dropping-particle" : "", "family" : "Liston", "given" : "Conor", "non-dropping-particle" : "", "parse-names" : false, "suffix" : "" }, { "dropping-particle" : "", "family" : "Cohen", "given" : "Matthew Malter", "non-dropping-particle" : "", "parse-names" : false, "suffix" : "" }, { "dropping-particle" : "", "family" : "Teslovich", "given" : "Theresa", "non-dropping-particle" : "", "parse-names" : false, "suffix" : "" }, { "dropping-particle" : "", "family" : "Levenson", "given" : "Daniel", "non-dropping-particle" : "", "parse-names" : false, "suffix" : "" }, { "dropping-particle" : "", "family" : "Casey", "given" : "B. J.", "non-dropping-particle" : "", "parse-names" : false, "suffix" : "" } ], "container-title" : "Biological Psychiatry", "id" : "ITEM-1", "issue" : "12", "issued" : { "date-parts" : [ [ "2011" ] ] }, "page" : "1168-1177", "title" : "Atypical prefrontal connectivity in attention-deficit/hyperactivity disorder: Pathway to disease or pathological end point?", "type" : "article-journal", "volume" : "69" }, "uris" : [ "http://www.mendeley.com/documents/?uuid=cd2772dc-846b-43ee-9f7f-3c04105afbb1" ] } ], "mendeley" : { "formattedCitation" : "(312)", "plainTextFormattedCitation" : "(312)", "previouslyFormattedCitation" : "(312)" }, "properties" : { "noteIndex" : 57 }, "schema" : "https://github.com/citation-style-language/schema/raw/master/csl-citation.json" }</w:instrText>
      </w:r>
      <w:r w:rsidR="00BC3BBB" w:rsidRPr="00FA0571">
        <w:rPr>
          <w:rFonts w:ascii="Arial" w:hAnsi="Arial" w:cs="Arial"/>
          <w:sz w:val="22"/>
          <w:szCs w:val="22"/>
        </w:rPr>
        <w:fldChar w:fldCharType="separate"/>
      </w:r>
      <w:r w:rsidRPr="00FA0571">
        <w:rPr>
          <w:rFonts w:ascii="Arial" w:hAnsi="Arial" w:cs="Arial"/>
          <w:noProof/>
          <w:sz w:val="22"/>
          <w:szCs w:val="22"/>
        </w:rPr>
        <w:t>(312)</w:t>
      </w:r>
      <w:r w:rsidR="00BC3BBB" w:rsidRPr="00FA0571">
        <w:rPr>
          <w:rFonts w:ascii="Arial" w:hAnsi="Arial" w:cs="Arial"/>
          <w:sz w:val="22"/>
          <w:szCs w:val="22"/>
        </w:rPr>
        <w:fldChar w:fldCharType="end"/>
      </w:r>
      <w:r w:rsidRPr="00FA0571">
        <w:rPr>
          <w:rFonts w:ascii="Arial" w:hAnsi="Arial" w:cs="Arial"/>
          <w:sz w:val="22"/>
          <w:szCs w:val="22"/>
        </w:rPr>
        <w:t xml:space="preserve"> ve dopamin taşıyıcısına bağlanmada farklılıklar saptanmıştır </w:t>
      </w:r>
      <w:r w:rsidR="00BC3BBB" w:rsidRPr="00FA0571">
        <w:rPr>
          <w:rFonts w:ascii="Arial" w:hAnsi="Arial" w:cs="Arial"/>
          <w:sz w:val="22"/>
          <w:szCs w:val="22"/>
        </w:rPr>
        <w:fldChar w:fldCharType="begin" w:fldLock="1"/>
      </w:r>
      <w:r w:rsidRPr="00FA0571">
        <w:rPr>
          <w:rFonts w:ascii="Arial" w:hAnsi="Arial" w:cs="Arial"/>
          <w:sz w:val="22"/>
          <w:szCs w:val="22"/>
        </w:rPr>
        <w:instrText>ADDIN CSL_CITATION { "citationItems" : [ { "id" : "ITEM-1", "itemData" : { "DOI" : "10.1001/archneur.1989.00520370050018", "ISBN" : "0003-9942 (Print)\\r0003-9942 (Linking)", "ISSN" : "0003-9942", "PMID" : "2783366", "abstract" : "We have previously reported that periventricular structures are hypoperfused in attention deficit and hyperactivity disorder (ADHD). This study has expanded the number of patients, who were divided into two groups: six patients with pure ADHD, and 13 patients with ADHD in combination with other neurologic symptoms. By using xenon 133 inhalation and emission tomography, the regional cerebral blood flow distribution was determined and compared with a control group. Striatal regions were found to be hypoperfused and, by inference, hypofunctional in both groups. This hypoperfusion was statistically significant in the right striatum in ADHD, and in both striatal regions in ADHD with other neuropsychologic and neurologic symptoms. The primary sensory and sensorimotor cortical regions were highly perfused. Methylphenidate increased flow to striatal and posterior periventricular regions, and tended to decrease flow to primary sensory regions. Low striatal activity, partially reversible with methylphenidate, appears to be a cardinal feature in ADHD.", "author" : [ { "dropping-particle" : "", "family" : "Lou", "given" : "H C", "non-dropping-particle" : "", "parse-names" : false, "suffix" : "" }, { "dropping-particle" : "", "family" : "Henriksen", "given" : "L", "non-dropping-particle" : "", "parse-names" : false, "suffix" : "" }, { "dropping-particle" : "", "family" : "Bruhn", "given" : "P", "non-dropping-particle" : "", "parse-names" : false, "suffix" : "" }, { "dropping-particle" : "", "family" : "B\u00f8rner", "given" : "H", "non-dropping-particle" : "", "parse-names" : false, "suffix" : "" }, { "dropping-particle" : "", "family" : "Nielsen", "given" : "J B", "non-dropping-particle" : "", "parse-names" : false, "suffix" : "" } ], "container-title" : "Archives of neurology", "id" : "ITEM-1", "issue" : "1", "issued" : { "date-parts" : [ [ "1989" ] ] }, "page" : "48-52", "title" : "Striatal dysfunction in attention deficit and hyperkinetic disorder.", "type" : "article-journal", "volume" : "46" }, "uris" : [ "http://www.mendeley.com/documents/?uuid=fe10af14-1b12-4a01-b04f-847e6951c612" ] } ], "mendeley" : { "formattedCitation" : "(313)", "plainTextFormattedCitation" : "(313)", "previouslyFormattedCitation" : "(313)" }, "properties" : { "noteIndex" : 57 }, "schema" : "https://github.com/citation-style-language/schema/raw/master/csl-citation.json" }</w:instrText>
      </w:r>
      <w:r w:rsidR="00BC3BBB" w:rsidRPr="00FA0571">
        <w:rPr>
          <w:rFonts w:ascii="Arial" w:hAnsi="Arial" w:cs="Arial"/>
          <w:sz w:val="22"/>
          <w:szCs w:val="22"/>
        </w:rPr>
        <w:fldChar w:fldCharType="separate"/>
      </w:r>
      <w:r w:rsidRPr="00FA0571">
        <w:rPr>
          <w:rFonts w:ascii="Arial" w:hAnsi="Arial" w:cs="Arial"/>
          <w:noProof/>
          <w:sz w:val="22"/>
          <w:szCs w:val="22"/>
        </w:rPr>
        <w:t>(313)</w:t>
      </w:r>
      <w:r w:rsidR="00BC3BBB" w:rsidRPr="00FA0571">
        <w:rPr>
          <w:rFonts w:ascii="Arial" w:hAnsi="Arial" w:cs="Arial"/>
          <w:sz w:val="22"/>
          <w:szCs w:val="22"/>
        </w:rPr>
        <w:fldChar w:fldCharType="end"/>
      </w:r>
      <w:r w:rsidRPr="00FA0571">
        <w:rPr>
          <w:rFonts w:ascii="Arial" w:hAnsi="Arial" w:cs="Arial"/>
          <w:sz w:val="22"/>
          <w:szCs w:val="22"/>
        </w:rPr>
        <w:t xml:space="preserve"> DEHBli çocuklar ve adolesanlarda hippokampal hacimde artış saptandığı </w:t>
      </w:r>
      <w:r w:rsidR="00BC3BBB" w:rsidRPr="00FA0571">
        <w:rPr>
          <w:rFonts w:ascii="Arial" w:hAnsi="Arial" w:cs="Arial"/>
          <w:sz w:val="22"/>
          <w:szCs w:val="22"/>
        </w:rPr>
        <w:fldChar w:fldCharType="begin" w:fldLock="1"/>
      </w:r>
      <w:r w:rsidRPr="00FA0571">
        <w:rPr>
          <w:rFonts w:ascii="Arial" w:hAnsi="Arial" w:cs="Arial"/>
          <w:sz w:val="22"/>
          <w:szCs w:val="22"/>
        </w:rPr>
        <w:instrText>ADDIN CSL_CITATION { "citationItems" : [ { "id" : "ITEM-1", "itemData" : { "DOI" : "10.1001/archpsyc.63.7.795", "ISSN" : "0003-990X", "PMID" : "16818869", "abstract" : "CONTEXT Limbic structures are implicated in the genesis of attention-deficit/hyperactivity disorder (ADHD) by the presence of mood and cognitive disturbances in affected individuals and by elevated rates of mood disorders in family members of probands with ADHD. OBJECTIVE To study the morphology of the hippocampus and amygdala in children with ADHD. DESIGN A cross-sectional case-control study of the hippocampus and amygdala using anatomical magnetic resonance imaging. SETTINGS University research institute. PATIENTS One hundred fourteen individuals aged 6 to 18 years, 51 with combined-type ADHD and 63 healthy controls. MAIN OUTCOME MEASURES Volumes and measures of surface morphology for the hippocampus and amygdala. RESULTS The hippocampus was larger bilaterally in the ADHD group than in the control group (t = 3.35; P &lt; .002). Detailed surface analyses of the hippocampus further localized these differences to an enlarged head of the hippocampus in the ADHD group. Although conventional measures did not detect significant differences in amygdalar volumes, surface analyses indicated the presence of reduced size bilaterally over the area of the basolateral complex. Correlations with prefrontal measures suggested abnormal connectivity between the amygdala and prefrontal cortex in the ADHD group. Enlarged subregions of the hippocampus tended to accompany fewer symptoms. CONCLUSIONS The enlarged hippocampus in children and adolescents with ADHD may represent a compensatory response to the presence of disturbances in the perception of time, temporal processing (eg, delay aversion), and stimulus seeking associated with ADHD. Disrupted connections between the amygdala and orbitofrontal cortex may contribute to behavioral disinhibition. Our findings suggest involvement of the limbic system in the pathophysiology of ADHD.", "author" : [ { "dropping-particle" : "", "family" : "Plessen", "given" : "Kerstin J", "non-dropping-particle" : "", "parse-names" : false, "suffix" : "" }, { "dropping-particle" : "", "family" : "Bansal", "given" : "Ravi", "non-dropping-particle" : "", "parse-names" : false, "suffix" : "" }, { "dropping-particle" : "", "family" : "Zhu", "given" : "Hongtu", "non-dropping-particle" : "", "parse-names" : false, "suffix" : "" }, { "dropping-particle" : "", "family" : "Whiteman", "given" : "Ronald", "non-dropping-particle" : "", "parse-names" : false, "suffix" : "" }, { "dropping-particle" : "", "family" : "Amat", "given" : "Jose", "non-dropping-particle" : "", "parse-names" : false, "suffix" : "" }, { "dropping-particle" : "", "family" : "Quackenbush", "given" : "Georgette A", "non-dropping-particle" : "", "parse-names" : false, "suffix" : "" }, { "dropping-particle" : "", "family" : "Martin", "given" : "Laura", "non-dropping-particle" : "", "parse-names" : false, "suffix" : "" }, { "dropping-particle" : "", "family" : "Durkin", "given" : "Kathleen", "non-dropping-particle" : "", "parse-names" : false, "suffix" : "" }, { "dropping-particle" : "", "family" : "Blair", "given" : "Clancy", "non-dropping-particle" : "", "parse-names" : false, "suffix" : "" }, { "dropping-particle" : "", "family" : "Royal", "given" : "Jason", "non-dropping-particle" : "", "parse-names" : false, "suffix" : "" }, { "dropping-particle" : "", "family" : "Hugdahl", "given" : "Kenneth", "non-dropping-particle" : "", "parse-names" : false, "suffix" : "" }, { "dropping-particle" : "", "family" : "Peterson", "given" : "Bradley S", "non-dropping-particle" : "", "parse-names" : false, "suffix" : "" } ], "container-title" : "Archives of general psychiatry", "id" : "ITEM-1", "issue" : "7", "issued" : { "date-parts" : [ [ "2006", "7" ] ] }, "page" : "795-807", "title" : "Hippocampus and amygdala morphology in attention-deficit/hyperactivity disorder.", "type" : "article-journal", "volume" : "63" }, "uris" : [ "http://www.mendeley.com/documents/?uuid=7a55a6f0-7dd7-39a4-9c1c-c14ab0a143b3" ] } ], "mendeley" : { "formattedCitation" : "(314)", "plainTextFormattedCitation" : "(314)", "previouslyFormattedCitation" : "(314)" }, "properties" : { "noteIndex" : 57 }, "schema" : "https://github.com/citation-style-language/schema/raw/master/csl-citation.json" }</w:instrText>
      </w:r>
      <w:r w:rsidR="00BC3BBB" w:rsidRPr="00FA0571">
        <w:rPr>
          <w:rFonts w:ascii="Arial" w:hAnsi="Arial" w:cs="Arial"/>
          <w:sz w:val="22"/>
          <w:szCs w:val="22"/>
        </w:rPr>
        <w:fldChar w:fldCharType="separate"/>
      </w:r>
      <w:r w:rsidRPr="00FA0571">
        <w:rPr>
          <w:rFonts w:ascii="Arial" w:hAnsi="Arial" w:cs="Arial"/>
          <w:noProof/>
          <w:sz w:val="22"/>
          <w:szCs w:val="22"/>
        </w:rPr>
        <w:t>(314)</w:t>
      </w:r>
      <w:r w:rsidR="00BC3BBB" w:rsidRPr="00FA0571">
        <w:rPr>
          <w:rFonts w:ascii="Arial" w:hAnsi="Arial" w:cs="Arial"/>
          <w:sz w:val="22"/>
          <w:szCs w:val="22"/>
        </w:rPr>
        <w:fldChar w:fldCharType="end"/>
      </w:r>
      <w:r w:rsidRPr="00FA0571">
        <w:rPr>
          <w:rFonts w:ascii="Arial" w:hAnsi="Arial" w:cs="Arial"/>
          <w:sz w:val="22"/>
          <w:szCs w:val="22"/>
        </w:rPr>
        <w:t xml:space="preserve">, hippokampal bozuklukların psikostimulanlara yanıt verdiği belirtilmiştir </w:t>
      </w:r>
      <w:r w:rsidR="00BC3BBB" w:rsidRPr="00FA0571">
        <w:rPr>
          <w:rFonts w:ascii="Arial" w:hAnsi="Arial" w:cs="Arial"/>
          <w:sz w:val="22"/>
          <w:szCs w:val="22"/>
        </w:rPr>
        <w:fldChar w:fldCharType="begin" w:fldLock="1"/>
      </w:r>
      <w:r w:rsidRPr="00FA0571">
        <w:rPr>
          <w:rFonts w:ascii="Arial" w:hAnsi="Arial" w:cs="Arial"/>
          <w:sz w:val="22"/>
          <w:szCs w:val="22"/>
        </w:rPr>
        <w:instrText>ADDIN CSL_CITATION { "citationItems" : [ { "id" : "ITEM-1", "itemData" : { "DOI" : "10.1016/j.pscychresns.2011.03.006", "ISBN" : "0165-1781", "ISSN" : "09254927", "PMID" : "22041532", "abstract" : "Children of parents with bipolar disorder (BD), especially those with attention deficit hyperactivity disorder (ADHD) and symptoms of depression or mania, are at significantly high risk for developing BD. As we have previously shown amygdalar reductions in pediatric BD, the current study examined amygdalar volumes in offspring of parents (BD offspring) who have not yet developed a full manic episode. Youth participating in the study included 22 BD offspring and 22 healthy controls of comparable age, gender, handedness, and IQ. Subjects had no history of a manic episode, but met criteria for ADHD and moderate mood symptoms. MRI was performed on a 3. T GE scanner, using a 3D volumetric spoiled gradient echo series. Amygdalae were manually traced using BrainImage Java software on positionally normalized brain stacks. Bipolar offspring had similar amygdalar volumes compared to the control group. Exploratory analyses yielded no differences in hippocampal or thalamic volumes. Bipolar offspring do not show decreased amygdalar volume, possibly because these abnormalities occur after more prolonged illness rather than as a preexisting risk factor. Longitudinal studies are needed to determine whether amygdalar volumes change during and after the development of BD. ?? 2011 Elsevier Ireland Ltd.", "author" : [ { "dropping-particle" : "", "family" : "Karchemskiy", "given" : "Asya", "non-dropping-particle" : "", "parse-names" : false, "suffix" : "" }, { "dropping-particle" : "", "family" : "Garrett", "given" : "Amy", "non-dropping-particle" : "", "parse-names" : false, "suffix" : "" }, { "dropping-particle" : "", "family" : "Howe", "given" : "Meghan", "non-dropping-particle" : "", "parse-names" : false, "suffix" : "" }, { "dropping-particle" : "", "family" : "Adleman", "given" : "Nancy", "non-dropping-particle" : "", "parse-names" : false, "suffix" : "" }, { "dropping-particle" : "", "family" : "Simeonova", "given" : "Diana I.", "non-dropping-particle" : "", "parse-names" : false, "suffix" : "" }, { "dropping-particle" : "", "family" : "Alegria", "given" : "Dylan", "non-dropping-particle" : "", "parse-names" : false, "suffix" : "" }, { "dropping-particle" : "", "family" : "Reiss", "given" : "Allan", "non-dropping-particle" : "", "parse-names" : false, "suffix" : "" }, { "dropping-particle" : "", "family" : "Chang", "given" : "Kiki", "non-dropping-particle" : "", "parse-names" : false, "suffix" : "" } ], "container-title" : "Psychiatry Research - Neuroimaging", "id" : "ITEM-1", "issue" : "3", "issued" : { "date-parts" : [ [ "2011" ] ] }, "page" : "319-325", "title" : "Amygdalar, hippocampal, and thalamic volumes in youth at high risk for development of bipolar disorder", "type" : "article-journal", "volume" : "194" }, "uris" : [ "http://www.mendeley.com/documents/?uuid=a8bb1b4c-6f06-4028-9eb8-1d276e8abf22" ] } ], "mendeley" : { "formattedCitation" : "(315)", "plainTextFormattedCitation" : "(315)", "previouslyFormattedCitation" : "(315)" }, "properties" : { "noteIndex" : 57 }, "schema" : "https://github.com/citation-style-language/schema/raw/master/csl-citation.json" }</w:instrText>
      </w:r>
      <w:r w:rsidR="00BC3BBB" w:rsidRPr="00FA0571">
        <w:rPr>
          <w:rFonts w:ascii="Arial" w:hAnsi="Arial" w:cs="Arial"/>
          <w:sz w:val="22"/>
          <w:szCs w:val="22"/>
        </w:rPr>
        <w:fldChar w:fldCharType="separate"/>
      </w:r>
      <w:r w:rsidRPr="00FA0571">
        <w:rPr>
          <w:rFonts w:ascii="Arial" w:hAnsi="Arial" w:cs="Arial"/>
          <w:noProof/>
          <w:sz w:val="22"/>
          <w:szCs w:val="22"/>
        </w:rPr>
        <w:t>(315)</w:t>
      </w:r>
      <w:r w:rsidR="00BC3BBB" w:rsidRPr="00FA0571">
        <w:rPr>
          <w:rFonts w:ascii="Arial" w:hAnsi="Arial" w:cs="Arial"/>
          <w:sz w:val="22"/>
          <w:szCs w:val="22"/>
        </w:rPr>
        <w:fldChar w:fldCharType="end"/>
      </w:r>
      <w:r w:rsidRPr="00FA0571">
        <w:rPr>
          <w:rFonts w:ascii="Arial" w:hAnsi="Arial" w:cs="Arial"/>
          <w:sz w:val="22"/>
          <w:szCs w:val="22"/>
        </w:rPr>
        <w:t xml:space="preserve">. </w:t>
      </w:r>
      <w:r w:rsidR="00FA0571" w:rsidRPr="00FA0571">
        <w:rPr>
          <w:rFonts w:ascii="Arial" w:hAnsi="Arial" w:cs="Arial"/>
          <w:sz w:val="22"/>
          <w:szCs w:val="22"/>
        </w:rPr>
        <w:t xml:space="preserve">Yine, MPH tedavisiyle dopamin artışına bağlı olarak Homer1a ekspreyonunun arttığı bildirilmiştir </w:t>
      </w:r>
      <w:r w:rsidR="00BC3BBB" w:rsidRPr="00FA0571">
        <w:rPr>
          <w:rFonts w:ascii="Arial" w:hAnsi="Arial" w:cs="Arial"/>
          <w:sz w:val="22"/>
          <w:szCs w:val="22"/>
        </w:rPr>
        <w:fldChar w:fldCharType="begin" w:fldLock="1"/>
      </w:r>
      <w:r w:rsidR="005827F2">
        <w:rPr>
          <w:rFonts w:ascii="Arial" w:hAnsi="Arial" w:cs="Arial"/>
          <w:sz w:val="22"/>
          <w:szCs w:val="22"/>
        </w:rPr>
        <w:instrText>ADDIN CSL_CITATION { "citationItems" : [ { "id" : "ITEM-1", "itemData" : { "DOI" : "10.1124/mol.106.028399", "ISBN" : "0026-895X (Print)\\r0026-895X (Linking)", "ISSN" : "0026-895X", "PMID" : "17234898", "abstract" : "The glutamate receptor adaptor protein Homer is concentrated in the postsynaptic density of excitatory synapses and is critical for normal operation of synaptic transmission. In this study, we investigated the responsiveness of Homer family proteins to dopamine stimulation with the psychostimulant cocaine in rat striatal neurons both in vivo and in vitro. We found that a single dose of cocaine specifically induced a rapid and transient increase in protein levels of the Homer1a, but not Homer1b/c and Homer2a/b, isoforms in the striatum. This selective Homer1a induction was mediated primarily through activation of dopamine D1, but not D2, receptors. Both protein kinase A and Ca(2+)/calmodulin-dependent protein kinases are important for mediating the cocaine stimulation of Homer1a expression. At the transcriptional level, cAMP response element-binding protein serves as a prime transcription factor transmitting the signals derived from D1 receptors and associative pathways to the CaCRE sites within the Homer1a promoter. From a functional perspective, non-cross-linking Homer1a, once induced, competed with the cross-linking isoforms of Homer proteins (Homer1b/c and Homer2a/b) to uncouple the connection of group I metabotropic glutamate receptors (mGluRs) with inositol-1,4,5-triphosphate receptors. These results indicate that cocaine possesses the ability to stimulate Homer1a expression in striatal neurons through a specific synapse-to-nucleus pathway. Moreover, inducible Homer1a expression may represent a transcription-dependent mechanism underlying the dynamic regulation of submembranous macromolecular complex formation between group I mGluRs and their anchoring proteins.", "author" : [ { "dropping-particle" : "", "family" : "Zhang", "given" : "Guo-Chi", "non-dropping-particle" : "", "parse-names" : false, "suffix" : "" }, { "dropping-particle" : "", "family" : "Mao", "given" : "Li-Min", "non-dropping-particle" : "", "parse-names" : false, "suffix" : "" }, { "dropping-particle" : "", "family" : "Liu", "given" : "Xian-Yu", "non-dropping-particle" : "", "parse-names" : false, "suffix" : "" }, { "dropping-particle" : "", "family" : "Parelkar", "given" : "Nikhil K", "non-dropping-particle" : "", "parse-names" : false, "suffix" : "" }, { "dropping-particle" : "", "family" : "Arora", "given" : "Anish", "non-dropping-particle" : "", "parse-names" : false, "suffix" : "" }, { "dropping-particle" : "", "family" : "Yang", "given" : "Lu", "non-dropping-particle" : "", "parse-names" : false, "suffix" : "" }, { "dropping-particle" : "", "family" : "Hains", "given" : "Michelle", "non-dropping-particle" : "", "parse-names" : false, "suffix" : "" }, { "dropping-particle" : "", "family" : "Fibuch", "given" : "Eugene E", "non-dropping-particle" : "", "parse-names" : false, "suffix" : "" }, { "dropping-particle" : "", "family" : "Wang", "given" : "John Q", "non-dropping-particle" : "", "parse-names" : false, "suffix" : "" } ], "container-title" : "Molecular Pharmacology", "id" : "ITEM-1", "issue" : "4", "issued" : { "date-parts" : [ [ "2007" ] ] }, "page" : "1148-1158", "title" : "In vivo regulation of Homer1a expression in the striatum by cocaine.", "type" : "article-journal", "volume" : "71" }, "uris" : [ "http://www.mendeley.com/documents/?uuid=83044aa6-d778-4131-89c2-30e38e8f93e1" ] }, { "id" : "ITEM-2", "itemData" : { "DOI" : "10.1016/j.jns.2009.07.024", "ISBN" : "1878-5883 (Electronic)\\r0022-510X (Linking)", "ISSN" : "0022510X", "PMID" : "19709672", "abstract" : "Background: Attention-deficit/hyperactivity disorder (ADHD) is a pervasive neurobehavioral disorder affecting approximately 5% of children and adolescents and 3% of adults, and the prefrontal cortex (PFC) may play the most critical role in the expression of ADHD. Converging previous studies indicate a potential role of Homer - a scaffolding protein family localized at the postsynaptic density (PSD) of glutamatergic excitatory synapses - in behavioral pathologies associated with neuropsychiatric disorders. Accordingly, we speculate that these Homer isoforms might contribute to the etiology and development of ADHD. Method: We investigated the differential mRNA and protein expressions of several Homer isoforms in the PFC of the spontaneous hypertensive rat/Wistar-Kyoto rats (SHR/WKY), the most frequently used animal model of ADHD, using RT-PCR and western blotting. Furthermore, we examined the effects of methylphenidate (MPH) exposure on the behaviors and the expression of different Homer isoforms in the PFC of SHR, using L??t maze, RT-PCR and western blotting, respectively. Results: Homer 1a and Homer 2a/b, but not Homer 1b/c, were expressed at a significantly lower levels in the PFC of SHR compared with WKY. MPH exposure decreased the locomotor activity and non-selective attention of SHR, and it up regulated the expression of Homer 1a and Homer 2a/b, but not Homer 1b/c, in the PFC of SHR. Conclusion: It is plausible that Homer 1a and Homer 2a/b may be involved in the etiology and pathogenesis of ADHD. Future work will focus on elucidating the specific mechanisms of Homer 1a and Homer 2a/b in ADHD. ?? 2009 Elsevier B.V. All rights reserved.", "author" : [ { "dropping-particle" : "", "family" : "Hong", "given" : "Qin", "non-dropping-particle" : "", "parse-names" : false, "suffix" : "" }, { "dropping-particle" : "", "family" : "Zhang", "given" : "Min", "non-dropping-particle" : "", "parse-names" : false, "suffix" : "" }, { "dropping-particle" : "", "family" : "Pan", "given" : "Xiao qin", "non-dropping-particle" : "", "parse-names" : false, "suffix" : "" }, { "dropping-particle" : "", "family" : "Guo", "given" : "Mei", "non-dropping-particle" : "", "parse-names" : false, "suffix" : "" }, { "dropping-particle" : "", "family" : "Li", "given" : "Fei", "non-dropping-particle" : "", "parse-names" : false, "suffix" : "" }, { "dropping-particle" : "", "family" : "Tong", "given" : "Mei ling", "non-dropping-particle" : "", "parse-names" : false, "suffix" : "" }, { "dropping-particle" : "", "family" : "Chen", "given" : "Rong hua", "non-dropping-particle" : "", "parse-names" : false, "suffix" : "" }, { "dropping-particle" : "", "family" : "Guo", "given" : "Xi rong", "non-dropping-particle" : "", "parse-names" : false, "suffix" : "" }, { "dropping-particle" : "", "family" : "Chi", "given" : "Xia", "non-dropping-particle" : "", "parse-names" : false, "suffix" : "" } ], "container-title" : "Journal of the Neurological Sciences", "id" : "ITEM-2", "issue" : "1-2", "issued" : { "date-parts" : [ [ "2009" ] ] }, "page" : "205-211", "title" : "Prefrontal cortex Homer expression in an animal model of attention-deficit/hyperactivity disorder", "type" : "article-journal", "volume" : "287" }, "uris" : [ "http://www.mendeley.com/documents/?uuid=f6d3b125-7ccd-4ceb-b78c-36f19ca5e672" ] }, { "id" : "ITEM-3", "itemData" : { "DOI" : "10.3892/mmr.2011.479", "ISBN" : "1791-3004", "ISSN" : "17912997", "PMID" : "21523321", "abstract" : "Attention-deficit/hyperactivity disorder (ADHD) is a pervasive neurobehavioral disorder. We previously demonstrated differential expression of some isoforms of Homer, a family of scaffolding proteins localized to the postsynaptic density of glutamatergic excitatory synapses, in the spontaneous hypertensive rat (SHR), which is the most frequently used animal model of ADHD. Since these changes were observed in the prefrontal cortex (PFC), a critical structure in ADHD, it was hypothesized that these Homer isoforms may play a role in ADHD. The present study aimed to extend these findings to the hippocampus, which has direct connections to the PFC and subserves attention and cognition, two functions that are disturbed in ADHD. Hippocampal mRNA and protein expression of several Homer isoforms were investigated in both SHR and control Wistar-Kyoto (WKY) rats using reverse transcription-polymerase chain reaction and Western blotting, respectively. Both mRNA and protein for Homer 1a and Homer 2a/b, but not Homer 1b/c, were expressed at significantly lower levels in the hippocampus of SHR compared to WKY rats. The effects of methylphenidate (MPH) on spatial learning and memory in SHRs were also examined using the Morris water maze and on hippocampal expression of Homer isoforms. MPH improved spatial learning and memory and up-regulated hippocampal expression of Homer 1a and Homer 2a/b, but not Homer 1b/c, in SHRs. The animal model of ADHD may have altered expression of Homer 1a and Homer 2a/b in the hippocampus, in addition to the PFC. Future studies will focus on elucidating the specific mechanisms of Homer 1a and Homer 2a/b in ADHD.", "author" : [ { "dropping-particle" : "", "family" : "Hong", "given" : "Qin", "non-dropping-particle" : "", "parse-names" : false, "suffix" : "" }, { "dropping-particle" : "", "family" : "Wang", "given" : "Yan Ping", "non-dropping-particle" : "", "parse-names" : false, "suffix" : "" }, { "dropping-particle" : "", "family" : "Zhang", "given" : "Min", "non-dropping-particle" : "", "parse-names" : false, "suffix" : "" }, { "dropping-particle" : "", "family" : "Pan", "given" : "Xiao Qin", "non-dropping-particle" : "", "parse-names" : false, "suffix" : "" }, { "dropping-particle" : "", "family" : "Guo", "given" : "Mei", "non-dropping-particle" : "", "parse-names" : false, "suffix" : "" }, { "dropping-particle" : "", "family" : "Li", "given" : "Fei", "non-dropping-particle" : "", "parse-names" : false, "suffix" : "" }, { "dropping-particle" : "", "family" : "Tong", "given" : "Mei Ling", "non-dropping-particle" : "", "parse-names" : false, "suffix" : "" }, { "dropping-particle" : "", "family" : "Chen", "given" : "Rong Hua", "non-dropping-particle" : "", "parse-names" : false, "suffix" : "" }, { "dropping-particle" : "", "family" : "Guo", "given" : "Xi Rong", "non-dropping-particle" : "", "parse-names" : false, "suffix" : "" }, { "dropping-particle" : "", "family" : "Chi", "given" : "Xia", "non-dropping-particle" : "", "parse-names" : false, "suffix" : "" } ], "container-title" : "Molecular Medicine Reports", "id" : "ITEM-3", "issue" : "4", "issued" : { "date-parts" : [ [ "2011" ] ] }, "page" : "705-712", "title" : "Homer expression in the hippocampus of an animal model of attention-deficit/hyperactivity disorder", "type" : "article-journal", "volume" : "4" }, "uris" : [ "http://www.mendeley.com/documents/?uuid=55e7a718-1bf3-4e87-8788-6f7a42c94b6d" ] } ], "mendeley" : { "formattedCitation" : "(308, 309, 316)", "plainTextFormattedCitation" : "(308, 309, 316)", "previouslyFormattedCitation" : "(308,309,316)" }, "properties" : { "noteIndex" : 57 }, "schema" : "https://github.com/citation-style-language/schema/raw/master/csl-citation.json" }</w:instrText>
      </w:r>
      <w:r w:rsidR="00BC3BBB" w:rsidRPr="00FA0571">
        <w:rPr>
          <w:rFonts w:ascii="Arial" w:hAnsi="Arial" w:cs="Arial"/>
          <w:sz w:val="22"/>
          <w:szCs w:val="22"/>
        </w:rPr>
        <w:fldChar w:fldCharType="separate"/>
      </w:r>
      <w:r w:rsidR="005827F2" w:rsidRPr="005827F2">
        <w:rPr>
          <w:rFonts w:ascii="Arial" w:hAnsi="Arial" w:cs="Arial"/>
          <w:noProof/>
          <w:sz w:val="22"/>
          <w:szCs w:val="22"/>
        </w:rPr>
        <w:t>(308, 309, 316)</w:t>
      </w:r>
      <w:r w:rsidR="00BC3BBB" w:rsidRPr="00FA0571">
        <w:rPr>
          <w:rFonts w:ascii="Arial" w:hAnsi="Arial" w:cs="Arial"/>
          <w:sz w:val="22"/>
          <w:szCs w:val="22"/>
        </w:rPr>
        <w:fldChar w:fldCharType="end"/>
      </w:r>
      <w:r w:rsidR="00FA0571" w:rsidRPr="00FA0571">
        <w:rPr>
          <w:rFonts w:ascii="Arial" w:hAnsi="Arial" w:cs="Arial"/>
          <w:sz w:val="22"/>
          <w:szCs w:val="22"/>
        </w:rPr>
        <w:t xml:space="preserve">. Ayrıca MPH’ın dikkatle ilişkili kortikostriatal yolaklarda Homer1a ekpresyonu üzerinden terapötik etkinliğe katkı sağlayabileceği belirtilmiştir </w:t>
      </w:r>
      <w:r w:rsidR="00BC3BBB" w:rsidRPr="00FA0571">
        <w:rPr>
          <w:rFonts w:ascii="Arial" w:hAnsi="Arial" w:cs="Arial"/>
          <w:sz w:val="22"/>
          <w:szCs w:val="22"/>
        </w:rPr>
        <w:fldChar w:fldCharType="begin" w:fldLock="1"/>
      </w:r>
      <w:r w:rsidR="00FA0571" w:rsidRPr="00FA0571">
        <w:rPr>
          <w:rFonts w:ascii="Arial" w:hAnsi="Arial" w:cs="Arial"/>
          <w:sz w:val="22"/>
          <w:szCs w:val="22"/>
        </w:rPr>
        <w:instrText>ADDIN CSL_CITATION { "citationItems" : [ { "id" : "ITEM-1", "itemData" : { "DOI" : "10.1016/j.neuroscience.2004.12.019", "ISBN" : "0306-4522", "ISSN" : "03064522", "PMID" : "15837145", "abstract" : "Corticostriatal circuits participate in limbic, attentional, motor and other networks, and are implicated in psychostimulant addiction. The psychostimulant methylphenidate is used in the treatment of attention-deficit hyperactivity disorder and for recreational purposes. Recent studies indicate that methylphenidate alters gene expression in striatal neurons. We investigated whether methylphenidate affects gene regulation in specific corticostriatal circuits, by comparing drug-induced molecular changes in different functional domains of the striatum with changes in their cortical input regions. In order to assess the potential functional significance of methylphenidate-induced molecular changes, we examined members of two different classes of plasticity-related molecules, the transcription factor zif 268 and the synaptic plasticity factor Homer 1a. Acute methylphenidate administration in adult rats increased the expression of Homer 1a and zif 268 in both cortex and striatum in a dose-dependent and regionally selective manner. These changes in gene expression occurred after doses of 2 mg/kg (i.p.) and higher, and were highly correlated between cortical regions and their striatal targets. In the cortex, increases were maximal in the medial agranular (premotor) and cingulate cortex, followed by motor and somatosensory cortex, and were minimal in the insular cortex. Correspondingly, in the striatum, increases were most robust in sensorimotor sectors that receive medial agranular input, and were weaker or absent in ventral sectors. The methylphenidate-induced increases in cortical Homer 1a and zif 268 expression were also correlated with increases in striatal substance P and dynorphin expression (direct pathway). Overall, the regional distribution of methylphenidate-induced molecular changes in the striatum was similar to that of changes induced by psychostimulants such as cocaine. These findings demonstrate that methylphenidate affects transcription and synaptic plasticity regulatory proteins in specific corticostriatal circuits, including those implicated in attentional functions and psychostimulant addiction. Such methylphenidate-induced gene regulation may contribute to the therapeutic effects and/or abuse liability of this psychostimulant. \u00a9 2005 Published by Elsevier Ltd on behalf of IBRO.", "author" : [ { "dropping-particle" : "", "family" : "Yano", "given" : "M.", "non-dropping-particle" : "", "parse-names" : false, "suffix" : "" }, { "dropping-particle" : "", "family" : "Steiner", "given" : "H.", "non-dropping-particle" : "", "parse-names" : false, "suffix" : "" } ], "container-title" : "Neuroscience", "id" : "ITEM-1", "issue" : "3", "issued" : { "date-parts" : [ [ "2005" ] ] }, "page" : "855-865", "title" : "Methylphenidate (Ritalin) induces Homer 1a and zif 268 expression in specific corticostriatal circuits", "type" : "article-journal", "volume" : "132" }, "uris" : [ "http://www.mendeley.com/documents/?uuid=10708ea5-05ee-477e-af66-e85c59b4d19d" ] } ], "mendeley" : { "formattedCitation" : "(317)", "plainTextFormattedCitation" : "(317)", "previouslyFormattedCitation" : "(317)" }, "properties" : { "noteIndex" : 57 }, "schema" : "https://github.com/citation-style-language/schema/raw/master/csl-citation.json" }</w:instrText>
      </w:r>
      <w:r w:rsidR="00BC3BBB" w:rsidRPr="00FA0571">
        <w:rPr>
          <w:rFonts w:ascii="Arial" w:hAnsi="Arial" w:cs="Arial"/>
          <w:sz w:val="22"/>
          <w:szCs w:val="22"/>
        </w:rPr>
        <w:fldChar w:fldCharType="separate"/>
      </w:r>
      <w:r w:rsidR="00FA0571" w:rsidRPr="00FA0571">
        <w:rPr>
          <w:rFonts w:ascii="Arial" w:hAnsi="Arial" w:cs="Arial"/>
          <w:noProof/>
          <w:sz w:val="22"/>
          <w:szCs w:val="22"/>
        </w:rPr>
        <w:t>(317)</w:t>
      </w:r>
      <w:r w:rsidR="00BC3BBB" w:rsidRPr="00FA0571">
        <w:rPr>
          <w:rFonts w:ascii="Arial" w:hAnsi="Arial" w:cs="Arial"/>
          <w:sz w:val="22"/>
          <w:szCs w:val="22"/>
        </w:rPr>
        <w:fldChar w:fldCharType="end"/>
      </w:r>
      <w:r w:rsidR="00FA0571" w:rsidRPr="00FA0571">
        <w:rPr>
          <w:rFonts w:ascii="Arial" w:hAnsi="Arial" w:cs="Arial"/>
          <w:sz w:val="22"/>
          <w:szCs w:val="22"/>
        </w:rPr>
        <w:t xml:space="preserve">. Iasevoli ve ark antipsikotiklerin de Homer 1 a düzeylerini artırdığını buldukları çalışmalarında,  antipsikotiklerin presinaptik D2 blokajı aracalığıyla dopamin salınımını artırarak </w:t>
      </w:r>
      <w:r w:rsidR="00BC3BBB" w:rsidRPr="00FA0571">
        <w:rPr>
          <w:rFonts w:ascii="Arial" w:hAnsi="Arial" w:cs="Arial"/>
          <w:sz w:val="22"/>
          <w:szCs w:val="22"/>
        </w:rPr>
        <w:fldChar w:fldCharType="begin" w:fldLock="1"/>
      </w:r>
      <w:r w:rsidR="005827F2">
        <w:rPr>
          <w:rFonts w:ascii="Arial" w:hAnsi="Arial" w:cs="Arial"/>
          <w:sz w:val="22"/>
          <w:szCs w:val="22"/>
        </w:rPr>
        <w:instrText>ADDIN CSL_CITATION { "citationItems" : [ { "id" : "ITEM-1", "itemData" : { "DOI" : "10.1111/j.1749-6632.1990.tb32015.x", "ISSN" : "17496632", "PMID" : "1977359", "abstract" : "Intrastriatal infusions as well as systemic administration of the selective D-2 antagonist (-)-sulpiride caused similar increases in the dialysate levels of dopamine (DA) to about 180% of controls. A similar conclusion was drawn when the selective D-2 agonist (-)-N-0437 was infused intrastriatally or administered systemically: both routes of administration caused a decrease in the release of DA to about 40-50% of controls. In order to evaluate the properties of synthesis-modulating autoreceptors on dopaminergic and serotonergic neurons we have estimated the synthesis rate of serotonin (5-HT) or DA by monitoring the 5-HTP or DOPA formation in the dialysates during infusion of a decarboxylase inhibitor. Infusion of (-)-N-0437 decreased the DOPA formation, whereas infusion of (-)-sulpiride increased the dialysate levels of DOPA; these results indicate that the D-2 receptors controlling the synthesis of DA are localized on nerve terminals. Administration of the selective 5-HT-IA agonist 8-hydroxy-dipropyl-aminotetraline (8-OH-DPAT) resulted in a decrease in the synthesis rate of 5-HT. When 8-OH-DPAT was infused via the dialysis membrane, the agonist was unable to modify the release of 5-HT. The effects of infusion of the muscarinic agonist oxotremorine and the muscarinic antagonist atropine were dependent on the presence of the esterase inhibitor neostigmine in the perfusion fluid. In the absence of neostigmine, oxotremorine caused a pronounced decrease in the output of acetylcholine (ACh), whereas atropine was without effect. In the presence of neostigmine oxotremorine was without effect but infusion of atropine or other anticholinergics caused a pronounced increase in the dialysate levels of ACh. It is concluded that the autoreceptor controlling the release of ACh is of the M3-type and that the receptor is not fully occupied during normal conditions. In conclusion, microdialysis of neurotransmitters is a valuable tool for the study of autoreceptors in vivo. The presented studies provided evidence for the existence of autoreceptors controlling the synthesis and/or release of DA, 5-HT, as well as ACh in the striatum.", "author" : [ { "dropping-particle" : "", "family" : "WESTERINK", "given" : "B. H.C.", "non-dropping-particle" : "", "parse-names" : false, "suffix" : "" }, { "dropping-particle" : "", "family" : "BOER", "given" : "P.", "non-dropping-particle" : "DE", "parse-names" : false, "suffix" : "" }, { "dropping-particle" : "", "family" : "TIMMERMAN", "given" : "W.", "non-dropping-particle" : "", "parse-names" : false, "suffix" : "" }, { "dropping-particle" : "", "family" : "VRIES", "given" : "J. B.", "non-dropping-particle" : "DE", "parse-names" : false, "suffix" : "" } ], "container-title" : "Annals of the New York Academy of Sciences", "id" : "ITEM-1", "issue" : "1", "issued" : { "date-parts" : [ [ "1990" ] ] }, "page" : "492-504", "title" : "In Vivo Evidence for the Existence of Autoreceptors on Dopaminergic, Serotonergic, and Cholinergic Neurons in the Brain", "type" : "article-journal", "volume" : "604" }, "uris" : [ "http://www.mendeley.com/documents/?uuid=42978a21-d244-438e-9e96-a94fc70a618f" ] }, { "id" : "ITEM-2", "itemData" : { "DOI" : "10.1016/j.tins.2007.03.008", "ISBN" : "0166-2236 (Print)\\n0166-2236 (Linking)", "ISSN" : "01662236", "PMID" : "17408758", "abstract" : "Dopamine shapes a wide variety of psychomotor functions. This is mainly accomplished by modulating cortical and thalamic glutamatergic signals impinging upon principal medium spiny neurons (MSNs) of the striatum. Several lines of evidence suggest that dopamine D1 receptor signaling enhances dendritic excitability and glutamatergic signaling in striatonigral MSNs, whereas D2 receptor signaling exerts the opposite effect in striatopallidal MSNs. The functional antagonism between these two major striatal dopamine receptors extends to the regulation of synaptic plasticity. Recent studies, using transgenic mice in which cells express D1 and D2 receptors, have uncovered unappreciated differences between MSNs that shape glutamatergic signaling and the influence of DA on synaptic plasticity. These studies have also shown that long-term alterations in dopamine signaling produce profound and cell-type-specific reshaping of corticostriatal connectivity and function. \u00a9 2007 Elsevier Ltd. All rights reserved.", "author" : [ { "dropping-particle" : "", "family" : "Surmeier", "given" : "D. James", "non-dropping-particle" : "", "parse-names" : false, "suffix" : "" }, { "dropping-particle" : "", "family" : "Ding", "given" : "Jun", "non-dropping-particle" : "", "parse-names" : false, "suffix" : "" }, { "dropping-particle" : "", "family" : "Day", "given" : "Michelle", "non-dropping-particle" : "", "parse-names" : false, "suffix" : "" }, { "dropping-particle" : "", "family" : "Wang", "given" : "Zhongfeng", "non-dropping-particle" : "", "parse-names" : false, "suffix" : "" }, { "dropping-particle" : "", "family" : "Shen", "given" : "Weixing", "non-dropping-particle" : "", "parse-names" : false, "suffix" : "" } ], "container-title" : "Trends in Neurosciences", "id" : "ITEM-2", "issue" : "5", "issued" : { "date-parts" : [ [ "2007" ] ] }, "page" : "228-235", "title" : "D1 and D2 dopamine-receptor modulation of striatal glutamatergic signaling in striatal medium spiny neurons", "type" : "article-journal", "volume" : "30" }, "uris" : [ "http://www.mendeley.com/documents/?uuid=8dd6f202-efe4-4680-af05-85fc92629fd9" ] } ], "mendeley" : { "formattedCitation" : "(318, 319)", "plainTextFormattedCitation" : "(318, 319)", "previouslyFormattedCitation" : "(318,319)" }, "properties" : { "noteIndex" : 57 }, "schema" : "https://github.com/citation-style-language/schema/raw/master/csl-citation.json" }</w:instrText>
      </w:r>
      <w:r w:rsidR="00BC3BBB" w:rsidRPr="00FA0571">
        <w:rPr>
          <w:rFonts w:ascii="Arial" w:hAnsi="Arial" w:cs="Arial"/>
          <w:sz w:val="22"/>
          <w:szCs w:val="22"/>
        </w:rPr>
        <w:fldChar w:fldCharType="separate"/>
      </w:r>
      <w:r w:rsidR="005827F2" w:rsidRPr="005827F2">
        <w:rPr>
          <w:rFonts w:ascii="Arial" w:hAnsi="Arial" w:cs="Arial"/>
          <w:noProof/>
          <w:sz w:val="22"/>
          <w:szCs w:val="22"/>
        </w:rPr>
        <w:t>(318, 319)</w:t>
      </w:r>
      <w:r w:rsidR="00BC3BBB" w:rsidRPr="00FA0571">
        <w:rPr>
          <w:rFonts w:ascii="Arial" w:hAnsi="Arial" w:cs="Arial"/>
          <w:sz w:val="22"/>
          <w:szCs w:val="22"/>
        </w:rPr>
        <w:fldChar w:fldCharType="end"/>
      </w:r>
      <w:r w:rsidR="00FA0571" w:rsidRPr="00FA0571">
        <w:rPr>
          <w:rFonts w:ascii="Arial" w:hAnsi="Arial" w:cs="Arial"/>
          <w:sz w:val="22"/>
          <w:szCs w:val="22"/>
        </w:rPr>
        <w:t xml:space="preserve"> ve postsinaptik D2 blokajı ile sinaptik dopaminin D1 reseptörlerine kaymasını sağlayarak Homer1a indüksiyonuna sebep olabileceği hipotezini kurmuşlardır </w:t>
      </w:r>
      <w:r w:rsidR="00BC3BBB" w:rsidRPr="00FA0571">
        <w:rPr>
          <w:rFonts w:ascii="Arial" w:hAnsi="Arial" w:cs="Arial"/>
          <w:sz w:val="22"/>
          <w:szCs w:val="22"/>
        </w:rPr>
        <w:fldChar w:fldCharType="begin" w:fldLock="1"/>
      </w:r>
      <w:r w:rsidR="005827F2">
        <w:rPr>
          <w:rFonts w:ascii="Arial" w:hAnsi="Arial" w:cs="Arial"/>
          <w:sz w:val="22"/>
          <w:szCs w:val="22"/>
        </w:rPr>
        <w:instrText>ADDIN CSL_CITATION { "citationItems" : [ { "id" : "ITEM-1", "itemData" : { "DOI" : "10.1016/j.pnpbp.2009.02.009", "ISBN" : "1878-4216 (Electronic)\\r0278-5846 (Linking)", "ISSN" : "02785846", "PMID" : "19243698", "abstract" : "The inducible gene Homer1a has been considered a candidate gene for schizophrenia. Drugs efficacious in schizophrenia and acting as dopamine receptor antagonists induce Homer1a expression, although the specific role of the different dopamine receptors in its induction is not completely known. In this study, we explored Homer1a expression induced by selective antagonists at dopamine receptors (SCH-23390, D1 receptor selective antagonist, 0.5??mg/kg; L-741,626, D2 receptor selective antagonist, 2??mg/kg; U-99194, D3 receptor selective antagonist, 5??mg/kg; L-745,870, D4 receptor selective antagonist, 3??mg/kg), haloperidol (0.8??mg/kg), and terguride (0.5??mg/kg), a partial agonist at D2 receptors. Moreover, we evaluated the expression of two Homer1a-related genes which play essential roles in synaptic plasticity: mGluR5 and Homer1b. Gene expression was analyzed in brain regions relevant for schizophrenia pathophysiology and therapy, namely the striatum, the cortex, and the hippocampus. In striatum, Homer1a was induced by D2 receptor antagonists and, with a different distribution, by SCH-23390. In the cortex, Homer1a was differentially induced by D1, D2, and D3 receptors antagonists, while haloperidol and terguride did not affect or reduced its expression. Homer1b expression was reduced by L-741,626, L-745,870, terguride, and haloperidol in the ventral caudate-putamen, in the nucleus accumbens and in the cortex, while SCH-23390 increased the expression in the core of the accumbens. mGluR5 expression was increased by SCH-23390 in the dorsomedial putamen, the core of the accumbens, and in some hippocampal subregions. A reduction of gene expression by terguride and an increase by L-745,870 was observed in the dorsomedial putamen. The changes in expression suggest that these gene transcripts are differentially regulated by antagonism at different dopamine receptors. ?? 2009 Elsevier Inc. All rights reserved.", "author" : [ { "dropping-particle" : "", "family" : "Iasevoli", "given" : "Felice", "non-dropping-particle" : "", "parse-names" : false, "suffix" : "" }, { "dropping-particle" : "", "family" : "Tomasetti", "given" : "Carmine", "non-dropping-particle" : "", "parse-names" : false, "suffix" : "" }, { "dropping-particle" : "", "family" : "Ambesi-Impiombato", "given" : "Alberto", "non-dropping-particle" : "", "parse-names" : false, "suffix" : "" }, { "dropping-particle" : "", "family" : "Muscettola", "given" : "Giovanni", "non-dropping-particle" : "", "parse-names" : false, "suffix" : "" }, { "dropping-particle" : "", "family" : "Bartolomeis", "given" : "Andrea", "non-dropping-particle" : "de", "parse-names" : false, "suffix" : "" } ], "container-title" : "Progress in Neuro-Psychopharmacology and Biological Psychiatry", "id" : "ITEM-1", "issue" : "5", "issued" : { "date-parts" : [ [ "2009" ] ] }, "page" : "813-821", "title" : "Dopamine receptor subtypes contribution to Homer1a induction: Insights into antipsychotic molecular action", "type" : "article-journal", "volume" : "33" }, "uris" : [ "http://www.mendeley.com/documents/?uuid=4b59a128-b27a-455e-9d16-0ae55a7816fc" ] } ], "mendeley" : { "formattedCitation" : "(246)", "plainTextFormattedCitation" : "(246)", "previouslyFormattedCitation" : "(246)" }, "properties" : { "noteIndex" : 57 }, "schema" : "https://github.com/citation-style-language/schema/raw/master/csl-citation.json" }</w:instrText>
      </w:r>
      <w:r w:rsidR="00BC3BBB" w:rsidRPr="00FA0571">
        <w:rPr>
          <w:rFonts w:ascii="Arial" w:hAnsi="Arial" w:cs="Arial"/>
          <w:sz w:val="22"/>
          <w:szCs w:val="22"/>
        </w:rPr>
        <w:fldChar w:fldCharType="separate"/>
      </w:r>
      <w:r w:rsidR="00FA0571" w:rsidRPr="00FA0571">
        <w:rPr>
          <w:rFonts w:ascii="Arial" w:hAnsi="Arial" w:cs="Arial"/>
          <w:noProof/>
          <w:sz w:val="22"/>
          <w:szCs w:val="22"/>
        </w:rPr>
        <w:t>(246)</w:t>
      </w:r>
      <w:r w:rsidR="00BC3BBB" w:rsidRPr="00FA0571">
        <w:rPr>
          <w:rFonts w:ascii="Arial" w:hAnsi="Arial" w:cs="Arial"/>
          <w:sz w:val="22"/>
          <w:szCs w:val="22"/>
        </w:rPr>
        <w:fldChar w:fldCharType="end"/>
      </w:r>
      <w:r w:rsidR="00FA0571" w:rsidRPr="00FA0571">
        <w:rPr>
          <w:rFonts w:ascii="Arial" w:hAnsi="Arial" w:cs="Arial"/>
          <w:sz w:val="22"/>
          <w:szCs w:val="22"/>
        </w:rPr>
        <w:t>.</w:t>
      </w:r>
    </w:p>
    <w:p w:rsidR="00FA0571" w:rsidRPr="00040181" w:rsidRDefault="00C60153" w:rsidP="00FA0571">
      <w:pPr>
        <w:pStyle w:val="HTMLncedenBiimlendirilmi"/>
        <w:shd w:val="clear" w:color="auto" w:fill="FFFFFF"/>
        <w:spacing w:line="360" w:lineRule="auto"/>
        <w:jc w:val="both"/>
        <w:rPr>
          <w:rFonts w:ascii="Arial" w:hAnsi="Arial" w:cs="Arial"/>
          <w:sz w:val="22"/>
          <w:szCs w:val="22"/>
        </w:rPr>
      </w:pPr>
      <w:r w:rsidRPr="00FA0571">
        <w:rPr>
          <w:rFonts w:ascii="Arial" w:hAnsi="Arial" w:cs="Arial"/>
          <w:sz w:val="22"/>
          <w:szCs w:val="22"/>
        </w:rPr>
        <w:tab/>
      </w:r>
      <w:r w:rsidR="00FA0571" w:rsidRPr="00FA0571">
        <w:rPr>
          <w:rStyle w:val="Vurgu"/>
          <w:rFonts w:ascii="Arial" w:hAnsi="Arial" w:cs="Arial"/>
          <w:sz w:val="22"/>
          <w:szCs w:val="22"/>
          <w:shd w:val="clear" w:color="auto" w:fill="FFFFFF"/>
        </w:rPr>
        <w:t>Homer1</w:t>
      </w:r>
      <w:r w:rsidR="00FA0571" w:rsidRPr="00FA0571">
        <w:rPr>
          <w:rFonts w:ascii="Arial" w:hAnsi="Arial" w:cs="Arial"/>
          <w:sz w:val="22"/>
          <w:szCs w:val="22"/>
          <w:shd w:val="clear" w:color="auto" w:fill="FFFFFF"/>
        </w:rPr>
        <w:t xml:space="preserve"> “knock-out” farelerin kokaine şartlandırılmış ödüle artmış hassasiyet ve yanıt gösterdikleri bildirilmiştir </w:t>
      </w:r>
      <w:r w:rsidR="00BC3BBB" w:rsidRPr="00FA0571">
        <w:rPr>
          <w:rFonts w:ascii="Arial" w:hAnsi="Arial" w:cs="Arial"/>
          <w:sz w:val="22"/>
          <w:szCs w:val="22"/>
          <w:shd w:val="clear" w:color="auto" w:fill="FFFFFF"/>
        </w:rPr>
        <w:fldChar w:fldCharType="begin" w:fldLock="1"/>
      </w:r>
      <w:r w:rsidR="00FA0571" w:rsidRPr="00FA0571">
        <w:rPr>
          <w:rFonts w:ascii="Arial" w:hAnsi="Arial" w:cs="Arial"/>
          <w:sz w:val="22"/>
          <w:szCs w:val="22"/>
          <w:shd w:val="clear" w:color="auto" w:fill="FFFFFF"/>
        </w:rPr>
        <w:instrText>ADDIN CSL_CITATION { "citationItems" : [ { "id" : "ITEM-1", "itemData" : { "DOI" : "10.1016/j.neuron.2004.07.019", "ISBN" : "0896-6273 (Print)\\n0896-6273 (Linking)", "ISSN" : "08966273", "PMID" : "15294147", "abstract" : "Drug addiction involves complex interactions between pharmacology and learning in genetically susceptible individuals. Members of the Homer gene family are regulated by acute and chronic cocaine administration. Here, we report that deletion of Homer1 or Homer2 in mice caused the same increase in sensitivity to cocaine-induced locomotion, conditioned reward, and augmented extracellular glutamate in nucleus accumbens as that elicited by withdrawal from repeated cocaine administration. Moreover, adeno-associated virus-mediated restoration of Homer2 in the accumbens of Homer2 KO mice reversed the cocaine-sensitized phenotype. Further analysis of Homer2 KO mice revealed extensive additional behavioral and neurochemical similarities to cocaine-sensitized animals, including accelerated acquisition of cocaine self-administration and altered regulation of glutamate by metabotropic glutamate receptors and cystine/glutamate exchange. These data show that Homer deletion mimics the behavioral and neurochemical phenotype produced by repeated cocaine administration and implicate Homer in regulating addiction to cocaine.", "author" : [ { "dropping-particle" : "", "family" : "Szumlinski", "given" : "Karen K.", "non-dropping-particle" : "", "parse-names" : false, "suffix" : "" }, { "dropping-particle" : "", "family" : "Dehoff", "given" : "Marlin H.", "non-dropping-particle" : "", "parse-names" : false, "suffix" : "" }, { "dropping-particle" : "", "family" : "Kang", "given" : "Shin H.", "non-dropping-particle" : "", "parse-names" : false, "suffix" : "" }, { "dropping-particle" : "", "family" : "Frys", "given" : "Kelly A.", "non-dropping-particle" : "", "parse-names" : false, "suffix" : "" }, { "dropping-particle" : "", "family" : "Lominac", "given" : "Kevin D.", "non-dropping-particle" : "", "parse-names" : false, "suffix" : "" }, { "dropping-particle" : "", "family" : "Klugmann", "given" : "Matthias", "non-dropping-particle" : "", "parse-names" : false, "suffix" : "" }, { "dropping-particle" : "", "family" : "Rohrer", "given" : "Jason", "non-dropping-particle" : "", "parse-names" : false, "suffix" : "" }, { "dropping-particle" : "", "family" : "Griffin", "given" : "William", "non-dropping-particle" : "", "parse-names" : false, "suffix" : "" }, { "dropping-particle" : "", "family" : "Toda", "given" : "Shigenobu", "non-dropping-particle" : "", "parse-names" : false, "suffix" : "" }, { "dropping-particle" : "", "family" : "Champtiaux", "given" : "Nicolas P.", "non-dropping-particle" : "", "parse-names" : false, "suffix" : "" }, { "dropping-particle" : "", "family" : "Berry", "given" : "Thomas", "non-dropping-particle" : "", "parse-names" : false, "suffix" : "" }, { "dropping-particle" : "", "family" : "Tu", "given" : "Jian C.", "non-dropping-particle" : "", "parse-names" : false, "suffix" : "" }, { "dropping-particle" : "", "family" : "Shealy", "given" : "Stephanie E.", "non-dropping-particle" : "", "parse-names" : false, "suffix" : "" }, { "dropping-particle" : "", "family" : "During", "given" : "Matthew J.", "non-dropping-particle" : "", "parse-names" : false, "suffix" : "" }, { "dropping-particle" : "", "family" : "Middaugh", "given" : "Lawrence D.", "non-dropping-particle" : "", "parse-names" : false, "suffix" : "" }, { "dropping-particle" : "", "family" : "Worley", "given" : "Paul F.", "non-dropping-particle" : "", "parse-names" : false, "suffix" : "" }, { "dropping-particle" : "", "family" : "Kalivas", "given" : "Peter W.", "non-dropping-particle" : "", "parse-names" : false, "suffix" : "" } ], "container-title" : "Neuron", "id" : "ITEM-1", "issue" : "3", "issued" : { "date-parts" : [ [ "2004" ] ] }, "page" : "401-413", "title" : "Homer proteins regulate sensitivity to cocaine", "type" : "article-journal", "volume" : "43" }, "uris" : [ "http://www.mendeley.com/documents/?uuid=e661553f-16a4-4250-aa3f-ddf40f2f30fa" ] } ], "mendeley" : { "formattedCitation" : "(320)", "plainTextFormattedCitation" : "(320)", "previouslyFormattedCitation" : "(320)" }, "properties" : { "noteIndex" : 57 }, "schema" : "https://github.com/citation-style-language/schema/raw/master/csl-citation.json" }</w:instrText>
      </w:r>
      <w:r w:rsidR="00BC3BBB" w:rsidRPr="00FA0571">
        <w:rPr>
          <w:rFonts w:ascii="Arial" w:hAnsi="Arial" w:cs="Arial"/>
          <w:sz w:val="22"/>
          <w:szCs w:val="22"/>
          <w:shd w:val="clear" w:color="auto" w:fill="FFFFFF"/>
        </w:rPr>
        <w:fldChar w:fldCharType="separate"/>
      </w:r>
      <w:r w:rsidR="00FA0571" w:rsidRPr="00FA0571">
        <w:rPr>
          <w:rFonts w:ascii="Arial" w:hAnsi="Arial" w:cs="Arial"/>
          <w:noProof/>
          <w:sz w:val="22"/>
          <w:szCs w:val="22"/>
          <w:shd w:val="clear" w:color="auto" w:fill="FFFFFF"/>
        </w:rPr>
        <w:t>(320)</w:t>
      </w:r>
      <w:r w:rsidR="00BC3BBB" w:rsidRPr="00FA0571">
        <w:rPr>
          <w:rFonts w:ascii="Arial" w:hAnsi="Arial" w:cs="Arial"/>
          <w:sz w:val="22"/>
          <w:szCs w:val="22"/>
          <w:shd w:val="clear" w:color="auto" w:fill="FFFFFF"/>
        </w:rPr>
        <w:fldChar w:fldCharType="end"/>
      </w:r>
      <w:r w:rsidR="00FA0571" w:rsidRPr="00FA0571">
        <w:rPr>
          <w:rFonts w:ascii="Arial" w:hAnsi="Arial" w:cs="Arial"/>
          <w:sz w:val="22"/>
          <w:szCs w:val="22"/>
          <w:shd w:val="clear" w:color="auto" w:fill="FFFFFF"/>
        </w:rPr>
        <w:t>.</w:t>
      </w:r>
      <w:r w:rsidR="00FA0571" w:rsidRPr="00FA0571">
        <w:rPr>
          <w:rFonts w:ascii="Arial" w:hAnsi="Arial" w:cs="Arial"/>
          <w:color w:val="333333"/>
          <w:sz w:val="22"/>
          <w:szCs w:val="22"/>
          <w:shd w:val="clear" w:color="auto" w:fill="FFFFFF"/>
        </w:rPr>
        <w:t xml:space="preserve"> </w:t>
      </w:r>
      <w:r w:rsidR="00FA0571" w:rsidRPr="00FA0571">
        <w:rPr>
          <w:rFonts w:ascii="Arial" w:hAnsi="Arial" w:cs="Arial"/>
          <w:sz w:val="22"/>
          <w:szCs w:val="22"/>
        </w:rPr>
        <w:t>Bu bulgu</w:t>
      </w:r>
      <w:r w:rsidR="00FA0571" w:rsidRPr="00FA0571">
        <w:rPr>
          <w:rFonts w:ascii="Arial" w:hAnsi="Arial" w:cs="Arial"/>
          <w:color w:val="4F81BD" w:themeColor="accent1"/>
          <w:sz w:val="22"/>
          <w:szCs w:val="22"/>
        </w:rPr>
        <w:t xml:space="preserve"> </w:t>
      </w:r>
      <w:r w:rsidR="00FA0571" w:rsidRPr="00FA0571">
        <w:rPr>
          <w:rFonts w:ascii="Arial" w:hAnsi="Arial" w:cs="Arial"/>
          <w:sz w:val="22"/>
          <w:szCs w:val="22"/>
        </w:rPr>
        <w:t xml:space="preserve">DEHB’nin önemli </w:t>
      </w:r>
      <w:r w:rsidR="00FA0571" w:rsidRPr="00040181">
        <w:rPr>
          <w:rFonts w:ascii="Arial" w:hAnsi="Arial" w:cs="Arial"/>
          <w:sz w:val="22"/>
          <w:szCs w:val="22"/>
        </w:rPr>
        <w:t xml:space="preserve">komplikasyonlardan biri olan madde kötüye kullanımnın bir nedeninin de, Homer1a üzerinden ortaya çıkıyor olabileceğini düşündürmektedir. </w:t>
      </w:r>
    </w:p>
    <w:p w:rsidR="00040181" w:rsidRPr="00040181" w:rsidRDefault="00C60153" w:rsidP="00040181">
      <w:pPr>
        <w:pStyle w:val="HTMLncedenBiimlendirilmi"/>
        <w:shd w:val="clear" w:color="auto" w:fill="FFFFFF"/>
        <w:spacing w:line="360" w:lineRule="auto"/>
        <w:jc w:val="both"/>
        <w:rPr>
          <w:rFonts w:ascii="Arial" w:hAnsi="Arial" w:cs="Arial"/>
          <w:sz w:val="22"/>
          <w:szCs w:val="22"/>
        </w:rPr>
      </w:pPr>
      <w:r w:rsidRPr="00040181">
        <w:rPr>
          <w:rFonts w:ascii="Arial" w:hAnsi="Arial" w:cs="Arial"/>
          <w:sz w:val="22"/>
          <w:szCs w:val="22"/>
          <w:shd w:val="clear" w:color="auto" w:fill="FFFFFF"/>
        </w:rPr>
        <w:tab/>
      </w:r>
      <w:r w:rsidR="00040181" w:rsidRPr="00040181">
        <w:rPr>
          <w:rFonts w:ascii="Arial" w:hAnsi="Arial" w:cs="Arial"/>
          <w:sz w:val="22"/>
          <w:szCs w:val="22"/>
        </w:rPr>
        <w:t>Bu nedenlerle, çalışmamızın bulgusundan yola çıkarak, DEHB grubunda saptanan</w:t>
      </w:r>
      <w:r w:rsidR="00040181" w:rsidRPr="00040181">
        <w:rPr>
          <w:rFonts w:ascii="Arial" w:hAnsi="Arial" w:cs="Arial"/>
          <w:color w:val="E36C0A" w:themeColor="accent6" w:themeShade="BF"/>
          <w:sz w:val="22"/>
          <w:szCs w:val="22"/>
        </w:rPr>
        <w:t xml:space="preserve"> </w:t>
      </w:r>
      <w:r w:rsidR="00040181" w:rsidRPr="00040181">
        <w:rPr>
          <w:rFonts w:ascii="Arial" w:hAnsi="Arial" w:cs="Arial"/>
          <w:sz w:val="22"/>
          <w:szCs w:val="22"/>
        </w:rPr>
        <w:t>artmış</w:t>
      </w:r>
      <w:r w:rsidR="00040181" w:rsidRPr="00040181">
        <w:rPr>
          <w:rFonts w:ascii="Arial" w:hAnsi="Arial" w:cs="Arial"/>
          <w:color w:val="E36C0A" w:themeColor="accent6" w:themeShade="BF"/>
          <w:sz w:val="22"/>
          <w:szCs w:val="22"/>
        </w:rPr>
        <w:t xml:space="preserve"> </w:t>
      </w:r>
      <w:r w:rsidR="00040181" w:rsidRPr="00040181">
        <w:rPr>
          <w:rFonts w:ascii="Arial" w:hAnsi="Arial" w:cs="Arial"/>
          <w:sz w:val="22"/>
          <w:szCs w:val="22"/>
        </w:rPr>
        <w:t xml:space="preserve">miR-5692b düzeyinin Homer1a ekspresyonunu azaltarak etki etmek yoluyla DEHB etiyopatogenezine katkıda bulunuyor olabileceği düşünüldü. Bizim çalışmamızda periferik kan miR-5692b düzeyi ile hippokampus ve striatum gibi beyin bölgelerindeki değişiklikler arasında korelasyon varlığı sorgulanamamıştır. Sonraki çalışmalarda miR-5692b’nin beyin bölgelerindeki olası yapısal değişiklikler arasındaki ilişkinin , ayrıca, antipsikotik tedavisi alan  DEHB’li çocuklarda ve madde kullanım bozukluğu eşlik eden DEHB’lilerde miR-5692b kan düzeylerinin araştırılmasına ihtiyaç olabilir. Ayrıca öğrenme üzerinde etkileri göz önüne alındığında, öğrenme zorlukları yaşayan DEHB’li hastalarda veya </w:t>
      </w:r>
      <w:r w:rsidR="00040181">
        <w:rPr>
          <w:rFonts w:ascii="Arial" w:hAnsi="Arial" w:cs="Arial"/>
          <w:sz w:val="22"/>
          <w:szCs w:val="22"/>
        </w:rPr>
        <w:t>ö</w:t>
      </w:r>
      <w:r w:rsidR="00040181" w:rsidRPr="00040181">
        <w:rPr>
          <w:rFonts w:ascii="Arial" w:hAnsi="Arial" w:cs="Arial"/>
          <w:sz w:val="22"/>
          <w:szCs w:val="22"/>
        </w:rPr>
        <w:t xml:space="preserve">zgül </w:t>
      </w:r>
      <w:r w:rsidR="00040181">
        <w:rPr>
          <w:rFonts w:ascii="Arial" w:hAnsi="Arial" w:cs="Arial"/>
          <w:sz w:val="22"/>
          <w:szCs w:val="22"/>
        </w:rPr>
        <w:t>ö</w:t>
      </w:r>
      <w:r w:rsidR="00040181" w:rsidRPr="00040181">
        <w:rPr>
          <w:rFonts w:ascii="Arial" w:hAnsi="Arial" w:cs="Arial"/>
          <w:sz w:val="22"/>
          <w:szCs w:val="22"/>
        </w:rPr>
        <w:t xml:space="preserve">ğrenme </w:t>
      </w:r>
      <w:r w:rsidR="00040181">
        <w:rPr>
          <w:rFonts w:ascii="Arial" w:hAnsi="Arial" w:cs="Arial"/>
          <w:sz w:val="22"/>
          <w:szCs w:val="22"/>
        </w:rPr>
        <w:t>b</w:t>
      </w:r>
      <w:r w:rsidR="00040181" w:rsidRPr="00040181">
        <w:rPr>
          <w:rFonts w:ascii="Arial" w:hAnsi="Arial" w:cs="Arial"/>
          <w:sz w:val="22"/>
          <w:szCs w:val="22"/>
        </w:rPr>
        <w:t>ozukluğu olan çocuklarda miR-5692b düzeyinin araştırılması gerekebilir.</w:t>
      </w:r>
    </w:p>
    <w:p w:rsidR="00A658D9" w:rsidRPr="00A658D9" w:rsidRDefault="00A658D9" w:rsidP="00A658D9">
      <w:pPr>
        <w:autoSpaceDE w:val="0"/>
        <w:autoSpaceDN w:val="0"/>
        <w:adjustRightInd w:val="0"/>
        <w:spacing w:line="360" w:lineRule="auto"/>
        <w:ind w:firstLine="720"/>
        <w:jc w:val="both"/>
        <w:rPr>
          <w:rFonts w:ascii="Arial" w:hAnsi="Arial" w:cs="Arial"/>
          <w:sz w:val="22"/>
          <w:szCs w:val="22"/>
        </w:rPr>
      </w:pPr>
      <w:r w:rsidRPr="00A658D9">
        <w:rPr>
          <w:rFonts w:ascii="Arial" w:hAnsi="Arial" w:cs="Arial"/>
          <w:b/>
          <w:sz w:val="22"/>
          <w:szCs w:val="22"/>
        </w:rPr>
        <w:lastRenderedPageBreak/>
        <w:t>miR-let-7d:</w:t>
      </w:r>
      <w:r w:rsidRPr="00A658D9">
        <w:rPr>
          <w:rFonts w:ascii="Arial" w:hAnsi="Arial" w:cs="Arial"/>
          <w:sz w:val="22"/>
          <w:szCs w:val="22"/>
        </w:rPr>
        <w:t xml:space="preserve"> Çalışmamızda hasta grubundan alınan periferik kan örneklerinde kontrol grubuna göre miR-let-7d düzeyleri istatistiksel olarak anlamlı ölçüde azalmış bulundu. l</w:t>
      </w:r>
      <w:r w:rsidRPr="00A658D9">
        <w:rPr>
          <w:rFonts w:ascii="Arial" w:hAnsi="Arial" w:cs="Arial"/>
          <w:color w:val="212121"/>
          <w:sz w:val="22"/>
          <w:szCs w:val="22"/>
          <w:shd w:val="clear" w:color="auto" w:fill="FFFFFF"/>
        </w:rPr>
        <w:t>et-7 uygun gelişme için gerekli olan hücre proliferasyonunu ve diferansiasyonunu düzenlemek için birden fazla hedefi kontrol eder</w:t>
      </w:r>
      <w:r w:rsidRPr="00A658D9">
        <w:rPr>
          <w:rFonts w:ascii="Arial" w:hAnsi="Arial" w:cs="Arial"/>
          <w:sz w:val="22"/>
          <w:szCs w:val="22"/>
        </w:rPr>
        <w:t xml:space="preserve"> </w:t>
      </w:r>
      <w:r w:rsidR="00BC3BBB" w:rsidRPr="00A658D9">
        <w:rPr>
          <w:rFonts w:ascii="Arial" w:hAnsi="Arial" w:cs="Arial"/>
          <w:sz w:val="22"/>
          <w:szCs w:val="22"/>
        </w:rPr>
        <w:fldChar w:fldCharType="begin" w:fldLock="1"/>
      </w:r>
      <w:r w:rsidRPr="00A658D9">
        <w:rPr>
          <w:rFonts w:ascii="Arial" w:hAnsi="Arial" w:cs="Arial"/>
          <w:sz w:val="22"/>
          <w:szCs w:val="22"/>
        </w:rPr>
        <w:instrText>ADDIN CSL_CITATION { "citationItems" : [ { "id" : "ITEM-1", "itemData" : { "author" : [ { "dropping-particle" : "", "family" : "B\u00fcssing", "given" : "I.", "non-dropping-particle" : "", "parse-names" : false, "suffix" : "" }, { "dropping-particle" : "", "family" : "Slack", "given" : "F. J", "non-dropping-particle" : "", "parse-names" : false, "suffix" : "" }, { "dropping-particle" : "", "family" : "Gro\\sshans", "given" : "H.", "non-dropping-particle" : "", "parse-names" : false, "suffix" : "" } ], "container-title" : "Trends in molecular medicine", "id" : "ITEM-1", "issue" : "9", "issued" : { "date-parts" : [ [ "2008" ] ] }, "page" : "400\u2013409", "title" : "let-7 microRNAs in development, stem cells and cancer", "type" : "article-journal", "volume" : "14" }, "uris" : [ "http://www.mendeley.com/documents/?uuid=44f48926-40c5-4635-ba3b-11d20fafa1d0" ] } ], "mendeley" : { "formattedCitation" : "(321)", "plainTextFormattedCitation" : "(321)", "previouslyFormattedCitation" : "(321)" }, "properties" : { "noteIndex" : 58 }, "schema" : "https://github.com/citation-style-language/schema/raw/master/csl-citation.json" }</w:instrText>
      </w:r>
      <w:r w:rsidR="00BC3BBB" w:rsidRPr="00A658D9">
        <w:rPr>
          <w:rFonts w:ascii="Arial" w:hAnsi="Arial" w:cs="Arial"/>
          <w:sz w:val="22"/>
          <w:szCs w:val="22"/>
        </w:rPr>
        <w:fldChar w:fldCharType="separate"/>
      </w:r>
      <w:r w:rsidRPr="00A658D9">
        <w:rPr>
          <w:rFonts w:ascii="Arial" w:hAnsi="Arial" w:cs="Arial"/>
          <w:noProof/>
          <w:sz w:val="22"/>
          <w:szCs w:val="22"/>
        </w:rPr>
        <w:t>(321)</w:t>
      </w:r>
      <w:r w:rsidR="00BC3BBB" w:rsidRPr="00A658D9">
        <w:rPr>
          <w:rFonts w:ascii="Arial" w:hAnsi="Arial" w:cs="Arial"/>
          <w:sz w:val="22"/>
          <w:szCs w:val="22"/>
        </w:rPr>
        <w:fldChar w:fldCharType="end"/>
      </w:r>
      <w:r w:rsidRPr="00A658D9">
        <w:rPr>
          <w:rFonts w:ascii="Arial" w:hAnsi="Arial" w:cs="Arial"/>
          <w:sz w:val="22"/>
          <w:szCs w:val="22"/>
          <w:shd w:val="clear" w:color="auto" w:fill="FFFFFF"/>
        </w:rPr>
        <w:t>.</w:t>
      </w:r>
      <w:r w:rsidRPr="00A658D9">
        <w:rPr>
          <w:rFonts w:ascii="Arial" w:hAnsi="Arial" w:cs="Arial"/>
          <w:color w:val="4F81BD" w:themeColor="accent1"/>
          <w:sz w:val="22"/>
          <w:szCs w:val="22"/>
          <w:shd w:val="clear" w:color="auto" w:fill="FFFFFF"/>
        </w:rPr>
        <w:t xml:space="preserve"> </w:t>
      </w:r>
      <w:r w:rsidRPr="00A658D9">
        <w:rPr>
          <w:rFonts w:ascii="Arial" w:hAnsi="Arial" w:cs="Arial"/>
          <w:color w:val="212121"/>
          <w:sz w:val="22"/>
          <w:szCs w:val="22"/>
          <w:shd w:val="clear" w:color="auto" w:fill="FFFFFF"/>
        </w:rPr>
        <w:t xml:space="preserve">Let-7 ailesi üyelerinin miRNA’larının nöronal </w:t>
      </w:r>
      <w:r w:rsidRPr="00A658D9">
        <w:rPr>
          <w:rFonts w:ascii="Arial" w:hAnsi="Arial" w:cs="Arial"/>
          <w:iCs/>
          <w:sz w:val="22"/>
          <w:szCs w:val="22"/>
        </w:rPr>
        <w:t>diferansiasyonda</w:t>
      </w:r>
      <w:r w:rsidRPr="00A658D9">
        <w:rPr>
          <w:rFonts w:ascii="Arial" w:hAnsi="Arial" w:cs="Arial"/>
          <w:color w:val="212121"/>
          <w:sz w:val="22"/>
          <w:szCs w:val="22"/>
          <w:shd w:val="clear" w:color="auto" w:fill="FFFFFF"/>
        </w:rPr>
        <w:t xml:space="preserve"> rol alan beyin miRNA'larından olduğu belirtilmektedir </w:t>
      </w:r>
      <w:r w:rsidR="00BC3BBB" w:rsidRPr="00A658D9">
        <w:rPr>
          <w:rFonts w:ascii="Arial" w:hAnsi="Arial" w:cs="Arial"/>
          <w:color w:val="212121"/>
          <w:sz w:val="22"/>
          <w:szCs w:val="22"/>
          <w:shd w:val="clear" w:color="auto" w:fill="FFFFFF"/>
        </w:rPr>
        <w:fldChar w:fldCharType="begin" w:fldLock="1"/>
      </w:r>
      <w:r w:rsidR="005827F2">
        <w:rPr>
          <w:rFonts w:ascii="Arial" w:hAnsi="Arial" w:cs="Arial"/>
          <w:color w:val="212121"/>
          <w:sz w:val="22"/>
          <w:szCs w:val="22"/>
          <w:shd w:val="clear" w:color="auto" w:fill="FFFFFF"/>
        </w:rPr>
        <w:instrText>ADDIN CSL_CITATION { "citationItems" : [ { "id" : "ITEM-1", "itemData" : { "DOI" : "10.1146/annurev.cellbio.18.012502.105832", "ISBN" : "1081-0706 (Print)\\r1081-0706 (Linking)", "ISSN" : "1081-0706", "PMID" : "12142272", "abstract" : "In Caenorhabditis elegans the timing of many developmental events is regulated by heterochronic genes. Such genes orchestrate the timing of cell divisions and fates appropriate for the developmental stage of an organism. Analyses of heterochronic mutations in the nematode C. elegans have revealed a genetic pathway that controls the timing of post-embryonic cell divisions and fates. Two of the genes in this pathway encode small regulatory RNAs. The 22 nucleotide (nt) RNAs downregulate the expression of protein-coding mRNAs of target heterochronic genes. Analogous variations in the timing of appearance of particular features have been noted among closely related species, suggesting that such explicit control of developmental timing may not be exclusive to C. elegans. In fact, some of the genes that globally pattern the temporal progression of C. elegans development, including one of the tiny RNA genes, are conserved and temporally regulated across much of animal phylogeny, suggesting that the molecular mechanisms of temporal control are ancient and universal. A very large family of tiny RNA genes called microRNAs, which are similar in structure to the heterochronic regulatory RNAs, have been detected in diverse animal species and are likely to be present in most metazoans. Functions of the newly discovered microRNAs are not yet known. Other examples of temporal programs during growth include the exquisitely choreographed temporal sequences of developmental fates in neurogenesis in Drosophila and the sequential programs of epidermal coloration in insect wing patterning. An interesting possibility is that microRNAs mediate transitions on a variety of time scales to pattern the activities of particular target protein-coding genes and in turn generate sets of cells over a period of time. Plasticity in these microRNA genes or their targets may lead to changes in relative developmental timing between related species, or heterochronic change. Instead of inventing new gene functions, even subtle changes in temporal expression of pre-existing control genes can result in speciation by altering the time at which they function.", "author" : [ { "dropping-particle" : "", "family" : "Pasquinelli", "given" : "Amy E.", "non-dropping-particle" : "", "parse-names" : false, "suffix" : "" }, { "dropping-particle" : "", "family" : "Ruvkun", "given" : "Gary", "non-dropping-particle" : "", "parse-names" : false, "suffix" : "" } ], "container-title" : "Annual Review of Cell and Developmental Biology", "id" : "ITEM-1", "issue" : "1", "issued" : { "date-parts" : [ [ "2002" ] ] }, "page" : "495-513", "title" : "Control of Developmental Timing by MicroRNAs and Their Targets", "type" : "article-journal", "volume" : "18" }, "uris" : [ "http://www.mendeley.com/documents/?uuid=db116f65-4e9e-4982-a977-33f93c989406" ] }, { "id" : "ITEM-2", "itemData" : { "DOI" : "10.1038/35088566", "ISBN" : "doi:10.1038/35088566", "ISSN" : "1471-0056", "PMID" : "11533718", "abstract" : "The molecular mechanisms that time development are now being deciphered in various organisms, particularly in Caenorhabditis elegans. Key recent findings indicate that certain C. elegans timekeeping genes are conserved across phyla, and their developmental expression patterns indicate that a timing function might also be conserved. Small regulatory RNAs have crucial roles in the timing mechanism, and the cellular machinery required for production of these RNAs intersects with that used to process double-stranded RNAs during RNA interference.", "author" : [ { "dropping-particle" : "", "family" : "Rougvie", "given" : "A", "non-dropping-particle" : "", "parse-names" : false, "suffix" : "" } ], "container-title" : "Nature reviews. Genetics", "id" : "ITEM-2", "issue" : "9", "issued" : { "date-parts" : [ [ "2001" ] ] }, "page" : "690-701", "title" : "Control of developmental timing in animals.", "type" : "article-journal", "volume" : "2" }, "uris" : [ "http://www.mendeley.com/documents/?uuid=bd8a5e4b-5685-464b-950f-ae7649f4acf2" ] } ], "mendeley" : { "formattedCitation" : "(322, 323)", "plainTextFormattedCitation" : "(322, 323)", "previouslyFormattedCitation" : "(322,323)" }, "properties" : { "noteIndex" : 58 }, "schema" : "https://github.com/citation-style-language/schema/raw/master/csl-citation.json" }</w:instrText>
      </w:r>
      <w:r w:rsidR="00BC3BBB" w:rsidRPr="00A658D9">
        <w:rPr>
          <w:rFonts w:ascii="Arial" w:hAnsi="Arial" w:cs="Arial"/>
          <w:color w:val="212121"/>
          <w:sz w:val="22"/>
          <w:szCs w:val="22"/>
          <w:shd w:val="clear" w:color="auto" w:fill="FFFFFF"/>
        </w:rPr>
        <w:fldChar w:fldCharType="separate"/>
      </w:r>
      <w:r w:rsidR="005827F2" w:rsidRPr="005827F2">
        <w:rPr>
          <w:rFonts w:ascii="Arial" w:hAnsi="Arial" w:cs="Arial"/>
          <w:noProof/>
          <w:color w:val="212121"/>
          <w:sz w:val="22"/>
          <w:szCs w:val="22"/>
          <w:shd w:val="clear" w:color="auto" w:fill="FFFFFF"/>
        </w:rPr>
        <w:t>(322, 323)</w:t>
      </w:r>
      <w:r w:rsidR="00BC3BBB" w:rsidRPr="00A658D9">
        <w:rPr>
          <w:rFonts w:ascii="Arial" w:hAnsi="Arial" w:cs="Arial"/>
          <w:color w:val="212121"/>
          <w:sz w:val="22"/>
          <w:szCs w:val="22"/>
          <w:shd w:val="clear" w:color="auto" w:fill="FFFFFF"/>
        </w:rPr>
        <w:fldChar w:fldCharType="end"/>
      </w:r>
      <w:r w:rsidRPr="00A658D9">
        <w:rPr>
          <w:rFonts w:ascii="Arial" w:hAnsi="Arial" w:cs="Arial"/>
          <w:color w:val="212121"/>
          <w:sz w:val="22"/>
          <w:szCs w:val="22"/>
          <w:shd w:val="clear" w:color="auto" w:fill="FFFFFF"/>
        </w:rPr>
        <w:t xml:space="preserve">. </w:t>
      </w:r>
      <w:r w:rsidRPr="00A658D9">
        <w:rPr>
          <w:rFonts w:ascii="Arial" w:hAnsi="Arial" w:cs="Arial"/>
          <w:iCs/>
          <w:sz w:val="22"/>
          <w:szCs w:val="22"/>
        </w:rPr>
        <w:t xml:space="preserve">Fare embryoları ile yapılan bir çalışmada </w:t>
      </w:r>
      <w:r w:rsidRPr="00A658D9">
        <w:rPr>
          <w:rFonts w:ascii="Arial" w:hAnsi="Arial" w:cs="Arial"/>
          <w:color w:val="212121"/>
          <w:sz w:val="22"/>
          <w:szCs w:val="22"/>
          <w:shd w:val="clear" w:color="auto" w:fill="FFFFFF"/>
        </w:rPr>
        <w:t xml:space="preserve">nöronal farklılaşma sırasında let-7 ailesinin indüksiyonunda hem transkripsiyonel hem de post - transkripsiyonel kontrol mekanizmaları gösterilmiştir. Bu çalışmada farklılaşmamış hücrelerde olgun let–7 eksikliği saptandığı ve </w:t>
      </w:r>
      <w:r w:rsidRPr="00A658D9">
        <w:rPr>
          <w:rFonts w:ascii="Arial" w:hAnsi="Arial" w:cs="Arial"/>
          <w:iCs/>
          <w:sz w:val="22"/>
          <w:szCs w:val="22"/>
        </w:rPr>
        <w:t>let–7 aktivitesinin nöronal diferansiasyonla parallel olarak arttığı belirtilmiştir</w:t>
      </w:r>
      <w:r w:rsidRPr="00A658D9">
        <w:rPr>
          <w:rFonts w:ascii="Arial" w:hAnsi="Arial" w:cs="Arial"/>
          <w:sz w:val="22"/>
          <w:szCs w:val="22"/>
        </w:rPr>
        <w:t xml:space="preserve"> </w:t>
      </w:r>
      <w:r w:rsidR="00BC3BBB" w:rsidRPr="00A658D9">
        <w:rPr>
          <w:rFonts w:ascii="Arial" w:hAnsi="Arial" w:cs="Arial"/>
          <w:sz w:val="22"/>
          <w:szCs w:val="22"/>
        </w:rPr>
        <w:fldChar w:fldCharType="begin" w:fldLock="1"/>
      </w:r>
      <w:r w:rsidRPr="00A658D9">
        <w:rPr>
          <w:rFonts w:ascii="Arial" w:hAnsi="Arial" w:cs="Arial"/>
          <w:sz w:val="22"/>
          <w:szCs w:val="22"/>
        </w:rPr>
        <w:instrText>ADDIN CSL_CITATION { "citationItems" : [ { "id" : "ITEM-1", "itemData" : { "DOI" : "10.1096/fj.06-6130com", "ISBN" : "1530-6860 (Electronic)\\r0892-6638 (Linking)", "ISSN" : "0892-6638", "PMID" : "17167072", "abstract" : "The let-7 miRNA regulates developmental timing in C. elegans and is an important paradigm for investigations of miRNA functions in mammalian development. We have examined the role of miRNA precursor processing in the temporal control and lineage specificity of the let-7 miRNA. In situ hybridization (ISH) in E9.5 mouse embryos revealed early induction of let-7 in the developing central nervous system. The expression pattern of three let-7 family members closely resembled that of the brain-enriched miRNAs mir-124, mir-125 and mir-128. Comparison of primary, precursor, and mature let-7 RNA levels during both embryonic brain development and neural differentiation of embryonic stem cells and embryocarcinoma (EC) cells suggest post-transcriptional regulation of let-7 accumulation. Reflecting these results, let-7 sensor constructs were strongly down-regulated during neural differentiation of EC cells and displayed lineage specificity in primary cells. Neural differentiation of EC cells was accompanied by an increase in let-7 precursor processing activity in vitro. Furthermore, undifferentiated and differentiated cells contained distinct precursor RNA binding complexes. A neuron-enhanced binding complex was shown by antibody challenge to contain the miRNA pathway proteins Argonaute1 and FMRP. Developmental regulation of the processing pathway correlates with differential localization of the proteins Argonaute, FMRP, MOV10, and TNRC6B in self-renewing stem cells and neurons.", "author" : [ { "dropping-particle" : "", "family" : "Wulczyn", "given" : "F. G.", "non-dropping-particle" : "", "parse-names" : false, "suffix" : "" }, { "dropping-particle" : "", "family" : "Smirnova", "given" : "L.", "non-dropping-particle" : "", "parse-names" : false, "suffix" : "" }, { "dropping-particle" : "", "family" : "Rybak", "given" : "A.", "non-dropping-particle" : "", "parse-names" : false, "suffix" : "" }, { "dropping-particle" : "", "family" : "Brandt", "given" : "C.", "non-dropping-particle" : "", "parse-names" : false, "suffix" : "" }, { "dropping-particle" : "", "family" : "Kwidzinski", "given" : "E.", "non-dropping-particle" : "", "parse-names" : false, "suffix" : "" }, { "dropping-particle" : "", "family" : "Ninnemann", "given" : "O.", "non-dropping-particle" : "", "parse-names" : false, "suffix" : "" }, { "dropping-particle" : "", "family" : "Strehle", "given" : "M.", "non-dropping-particle" : "", "parse-names" : false, "suffix" : "" }, { "dropping-particle" : "", "family" : "Seiler", "given" : "A.", "non-dropping-particle" : "", "parse-names" : false, "suffix" : "" }, { "dropping-particle" : "", "family" : "Schumacher", "given" : "S.", "non-dropping-particle" : "", "parse-names" : false, "suffix" : "" }, { "dropping-particle" : "", "family" : "Nitsch", "given" : "R.", "non-dropping-particle" : "", "parse-names" : false, "suffix" : "" } ], "container-title" : "The FASEB Journal", "id" : "ITEM-1", "issue" : "2", "issued" : { "date-parts" : [ [ "2007" ] ] }, "page" : "415-426", "title" : "Post-transcriptional regulation of the let-7 microRNA during neural cell specification", "type" : "article-journal", "volume" : "21" }, "uris" : [ "http://www.mendeley.com/documents/?uuid=4d0ac394-7cb2-468d-88c6-17433c1ce28d" ] } ], "mendeley" : { "formattedCitation" : "(324)", "plainTextFormattedCitation" : "(324)", "previouslyFormattedCitation" : "(324)" }, "properties" : { "noteIndex" : 58 }, "schema" : "https://github.com/citation-style-language/schema/raw/master/csl-citation.json" }</w:instrText>
      </w:r>
      <w:r w:rsidR="00BC3BBB" w:rsidRPr="00A658D9">
        <w:rPr>
          <w:rFonts w:ascii="Arial" w:hAnsi="Arial" w:cs="Arial"/>
          <w:sz w:val="22"/>
          <w:szCs w:val="22"/>
        </w:rPr>
        <w:fldChar w:fldCharType="separate"/>
      </w:r>
      <w:r w:rsidRPr="00A658D9">
        <w:rPr>
          <w:rFonts w:ascii="Arial" w:hAnsi="Arial" w:cs="Arial"/>
          <w:noProof/>
          <w:sz w:val="22"/>
          <w:szCs w:val="22"/>
        </w:rPr>
        <w:t>(324)</w:t>
      </w:r>
      <w:r w:rsidR="00BC3BBB" w:rsidRPr="00A658D9">
        <w:rPr>
          <w:rFonts w:ascii="Arial" w:hAnsi="Arial" w:cs="Arial"/>
          <w:sz w:val="22"/>
          <w:szCs w:val="22"/>
        </w:rPr>
        <w:fldChar w:fldCharType="end"/>
      </w:r>
      <w:r w:rsidRPr="00A658D9">
        <w:rPr>
          <w:rFonts w:ascii="Arial" w:hAnsi="Arial" w:cs="Arial"/>
          <w:sz w:val="22"/>
          <w:szCs w:val="22"/>
        </w:rPr>
        <w:t xml:space="preserve">. Zhao ve ark.’nın yaptığı başka bir çalışmada yine let-7d’nin hücre çoğalmasını durdurup, hücreleri nöronal diferansiasyon yönünde ilerlettiği gösterilmiştir </w:t>
      </w:r>
      <w:r w:rsidR="00BC3BBB" w:rsidRPr="00A658D9">
        <w:rPr>
          <w:rFonts w:ascii="Arial" w:hAnsi="Arial" w:cs="Arial"/>
          <w:sz w:val="22"/>
          <w:szCs w:val="22"/>
        </w:rPr>
        <w:fldChar w:fldCharType="begin" w:fldLock="1"/>
      </w:r>
      <w:r w:rsidRPr="00A658D9">
        <w:rPr>
          <w:rFonts w:ascii="Arial" w:hAnsi="Arial" w:cs="Arial"/>
          <w:sz w:val="22"/>
          <w:szCs w:val="22"/>
        </w:rPr>
        <w:instrText>ADDIN CSL_CITATION { "citationItems" : [ { "id" : "ITEM-1", "itemData" : { "DOI" : "10.1038/srep01329", "ISBN" : "2045-2322 (Electronic)\\r2045-2322 (Linking)", "ISSN" : "2045-2322", "PMID" : "23435502", "abstract" : "MicroRNAs have important functions in the nervous system through post-transcriptional regulation of neurogenesis genes. Here we show that microRNA let-7d, which has been implicated in cocaine addiction and other neurological disorders, targets the neural stem cell regulator TLX. Overexpression of let-7d in vivo reduced neural stem cell proliferation and promoted premature neuronal differentiation and migration, a phenotype similar to those induced by TLX knockdown or overexpression of its negatively-regulated target, microRNA-9. We found a let-7d binding sequence in the tlx 3' UTR and demonstrated that let-7d reduced TLX expression levels in neural stem cells, which in turn, up-regulated miR-9 expression. Moreover, co-expression of let-7d and TLX lacking its 3' UTR in vivo restored neural stem cell proliferation and reversed the premature neuronal differentiation and migration. Therefore, manipulating let-7d and its downstream targets could be a novel strategy to unravel neurogenic signaling pathways and identify potential interventions for relevant neurological disorders.", "author" : [ { "dropping-particle" : "", "family" : "Zhao", "given" : "Chunnian", "non-dropping-particle" : "", "parse-names" : false, "suffix" : "" }, { "dropping-particle" : "", "family" : "Sun", "given" : "GuoQiang", "non-dropping-particle" : "", "parse-names" : false, "suffix" : "" }, { "dropping-particle" : "", "family" : "Ye", "given" : "Peng", "non-dropping-particle" : "", "parse-names" : false, "suffix" : "" }, { "dropping-particle" : "", "family" : "Li", "given" : "Shengxiu", "non-dropping-particle" : "", "parse-names" : false, "suffix" : "" }, { "dropping-particle" : "", "family" : "Shi", "given" : "Yanhong", "non-dropping-particle" : "", "parse-names" : false, "suffix" : "" } ], "container-title" : "Scientific Reports", "id" : "ITEM-1", "issue" : "1", "issued" : { "date-parts" : [ [ "2013" ] ] }, "page" : "1329", "title" : "MicroRNA let-7d regulates the TLX/microRNA-9 cascade to control neural cell fate and neurogenesis", "type" : "article-journal", "volume" : "3" }, "uris" : [ "http://www.mendeley.com/documents/?uuid=c19839da-d552-4c47-8300-5fbcee6a9f32" ] } ], "mendeley" : { "formattedCitation" : "(325)", "plainTextFormattedCitation" : "(325)", "previouslyFormattedCitation" : "(325)" }, "properties" : { "noteIndex" : 58 }, "schema" : "https://github.com/citation-style-language/schema/raw/master/csl-citation.json" }</w:instrText>
      </w:r>
      <w:r w:rsidR="00BC3BBB" w:rsidRPr="00A658D9">
        <w:rPr>
          <w:rFonts w:ascii="Arial" w:hAnsi="Arial" w:cs="Arial"/>
          <w:sz w:val="22"/>
          <w:szCs w:val="22"/>
        </w:rPr>
        <w:fldChar w:fldCharType="separate"/>
      </w:r>
      <w:r w:rsidRPr="00A658D9">
        <w:rPr>
          <w:rFonts w:ascii="Arial" w:hAnsi="Arial" w:cs="Arial"/>
          <w:noProof/>
          <w:sz w:val="22"/>
          <w:szCs w:val="22"/>
        </w:rPr>
        <w:t>(325)</w:t>
      </w:r>
      <w:r w:rsidR="00BC3BBB" w:rsidRPr="00A658D9">
        <w:rPr>
          <w:rFonts w:ascii="Arial" w:hAnsi="Arial" w:cs="Arial"/>
          <w:sz w:val="22"/>
          <w:szCs w:val="22"/>
        </w:rPr>
        <w:fldChar w:fldCharType="end"/>
      </w:r>
      <w:r w:rsidRPr="00A658D9">
        <w:rPr>
          <w:rFonts w:ascii="Arial" w:hAnsi="Arial" w:cs="Arial"/>
          <w:sz w:val="22"/>
          <w:szCs w:val="22"/>
        </w:rPr>
        <w:t xml:space="preserve">. </w:t>
      </w:r>
      <w:r w:rsidRPr="00A658D9">
        <w:rPr>
          <w:rFonts w:ascii="Arial" w:hAnsi="Arial" w:cs="Arial"/>
          <w:color w:val="212121"/>
          <w:sz w:val="22"/>
          <w:szCs w:val="22"/>
          <w:shd w:val="clear" w:color="auto" w:fill="FFFFFF"/>
        </w:rPr>
        <w:t>Beyindeki sinaptik yoğunluğun yaşla birlikte arttığı bilinmekte ve genellikle trilyonlarca nörolojik bağlantı sonucunda oluşmaktadır. Nöronal ateşlemenin tekrar eden deneyimlerle kalıcı olarak bir ağ kurduğu, bununla birlikte artık kullanılmayan bağlantıların ise “</w:t>
      </w:r>
      <w:r w:rsidRPr="00A658D9">
        <w:rPr>
          <w:rFonts w:ascii="Arial" w:hAnsi="Arial" w:cs="Arial"/>
          <w:i/>
          <w:color w:val="212121"/>
          <w:sz w:val="22"/>
          <w:szCs w:val="22"/>
          <w:shd w:val="clear" w:color="auto" w:fill="FFFFFF"/>
        </w:rPr>
        <w:t>sinaptik budama</w:t>
      </w:r>
      <w:r w:rsidRPr="00A658D9">
        <w:rPr>
          <w:rFonts w:ascii="Arial" w:hAnsi="Arial" w:cs="Arial"/>
          <w:color w:val="212121"/>
          <w:sz w:val="22"/>
          <w:szCs w:val="22"/>
          <w:shd w:val="clear" w:color="auto" w:fill="FFFFFF"/>
        </w:rPr>
        <w:t xml:space="preserve">” adı verilen bir süreçle elendiği bilinmektedir </w:t>
      </w:r>
      <w:r w:rsidR="00BC3BBB" w:rsidRPr="00A658D9">
        <w:rPr>
          <w:rFonts w:ascii="Arial" w:hAnsi="Arial" w:cs="Arial"/>
          <w:color w:val="212121"/>
          <w:sz w:val="22"/>
          <w:szCs w:val="22"/>
          <w:shd w:val="clear" w:color="auto" w:fill="FFFFFF"/>
        </w:rPr>
        <w:fldChar w:fldCharType="begin" w:fldLock="1"/>
      </w:r>
      <w:r w:rsidRPr="00A658D9">
        <w:rPr>
          <w:rFonts w:ascii="Arial" w:hAnsi="Arial" w:cs="Arial"/>
          <w:color w:val="212121"/>
          <w:sz w:val="22"/>
          <w:szCs w:val="22"/>
          <w:shd w:val="clear" w:color="auto" w:fill="FFFFFF"/>
        </w:rPr>
        <w:instrText>ADDIN CSL_CITATION { "citationItems" : [ { "id" : "ITEM-1", "itemData" : { "DOI" : "10.5772/35868", "ISBN" : "978-953-51-0111-6,", "author" : [ { "dropping-particle" : "", "family" : "Gao", "given" : "WJ", "non-dropping-particle" : "", "parse-names" : false, "suffix" : "" }, { "dropping-particle" : "", "family" : "Wang", "given" : "HX", "non-dropping-particle" : "", "parse-names" : false, "suffix" : "" }, { "dropping-particle" : "", "family" : "Snyder", "given" : "MA", "non-dropping-particle" : "", "parse-names" : false, "suffix" : "" }, { "dropping-particle" : "", "family" : "Li", "given" : "YC", "non-dropping-particle" : "", "parse-names" : false, "suffix" : "" } ], "container-title" : "When Things Go Wrong - Diseases and Disorders of the Human Brain", "id" : "ITEM-1", "issued" : { "date-parts" : [ [ "2012" ] ] }, "page" : "2-26", "title" : "The unique properties of the prefrontal cortex and mental illness", "type" : "article-journal" }, "uris" : [ "http://www.mendeley.com/documents/?uuid=ee72b291-3b68-4908-a55f-b2243fd30c05" ] } ], "mendeley" : { "formattedCitation" : "(326)", "plainTextFormattedCitation" : "(326)", "previouslyFormattedCitation" : "(326)" }, "properties" : { "noteIndex" : 58 }, "schema" : "https://github.com/citation-style-language/schema/raw/master/csl-citation.json" }</w:instrText>
      </w:r>
      <w:r w:rsidR="00BC3BBB" w:rsidRPr="00A658D9">
        <w:rPr>
          <w:rFonts w:ascii="Arial" w:hAnsi="Arial" w:cs="Arial"/>
          <w:color w:val="212121"/>
          <w:sz w:val="22"/>
          <w:szCs w:val="22"/>
          <w:shd w:val="clear" w:color="auto" w:fill="FFFFFF"/>
        </w:rPr>
        <w:fldChar w:fldCharType="separate"/>
      </w:r>
      <w:r w:rsidRPr="00A658D9">
        <w:rPr>
          <w:rFonts w:ascii="Arial" w:hAnsi="Arial" w:cs="Arial"/>
          <w:noProof/>
          <w:color w:val="212121"/>
          <w:sz w:val="22"/>
          <w:szCs w:val="22"/>
          <w:shd w:val="clear" w:color="auto" w:fill="FFFFFF"/>
        </w:rPr>
        <w:t>(326)</w:t>
      </w:r>
      <w:r w:rsidR="00BC3BBB" w:rsidRPr="00A658D9">
        <w:rPr>
          <w:rFonts w:ascii="Arial" w:hAnsi="Arial" w:cs="Arial"/>
          <w:color w:val="212121"/>
          <w:sz w:val="22"/>
          <w:szCs w:val="22"/>
          <w:shd w:val="clear" w:color="auto" w:fill="FFFFFF"/>
        </w:rPr>
        <w:fldChar w:fldCharType="end"/>
      </w:r>
      <w:r w:rsidRPr="00A658D9">
        <w:rPr>
          <w:rFonts w:ascii="Arial" w:hAnsi="Arial" w:cs="Arial"/>
          <w:color w:val="212121"/>
          <w:sz w:val="22"/>
          <w:szCs w:val="22"/>
          <w:shd w:val="clear" w:color="auto" w:fill="FFFFFF"/>
        </w:rPr>
        <w:t xml:space="preserve">. Hücre doğumu, nöronal diferansiasyon ve nöronların hedef bölgelere göçü, insanlarda yaşamın ilk birkaç yılında neredeyse tamamlanır. Daha sonra orta çocukluk döneminden başlayarak beyin bölgelerinde kendilerine özgü sinaps ve reseptörlerin aşırı üretimi ve budanması gerçekleşir </w:t>
      </w:r>
      <w:r w:rsidR="00BC3BBB" w:rsidRPr="00A658D9">
        <w:rPr>
          <w:rFonts w:ascii="Arial" w:hAnsi="Arial" w:cs="Arial"/>
          <w:color w:val="212121"/>
          <w:sz w:val="22"/>
          <w:szCs w:val="22"/>
          <w:shd w:val="clear" w:color="auto" w:fill="FFFFFF"/>
        </w:rPr>
        <w:fldChar w:fldCharType="begin" w:fldLock="1"/>
      </w:r>
      <w:r w:rsidRPr="00A658D9">
        <w:rPr>
          <w:rFonts w:ascii="Arial" w:hAnsi="Arial" w:cs="Arial"/>
          <w:color w:val="212121"/>
          <w:sz w:val="22"/>
          <w:szCs w:val="22"/>
          <w:shd w:val="clear" w:color="auto" w:fill="FFFFFF"/>
        </w:rPr>
        <w:instrText>ADDIN CSL_CITATION { "citationItems" : [ { "id" : "ITEM-1", "itemData" : { "abstract" : " Magnetic resonance imaging (MRI) provides accurate anatomical brain images without the use of ionizing radiation, allowing longitudinal studies of brain morphometry during adolescent development. Results from an ongoing brain imaging project being conducted at the Child Psychiatry Branch of the National Institute of Mental Health indicate dynamic changes in brain anatomy throughout adolescence. White matter increases in a roughly linear pattern, with minor differences in slope in the four major lobes (frontal, parietal, temporal, occipital). Cortical gray matter follows an inverted U-shape developmental course with greater regional variation than white matter. For instance, frontal gray matter volume peaks at about age 11.0 years in girls and 12.1 years in boys, whereas temporal gray matter volume peaks at about age at 16.7 years in girls and 16.2 years in boys. The dorsal lateral prefrontal cortex, important for controlling impulses, is among the latest brain regions to mature without reaching adult dimensions until the early 20s. The details of the relationships between anatomical changes and behavioral changes, and the forces that influence brain development, have not been well established and remain a prominent goal of ongoing investigations.", "author" : [ { "dropping-particle" : "", "family" : "Geidd", "given" : "J N", "non-dropping-particle" : "", "parse-names" : false, "suffix" : "" } ], "id" : "ITEM-1", "issued" : { "date-parts" : [ [ "2004" ] ] }, "page" : "77-85", "title" : "Structural magnetic resonance imaging of the adolescent brain", "type" : "article-journal", "volume" : "1021" }, "uris" : [ "http://www.mendeley.com/documents/?uuid=558d925d-a34a-42af-9481-e03e7c4d3b22" ] } ], "mendeley" : { "formattedCitation" : "(327)", "plainTextFormattedCitation" : "(327)", "previouslyFormattedCitation" : "(327)" }, "properties" : { "noteIndex" : 58 }, "schema" : "https://github.com/citation-style-language/schema/raw/master/csl-citation.json" }</w:instrText>
      </w:r>
      <w:r w:rsidR="00BC3BBB" w:rsidRPr="00A658D9">
        <w:rPr>
          <w:rFonts w:ascii="Arial" w:hAnsi="Arial" w:cs="Arial"/>
          <w:color w:val="212121"/>
          <w:sz w:val="22"/>
          <w:szCs w:val="22"/>
          <w:shd w:val="clear" w:color="auto" w:fill="FFFFFF"/>
        </w:rPr>
        <w:fldChar w:fldCharType="separate"/>
      </w:r>
      <w:r w:rsidRPr="00A658D9">
        <w:rPr>
          <w:rFonts w:ascii="Arial" w:hAnsi="Arial" w:cs="Arial"/>
          <w:noProof/>
          <w:color w:val="212121"/>
          <w:sz w:val="22"/>
          <w:szCs w:val="22"/>
          <w:shd w:val="clear" w:color="auto" w:fill="FFFFFF"/>
        </w:rPr>
        <w:t>(327)</w:t>
      </w:r>
      <w:r w:rsidR="00BC3BBB" w:rsidRPr="00A658D9">
        <w:rPr>
          <w:rFonts w:ascii="Arial" w:hAnsi="Arial" w:cs="Arial"/>
          <w:color w:val="212121"/>
          <w:sz w:val="22"/>
          <w:szCs w:val="22"/>
          <w:shd w:val="clear" w:color="auto" w:fill="FFFFFF"/>
        </w:rPr>
        <w:fldChar w:fldCharType="end"/>
      </w:r>
      <w:r w:rsidRPr="00A658D9">
        <w:rPr>
          <w:rFonts w:ascii="Arial" w:hAnsi="Arial" w:cs="Arial"/>
          <w:color w:val="212121"/>
          <w:sz w:val="22"/>
          <w:szCs w:val="22"/>
          <w:shd w:val="clear" w:color="auto" w:fill="FFFFFF"/>
        </w:rPr>
        <w:t>.</w:t>
      </w:r>
      <w:r w:rsidRPr="00A658D9">
        <w:rPr>
          <w:rFonts w:ascii="Arial" w:hAnsi="Arial" w:cs="Arial"/>
          <w:sz w:val="22"/>
          <w:szCs w:val="22"/>
        </w:rPr>
        <w:t xml:space="preserve"> </w:t>
      </w:r>
      <w:r w:rsidRPr="00A658D9">
        <w:rPr>
          <w:rFonts w:ascii="Arial" w:hAnsi="Arial" w:cs="Arial"/>
          <w:color w:val="212121"/>
          <w:sz w:val="22"/>
          <w:szCs w:val="22"/>
          <w:shd w:val="clear" w:color="auto" w:fill="FFFFFF"/>
        </w:rPr>
        <w:t xml:space="preserve">Serebral korteksin gelişimine ergenlik gibi belirli bir süre boyunca nöronal ölüm ve kullanılmayan sinapsların ortadan kaldırılması eşlik eder. Prefrontal korteksteki (PFK) sinaptik yoğunluğu en yüksek değere 3.5 yaşında iken ulaşmakta (yetişkinlerden yaklaşık% 50 daha fazla),  ancak ergenlik döneminde kademeli olarak azalmaktadır </w:t>
      </w:r>
      <w:r w:rsidR="00BC3BBB" w:rsidRPr="00A658D9">
        <w:rPr>
          <w:rFonts w:ascii="Arial" w:hAnsi="Arial" w:cs="Arial"/>
          <w:color w:val="212121"/>
          <w:sz w:val="22"/>
          <w:szCs w:val="22"/>
          <w:shd w:val="clear" w:color="auto" w:fill="FFFFFF"/>
        </w:rPr>
        <w:fldChar w:fldCharType="begin" w:fldLock="1"/>
      </w:r>
      <w:r w:rsidRPr="00A658D9">
        <w:rPr>
          <w:rFonts w:ascii="Arial" w:hAnsi="Arial" w:cs="Arial"/>
          <w:color w:val="212121"/>
          <w:sz w:val="22"/>
          <w:szCs w:val="22"/>
          <w:shd w:val="clear" w:color="auto" w:fill="FFFFFF"/>
        </w:rPr>
        <w:instrText>ADDIN CSL_CITATION { "citationItems" : [ { "id" : "ITEM-1", "itemData" : { "DOI" : "10.1002/(SICI)1096-9861(19971020)387:2&lt;167::AID-CNE1&gt;3.0.CO;2-Z", "ISBN" : "1096-9861", "ISSN" : "00219967", "PMID" : "9336221", "abstract" : "The formation of synaptic contacts in human cerebral cortex was compared in two cortical \\nregions: auditory cortex (Heschl\u2019s gyrus) and prefrontal cortex (middle frontal gyrus). Synapse\\nformation in both cortical regions begins in the fetus, before conceptual age 27 weeks.\\nSynaptic density increases more rapidly in auditory cortex, where the maximum is reached\\nnear postnatal age 3 months. Maximum synaptic density in middle frontal gyrus is not\\nreached until after age 15 months. Synaptogenesis occurs concurrently with dendritic and\\naxonal growth and with myelination of the subcortical white matter. A phase of net synapse\\nelimination occurs late in childhood, earlier in auditory cortex, where it has ended by age 12\\nyears, than in prefrontal cortex, where it extends to midadolescence. Synaptogenesis and\\nsynapse elimination in humans appear to be heterochronous in different cortical regions and,\\nin that respect, appears to differ from the rhesus monkey, where they are concurrent. In other\\nrespects, including overproduction of synaptic contacts in infancy, persistence of high levels of\\nsynaptic density to late childhood or adolescence, the absolute values of maximum and adult\\nsynaptic density, and layer speci\ufb01c differences, \ufb01ndings in the human resemble those in\\nrhesus monkeys. J. Comp. Neurol. 387:167\u2013178, 1997. ? 1997 Wiley-Liss, Inc.", "author" : [ { "dropping-particle" : "", "family" : "Huttenlocher", "given" : "Peter R.", "non-dropping-particle" : "", "parse-names" : false, "suffix" : "" }, { "dropping-particle" : "", "family" : "Dabholkar", "given" : "Arun S.", "non-dropping-particle" : "", "parse-names" : false, "suffix" : "" } ], "container-title" : "Journal of Comparative Neurology", "id" : "ITEM-1", "issue" : "2", "issued" : { "date-parts" : [ [ "1997" ] ] }, "page" : "167-178", "title" : "Regional differences in synaptogenesis in human cerebral cortex", "type" : "article-journal", "volume" : "387" }, "uris" : [ "http://www.mendeley.com/documents/?uuid=67d84e40-0ac8-48d4-b4a6-1c89661c0704" ] } ], "mendeley" : { "formattedCitation" : "(328)", "plainTextFormattedCitation" : "(328)", "previouslyFormattedCitation" : "(328)" }, "properties" : { "noteIndex" : 58 }, "schema" : "https://github.com/citation-style-language/schema/raw/master/csl-citation.json" }</w:instrText>
      </w:r>
      <w:r w:rsidR="00BC3BBB" w:rsidRPr="00A658D9">
        <w:rPr>
          <w:rFonts w:ascii="Arial" w:hAnsi="Arial" w:cs="Arial"/>
          <w:color w:val="212121"/>
          <w:sz w:val="22"/>
          <w:szCs w:val="22"/>
          <w:shd w:val="clear" w:color="auto" w:fill="FFFFFF"/>
        </w:rPr>
        <w:fldChar w:fldCharType="separate"/>
      </w:r>
      <w:r w:rsidRPr="00A658D9">
        <w:rPr>
          <w:rFonts w:ascii="Arial" w:hAnsi="Arial" w:cs="Arial"/>
          <w:noProof/>
          <w:color w:val="212121"/>
          <w:sz w:val="22"/>
          <w:szCs w:val="22"/>
          <w:shd w:val="clear" w:color="auto" w:fill="FFFFFF"/>
        </w:rPr>
        <w:t>(328)</w:t>
      </w:r>
      <w:r w:rsidR="00BC3BBB" w:rsidRPr="00A658D9">
        <w:rPr>
          <w:rFonts w:ascii="Arial" w:hAnsi="Arial" w:cs="Arial"/>
          <w:color w:val="212121"/>
          <w:sz w:val="22"/>
          <w:szCs w:val="22"/>
          <w:shd w:val="clear" w:color="auto" w:fill="FFFFFF"/>
        </w:rPr>
        <w:fldChar w:fldCharType="end"/>
      </w:r>
      <w:r w:rsidRPr="00A658D9">
        <w:rPr>
          <w:rFonts w:ascii="Arial" w:hAnsi="Arial" w:cs="Arial"/>
          <w:color w:val="212121"/>
          <w:sz w:val="22"/>
          <w:szCs w:val="22"/>
          <w:shd w:val="clear" w:color="auto" w:fill="FFFFFF"/>
        </w:rPr>
        <w:t xml:space="preserve">. </w:t>
      </w:r>
      <w:r w:rsidRPr="00A658D9">
        <w:rPr>
          <w:rFonts w:ascii="Arial" w:hAnsi="Arial" w:cs="Arial"/>
          <w:sz w:val="22"/>
          <w:szCs w:val="22"/>
        </w:rPr>
        <w:t xml:space="preserve">Çocukluk yıllarında hızla artan prefrontal korteksteki sinapsların elenmek üzere seçilme sürecindeki sorunların DEHB’nin ortaya çıkmasında ve yaşam boyu süren fizyopatolojisinde katkısı olduğu düşünülmektedir. Bu anormal sinaps yapısının DEHB’nin nörobiyolojik modelinde yer aldığı belirtilmiştir </w:t>
      </w:r>
      <w:r w:rsidR="00BC3BBB" w:rsidRPr="00A658D9">
        <w:rPr>
          <w:rFonts w:ascii="Arial" w:hAnsi="Arial" w:cs="Arial"/>
          <w:sz w:val="22"/>
          <w:szCs w:val="22"/>
        </w:rPr>
        <w:fldChar w:fldCharType="begin" w:fldLock="1"/>
      </w:r>
      <w:r w:rsidRPr="00A658D9">
        <w:rPr>
          <w:rFonts w:ascii="Arial" w:hAnsi="Arial" w:cs="Arial"/>
          <w:sz w:val="22"/>
          <w:szCs w:val="22"/>
        </w:rPr>
        <w:instrText>ADDIN CSL_CITATION { "citationItems" : [ { "id" : "ITEM-1", "itemData" : { "ISBN" : "9781107025981", "abstract" : "Fourth edition. With this fully revised fourth edition, Dr Stahl returns to the essential roots of what it means to become a neurobiologically empowered psychopharmacologist, expertly guided in the selection and combination of treatments for individual patients in practice. Embracing the unifying themes of 'symptom endophenotypes', dimensions of psychopathology that cut across syndromes, and 'symptoms and circuits', every aspect of the text has been updated to the frontiers of current knowledge, with the clarity of explanation and illustration that only Dr Stahl can bring. Integrating much of the basic neuroscience into the clinical chapters, and with major additions in the areas of psychosis, antipsychotics, antidepressants, impulsivity, compulsivity and addiction, this is the single most readily readable source of information on disease and drug mechanisms. This remains the essential text for all students and professionals in mental health seeking to understand and utilize current therapeutics, and to anticipate the future for novel medications. Chemical neurotransmission -- Transporters, receptors and enzymes as targets of psychopharmacological drug action -- Ion channels as targets of psychopharmacological drug action -- Psychosis and schizophrenia -- Antipsychotic agents -- Mood disorders -- Antidepressants -- Mood stabilizers -- Anxiety disorders and anxiolytics -- Chronic pain and its treatment -- Disorders of sleep and wakefulness and their treatment -- Attention deficit hyperactivity disorder and its treatment -- Dementia and its treatment -- Impulsivity, compulsivity and addiction.", "author" : [ { "dropping-particle" : "", "family" : "Stahl", "given" : "Stephen M.", "non-dropping-particle" : "", "parse-names" : false, "suffix" : "" } ], "id" : "ITEM-1", "issued" : { "date-parts" : [ [ "0" ] ] }, "number-of-pages" : "608", "title" : "Stahl's essential psychopharmacology : neuroscientific basis and practical application", "type" : "book" }, "uris" : [ "http://www.mendeley.com/documents/?uuid=a77f35ba-02f9-3682-98b4-8cf5f17387fd" ] } ], "mendeley" : { "formattedCitation" : "(329)", "plainTextFormattedCitation" : "(329)", "previouslyFormattedCitation" : "(329)" }, "properties" : { "noteIndex" : 58 }, "schema" : "https://github.com/citation-style-language/schema/raw/master/csl-citation.json" }</w:instrText>
      </w:r>
      <w:r w:rsidR="00BC3BBB" w:rsidRPr="00A658D9">
        <w:rPr>
          <w:rFonts w:ascii="Arial" w:hAnsi="Arial" w:cs="Arial"/>
          <w:sz w:val="22"/>
          <w:szCs w:val="22"/>
        </w:rPr>
        <w:fldChar w:fldCharType="separate"/>
      </w:r>
      <w:r w:rsidRPr="00A658D9">
        <w:rPr>
          <w:rFonts w:ascii="Arial" w:hAnsi="Arial" w:cs="Arial"/>
          <w:noProof/>
          <w:sz w:val="22"/>
          <w:szCs w:val="22"/>
        </w:rPr>
        <w:t>(329)</w:t>
      </w:r>
      <w:r w:rsidR="00BC3BBB" w:rsidRPr="00A658D9">
        <w:rPr>
          <w:rFonts w:ascii="Arial" w:hAnsi="Arial" w:cs="Arial"/>
          <w:sz w:val="22"/>
          <w:szCs w:val="22"/>
        </w:rPr>
        <w:fldChar w:fldCharType="end"/>
      </w:r>
      <w:r w:rsidRPr="00A658D9">
        <w:rPr>
          <w:rFonts w:ascii="Arial" w:hAnsi="Arial" w:cs="Arial"/>
          <w:sz w:val="22"/>
          <w:szCs w:val="22"/>
        </w:rPr>
        <w:t xml:space="preserve">. </w:t>
      </w:r>
      <w:r w:rsidRPr="00A658D9">
        <w:rPr>
          <w:rFonts w:ascii="Arial" w:hAnsi="Arial" w:cs="Arial"/>
          <w:color w:val="212121"/>
          <w:sz w:val="22"/>
          <w:szCs w:val="22"/>
        </w:rPr>
        <w:t xml:space="preserve">Sinaptik aşırı üretim ve budama hatalarının, yaşları eşleştirilmiş kontrollerle karşılaştırıldığında DEHB'li çocuklarda gri madde yoğunluğu değişiklikleri olarak görülen beyin bölgelerindeki boyut farklılıklarını (daha küçük kaudat ve kortikal bölgeler ve daha büyük posterior temporal bölge) açıklayabileceği belirtilmektedir </w:t>
      </w:r>
      <w:r w:rsidR="00BC3BBB" w:rsidRPr="00A658D9">
        <w:rPr>
          <w:rFonts w:ascii="Arial" w:hAnsi="Arial" w:cs="Arial"/>
          <w:color w:val="212121"/>
          <w:sz w:val="22"/>
          <w:szCs w:val="22"/>
        </w:rPr>
        <w:fldChar w:fldCharType="begin" w:fldLock="1"/>
      </w:r>
      <w:r w:rsidR="005827F2">
        <w:rPr>
          <w:rFonts w:ascii="Arial" w:hAnsi="Arial" w:cs="Arial"/>
          <w:color w:val="212121"/>
          <w:sz w:val="22"/>
          <w:szCs w:val="22"/>
        </w:rPr>
        <w:instrText>ADDIN CSL_CITATION { "citationItems" : [ { "id" : "ITEM-1", "itemData" : { "ISBN" : "1585620041", "abstract" : "4th ed. Revised edition of The American Psychiatric Press textbook of neuropsychiatry.", "author" : [ { "dropping-particle" : "", "family" : "Teicher", "given" : "M.H", "non-dropping-particle" : "", "parse-names" : false, "suffix" : "" } ], "container-title" : "The American Psychiatric Press Textbook of Neuropsychiatry", "edition" : "4th", "id" : "ITEM-1", "issued" : { "date-parts" : [ [ "2001" ] ] }, "page" : "1069\u20131119", "publisher" : "American Psychiatric Pub", "title" : "Neuropsychiatric disorders of childhood and adolescence", "type" : "chapter" }, "uris" : [ "http://www.mendeley.com/documents/?uuid=f267dfac-9502-390b-bcc7-9749bb791127" ] }, { "id" : "ITEM-2", "itemData" : { "ISSN" : "1474547X", "abstract" : "BACKGROUND: Results of structural brain imaging studies of patients with attention-deficit hyperactivity disorder have shown subtle reductions in total brain volume and in volumes of the right frontal lobe and caudate nucleus. Although various conventional volumetric and voxel-based methods of image analysis have been used in these studies, regional brain size and grey-matter abnormalities have not yet been mapped over the entire cortical surface in patients with this disorder. We aimed to map these features in patients with attention-deficit hyperactivity disorder. METHODS: We used high-resolution MRI and surface-based, computational image analytic techniques to map regional brain size and grey-matter abnormalities at the cortical surface in a group of 27 children and adolescents with attention-deficit hyperactivity disorder and 46 controls, who were group-matched by age and sex. FINDINGS: Abnormal morphology was noted in the frontal cortices of patients with attention-deficit hyperactivity disorder, with reduced regional brain size localised mainly to inferior portions of dorsal prefrontal cortices bilaterally. Brain size was also reduced in anterior temporal cortices bilaterally. Prominent increases in grey matter were recorded in large portions of the posterior temporal and inferior parietal cortices bilaterally. INTERPRETATION: The frontal, temporal, and parietal regions are heteromodal association cortices that constitute a distributed neural system, which subserves attention and behavioural inhibition. We have identified region-specific anatomical abnormalities in cortical components of attentional systems, which may help better account for the symptoms of attention-deficit hyperactivity disorder.", "author" : [ { "dropping-particle" : "", "family" : "Sowell", "given" : "E R", "non-dropping-particle" : "", "parse-names" : false, "suffix" : "" }, { "dropping-particle" : "", "family" : "Thompson", "given" : "Paul M", "non-dropping-particle" : "", "parse-names" : false, "suffix" : "" }, { "dropping-particle" : "", "family" : "Welcome", "given" : "S E", "non-dropping-particle" : "", "parse-names" : false, "suffix" : "" }, { "dropping-particle" : "", "family" : "Henkenius", "given" : "A L", "non-dropping-particle" : "", "parse-names" : false, "suffix" : "" }, { "dropping-particle" : "", "family" : "Toga", "given" : "A W", "non-dropping-particle" : "", "parse-names" : false, "suffix" : "" }, { "dropping-particle" : "", "family" : "Peterson", "given" : "B S", "non-dropping-particle" : "", "parse-names" : false, "suffix" : "" } ], "container-title" : "Lance", "id" : "ITEM-2", "issue" : "9397", "issued" : { "date-parts" : [ [ "2003" ] ] }, "page" : "1699-1707", "title" : "Cortical abnormalities in children and adolescents with attention-deficit hyperactivity disorder", "type" : "article-journal", "volume" : "362" }, "uris" : [ "http://www.mendeley.com/documents/?uuid=f1694768-164b-46ba-92af-61a87e892c2b" ] } ], "mendeley" : { "formattedCitation" : "(330, 331)", "plainTextFormattedCitation" : "(330, 331)", "previouslyFormattedCitation" : "(330,331)" }, "properties" : { "noteIndex" : 59 }, "schema" : "https://github.com/citation-style-language/schema/raw/master/csl-citation.json" }</w:instrText>
      </w:r>
      <w:r w:rsidR="00BC3BBB" w:rsidRPr="00A658D9">
        <w:rPr>
          <w:rFonts w:ascii="Arial" w:hAnsi="Arial" w:cs="Arial"/>
          <w:color w:val="212121"/>
          <w:sz w:val="22"/>
          <w:szCs w:val="22"/>
        </w:rPr>
        <w:fldChar w:fldCharType="separate"/>
      </w:r>
      <w:r w:rsidR="005827F2" w:rsidRPr="005827F2">
        <w:rPr>
          <w:rFonts w:ascii="Arial" w:hAnsi="Arial" w:cs="Arial"/>
          <w:noProof/>
          <w:color w:val="212121"/>
          <w:sz w:val="22"/>
          <w:szCs w:val="22"/>
        </w:rPr>
        <w:t>(330, 331)</w:t>
      </w:r>
      <w:r w:rsidR="00BC3BBB" w:rsidRPr="00A658D9">
        <w:rPr>
          <w:rFonts w:ascii="Arial" w:hAnsi="Arial" w:cs="Arial"/>
          <w:color w:val="212121"/>
          <w:sz w:val="22"/>
          <w:szCs w:val="22"/>
        </w:rPr>
        <w:fldChar w:fldCharType="end"/>
      </w:r>
      <w:r w:rsidRPr="00A658D9">
        <w:rPr>
          <w:rFonts w:ascii="Arial" w:hAnsi="Arial" w:cs="Arial"/>
          <w:color w:val="212121"/>
          <w:sz w:val="22"/>
          <w:szCs w:val="22"/>
        </w:rPr>
        <w:t>.</w:t>
      </w:r>
      <w:r w:rsidRPr="00A658D9">
        <w:rPr>
          <w:rFonts w:ascii="Arial" w:hAnsi="Arial" w:cs="Arial"/>
          <w:color w:val="1F497D" w:themeColor="text2"/>
          <w:sz w:val="22"/>
          <w:szCs w:val="22"/>
        </w:rPr>
        <w:t xml:space="preserve"> </w:t>
      </w:r>
      <w:r w:rsidRPr="00A658D9">
        <w:rPr>
          <w:rFonts w:ascii="Arial" w:hAnsi="Arial" w:cs="Arial"/>
          <w:sz w:val="22"/>
          <w:szCs w:val="22"/>
        </w:rPr>
        <w:t xml:space="preserve">Kızlarda, erkeklere kıyasla sinaps ve reseptör aşırı üretimi genellikle daha az boyutta olmaktadır </w:t>
      </w:r>
      <w:r w:rsidR="00BC3BBB" w:rsidRPr="00A658D9">
        <w:rPr>
          <w:rFonts w:ascii="Arial" w:hAnsi="Arial" w:cs="Arial"/>
          <w:sz w:val="22"/>
          <w:szCs w:val="22"/>
        </w:rPr>
        <w:fldChar w:fldCharType="begin" w:fldLock="1"/>
      </w:r>
      <w:r w:rsidRPr="00A658D9">
        <w:rPr>
          <w:rFonts w:ascii="Arial" w:hAnsi="Arial" w:cs="Arial"/>
          <w:sz w:val="22"/>
          <w:szCs w:val="22"/>
        </w:rPr>
        <w:instrText>ADDIN CSL_CITATION { "citationItems" : [ { "id" : "ITEM-1", "itemData" : { "DOI" : "10.1016/S0149-7634(03)00005-8", "ISBN" : "0091-3057 (Print)\\r0091-3057 (Linking)", "ISSN" : "01497634", "PMID" : "17675407", "abstract" : "Brain development is a remarkable process. Progenitor cells are born, differentiate, and migrate to their final locations. Axons and dendrites branch and form important synaptic connections that set the stage for encoding information potentially for the rest of life. In the mammalian brain, synapses and receptors within most regions are overproduced and eliminated by as much as 50% during two phases of life: immediately before birth and during the transitions from childhood, adolescence, to adulthood. This process results in different critical and sensitive periods of brain development. Since Hebb (1949) first postulated that the strengthening of synaptic elements occurs through functional validation, researchers have applied this approach to understanding the sculpting of the immature brain. In this manner, the brain becomes wired to match the needs of the environment. Extensions of this hypothesis posit that exposure to both positive and negative elements before adolescence can imprint on the final adult topography in a manner that differs from exposure to the same elements after adolescence. This review endeavors to provide an overview of key components of mammalian brain development while simultaneously providing a framework for how perturbations during these changes uniquely impinge on the final outcome. \u00a9 2003 Elsevier Science Ltd. All rights reserved.", "author" : [ { "dropping-particle" : "", "family" : "Andersen", "given" : "Susan L.", "non-dropping-particle" : "", "parse-names" : false, "suffix" : "" } ], "container-title" : "Neuroscience and Biobehavioral Reviews", "id" : "ITEM-1", "issue" : "1-2", "issued" : { "date-parts" : [ [ "2003" ] ] }, "page" : "3-18", "title" : "Trajectories of brain development: Point of vulnerability or window of opportunity?", "type" : "article-journal", "volume" : "27" }, "uris" : [ "http://www.mendeley.com/documents/?uuid=3087acca-2e16-46fa-b816-01cd345369cf" ] } ], "mendeley" : { "formattedCitation" : "(332)", "plainTextFormattedCitation" : "(332)", "previouslyFormattedCitation" : "(332)" }, "properties" : { "noteIndex" : 59 }, "schema" : "https://github.com/citation-style-language/schema/raw/master/csl-citation.json" }</w:instrText>
      </w:r>
      <w:r w:rsidR="00BC3BBB" w:rsidRPr="00A658D9">
        <w:rPr>
          <w:rFonts w:ascii="Arial" w:hAnsi="Arial" w:cs="Arial"/>
          <w:sz w:val="22"/>
          <w:szCs w:val="22"/>
        </w:rPr>
        <w:fldChar w:fldCharType="separate"/>
      </w:r>
      <w:r w:rsidRPr="00A658D9">
        <w:rPr>
          <w:rFonts w:ascii="Arial" w:hAnsi="Arial" w:cs="Arial"/>
          <w:noProof/>
          <w:sz w:val="22"/>
          <w:szCs w:val="22"/>
        </w:rPr>
        <w:t>(332)</w:t>
      </w:r>
      <w:r w:rsidR="00BC3BBB" w:rsidRPr="00A658D9">
        <w:rPr>
          <w:rFonts w:ascii="Arial" w:hAnsi="Arial" w:cs="Arial"/>
          <w:sz w:val="22"/>
          <w:szCs w:val="22"/>
        </w:rPr>
        <w:fldChar w:fldCharType="end"/>
      </w:r>
      <w:r w:rsidRPr="00A658D9">
        <w:rPr>
          <w:rFonts w:ascii="Arial" w:hAnsi="Arial" w:cs="Arial"/>
          <w:sz w:val="22"/>
          <w:szCs w:val="22"/>
        </w:rPr>
        <w:t xml:space="preserve">. </w:t>
      </w:r>
      <w:r w:rsidRPr="00A658D9">
        <w:rPr>
          <w:rFonts w:ascii="Arial" w:hAnsi="Arial" w:cs="Arial"/>
          <w:color w:val="212121"/>
          <w:sz w:val="22"/>
          <w:szCs w:val="22"/>
        </w:rPr>
        <w:t xml:space="preserve">Bu durumun kızların çocuklukta DEHB’den daha az etkilenmesinin nedenlerinden biri olduğu belirtilmektedir </w:t>
      </w:r>
      <w:r w:rsidR="00BC3BBB" w:rsidRPr="00A658D9">
        <w:rPr>
          <w:rFonts w:ascii="Arial" w:hAnsi="Arial" w:cs="Arial"/>
          <w:color w:val="212121"/>
          <w:sz w:val="22"/>
          <w:szCs w:val="22"/>
        </w:rPr>
        <w:fldChar w:fldCharType="begin" w:fldLock="1"/>
      </w:r>
      <w:r w:rsidRPr="00A658D9">
        <w:rPr>
          <w:rFonts w:ascii="Arial" w:hAnsi="Arial" w:cs="Arial"/>
          <w:color w:val="212121"/>
          <w:sz w:val="22"/>
          <w:szCs w:val="22"/>
        </w:rPr>
        <w:instrText>ADDIN CSL_CITATION { "citationItems" : [ { "id" : "ITEM-1", "itemData" : { "ISBN" : "1585620041", "abstract" : "4th ed. Revised edition of The American Psychiatric Press textbook of neuropsychiatry.", "author" : [ { "dropping-particle" : "", "family" : "Teicher", "given" : "M.H", "non-dropping-particle" : "", "parse-names" : false, "suffix" : "" } ], "container-title" : "The American Psychiatric Press Textbook of Neuropsychiatry", "edition" : "4th", "id" : "ITEM-1", "issued" : { "date-parts" : [ [ "2001" ] ] }, "page" : "1069\u20131119", "publisher" : "American Psychiatric Pub", "title" : "Neuropsychiatric disorders of childhood and adolescence", "type" : "chapter" }, "uris" : [ "http://www.mendeley.com/documents/?uuid=f267dfac-9502-390b-bcc7-9749bb791127" ] } ], "mendeley" : { "formattedCitation" : "(330)", "plainTextFormattedCitation" : "(330)", "previouslyFormattedCitation" : "(330)" }, "properties" : { "noteIndex" : 59 }, "schema" : "https://github.com/citation-style-language/schema/raw/master/csl-citation.json" }</w:instrText>
      </w:r>
      <w:r w:rsidR="00BC3BBB" w:rsidRPr="00A658D9">
        <w:rPr>
          <w:rFonts w:ascii="Arial" w:hAnsi="Arial" w:cs="Arial"/>
          <w:color w:val="212121"/>
          <w:sz w:val="22"/>
          <w:szCs w:val="22"/>
        </w:rPr>
        <w:fldChar w:fldCharType="separate"/>
      </w:r>
      <w:r w:rsidRPr="00A658D9">
        <w:rPr>
          <w:rFonts w:ascii="Arial" w:hAnsi="Arial" w:cs="Arial"/>
          <w:noProof/>
          <w:color w:val="212121"/>
          <w:sz w:val="22"/>
          <w:szCs w:val="22"/>
        </w:rPr>
        <w:t>(330)</w:t>
      </w:r>
      <w:r w:rsidR="00BC3BBB" w:rsidRPr="00A658D9">
        <w:rPr>
          <w:rFonts w:ascii="Arial" w:hAnsi="Arial" w:cs="Arial"/>
          <w:color w:val="212121"/>
          <w:sz w:val="22"/>
          <w:szCs w:val="22"/>
        </w:rPr>
        <w:fldChar w:fldCharType="end"/>
      </w:r>
      <w:r w:rsidRPr="00A658D9">
        <w:rPr>
          <w:rFonts w:ascii="Arial" w:hAnsi="Arial" w:cs="Arial"/>
          <w:color w:val="212121"/>
          <w:sz w:val="22"/>
          <w:szCs w:val="22"/>
        </w:rPr>
        <w:t xml:space="preserve"> </w:t>
      </w:r>
      <w:r w:rsidRPr="00A658D9">
        <w:rPr>
          <w:rFonts w:ascii="Arial" w:hAnsi="Arial" w:cs="Arial"/>
          <w:sz w:val="22"/>
          <w:szCs w:val="22"/>
        </w:rPr>
        <w:t xml:space="preserve">Çalışmamızda saptanılan, DEHB’li çocukların periferik kan örneklerindeki miR-let-7d </w:t>
      </w:r>
      <w:r w:rsidRPr="00A658D9">
        <w:rPr>
          <w:rFonts w:ascii="Arial" w:hAnsi="Arial" w:cs="Arial"/>
          <w:sz w:val="22"/>
          <w:szCs w:val="22"/>
        </w:rPr>
        <w:lastRenderedPageBreak/>
        <w:t>düzeylerindeki düşüklüğün, etkilenen çocuklardaki nöronal diferansiasyon ve sinaptik budanma mekanizmalarındaki bozulma üzerinden  DEHB oluşumuna katkıda bulunabileceği düşünüldü.</w:t>
      </w:r>
    </w:p>
    <w:p w:rsidR="005827F2" w:rsidRPr="005827F2" w:rsidRDefault="005827F2" w:rsidP="005827F2">
      <w:pPr>
        <w:spacing w:line="360" w:lineRule="auto"/>
        <w:ind w:firstLine="708"/>
        <w:jc w:val="both"/>
        <w:rPr>
          <w:sz w:val="22"/>
          <w:szCs w:val="22"/>
        </w:rPr>
      </w:pPr>
      <w:r w:rsidRPr="005827F2">
        <w:rPr>
          <w:rFonts w:ascii="Arial" w:hAnsi="Arial" w:cs="Arial"/>
          <w:sz w:val="22"/>
          <w:szCs w:val="22"/>
        </w:rPr>
        <w:t xml:space="preserve">Literatürde miR-let-7d ve DEHB arasındaki ilişkiyi araştıran başka çalışmalar da bulunmaktadır. Çalışmamızdan farklı olarak DEHB ile artmış miR-let-7d düzeyleri ilişkilendirilmiştir. Wu ve ark. DEHB modeli olan SHR sıçanların PFK’inde kontrol grubu sıçanlara göre azalmış TH geni ve artmış miR-let-7d ekpresyonu saptamışlardır. miRNA Let-7d’nin galectin-3’ü dovnregüle ederek dopamin metabolizmasında önemli olan TH geninin ekspresyonunu azalttığını göstermişlerdir. Bu sebeple miRNA Let-7d düzeyindeki artışın DEHB gelişimine katkıda bulunabileceğini belirtmişlerdir </w:t>
      </w:r>
      <w:r w:rsidR="00BC3BBB" w:rsidRPr="005827F2">
        <w:rPr>
          <w:rFonts w:ascii="Arial" w:hAnsi="Arial" w:cs="Arial"/>
          <w:sz w:val="22"/>
          <w:szCs w:val="22"/>
        </w:rPr>
        <w:fldChar w:fldCharType="begin" w:fldLock="1"/>
      </w:r>
      <w:r w:rsidRPr="005827F2">
        <w:rPr>
          <w:rFonts w:ascii="Arial" w:hAnsi="Arial" w:cs="Arial"/>
          <w:sz w:val="22"/>
          <w:szCs w:val="22"/>
        </w:rPr>
        <w:instrText>ADDIN CSL_CITATION { "citationItems" : [ { "id" : "ITEM-1", "itemData" : { "DOI" : "10.1111/j.1750-3639.2010.00410.x", "ISBN" : "1750-3639 (Electronic)\\n1015-6305 (Linking)", "ISSN" : "10156305", "PMID" : "20557304", "abstract" : "In this study we investigated the locomotor activity and non-selective attention in spontaneously hypertensive rats (SHR) with control Wistar-Kyoto (WKY) rats, which were employed as an attention deficit hyperactivity disorder (ADHD) model. In open-field test and l\u00e0t maze, SHR rats were found to be much more spontaneously active than WKY rats. As compared with WKY rats, a lower level of galectin-3 was observed in SHR brain prefrontal cortex (PFC), which was the major affected brain area of ADHD. Through miRNA microarray screening, rno-let-7d was noted to be solely upregulated in SHR PFC. Interestingly, rno-let-7d had a binding site at galectin-3 mRNA and was shown to regulate galectin-3 3' untranslated region (UTR) directly. Mutation of galectin-3 3'UTR by one nucleotide of the seed sequence prevented rno-let-7d regulation of the 3' UTR completely. Although rno-let-7d did not directly regulate tyrosine hydroxylase (TH) 3'UTR, the level of galectin-3 was important for cAMP response element binding protein, the major transcript factor for TH gene. Either overexpression or downexpression of galectin-3 could result in modulation of TH expression in both PC12H and PC12L cells. In conclusion, our data suggested a novel function of rno-let-7d in regulation of galectin-3 and in ADHD development. Rno-let-7d, which is increased in the PFC of SHR brain, negatively regulated galectin-3, which is coupled with TH expression regulation.", "author" : [ { "dropping-particle" : "", "family" : "Wu", "given" : "Lihui", "non-dropping-particle" : "", "parse-names" : false, "suffix" : "" }, { "dropping-particle" : "", "family" : "Zhao", "given" : "Qianlei", "non-dropping-particle" : "", "parse-names" : false, "suffix" : "" }, { "dropping-particle" : "", "family" : "Zhu", "given" : "Xuchao", "non-dropping-particle" : "", "parse-names" : false, "suffix" : "" }, { "dropping-particle" : "", "family" : "Peng", "given" : "Min", "non-dropping-particle" : "", "parse-names" : false, "suffix" : "" }, { "dropping-particle" : "", "family" : "Jia", "given" : "Chenyou", "non-dropping-particle" : "", "parse-names" : false, "suffix" : "" }, { "dropping-particle" : "", "family" : "Wu", "given" : "Wei", "non-dropping-particle" : "", "parse-names" : false, "suffix" : "" }, { "dropping-particle" : "", "family" : "Zheng", "given" : "Jing", "non-dropping-particle" : "", "parse-names" : false, "suffix" : "" }, { "dropping-particle" : "", "family" : "Wu", "given" : "Xing Zhong", "non-dropping-particle" : "", "parse-names" : false, "suffix" : "" } ], "container-title" : "Brain Pathology", "id" : "ITEM-1", "issue" : "6", "issued" : { "date-parts" : [ [ "2010" ] ] }, "page" : "1042-1054", "title" : "A novel function of MicroRNA Let-7d in regulation of galectin-3 expression in attention deficit hyperactivity disorder rat brain", "type" : "article-journal", "volume" : "20" }, "uris" : [ "http://www.mendeley.com/documents/?uuid=9dccdf57-e4be-4be3-8370-a11faa38d8bd" ] } ], "mendeley" : { "formattedCitation" : "(18)", "plainTextFormattedCitation" : "(18)", "previouslyFormattedCitation" : "(18)" }, "properties" : { "noteIndex" : 59 }, "schema" : "https://github.com/citation-style-language/schema/raw/master/csl-citation.json" }</w:instrText>
      </w:r>
      <w:r w:rsidR="00BC3BBB" w:rsidRPr="005827F2">
        <w:rPr>
          <w:rFonts w:ascii="Arial" w:hAnsi="Arial" w:cs="Arial"/>
          <w:sz w:val="22"/>
          <w:szCs w:val="22"/>
        </w:rPr>
        <w:fldChar w:fldCharType="separate"/>
      </w:r>
      <w:r w:rsidRPr="005827F2">
        <w:rPr>
          <w:rFonts w:ascii="Arial" w:hAnsi="Arial" w:cs="Arial"/>
          <w:noProof/>
          <w:sz w:val="22"/>
          <w:szCs w:val="22"/>
        </w:rPr>
        <w:t>(18)</w:t>
      </w:r>
      <w:r w:rsidR="00BC3BBB" w:rsidRPr="005827F2">
        <w:rPr>
          <w:rFonts w:ascii="Arial" w:hAnsi="Arial" w:cs="Arial"/>
          <w:sz w:val="22"/>
          <w:szCs w:val="22"/>
        </w:rPr>
        <w:fldChar w:fldCharType="end"/>
      </w:r>
      <w:r w:rsidRPr="005827F2">
        <w:rPr>
          <w:rFonts w:ascii="Arial" w:hAnsi="Arial" w:cs="Arial"/>
          <w:sz w:val="22"/>
          <w:szCs w:val="22"/>
        </w:rPr>
        <w:t>. Wu ve ark.</w:t>
      </w:r>
      <w:r w:rsidRPr="005827F2">
        <w:rPr>
          <w:rFonts w:ascii="Arial" w:hAnsi="Arial" w:cs="Arial"/>
          <w:color w:val="E36C0A" w:themeColor="accent6" w:themeShade="BF"/>
          <w:sz w:val="22"/>
          <w:szCs w:val="22"/>
        </w:rPr>
        <w:t xml:space="preserve"> </w:t>
      </w:r>
      <w:r w:rsidRPr="005827F2">
        <w:rPr>
          <w:rFonts w:ascii="Arial" w:hAnsi="Arial" w:cs="Arial"/>
          <w:sz w:val="22"/>
          <w:szCs w:val="22"/>
        </w:rPr>
        <w:t xml:space="preserve">DEHB’li çocuk ve sağlıklı kontrollerde yaptıkları çalışmada da dolaşımdaki artmış miR-let-7d ve azalmış galectin-3 düzeyleri ile DEHB arasında ilişki saptamışlardır. Hastaların takiplerinde dolaşımdaki düşük miR-let-7d düzeylerinin daha iyi prognozla ilişkili olduğunu belirtmişlerdir </w:t>
      </w:r>
      <w:r w:rsidR="00BC3BBB" w:rsidRPr="005827F2">
        <w:rPr>
          <w:rFonts w:ascii="Arial" w:hAnsi="Arial" w:cs="Arial"/>
          <w:sz w:val="22"/>
          <w:szCs w:val="22"/>
        </w:rPr>
        <w:fldChar w:fldCharType="begin" w:fldLock="1"/>
      </w:r>
      <w:r w:rsidRPr="005827F2">
        <w:rPr>
          <w:rFonts w:ascii="Arial" w:hAnsi="Arial" w:cs="Arial"/>
          <w:sz w:val="22"/>
          <w:szCs w:val="22"/>
        </w:rPr>
        <w:instrText>ADDIN CSL_CITATION { "citationItems" : [ { "id" : "ITEM-1", "itemData" : { "DOI" : "10.1007/s12017-015-8345-y", "ISBN" : "1559-1174 (Electronic)\\r1535-1084 (Linking)", "ISSN" : "15591174", "PMID" : "25724585", "abstract" : "Up to date, there has been no molecular signature available in the clinical practice for attention-deficit/hyperactivity disorder (ADHD). To investigate circulating miRNA let-7d significance in ADHD, we investigated serum miRNA let-7d in 35 newly diagnosed ADHD subjects who were randomly selected from 406 patients out of 7450 children, paired with gender- and age-matched control through case-control study. We observed that circulating miRNA let-7d was significantly higher in ADHD subjects than in control (p &lt; 0.05). Higher circulation level of miRNA let-7d was significantly associated with ADHD (odds ratio 16.7; 95% confidence, p &lt; 0.05). Meanwhile, serum galectin-3 level was down-regulated in ADHD subjects and the subjects with low galectin-3 expression accounted for 66% in ADHD. The difference of the serum galectin-3 levels between ADHD and non-ADHD groups reached significance (p &lt; 0.05). In 1-year follow-up, a significantly higher rate of clinical improvement was noted in subjects with low level of circulating miRNA let-7d (p &lt; 0.05) than those with high level of circulating miRNA let-7d. Our data demonstrated that miRNA let-7d was elevated in the serum of ADHD subjects, which might be a novel, useful molecule signature for ADHD.", "author" : [ { "dropping-particle" : "", "family" : "Wu", "given" : "Li Hui", "non-dropping-particle" : "", "parse-names" : false, "suffix" : "" }, { "dropping-particle" : "", "family" : "Peng", "given" : "Min", "non-dropping-particle" : "", "parse-names" : false, "suffix" : "" }, { "dropping-particle" : "", "family" : "Yu", "given" : "Mei", "non-dropping-particle" : "", "parse-names" : false, "suffix" : "" }, { "dropping-particle" : "", "family" : "Zhao", "given" : "Qian Lei", "non-dropping-particle" : "", "parse-names" : false, "suffix" : "" }, { "dropping-particle" : "", "family" : "Li", "given" : "Chao", "non-dropping-particle" : "", "parse-names" : false, "suffix" : "" }, { "dropping-particle" : "", "family" : "Jin", "given" : "Yu Tong", "non-dropping-particle" : "", "parse-names" : false, "suffix" : "" }, { "dropping-particle" : "", "family" : "Jiang", "given" : "Yong", "non-dropping-particle" : "", "parse-names" : false, "suffix" : "" }, { "dropping-particle" : "", "family" : "Chen", "given" : "Zhong Yi", "non-dropping-particle" : "", "parse-names" : false, "suffix" : "" }, { "dropping-particle" : "", "family" : "Deng", "given" : "Nian Hui", "non-dropping-particle" : "", "parse-names" : false, "suffix" : "" }, { "dropping-particle" : "", "family" : "Sun", "given" : "Hui", "non-dropping-particle" : "", "parse-names" : false, "suffix" : "" }, { "dropping-particle" : "", "family" : "Wu", "given" : "Xing Zhong", "non-dropping-particle" : "", "parse-names" : false, "suffix" : "" } ], "container-title" : "NeuroMolecular Medicine", "id" : "ITEM-1", "issue" : "2", "issued" : { "date-parts" : [ [ "2015" ] ] }, "page" : "137-146", "title" : "Circulating MicroRNA Let-7d in Attention-Deficit/Hyperactivity Disorder", "type" : "article-journal", "volume" : "17" }, "uris" : [ "http://www.mendeley.com/documents/?uuid=0a6249bf-dfc5-475d-b684-5acbf56c30fd" ] } ], "mendeley" : { "formattedCitation" : "(19)", "plainTextFormattedCitation" : "(19)", "previouslyFormattedCitation" : "(19)" }, "properties" : { "noteIndex" : 59 }, "schema" : "https://github.com/citation-style-language/schema/raw/master/csl-citation.json" }</w:instrText>
      </w:r>
      <w:r w:rsidR="00BC3BBB" w:rsidRPr="005827F2">
        <w:rPr>
          <w:rFonts w:ascii="Arial" w:hAnsi="Arial" w:cs="Arial"/>
          <w:sz w:val="22"/>
          <w:szCs w:val="22"/>
        </w:rPr>
        <w:fldChar w:fldCharType="separate"/>
      </w:r>
      <w:r w:rsidRPr="005827F2">
        <w:rPr>
          <w:rFonts w:ascii="Arial" w:hAnsi="Arial" w:cs="Arial"/>
          <w:noProof/>
          <w:sz w:val="22"/>
          <w:szCs w:val="22"/>
        </w:rPr>
        <w:t>(19)</w:t>
      </w:r>
      <w:r w:rsidR="00BC3BBB" w:rsidRPr="005827F2">
        <w:rPr>
          <w:rFonts w:ascii="Arial" w:hAnsi="Arial" w:cs="Arial"/>
          <w:sz w:val="22"/>
          <w:szCs w:val="22"/>
        </w:rPr>
        <w:fldChar w:fldCharType="end"/>
      </w:r>
      <w:r w:rsidRPr="005827F2">
        <w:rPr>
          <w:rFonts w:ascii="Arial" w:hAnsi="Arial" w:cs="Arial"/>
          <w:sz w:val="22"/>
          <w:szCs w:val="22"/>
        </w:rPr>
        <w:t xml:space="preserve">. </w:t>
      </w:r>
      <w:r w:rsidRPr="005827F2">
        <w:rPr>
          <w:rFonts w:ascii="Arial" w:hAnsi="Arial" w:cs="Arial"/>
          <w:color w:val="212121"/>
          <w:sz w:val="22"/>
          <w:szCs w:val="22"/>
          <w:shd w:val="clear" w:color="auto" w:fill="FFFFFF"/>
        </w:rPr>
        <w:t xml:space="preserve">Galectin-3 ekspresyonu ayrıca apoptozis, hücre diferansiasyonu ve transformasyonu gibi bir takım çeşitli normal ve patolojik olan biyolojik süreçlerle ilişkilendirilmiştir </w:t>
      </w:r>
      <w:r w:rsidR="00BC3BBB" w:rsidRPr="005827F2">
        <w:rPr>
          <w:rFonts w:ascii="Arial" w:hAnsi="Arial" w:cs="Arial"/>
          <w:color w:val="212121"/>
          <w:sz w:val="22"/>
          <w:szCs w:val="22"/>
          <w:shd w:val="clear" w:color="auto" w:fill="FFFFFF"/>
        </w:rPr>
        <w:fldChar w:fldCharType="begin" w:fldLock="1"/>
      </w:r>
      <w:r w:rsidRPr="005827F2">
        <w:rPr>
          <w:rFonts w:ascii="Arial" w:hAnsi="Arial" w:cs="Arial"/>
          <w:color w:val="212121"/>
          <w:sz w:val="22"/>
          <w:szCs w:val="22"/>
          <w:shd w:val="clear" w:color="auto" w:fill="FFFFFF"/>
        </w:rPr>
        <w:instrText>ADDIN CSL_CITATION { "citationItems" : [ { "id" : "ITEM-1", "itemData" : { "DOI" : "10.1038/sj.cdd.4400535", "ISBN" : "1350-9047 (Print)\\r1350-9047 (Linking)", "ISSN" : "1350-9047", "PMID" : "10467344", "abstract" : "Galectins constitute a family of evolutionarily conserved animal lectins, which are defined by their affinity for poly-N-acetyllactosamine-enriched glycoconjugates and sequence similarities in the carbohydrate recognition domain. During the past decade, attempts to dissect the functional role for galectins in vivo have been unsuccessful in comparison to the overwhelming information reached at the biochemical and molecular levels. The present review deals with the latest advances in galectin research and is aimed at validating the functional significance of these carbohydrate-binding proteins. Novel implications of galectins in cell adhesion, cell growth regulation, immunomodulation, apoptosis, inflammation, embryogenesis, metastasis and pre-mRNA splicing will be particularly discussed in a trip from the gene to the clinical therapy. Elucidation of the molecular mechanisms involved in galectin functions will certainly open new avenues not only in biomedical research, but also at the level of disease diagnosis and clinical intervention, attempting to delineate new therapeutic strategies in autoimmune diseases, inflammatory processes, allergic reactions and tumor spreading.", "author" : [ { "dropping-particle" : "", "family" : "Rabinovich", "given" : "G a", "non-dropping-particle" : "", "parse-names" : false, "suffix" : "" } ], "container-title" : "Cell death and differentiation", "id" : "ITEM-1", "issue" : "8", "issued" : { "date-parts" : [ [ "1999" ] ] }, "page" : "711-721", "title" : "Galectins: an evolutionarily conserved family of animal lectins with multifunctional properties; a trip from the gene to clinical therapy.", "type" : "article-journal", "volume" : "6" }, "uris" : [ "http://www.mendeley.com/documents/?uuid=e48f373b-c602-4684-9bce-4632016cf877" ] } ], "mendeley" : { "formattedCitation" : "(333)", "plainTextFormattedCitation" : "(333)", "previouslyFormattedCitation" : "(333)" }, "properties" : { "noteIndex" : 59 }, "schema" : "https://github.com/citation-style-language/schema/raw/master/csl-citation.json" }</w:instrText>
      </w:r>
      <w:r w:rsidR="00BC3BBB" w:rsidRPr="005827F2">
        <w:rPr>
          <w:rFonts w:ascii="Arial" w:hAnsi="Arial" w:cs="Arial"/>
          <w:color w:val="212121"/>
          <w:sz w:val="22"/>
          <w:szCs w:val="22"/>
          <w:shd w:val="clear" w:color="auto" w:fill="FFFFFF"/>
        </w:rPr>
        <w:fldChar w:fldCharType="separate"/>
      </w:r>
      <w:r w:rsidRPr="005827F2">
        <w:rPr>
          <w:rFonts w:ascii="Arial" w:hAnsi="Arial" w:cs="Arial"/>
          <w:noProof/>
          <w:color w:val="212121"/>
          <w:sz w:val="22"/>
          <w:szCs w:val="22"/>
          <w:shd w:val="clear" w:color="auto" w:fill="FFFFFF"/>
        </w:rPr>
        <w:t>(333)</w:t>
      </w:r>
      <w:r w:rsidR="00BC3BBB" w:rsidRPr="005827F2">
        <w:rPr>
          <w:rFonts w:ascii="Arial" w:hAnsi="Arial" w:cs="Arial"/>
          <w:color w:val="212121"/>
          <w:sz w:val="22"/>
          <w:szCs w:val="22"/>
          <w:shd w:val="clear" w:color="auto" w:fill="FFFFFF"/>
        </w:rPr>
        <w:fldChar w:fldCharType="end"/>
      </w:r>
      <w:r w:rsidRPr="005827F2">
        <w:rPr>
          <w:rFonts w:ascii="Arial" w:hAnsi="Arial" w:cs="Arial"/>
          <w:color w:val="212121"/>
          <w:sz w:val="22"/>
          <w:szCs w:val="22"/>
          <w:shd w:val="clear" w:color="auto" w:fill="FFFFFF"/>
        </w:rPr>
        <w:t>.</w:t>
      </w:r>
      <w:r w:rsidRPr="005827F2">
        <w:rPr>
          <w:rFonts w:ascii="Arial" w:hAnsi="Arial" w:cs="Arial"/>
          <w:color w:val="333333"/>
          <w:sz w:val="22"/>
          <w:szCs w:val="22"/>
          <w:bdr w:val="none" w:sz="0" w:space="0" w:color="auto" w:frame="1"/>
          <w:shd w:val="clear" w:color="auto" w:fill="FFFFFF"/>
        </w:rPr>
        <w:t xml:space="preserve"> </w:t>
      </w:r>
      <w:r w:rsidRPr="005827F2">
        <w:rPr>
          <w:rFonts w:ascii="Arial" w:hAnsi="Arial" w:cs="Arial"/>
          <w:color w:val="212121"/>
          <w:sz w:val="22"/>
          <w:szCs w:val="22"/>
          <w:shd w:val="clear" w:color="auto" w:fill="FFFFFF"/>
        </w:rPr>
        <w:t>Nöronal olarak diferansiye olan sıçan feokromasitoma  (</w:t>
      </w:r>
      <w:r w:rsidRPr="005827F2">
        <w:rPr>
          <w:rFonts w:ascii="Arial" w:hAnsi="Arial" w:cs="Arial"/>
          <w:sz w:val="22"/>
          <w:szCs w:val="22"/>
          <w:shd w:val="clear" w:color="auto" w:fill="FFFFFF"/>
        </w:rPr>
        <w:t>PC12</w:t>
      </w:r>
      <w:r w:rsidRPr="005827F2">
        <w:rPr>
          <w:rFonts w:ascii="Arial" w:hAnsi="Arial" w:cs="Arial"/>
          <w:color w:val="212121"/>
          <w:sz w:val="22"/>
          <w:szCs w:val="22"/>
          <w:shd w:val="clear" w:color="auto" w:fill="FFFFFF"/>
        </w:rPr>
        <w:t xml:space="preserve">) hücrelerinde galectin-3 ekspresyonu için indüksiyon mekanizmaları gösterilmiştir </w:t>
      </w:r>
      <w:r w:rsidR="00BC3BBB" w:rsidRPr="005827F2">
        <w:rPr>
          <w:rFonts w:ascii="Arial" w:hAnsi="Arial" w:cs="Arial"/>
          <w:color w:val="212121"/>
          <w:sz w:val="22"/>
          <w:szCs w:val="22"/>
          <w:shd w:val="clear" w:color="auto" w:fill="FFFFFF"/>
        </w:rPr>
        <w:fldChar w:fldCharType="begin" w:fldLock="1"/>
      </w:r>
      <w:r w:rsidRPr="005827F2">
        <w:rPr>
          <w:rFonts w:ascii="Arial" w:hAnsi="Arial" w:cs="Arial"/>
          <w:color w:val="212121"/>
          <w:sz w:val="22"/>
          <w:szCs w:val="22"/>
          <w:shd w:val="clear" w:color="auto" w:fill="FFFFFF"/>
        </w:rPr>
        <w:instrText>ADDIN CSL_CITATION { "citationItems" : [ { "id" : "ITEM-1", "itemData" : { "DOI" : "10.1046/j.1471-4159.2003.02060.x", "ISSN" : "00223042", "PMID" : "14622091", "abstract" : "Galectin-3 (gal-3) is a member of the galectin family of lectins whose expression strongly depends on the cellular state. Here we show that in PC12 cells the expression of gal-3 protein is regulated via Ras- and mitogen-activated protein kinase (MAPK)-dependent and independent signalling pathways and correlates with nerve growth factor (NGF)-mediated neuronal differentiation. Gal-3 expression, activation of the MAPK ERK1/2 and neurite outgrowth are induced by NGF and basic fibroblast growth factor (bFGF), but not by ciliary neurotrophic factor (CNTF), epidermal growth factor, insulin or interleukin-6 (IL-6). In addition, in NGF-treated PC12 cells, gal-3 expression, ERK1/2 activation and neurite outgrowth could be specifically inhibited at the level of TrkA, Ras and MAPK-kinase, whereas expression of an oncogenic form of Ras leads to gal-3 expression and neurite outgrowth in the absence of growth factors. In NGF-primed PC12 cells, subsequent treatment with CNTF or IL-6 induces ERK1/2 activation and neurite outgrowth, but not gal-3 expression. Treatment of PC12 cells with staurosporine induces gal-3 expression and neurite outgrowth without ERK1/2 activation. NGF- and staurosporine-induced gal-3-expression is also regulated at the transcriptional level. Our data suggest the presence of complex induction mechanisms of gal-3 expression in neuronally differentiating PC12 cells involving NGF-, but not CNTF- and IL-6-driven (in NGF-primed cells) Ras/MAPK-related signalling pathways. Staurosporine, in contrast, induces gal-3 expression by a Ras/MAPK-independent mechanism.", "author" : [ { "dropping-particle" : "", "family" : "Kuklinski", "given" : "Stephan", "non-dropping-particle" : "", "parse-names" : false, "suffix" : "" }, { "dropping-particle" : "", "family" : "Vladimirova", "given" : "Valentina", "non-dropping-particle" : "", "parse-names" : false, "suffix" : "" }, { "dropping-particle" : "", "family" : "Waha", "given" : "Andreas", "non-dropping-particle" : "", "parse-names" : false, "suffix" : "" }, { "dropping-particle" : "", "family" : "Kamata", "given" : "Hideaki", "non-dropping-particle" : "", "parse-names" : false, "suffix" : "" }, { "dropping-particle" : "", "family" : "Pesheva", "given" : "Penka", "non-dropping-particle" : "", "parse-names" : false, "suffix" : "" }, { "dropping-particle" : "", "family" : "Probstmeier", "given" : "Rainer", "non-dropping-particle" : "", "parse-names" : false, "suffix" : "" } ], "container-title" : "Journal of Neurochemistry", "id" : "ITEM-1", "issue" : "5", "issued" : { "date-parts" : [ [ "2003" ] ] }, "page" : "1112-1124", "title" : "Expression of galectin-3 in neuronally differentiating PC12 cells is regulated both via Ras/MAPK-dependent and -independent signalling pathways", "type" : "article-journal", "volume" : "87" }, "uris" : [ "http://www.mendeley.com/documents/?uuid=b58087ec-170e-4843-b0a9-7048fc2b9a4f" ] } ], "mendeley" : { "formattedCitation" : "(334)", "plainTextFormattedCitation" : "(334)", "previouslyFormattedCitation" : "(334)" }, "properties" : { "noteIndex" : 59 }, "schema" : "https://github.com/citation-style-language/schema/raw/master/csl-citation.json" }</w:instrText>
      </w:r>
      <w:r w:rsidR="00BC3BBB" w:rsidRPr="005827F2">
        <w:rPr>
          <w:rFonts w:ascii="Arial" w:hAnsi="Arial" w:cs="Arial"/>
          <w:color w:val="212121"/>
          <w:sz w:val="22"/>
          <w:szCs w:val="22"/>
          <w:shd w:val="clear" w:color="auto" w:fill="FFFFFF"/>
        </w:rPr>
        <w:fldChar w:fldCharType="separate"/>
      </w:r>
      <w:r w:rsidRPr="005827F2">
        <w:rPr>
          <w:rFonts w:ascii="Arial" w:hAnsi="Arial" w:cs="Arial"/>
          <w:noProof/>
          <w:color w:val="212121"/>
          <w:sz w:val="22"/>
          <w:szCs w:val="22"/>
          <w:shd w:val="clear" w:color="auto" w:fill="FFFFFF"/>
        </w:rPr>
        <w:t>(334)</w:t>
      </w:r>
      <w:r w:rsidR="00BC3BBB" w:rsidRPr="005827F2">
        <w:rPr>
          <w:rFonts w:ascii="Arial" w:hAnsi="Arial" w:cs="Arial"/>
          <w:color w:val="212121"/>
          <w:sz w:val="22"/>
          <w:szCs w:val="22"/>
          <w:shd w:val="clear" w:color="auto" w:fill="FFFFFF"/>
        </w:rPr>
        <w:fldChar w:fldCharType="end"/>
      </w:r>
      <w:r w:rsidRPr="005827F2">
        <w:rPr>
          <w:rFonts w:ascii="Arial" w:hAnsi="Arial" w:cs="Arial"/>
          <w:color w:val="212121"/>
          <w:sz w:val="22"/>
          <w:szCs w:val="22"/>
          <w:shd w:val="clear" w:color="auto" w:fill="FFFFFF"/>
        </w:rPr>
        <w:t xml:space="preserve">. </w:t>
      </w:r>
      <w:r w:rsidRPr="005827F2">
        <w:rPr>
          <w:rFonts w:ascii="Arial" w:hAnsi="Arial" w:cs="Arial"/>
          <w:spacing w:val="1"/>
          <w:sz w:val="22"/>
          <w:szCs w:val="22"/>
          <w:shd w:val="clear" w:color="auto" w:fill="FCFCFC"/>
        </w:rPr>
        <w:t xml:space="preserve">Heterojen bir bozukluk olması dolayısıyla miR-let-7d birden fazla ve farklı yolaktan DEHB oluşumuna etki ediyor olabilir. Diğer çalışmalardan farklı olarak DEHB’li çocuklarda kontrollere göre azalmış miR-let-7d düzeyi saptamamızın bir nedeni bu olabilir. Daha önceki çalışmalarda travmatik beyin hasarında serumdaki nöronal işaretçilerin beyin omurilik sıvısında (BOS) da mevcut olduğunu gösterilse de </w:t>
      </w:r>
      <w:r w:rsidR="00BC3BBB" w:rsidRPr="005827F2">
        <w:rPr>
          <w:rFonts w:ascii="Arial" w:hAnsi="Arial" w:cs="Arial"/>
          <w:spacing w:val="1"/>
          <w:sz w:val="22"/>
          <w:szCs w:val="22"/>
          <w:shd w:val="clear" w:color="auto" w:fill="FCFCFC"/>
        </w:rPr>
        <w:fldChar w:fldCharType="begin" w:fldLock="1"/>
      </w:r>
      <w:r>
        <w:rPr>
          <w:rFonts w:ascii="Arial" w:hAnsi="Arial" w:cs="Arial"/>
          <w:spacing w:val="1"/>
          <w:sz w:val="22"/>
          <w:szCs w:val="22"/>
          <w:shd w:val="clear" w:color="auto" w:fill="FCFCFC"/>
        </w:rPr>
        <w:instrText>ADDIN CSL_CITATION { "citationItems" : [ { "id" : "ITEM-1", "itemData" : { "DOI" : "10.1097/CCM.0b013e3181b788ab", "ISBN" : "0090-3493", "ISSN" : "0090-3493", "PMID" : "19726976", "abstract" : "OBJECTIVE: Ubiquitin C-terminal hydrolase (UCH-L1), also called neuronal-specific protein gene product (PGP 9.3), is highly abundant in neurons. To assess the reliability of UCH-L1 as a potential biomarker for traumatic brain injury (TBI) this study compared cerebrospinal fluid (CSF) levels of UCH-L1 from adult patients with severe TBI to uninjured controls; and examined the relationship between levels with severity of injury, complications and functional outcome.\\n\\nDESIGN: This study was designed as prospective case control study.\\n\\nPATIENTS: This study enrolled 66 patients, 41 with severe TBI, defined by a Glasgow coma scale (GCS) score of &lt; or =8, who underwent intraventricular intracranial pressure monitoring and 25 controls without TBI requiring CSF drainage for other medical reasons.\\n\\nSETTING: : Two hospital system level I trauma centers.\\n\\nMEASUREMENTS AND MAIN RESULTS: Ventricular CSF was sampled from each patient at 6, 12, 24, 48, 72, 96, 120, 144, and 168 hrs following TBI and analyzed for UCH-L1. Injury severity was assessed by the GCS score, Marshall Classification on computed tomography and a complicated postinjury course. Mortality was assessed at 6 wks and long-term outcome was assessed using the Glasgow outcome score 6 months after injury. TBI patients had significantly elevated CSF levels of UCH-L1 at each time point after injury compared to uninjured controls. Overall mean levels of UCH-L1 in TBI patients was 44.2 ng/mL (+/-7.9) compared with 2.7 ng/mL (+/-0.7) in controls (p &lt;.001). There were significantly higher levels of UCH-L1 in patients with a lower GCS score at 24 hrs, in those with postinjury complications, in those with 6-wk mortality, and in those with a poor 6-month dichotomized Glasgow outcome score.\\n\\nCONCLUSIONS: These data suggest that this novel biomarker has the potential to determine injury severity in TBI patients. Further studies are needed to validate these findings in a larger sample.", "author" : [ { "dropping-particle" : "", "family" : "Papa", "given" : "Linda", "non-dropping-particle" : "", "parse-names" : false, "suffix" : "" }, { "dropping-particle" : "", "family" : "Akinyi", "given" : "Linnet", "non-dropping-particle" : "", "parse-names" : false, "suffix" : "" }, { "dropping-particle" : "", "family" : "Liu", "given" : "Ming Cheng", "non-dropping-particle" : "", "parse-names" : false, "suffix" : "" }, { "dropping-particle" : "", "family" : "Pineda", "given" : "Jose A.", "non-dropping-particle" : "", "parse-names" : false, "suffix" : "" }, { "dropping-particle" : "", "family" : "Tepas", "given" : "Joseph J.", "non-dropping-particle" : "", "parse-names" : false, "suffix" : "" }, { "dropping-particle" : "", "family" : "Oli", "given" : "Monika W.", "non-dropping-particle" : "", "parse-names" : false, "suffix" : "" }, { "dropping-particle" : "", "family" : "Zheng", "given" : "Wenrong", "non-dropping-particle" : "", "parse-names" : false, "suffix" : "" }, { "dropping-particle" : "", "family" : "Robinson", "given" : "Gillian", "non-dropping-particle" : "", "parse-names" : false, "suffix" : "" }, { "dropping-particle" : "", "family" : "Robicsek", "given" : "Steven A.", "non-dropping-particle" : "", "parse-names" : false, "suffix" : "" }, { "dropping-particle" : "", "family" : "Gabrielli", "given" : "Andrea", "non-dropping-particle" : "", "parse-names" : false, "suffix" : "" }, { "dropping-particle" : "", "family" : "Heaton", "given" : "Shelley C.", "non-dropping-particle" : "", "parse-names" : false, "suffix" : "" }, { "dropping-particle" : "", "family" : "Hannay", "given" : "H Julia", "non-dropping-particle" : "", "parse-names" : false, "suffix" : "" }, { "dropping-particle" : "", "family" : "Demery", "given" : "Jason A.", "non-dropping-particle" : "", "parse-names" : false, "suffix" : "" }, { "dropping-particle" : "", "family" : "Brophy", "given" : "Gretchen M.", "non-dropping-particle" : "", "parse-names" : false, "suffix" : "" }, { "dropping-particle" : "", "family" : "Layon", "given" : "Joe", "non-dropping-particle" : "", "parse-names" : false, "suffix" : "" }, { "dropping-particle" : "", "family" : "Robertson", "given" : "Claudia S.", "non-dropping-particle" : "", "parse-names" : false, "suffix" : "" }, { "dropping-particle" : "", "family" : "Hayes", "given" : "Ronald L.", "non-dropping-particle" : "", "parse-names" : false, "suffix" : "" }, { "dropping-particle" : "", "family" : "Wang", "given" : "Kevin K. W.", "non-dropping-particle" : "", "parse-names" : false, "suffix" : "" } ], "container-title" : "Critical Care Medicine", "id" : "ITEM-1", "issue" : "1", "issued" : { "date-parts" : [ [ "2010" ] ] }, "page" : "138-144", "title" : "Ubiquitin C-terminal hydrolase is a novel biomarker in humans for severe traumatic brain injury*", "type" : "article-journal", "volume" : "38" }, "uris" : [ "http://www.mendeley.com/documents/?uuid=c7b0ffec-82bf-4f9d-823e-f73a6b8a204d" ] }, { "id" : "ITEM-2", "itemData" : { "DOI" : "10.1089/neu.2011.2146", "ISBN" : "0897-7151", "ISSN" : "0897-7151", "PMID" : "22352906", "abstract" : "Blast-induced traumatic brain injury (TBI) is of significant concern in soldiers returning from the current conflicts in Iraq and Afghanistan. Incidents of TBI have increased significantly in the current conflicts compared to previous wars, and a majority of these injuries are caused by improvised explosive devices. Currently, no specific technique or biomarker is available for diagnosing TBI when no obvious clinical symptoms are present. Micro-RNAs are small RNA (~ 22nts) molecules that are expressed endogenously and play an important role in regulating gene expression. MicroRNAs have emerged as novel serum diagnostic biomarkers for various diseases. In this study, we studied the effect of blast overpressure injury on the microRNA signatures in the serum of rats. Rats were exposed to three serial 120-kPa blast overpressure exposures through a shockwave tube. Blood and cerebrospinal fluid were collected at various time points after injury, and microRNA modulation was analyzed using real-time PCR. Five microRNAs were significantly modulated in the serum samples of these animals at three time points post-injury. Further, we also found that the levels of microRNA let-7i are also elevated in cerebrospinal fluid post-blast wave exposure. The presence of microRNA in both serum and cerebrospinal fluid immediately after injury makes microRNA let-7i an ideal candidate for further studies of biomarkers in TBI.", "author" : [ { "dropping-particle" : "", "family" : "Balakathiresan", "given" : "Nagaraja", "non-dropping-particle" : "", "parse-names" : false, "suffix" : "" }, { "dropping-particle" : "", "family" : "Bhomia", "given" : "Manish", "non-dropping-particle" : "", "parse-names" : false, "suffix" : "" }, { "dropping-particle" : "", "family" : "Chandran", "given" : "Raghavendar", "non-dropping-particle" : "", "parse-names" : false, "suffix" : "" }, { "dropping-particle" : "", "family" : "Chavko", "given" : "Mikulas", "non-dropping-particle" : "", "parse-names" : false, "suffix" : "" }, { "dropping-particle" : "", "family" : "McCarron", "given" : "Richard M.", "non-dropping-particle" : "", "parse-names" : false, "suffix" : "" }, { "dropping-particle" : "", "family" : "Maheshwari", "given" : "Radha K.", "non-dropping-particle" : "", "parse-names" : false, "suffix" : "" } ], "container-title" : "Journal of Neurotrauma", "id" : "ITEM-2", "issue" : "7", "issued" : { "date-parts" : [ [ "2012" ] ] }, "page" : "1379-1387", "title" : "MicroRNA Let-7i Is a Promising Serum Biomarker for Blast-Induced Traumatic Brain Injury", "type" : "article-journal", "volume" : "29" }, "uris" : [ "http://www.mendeley.com/documents/?uuid=91049a85-7d6d-450f-a8ff-32ac6dd7eb34" ] } ], "mendeley" : { "formattedCitation" : "(335, 336)", "plainTextFormattedCitation" : "(335, 336)", "previouslyFormattedCitation" : "(336,337)" }, "properties" : { "noteIndex" : 59 }, "schema" : "https://github.com/citation-style-language/schema/raw/master/csl-citation.json" }</w:instrText>
      </w:r>
      <w:r w:rsidR="00BC3BBB" w:rsidRPr="005827F2">
        <w:rPr>
          <w:rFonts w:ascii="Arial" w:hAnsi="Arial" w:cs="Arial"/>
          <w:spacing w:val="1"/>
          <w:sz w:val="22"/>
          <w:szCs w:val="22"/>
          <w:shd w:val="clear" w:color="auto" w:fill="FCFCFC"/>
        </w:rPr>
        <w:fldChar w:fldCharType="separate"/>
      </w:r>
      <w:r w:rsidRPr="005827F2">
        <w:rPr>
          <w:rFonts w:ascii="Arial" w:hAnsi="Arial" w:cs="Arial"/>
          <w:noProof/>
          <w:spacing w:val="1"/>
          <w:sz w:val="22"/>
          <w:szCs w:val="22"/>
          <w:shd w:val="clear" w:color="auto" w:fill="FCFCFC"/>
        </w:rPr>
        <w:t>(335, 336)</w:t>
      </w:r>
      <w:r w:rsidR="00BC3BBB" w:rsidRPr="005827F2">
        <w:rPr>
          <w:rFonts w:ascii="Arial" w:hAnsi="Arial" w:cs="Arial"/>
          <w:spacing w:val="1"/>
          <w:sz w:val="22"/>
          <w:szCs w:val="22"/>
          <w:shd w:val="clear" w:color="auto" w:fill="FCFCFC"/>
        </w:rPr>
        <w:fldChar w:fldCharType="end"/>
      </w:r>
      <w:r w:rsidRPr="005827F2">
        <w:rPr>
          <w:rFonts w:ascii="Arial" w:hAnsi="Arial" w:cs="Arial"/>
          <w:color w:val="4F81BD" w:themeColor="accent1"/>
          <w:sz w:val="22"/>
          <w:szCs w:val="22"/>
        </w:rPr>
        <w:t>,</w:t>
      </w:r>
      <w:r w:rsidRPr="005827F2">
        <w:rPr>
          <w:rFonts w:ascii="Arial" w:hAnsi="Arial" w:cs="Arial"/>
          <w:sz w:val="22"/>
          <w:szCs w:val="22"/>
          <w:shd w:val="clear" w:color="auto" w:fill="FFFFFF"/>
        </w:rPr>
        <w:t xml:space="preserve"> DEHB ve let-7d arasındaki ilişkiyi araştıran çalışmalarda let-7d düzeyi açısından serum ve BOS arasındaki ilişki araştırılmamıştır</w:t>
      </w:r>
      <w:r w:rsidRPr="005827F2">
        <w:rPr>
          <w:rFonts w:ascii="Arial" w:hAnsi="Arial" w:cs="Arial"/>
          <w:spacing w:val="1"/>
          <w:sz w:val="22"/>
          <w:szCs w:val="22"/>
          <w:shd w:val="clear" w:color="auto" w:fill="FCFCFC"/>
        </w:rPr>
        <w:t xml:space="preserve">. </w:t>
      </w:r>
    </w:p>
    <w:p w:rsidR="00642A85" w:rsidRPr="00642A85" w:rsidRDefault="00642A85" w:rsidP="00642A85">
      <w:pPr>
        <w:spacing w:line="360" w:lineRule="auto"/>
        <w:ind w:firstLine="708"/>
        <w:jc w:val="both"/>
        <w:rPr>
          <w:rFonts w:ascii="Arial" w:hAnsi="Arial" w:cs="Arial"/>
          <w:spacing w:val="1"/>
          <w:sz w:val="22"/>
          <w:szCs w:val="22"/>
          <w:shd w:val="clear" w:color="auto" w:fill="FCFCFC"/>
        </w:rPr>
      </w:pPr>
      <w:r w:rsidRPr="00642A85">
        <w:rPr>
          <w:rFonts w:ascii="Arial" w:hAnsi="Arial" w:cs="Arial"/>
          <w:sz w:val="22"/>
          <w:szCs w:val="22"/>
          <w:shd w:val="clear" w:color="auto" w:fill="FFFFFF"/>
        </w:rPr>
        <w:t>Ayrıca farklı genetik geçmişlerin ve stresörlerin gen ifadesi üzerinde eşit olmayan etkilere sahip olmasının da bu duruma yol açabileceği düşünülmüştür.</w:t>
      </w:r>
      <w:r w:rsidRPr="00642A85">
        <w:rPr>
          <w:rFonts w:ascii="Arial" w:hAnsi="Arial" w:cs="Arial"/>
          <w:spacing w:val="1"/>
          <w:sz w:val="22"/>
          <w:szCs w:val="22"/>
          <w:shd w:val="clear" w:color="auto" w:fill="FCFCFC"/>
        </w:rPr>
        <w:t xml:space="preserve"> DEHB ile ilişkisini araştıran ileriki çalışmalarda, let-7d’nin galectin-3 üzerinden nöronal diferansiasyona etkisinin, dopamin reseptörleriyle ilişkisinin ve serum ile BOS veya beyin dokusundaki miR-let-7d düzeyleri arasındaki ilişkinin araştırılmasının konuya ışık tutacağı düşünülmüştür.</w:t>
      </w:r>
    </w:p>
    <w:p w:rsidR="00E10C12" w:rsidRPr="00E10C12" w:rsidRDefault="00E10C12" w:rsidP="00E10C12">
      <w:pPr>
        <w:autoSpaceDE w:val="0"/>
        <w:autoSpaceDN w:val="0"/>
        <w:adjustRightInd w:val="0"/>
        <w:spacing w:line="360" w:lineRule="auto"/>
        <w:ind w:firstLine="708"/>
        <w:jc w:val="both"/>
        <w:rPr>
          <w:rFonts w:ascii="Arial" w:hAnsi="Arial" w:cs="Arial"/>
          <w:sz w:val="22"/>
          <w:szCs w:val="22"/>
        </w:rPr>
      </w:pPr>
      <w:r w:rsidRPr="00E10C12">
        <w:rPr>
          <w:rFonts w:ascii="Arial" w:hAnsi="Arial" w:cs="Arial"/>
          <w:b/>
          <w:sz w:val="22"/>
          <w:szCs w:val="22"/>
        </w:rPr>
        <w:t>miR-124-3p:</w:t>
      </w:r>
      <w:r w:rsidRPr="00E10C12">
        <w:rPr>
          <w:rFonts w:ascii="Arial" w:hAnsi="Arial" w:cs="Arial"/>
          <w:sz w:val="22"/>
          <w:szCs w:val="22"/>
        </w:rPr>
        <w:t xml:space="preserve"> miR-124 erişkin insan beyninde en fazla miktarda eksprese edilen mikroRNA olarak bulunmuştur. İnsan genomundaki 3 bağımsız lokustaki üç genin (MIR124-1, MIR124-2 ve MIR124-3) aynı matür miR-124'ü kodladığı </w:t>
      </w:r>
      <w:r w:rsidRPr="00E10C12">
        <w:rPr>
          <w:rFonts w:ascii="Arial" w:hAnsi="Arial" w:cs="Arial"/>
          <w:sz w:val="22"/>
          <w:szCs w:val="22"/>
        </w:rPr>
        <w:lastRenderedPageBreak/>
        <w:t xml:space="preserve">belirtilmiştir </w:t>
      </w:r>
      <w:r w:rsidR="00BC3BBB" w:rsidRPr="00E10C12">
        <w:rPr>
          <w:rFonts w:ascii="Arial" w:hAnsi="Arial" w:cs="Arial"/>
          <w:sz w:val="22"/>
          <w:szCs w:val="22"/>
        </w:rPr>
        <w:fldChar w:fldCharType="begin" w:fldLock="1"/>
      </w:r>
      <w:r w:rsidRPr="00E10C12">
        <w:rPr>
          <w:rFonts w:ascii="Arial" w:hAnsi="Arial" w:cs="Arial"/>
          <w:sz w:val="22"/>
          <w:szCs w:val="22"/>
        </w:rPr>
        <w:instrText>ADDIN CSL_CITATION { "citationItems" : [ { "id" : "ITEM-1", "itemData" : { "ISSN" : "0960-9822", "PMID" : "12007417", "abstract" : "MicroRNAs (miRNAs) are a new class of noncoding RNAs, which are encoded as short inverted repeats in the genomes of invertebrates and vertebrates. It is believed that miRNAs are modulators of target mRNA translation and stability, although most target mRNAs remain to be identified. Here we describe the identification of 34 novel miRNAs by tissue-specific cloning of approximately 21-nucleotide RNAs from mouse. Almost all identified miRNAs are conserved in the human genome and are also frequently found in nonmammalian vertebrate genomes, such as pufferfish. In heart, liver, or brain, it is found that a single, tissue-specifically expressed miRNA dominates the population of expressed miRNAs and suggests a role for these miRNAs in tissue specification or cell lineage decisions. Finally, a miRNA was identified that appears to be the fruitfly and mammalian ortholog of C. elegans lin-4 stRNA.", "author" : [ { "dropping-particle" : "", "family" : "Lagos-Quintana", "given" : "Mariana", "non-dropping-particle" : "", "parse-names" : false, "suffix" : "" }, { "dropping-particle" : "", "family" : "Rauhut", "given" : "Reinhard", "non-dropping-particle" : "", "parse-names" : false, "suffix" : "" }, { "dropping-particle" : "", "family" : "Yalcin", "given" : "Abdullah", "non-dropping-particle" : "", "parse-names" : false, "suffix" : "" }, { "dropping-particle" : "", "family" : "Meyer", "given" : "Jutta", "non-dropping-particle" : "", "parse-names" : false, "suffix" : "" }, { "dropping-particle" : "", "family" : "Lendeckel", "given" : "Winfried", "non-dropping-particle" : "", "parse-names" : false, "suffix" : "" }, { "dropping-particle" : "", "family" : "Tuschl", "given" : "Thomas", "non-dropping-particle" : "", "parse-names" : false, "suffix" : "" } ], "container-title" : "Current biology : CB", "id" : "ITEM-1", "issue" : "9", "issued" : { "date-parts" : [ [ "2002", "4", "30" ] ] }, "page" : "735-9", "title" : "Identification of tissue-specific microRNAs from mouse.", "type" : "article-journal", "volume" : "12" }, "uris" : [ "http://www.mendeley.com/documents/?uuid=819c6edc-7f54-36e8-9161-b26b20a3aaa8" ] } ], "mendeley" : { "formattedCitation" : "(338)", "plainTextFormattedCitation" : "(338)", "previouslyFormattedCitation" : "(338)" }, "properties" : { "noteIndex" : 60 }, "schema" : "https://github.com/citation-style-language/schema/raw/master/csl-citation.json" }</w:instrText>
      </w:r>
      <w:r w:rsidR="00BC3BBB" w:rsidRPr="00E10C12">
        <w:rPr>
          <w:rFonts w:ascii="Arial" w:hAnsi="Arial" w:cs="Arial"/>
          <w:sz w:val="22"/>
          <w:szCs w:val="22"/>
        </w:rPr>
        <w:fldChar w:fldCharType="separate"/>
      </w:r>
      <w:r w:rsidRPr="00E10C12">
        <w:rPr>
          <w:rFonts w:ascii="Arial" w:hAnsi="Arial" w:cs="Arial"/>
          <w:noProof/>
          <w:sz w:val="22"/>
          <w:szCs w:val="22"/>
        </w:rPr>
        <w:t>(338)</w:t>
      </w:r>
      <w:r w:rsidR="00BC3BBB" w:rsidRPr="00E10C12">
        <w:rPr>
          <w:rFonts w:ascii="Arial" w:hAnsi="Arial" w:cs="Arial"/>
          <w:sz w:val="22"/>
          <w:szCs w:val="22"/>
        </w:rPr>
        <w:fldChar w:fldCharType="end"/>
      </w:r>
      <w:r w:rsidRPr="00E10C12">
        <w:rPr>
          <w:rFonts w:ascii="Arial" w:hAnsi="Arial" w:cs="Arial"/>
          <w:sz w:val="22"/>
          <w:szCs w:val="22"/>
        </w:rPr>
        <w:t xml:space="preserve">. </w:t>
      </w:r>
      <w:r w:rsidRPr="00E10C12">
        <w:rPr>
          <w:rFonts w:ascii="Arial" w:hAnsi="Arial" w:cs="Arial"/>
          <w:color w:val="4F81BD" w:themeColor="accent1"/>
          <w:sz w:val="22"/>
          <w:szCs w:val="22"/>
        </w:rPr>
        <w:t xml:space="preserve"> </w:t>
      </w:r>
      <w:r w:rsidRPr="00E10C12">
        <w:rPr>
          <w:rFonts w:ascii="Arial" w:hAnsi="Arial" w:cs="Arial"/>
          <w:sz w:val="22"/>
          <w:szCs w:val="22"/>
        </w:rPr>
        <w:t>Ekspresyon</w:t>
      </w:r>
      <w:r w:rsidRPr="00E10C12">
        <w:rPr>
          <w:rFonts w:ascii="Arial" w:hAnsi="Arial" w:cs="Arial"/>
          <w:sz w:val="22"/>
          <w:szCs w:val="22"/>
          <w:shd w:val="clear" w:color="auto" w:fill="FFFFFF"/>
        </w:rPr>
        <w:t xml:space="preserve"> profili, hem beyin gelişiminde hem de olgun nöronal fonksiyonlarda rol oynayabileceğini göstermektedir </w:t>
      </w:r>
      <w:r w:rsidR="00BC3BBB" w:rsidRPr="00E10C12">
        <w:rPr>
          <w:rFonts w:ascii="Arial" w:hAnsi="Arial" w:cs="Arial"/>
          <w:sz w:val="22"/>
          <w:szCs w:val="22"/>
          <w:shd w:val="clear" w:color="auto" w:fill="FFFFFF"/>
        </w:rPr>
        <w:fldChar w:fldCharType="begin" w:fldLock="1"/>
      </w:r>
      <w:r w:rsidRPr="00E10C12">
        <w:rPr>
          <w:rFonts w:ascii="Arial" w:hAnsi="Arial" w:cs="Arial"/>
          <w:sz w:val="22"/>
          <w:szCs w:val="22"/>
          <w:shd w:val="clear" w:color="auto" w:fill="FFFFFF"/>
        </w:rPr>
        <w:instrText>ADDIN CSL_CITATION { "citationItems" : [ { "id" : "ITEM-1", "itemData" : { "DOI" : "10.1634/stemcells.2005-0441", "ISBN" : "6175255305", "ISSN" : "10665099", "PMID" : "16357340", "abstract" : "MicroRNAs (miRNAs) are recently discovered small non-coding transcripts with a broad spectrum of functions described mostly in invertebrates. As post-transcriptional regulators of gene expression, miRNAs trigger target mRNA degradation or translational repression. Although hundreds of miRNAs have been cloned from a variety of mammalian tissues and cells and multiple mRNA targets have been predicted, little is known about their functions. So far, a role of miRNA has only been described in hematopoietic, adipocytic, and muscle differentiation; regulation of insulin secretion; and potentially regulation of cancer growth. Here, we describe miRNA expression profiling in mouse embryonic stem (ES) cell- derived neurogenesis in vitro and show that a number of miRNAs are simultaneously co-induced during differentiation of neural progenitor cells to neurons and astrocytes. There was a clear correlation between miRNA expression profiles in ES cell-derived neurogenesis in vitro and in embryonal neurogenesis in vivo. Using both gain-of-function and loss-of-function approaches, we demonstrate that brain-specific miR-124a and miR-9 molecules affect neural lineage differentiation in the ES cell-derived cultures. In addition, we provide evidence that signal transducer and activator of transcription (STAT) 3, a member of the STAT family pathway, is involved in the function of these miRNAs. We conclude that distinct miRNAs play a functional role in the determination of neural fates in ES cell differentiation.", "author" : [ { "dropping-particle" : "", "family" : "Krichevsky", "given" : "Anna M.", "non-dropping-particle" : "", "parse-names" : false, "suffix" : "" }, { "dropping-particle" : "", "family" : "Sonntag", "given" : "Kai-C.", "non-dropping-particle" : "", "parse-names" : false, "suffix" : "" }, { "dropping-particle" : "", "family" : "Isacson", "given" : "Ole", "non-dropping-particle" : "", "parse-names" : false, "suffix" : "" }, { "dropping-particle" : "", "family" : "Kosik", "given" : "Kenneth S.", "non-dropping-particle" : "", "parse-names" : false, "suffix" : "" } ], "container-title" : "Stem Cells", "id" : "ITEM-1", "issue" : "4", "issued" : { "date-parts" : [ [ "2006" ] ] }, "page" : "857-864", "title" : "Specific MicroRNAs Modulate Embryonic Stem Cell-Derived Neurogenesis", "type" : "article-journal", "volume" : "24" }, "uris" : [ "http://www.mendeley.com/documents/?uuid=ee79205b-aae9-4008-ac55-07d518e70a56" ] }, { "id" : "ITEM-2", "itemData" : { "ISSN" : "1355-8382", "PMID" : "13130141", "abstract" : "Several hundred microRNAs (miRNAs) have recently been cloned from a wide range of organisms across phylogeny. Despite the high degree of conservation of miRNAs, their functions in general, and in mammals particularly, are just beginning to be defined. Here we show that an oligonucleotide DNA array can be successfully used for the simultaneous analysis of miRNA expression profiles from tissues or cells. From a subset of miRNAs expressed in the brain we designed an oligonucleotide array spotted with probes specific for 44 mature miRNAs. These arrays demonstrated precise regulation of miRNA expression at mammalian brain developmental epochs. About 20% of the probed miRNAs changed significantly in their expression during normal brain development, and two of them, miR-9 and miR-131, were dysregulated in presenilin-1 null mice exhibiting severe brain developmental defects. Transcripts with regulated expression patterns on the arrays were validated by Northern blots. Additionally, a bioinformatic analysis of developmentally regulated miRNAs suggested potential mRNA targets. The arrays also revealed miRNAs distributed to translating polyribosomes in primary neurons where they are likely to modulate translation. Therefore, oligonucleotide arrays provide a new tool for studying miRNA expression in a variety of biological and pathobiological settings. Creating clusters of coexpressed miRNAs will contribute to understanding their regulation, functions, and discovery of mRNA targets.", "author" : [ { "dropping-particle" : "", "family" : "Krichevsky", "given" : "Anna M", "non-dropping-particle" : "", "parse-names" : false, "suffix" : "" }, { "dropping-particle" : "", "family" : "King", "given" : "Kevin S", "non-dropping-particle" : "", "parse-names" : false, "suffix" : "" }, { "dropping-particle" : "", "family" : "Donahue", "given" : "Christine P", "non-dropping-particle" : "", "parse-names" : false, "suffix" : "" }, { "dropping-particle" : "", "family" : "Khrapko", "given" : "Konstantin", "non-dropping-particle" : "", "parse-names" : false, "suffix" : "" }, { "dropping-particle" : "", "family" : "Kosik", "given" : "Kenneth S", "non-dropping-particle" : "", "parse-names" : false, "suffix" : "" } ], "container-title" : "RNA (New York, N.Y.)", "id" : "ITEM-2", "issue" : "10", "issued" : { "date-parts" : [ [ "2003", "10" ] ] }, "page" : "1274-81", "title" : "A microRNA array reveals extensive regulation of microRNAs during brain development.", "type" : "article-journal", "volume" : "9" }, "uris" : [ "http://www.mendeley.com/documents/?uuid=c0165f79-3a62-3ff5-9256-ddc17b179b63" ] } ], "mendeley" : { "formattedCitation" : "(339,340)", "plainTextFormattedCitation" : "(339,340)", "previouslyFormattedCitation" : "(339,340)" }, "properties" : { "noteIndex" : 60 }, "schema" : "https://github.com/citation-style-language/schema/raw/master/csl-citation.json" }</w:instrText>
      </w:r>
      <w:r w:rsidR="00BC3BBB" w:rsidRPr="00E10C12">
        <w:rPr>
          <w:rFonts w:ascii="Arial" w:hAnsi="Arial" w:cs="Arial"/>
          <w:sz w:val="22"/>
          <w:szCs w:val="22"/>
          <w:shd w:val="clear" w:color="auto" w:fill="FFFFFF"/>
        </w:rPr>
        <w:fldChar w:fldCharType="separate"/>
      </w:r>
      <w:r w:rsidRPr="00E10C12">
        <w:rPr>
          <w:rFonts w:ascii="Arial" w:hAnsi="Arial" w:cs="Arial"/>
          <w:noProof/>
          <w:sz w:val="22"/>
          <w:szCs w:val="22"/>
          <w:shd w:val="clear" w:color="auto" w:fill="FFFFFF"/>
        </w:rPr>
        <w:t>(339,340)</w:t>
      </w:r>
      <w:r w:rsidR="00BC3BBB" w:rsidRPr="00E10C12">
        <w:rPr>
          <w:rFonts w:ascii="Arial" w:hAnsi="Arial" w:cs="Arial"/>
          <w:sz w:val="22"/>
          <w:szCs w:val="22"/>
          <w:shd w:val="clear" w:color="auto" w:fill="FFFFFF"/>
        </w:rPr>
        <w:fldChar w:fldCharType="end"/>
      </w:r>
      <w:r w:rsidRPr="00E10C12">
        <w:rPr>
          <w:rFonts w:ascii="Arial" w:hAnsi="Arial" w:cs="Arial"/>
          <w:sz w:val="22"/>
          <w:szCs w:val="22"/>
          <w:shd w:val="clear" w:color="auto" w:fill="FFFFFF"/>
        </w:rPr>
        <w:t>.</w:t>
      </w:r>
      <w:r w:rsidRPr="00E10C12">
        <w:rPr>
          <w:rFonts w:ascii="Arial" w:hAnsi="Arial" w:cs="Arial"/>
          <w:color w:val="212121"/>
          <w:sz w:val="22"/>
          <w:szCs w:val="22"/>
          <w:shd w:val="clear" w:color="auto" w:fill="FFFFFF"/>
        </w:rPr>
        <w:t xml:space="preserve"> </w:t>
      </w:r>
      <w:r w:rsidRPr="00E10C12">
        <w:rPr>
          <w:rFonts w:ascii="Arial" w:hAnsi="Arial" w:cs="Arial"/>
          <w:sz w:val="22"/>
          <w:szCs w:val="22"/>
        </w:rPr>
        <w:t>Hayvan deneylerinde, gelişen beyin bölgelerinde ve spinal kordda miR-124 etkisiyle</w:t>
      </w:r>
      <w:r w:rsidRPr="00E10C12">
        <w:rPr>
          <w:rFonts w:ascii="Arial" w:hAnsi="Arial" w:cs="Arial"/>
          <w:color w:val="212121"/>
          <w:sz w:val="22"/>
          <w:szCs w:val="22"/>
          <w:shd w:val="clear" w:color="auto" w:fill="FFFFFF"/>
        </w:rPr>
        <w:t xml:space="preserve"> nöronal farklılaşmanın arttığı, hücrenin kendini yenileme işlevinin ve glial diferansiasyonun baskılandığı gösterilmiştir </w:t>
      </w:r>
      <w:r w:rsidR="00BC3BBB" w:rsidRPr="00E10C12">
        <w:rPr>
          <w:rFonts w:ascii="Arial" w:hAnsi="Arial" w:cs="Arial"/>
          <w:color w:val="212121"/>
          <w:sz w:val="22"/>
          <w:szCs w:val="22"/>
          <w:shd w:val="clear" w:color="auto" w:fill="FFFFFF"/>
        </w:rPr>
        <w:fldChar w:fldCharType="begin" w:fldLock="1"/>
      </w:r>
      <w:r w:rsidRPr="00E10C12">
        <w:rPr>
          <w:rFonts w:ascii="Arial" w:hAnsi="Arial" w:cs="Arial"/>
          <w:color w:val="212121"/>
          <w:sz w:val="22"/>
          <w:szCs w:val="22"/>
          <w:shd w:val="clear" w:color="auto" w:fill="FFFFFF"/>
        </w:rPr>
        <w:instrText>ADDIN CSL_CITATION { "citationItems" : [ { "id" : "ITEM-1", "itemData" : { "DOI" : "10.1101/gad.1519207", "ISBN" : "0890-9369 (Print)\\r0890-9369 (Linking)", "ISSN" : "08909369", "PMID" : "17344415", "abstract" : "Neural development is a highly orchestrated process that entails precise control of gene expression. Although microRNAs (miRNAs) have been implicated in fine-tuning gene networks, the roles of individual miRNAs in vertebrate neural development have not been studied in vivo. We investigated the function of the most abundant neuronal miRNA, miR-124, during spinal cord development. Neither inhibition nor overexpression of miR-124 significantly altered the acquisition of neuronal fate, suggesting that miR-124 is unlikely to act as a primary determinant of neuronal differentiation. Two endogenous targets of miR-124, laminin gamma 1 and integrin beta1, were identified, both of which are highly expressed by neural progenitors but repressed upon neuronal differentiation. Thus miR-124 appears to ensure that progenitor genes are post-transcriptionally inhibited in neurons.", "author" : [ { "dropping-particle" : "", "family" : "Cao", "given" : "Xinwei", "non-dropping-particle" : "", "parse-names" : false, "suffix" : "" }, { "dropping-particle" : "", "family" : "Pfaff", "given" : "Samuel L.", "non-dropping-particle" : "", "parse-names" : false, "suffix" : "" }, { "dropping-particle" : "", "family" : "Gage", "given" : "Fred H.", "non-dropping-particle" : "", "parse-names" : false, "suffix" : "" } ], "container-title" : "Genes and Development", "id" : "ITEM-1", "issue" : "5", "issued" : { "date-parts" : [ [ "2007" ] ] }, "page" : "531-536", "title" : "A functional study of miR-124 in the developing neural tube", "type" : "article-journal", "volume" : "21" }, "uris" : [ "http://www.mendeley.com/documents/?uuid=0c851bef-cfca-47b2-84f1-f0c6ed70b55f" ] }, { "id" : "ITEM-2", "itemData" : { "DOI" : "10.1038/nn.2294.miR-124", "author" : [ { "dropping-particle" : "", "family" : "Cheng", "given" : "Li-Chun", "non-dropping-particle" : "", "parse-names" : false, "suffix" : "" }, { "dropping-particle" : "", "family" : "Pastrana", "given" : "Erika", "non-dropping-particle" : "", "parse-names" : false, "suffix" : "" }, { "dropping-particle" : "", "family" : "Tavazoie", "given" : "Masoud", "non-dropping-particle" : "", "parse-names" : false, "suffix" : "" }, { "dropping-particle" : "", "family" : "Doetsch", "given" : "Fiona", "non-dropping-particle" : "", "parse-names" : false, "suffix" : "" } ], "container-title" : "Nature neuroscience", "id" : "ITEM-2", "issue" : "4", "issued" : { "date-parts" : [ [ "2009" ] ] }, "page" : "399-408", "title" : "miR-124 regulates adult neurogenesis in the SVZ stem cell niche", "type" : "article-journal", "volume" : "12" }, "uris" : [ "http://www.mendeley.com/documents/?uuid=3216f540-c23d-4766-bd22-f3e6c30bccf1" ] }, { "id" : "ITEM-3", "itemData" : { "DOI" : "10.1101/gad.1519107", "ISBN" : "10.1101/gad.1519107", "ISSN" : "08909369", "PMID" : "17403776", "abstract" : "Neuronal gene expression is tightly regulated in developing CNS. Here, we demonstrate the anti-neural function of phosphatase SCP1 (small C-terminal domain phosphatase 1) during development. We further show that the neuron-enriched microRNA miR-124 directly targets SCP1-3' untranslated region (UTR) to suppress SCP1 expression. In developing spinal cord, expression of miR-124 and SCP1 is complementary, and miR-124 antagonism phenocopies SCP1 overexpression and vice versa. In P19 cells, miR-124 suppresses SCP1 expression and induces neurogenesis, and SCP1 counteracts this proneural activity of miR-124. Our results suggest that, during CNS development, timely down-regulation of SCP1 is critical for inducing neurogenesis, and miR-124 contributes to this process at least in part by down-regulating SCP1 expression.", "author" : [ { "dropping-particle" : "", "family" : "Visvanathan", "given" : "Jaya", "non-dropping-particle" : "", "parse-names" : false, "suffix" : "" }, { "dropping-particle" : "", "family" : "Lee", "given" : "Seunghee", "non-dropping-particle" : "", "parse-names" : false, "suffix" : "" }, { "dropping-particle" : "", "family" : "Lee", "given" : "Bora", "non-dropping-particle" : "", "parse-names" : false, "suffix" : "" }, { "dropping-particle" : "", "family" : "Lee", "given" : "Jae W.", "non-dropping-particle" : "", "parse-names" : false, "suffix" : "" }, { "dropping-particle" : "", "family" : "Lee", "given" : "Soo Kyung", "non-dropping-particle" : "", "parse-names" : false, "suffix" : "" } ], "container-title" : "Genes and Development", "id" : "ITEM-3", "issue" : "7", "issued" : { "date-parts" : [ [ "2007" ] ] }, "page" : "744-749", "title" : "The microRNA miR-124 antagonizes the anti-neural REST/SCP1 pathway during embryonic CNS development", "type" : "article-journal", "volume" : "21" }, "uris" : [ "http://www.mendeley.com/documents/?uuid=e1016aa2-5da3-4d3c-9bb7-dfd6c612ad85" ] } ], "mendeley" : { "formattedCitation" : "(341\u2013343)", "plainTextFormattedCitation" : "(341\u2013343)", "previouslyFormattedCitation" : "(341\u2013343)" }, "properties" : { "noteIndex" : 60 }, "schema" : "https://github.com/citation-style-language/schema/raw/master/csl-citation.json" }</w:instrText>
      </w:r>
      <w:r w:rsidR="00BC3BBB" w:rsidRPr="00E10C12">
        <w:rPr>
          <w:rFonts w:ascii="Arial" w:hAnsi="Arial" w:cs="Arial"/>
          <w:color w:val="212121"/>
          <w:sz w:val="22"/>
          <w:szCs w:val="22"/>
          <w:shd w:val="clear" w:color="auto" w:fill="FFFFFF"/>
        </w:rPr>
        <w:fldChar w:fldCharType="separate"/>
      </w:r>
      <w:r w:rsidRPr="00E10C12">
        <w:rPr>
          <w:rFonts w:ascii="Arial" w:hAnsi="Arial" w:cs="Arial"/>
          <w:noProof/>
          <w:color w:val="212121"/>
          <w:sz w:val="22"/>
          <w:szCs w:val="22"/>
          <w:shd w:val="clear" w:color="auto" w:fill="FFFFFF"/>
        </w:rPr>
        <w:t>(341–343)</w:t>
      </w:r>
      <w:r w:rsidR="00BC3BBB" w:rsidRPr="00E10C12">
        <w:rPr>
          <w:rFonts w:ascii="Arial" w:hAnsi="Arial" w:cs="Arial"/>
          <w:color w:val="212121"/>
          <w:sz w:val="22"/>
          <w:szCs w:val="22"/>
          <w:shd w:val="clear" w:color="auto" w:fill="FFFFFF"/>
        </w:rPr>
        <w:fldChar w:fldCharType="end"/>
      </w:r>
      <w:r w:rsidRPr="00E10C12">
        <w:rPr>
          <w:rFonts w:ascii="Arial" w:hAnsi="Arial" w:cs="Arial"/>
          <w:color w:val="212121"/>
          <w:sz w:val="22"/>
          <w:szCs w:val="22"/>
          <w:shd w:val="clear" w:color="auto" w:fill="FFFFFF"/>
        </w:rPr>
        <w:t xml:space="preserve">.  </w:t>
      </w:r>
      <w:r w:rsidRPr="00E10C12">
        <w:rPr>
          <w:rFonts w:ascii="Arial" w:hAnsi="Arial" w:cs="Arial"/>
          <w:sz w:val="22"/>
          <w:szCs w:val="22"/>
        </w:rPr>
        <w:t>Ayrıca</w:t>
      </w:r>
      <w:r w:rsidRPr="00E10C12">
        <w:rPr>
          <w:color w:val="1F497D" w:themeColor="text2"/>
          <w:sz w:val="22"/>
          <w:szCs w:val="22"/>
        </w:rPr>
        <w:t xml:space="preserve"> </w:t>
      </w:r>
      <w:r w:rsidRPr="00E10C12">
        <w:rPr>
          <w:rFonts w:ascii="Arial" w:hAnsi="Arial" w:cs="Arial"/>
          <w:color w:val="212121"/>
          <w:sz w:val="22"/>
          <w:szCs w:val="22"/>
          <w:shd w:val="clear" w:color="auto" w:fill="FFFFFF"/>
        </w:rPr>
        <w:t xml:space="preserve">miR-124’ün olgun nöronlarda, nörona spesifik gen ekspresyon profillerini sürdürmek gibi belirgin fonksiyonlara sahip olduğu belirtilmiştir </w:t>
      </w:r>
      <w:r w:rsidR="00BC3BBB" w:rsidRPr="00E10C12">
        <w:rPr>
          <w:rFonts w:ascii="Arial" w:hAnsi="Arial" w:cs="Arial"/>
          <w:color w:val="212121"/>
          <w:sz w:val="22"/>
          <w:szCs w:val="22"/>
          <w:shd w:val="clear" w:color="auto" w:fill="FFFFFF"/>
        </w:rPr>
        <w:fldChar w:fldCharType="begin" w:fldLock="1"/>
      </w:r>
      <w:r w:rsidRPr="00E10C12">
        <w:rPr>
          <w:rFonts w:ascii="Arial" w:hAnsi="Arial" w:cs="Arial"/>
          <w:color w:val="212121"/>
          <w:sz w:val="22"/>
          <w:szCs w:val="22"/>
          <w:shd w:val="clear" w:color="auto" w:fill="FFFFFF"/>
        </w:rPr>
        <w:instrText>ADDIN CSL_CITATION { "citationItems" : [ { "id" : "ITEM-1", "itemData" : { "DOI" : "10.1073/pnas.0511041103", "ISBN" : "0027-8424 (Print)\\r0027-8424 (Linking)", "ISSN" : "0027-8424", "PMID" : "16461918", "abstract" : "MicroRNAs (miRNAs) are implicated in both tissue differentiation and maintenance of tissue identity. In most cases, however, the mechanisms underlying their regulation are not known. One brain-specific miRNA, miR-124a, decreases the levels of hundreds of nonneuronal transcripts, such that its introduction into HeLa cells promotes a neuronal-like mRNA profile. The transcriptional repressor, RE1 silencing transcription factor (REST), has a reciprocal activity, inhibiting the expression of neuronal genes in nonneuronal cells. Here, we show that REST regulates the expression of a family of miRNAs, including brain-specific miR-124a. In nonneuronal cells and neural progenitors, REST inhibits miR-124a expression, allowing the persistence of nonneuronal transcripts. As progenitors differentiate into mature neurons, REST leaves miR-124a gene loci, and nonneuronal transcripts are degraded selectively. Thus, the combined transcriptional and posttranscriptional consequences of REST action maximize the contrast between neuronal and nonneuronal cell phenotypes.", "author" : [ { "dropping-particle" : "", "family" : "Conaco", "given" : "C.", "non-dropping-particle" : "", "parse-names" : false, "suffix" : "" }, { "dropping-particle" : "", "family" : "Otto", "given" : "S.", "non-dropping-particle" : "", "parse-names" : false, "suffix" : "" }, { "dropping-particle" : "", "family" : "Han", "given" : "J.-J.", "non-dropping-particle" : "", "parse-names" : false, "suffix" : "" }, { "dropping-particle" : "", "family" : "Mandel", "given" : "G.", "non-dropping-particle" : "", "parse-names" : false, "suffix" : "" } ], "container-title" : "Proceedings of the National Academy of Sciences", "id" : "ITEM-1", "issue" : "7", "issued" : { "date-parts" : [ [ "2006" ] ] }, "page" : "2422-2427", "title" : "Reciprocal actions of REST and a microRNA promote neuronal identity", "type" : "article-journal", "volume" : "103" }, "uris" : [ "http://www.mendeley.com/documents/?uuid=3312ec8e-5ea5-4ba9-a7c6-98e23d1a20b5" ] } ], "mendeley" : { "formattedCitation" : "(344)", "plainTextFormattedCitation" : "(344)", "previouslyFormattedCitation" : "(344)" }, "properties" : { "noteIndex" : 60 }, "schema" : "https://github.com/citation-style-language/schema/raw/master/csl-citation.json" }</w:instrText>
      </w:r>
      <w:r w:rsidR="00BC3BBB" w:rsidRPr="00E10C12">
        <w:rPr>
          <w:rFonts w:ascii="Arial" w:hAnsi="Arial" w:cs="Arial"/>
          <w:color w:val="212121"/>
          <w:sz w:val="22"/>
          <w:szCs w:val="22"/>
          <w:shd w:val="clear" w:color="auto" w:fill="FFFFFF"/>
        </w:rPr>
        <w:fldChar w:fldCharType="separate"/>
      </w:r>
      <w:r w:rsidRPr="00E10C12">
        <w:rPr>
          <w:rFonts w:ascii="Arial" w:hAnsi="Arial" w:cs="Arial"/>
          <w:noProof/>
          <w:color w:val="212121"/>
          <w:sz w:val="22"/>
          <w:szCs w:val="22"/>
          <w:shd w:val="clear" w:color="auto" w:fill="FFFFFF"/>
        </w:rPr>
        <w:t>(344)</w:t>
      </w:r>
      <w:r w:rsidR="00BC3BBB" w:rsidRPr="00E10C12">
        <w:rPr>
          <w:rFonts w:ascii="Arial" w:hAnsi="Arial" w:cs="Arial"/>
          <w:color w:val="212121"/>
          <w:sz w:val="22"/>
          <w:szCs w:val="22"/>
          <w:shd w:val="clear" w:color="auto" w:fill="FFFFFF"/>
        </w:rPr>
        <w:fldChar w:fldCharType="end"/>
      </w:r>
      <w:r w:rsidRPr="00E10C12">
        <w:rPr>
          <w:rFonts w:ascii="Arial" w:hAnsi="Arial" w:cs="Arial"/>
          <w:color w:val="212121"/>
          <w:sz w:val="22"/>
          <w:szCs w:val="22"/>
          <w:shd w:val="clear" w:color="auto" w:fill="FFFFFF"/>
        </w:rPr>
        <w:t xml:space="preserve">. </w:t>
      </w:r>
      <w:r w:rsidRPr="00E10C12">
        <w:rPr>
          <w:rFonts w:ascii="Arial" w:hAnsi="Arial" w:cs="Arial"/>
          <w:sz w:val="22"/>
          <w:szCs w:val="22"/>
        </w:rPr>
        <w:t xml:space="preserve">Olgun miR-124’ün nörosinyalizasyon ve nöroplastisite ile ilgili çeşitli protein kodlayıcı genlerden BDNF ve DRD4 regülasyonunda değişikliklere neden olduğu saptanmıştır </w:t>
      </w:r>
      <w:r w:rsidR="00BC3BBB" w:rsidRPr="00E10C12">
        <w:rPr>
          <w:rFonts w:ascii="Arial" w:hAnsi="Arial" w:cs="Arial"/>
          <w:sz w:val="22"/>
          <w:szCs w:val="22"/>
        </w:rPr>
        <w:fldChar w:fldCharType="begin" w:fldLock="1"/>
      </w:r>
      <w:r w:rsidRPr="00E10C12">
        <w:rPr>
          <w:rFonts w:ascii="Arial" w:hAnsi="Arial" w:cs="Arial"/>
          <w:sz w:val="22"/>
          <w:szCs w:val="22"/>
        </w:rPr>
        <w:instrText>ADDIN CSL_CITATION { "citationItems" : [ { "id" : "ITEM-1", "itemData" : { "DOI" : "10.1016/j.mcn.2009.08.009", "ISBN" : "1095-9327 (Electronic)\\n1044-7431 (Linking)", "ISSN" : "10447431", "PMID" : "19703567", "abstract" : "MicroRNAs play key regulatory roles in cellular processes including neurogenesis, synapse development and plasticity in the brain. Psychostimulants induces strong neuroadaptive changes through a surfeit of gene regulatory mechanisms leading to addiction. MicroRNA profiling for identifying miRNAs regulating cocaine-induced, plasticity-related genes revealed significant regulation of a set of miRNAs upon cocaine administration, especially let-7d, miR-181a and the brain-specific miR-124. These miRNAs target many genes involved in cocaine addiction. Precursor and mature miRNA quantification by qRT-PCR showed that miR-124 and let-7d are significantly downregulated, whereas miR-181a is induced in the mesolimbic dopaminergic system under chronic cocaine administration. Results were confirmed by in situ hybridization, Northern blots, FISH analysis and RNase protection assay. Using lentiviral-mediated miRNA expression, we show a significant downregulation of BDNF and D3R both at mRNA and protein levels by miR-124 and let-7d, respectively. Our data suggest that miR-124, let-7d and miR-181a may be involved in a complex feedback loop with cocaine-responsive plasticity genes, highlighting the possibility that some miRNAs are key regulators of the reward circuit and may be implicated in addiction. ?? 2009 Elsevier Inc. All rights reserved.", "author" : [ { "dropping-particle" : "", "family" : "Chandrasekar", "given" : "Vijay", "non-dropping-particle" : "", "parse-names" : false, "suffix" : "" }, { "dropping-particle" : "", "family" : "Dreyer", "given" : "Jean L.", "non-dropping-particle" : "", "parse-names" : false, "suffix" : "" } ], "container-title" : "Molecular and Cellular Neuroscience", "id" : "ITEM-1", "issue" : "4", "issued" : { "date-parts" : [ [ "2009" ] ] }, "page" : "350-362", "title" : "microRNAs miR-124, let-7d and miR-181a regulate Cocaine-induced Plasticity", "type" : "article-journal", "volume" : "42" }, "uris" : [ "http://www.mendeley.com/documents/?uuid=a2f28755-9695-4e71-afa9-d63c847558d3" ] }, { "id" : "ITEM-2", "itemData" : { "DOI" : "10.1002/humu.21344", "ISBN" : "1098-1004 (Electronic)\\r1059-7794 (Linking)", "ISSN" : "1098-1004 (Electronic) 1059-7794 (Linking)", "PMID" : "20725930", "abstract" : "MicroRNAs (miRNAs) are a class of nonprotein coding genes with a growing importance in regulatory mechanisms of gene expression related to brain function and plasticity. Considering the relative lack of success of the analysis of variations in candidate protein coding genes and of genome-wide association studies to identify strong risk factors for common psychiatric disorders (PDs), miRNA genes are of particular interest for the field of psychiatric genetics as deregulation of the rate of transcription or translation of a normal gene may be phenotypically similar to disruption of the gene itself. In this article we review the current knowledge on the contribution of miRNAs in basic mechanisms of brain development and plasticity and their possible involvement in the pathogenesis of several PDs. Because future functional and genomic explorations of brain expressed miRNAs, and other types of noncoding RNAs, may identify additional candidate genes and pathways for common PDs, we believe that implementing additional strategies to further elucidate the role of miRNAs in the etiology of common PDs is of great importance.", "author" : [ { "dropping-particle" : "", "family" : "Forero", "given" : "D A", "non-dropping-particle" : "", "parse-names" : false, "suffix" : "" }, { "dropping-particle" : "", "family" : "Ven", "given" : "K", "non-dropping-particle" : "van der", "parse-names" : false, "suffix" : "" }, { "dropping-particle" : "", "family" : "Callaerts", "given" : "P", "non-dropping-particle" : "", "parse-names" : false, "suffix" : "" }, { "dropping-particle" : "", "family" : "Del-Favero", "given" : "J", "non-dropping-particle" : "", "parse-names" : false, "suffix" : "" } ], "container-title" : "Hum Mutat", "id" : "ITEM-2", "issue" : "11", "issued" : { "date-parts" : [ [ "2010" ] ] }, "page" : "1195-1204", "title" : "miRNA genes and the brain: implications for psychiatric disorders", "type" : "article-journal", "volume" : "31" }, "uris" : [ "http://www.mendeley.com/documents/?uuid=8a4f011f-f611-4cc4-99d2-5dc40696a7b1" ] }, { "id" : "ITEM-3", "itemData" : { "DOI" : "10.1038/nmeth.3485", "ISBN" : "doi:10.1038/nmeth.3485", "ISSN" : "1548-7091", "PMID" : "26226356", "author" : [ { "dropping-particle" : "", "family" : "Dweep", "given" : "Harsh", "non-dropping-particle" : "", "parse-names" : false, "suffix" : "" }, { "dropping-particle" : "", "family" : "Gretz", "given" : "Norbert", "non-dropping-particle" : "", "parse-names" : false, "suffix" : "" } ], "container-title" : "Nature Methods", "id" : "ITEM-3", "issue" : "8", "issued" : { "date-parts" : [ [ "2015" ] ] }, "page" : "697-697", "title" : "miRWalk2.0: a comprehensive atlas of microRNA-target interactions", "type" : "article-journal", "volume" : "12" }, "uris" : [ "http://www.mendeley.com/documents/?uuid=19a19e62-aa75-42c6-ab66-5654528a1299" ] } ], "mendeley" : { "formattedCitation" : "(21,345,346)", "plainTextFormattedCitation" : "(21,345,346)", "previouslyFormattedCitation" : "(21,345,346)" }, "properties" : { "noteIndex" : 60 }, "schema" : "https://github.com/citation-style-language/schema/raw/master/csl-citation.json" }</w:instrText>
      </w:r>
      <w:r w:rsidR="00BC3BBB" w:rsidRPr="00E10C12">
        <w:rPr>
          <w:rFonts w:ascii="Arial" w:hAnsi="Arial" w:cs="Arial"/>
          <w:sz w:val="22"/>
          <w:szCs w:val="22"/>
        </w:rPr>
        <w:fldChar w:fldCharType="separate"/>
      </w:r>
      <w:r w:rsidRPr="00E10C12">
        <w:rPr>
          <w:rFonts w:ascii="Arial" w:hAnsi="Arial" w:cs="Arial"/>
          <w:noProof/>
          <w:sz w:val="22"/>
          <w:szCs w:val="22"/>
        </w:rPr>
        <w:t>(21,345,346)</w:t>
      </w:r>
      <w:r w:rsidR="00BC3BBB" w:rsidRPr="00E10C12">
        <w:rPr>
          <w:rFonts w:ascii="Arial" w:hAnsi="Arial" w:cs="Arial"/>
          <w:sz w:val="22"/>
          <w:szCs w:val="22"/>
        </w:rPr>
        <w:fldChar w:fldCharType="end"/>
      </w:r>
      <w:r w:rsidRPr="00E10C12">
        <w:rPr>
          <w:rFonts w:ascii="Arial" w:hAnsi="Arial" w:cs="Arial"/>
          <w:color w:val="4F81BD" w:themeColor="accent1"/>
          <w:sz w:val="22"/>
          <w:szCs w:val="22"/>
        </w:rPr>
        <w:t>.</w:t>
      </w:r>
      <w:r w:rsidRPr="00E10C12">
        <w:rPr>
          <w:rFonts w:ascii="Arial" w:hAnsi="Arial" w:cs="Arial"/>
          <w:sz w:val="22"/>
          <w:szCs w:val="22"/>
        </w:rPr>
        <w:t xml:space="preserve"> DRD4’ün DEHB patogenezinde suçlanan genler arasında olduğu ifade edilmektedir </w:t>
      </w:r>
      <w:r w:rsidR="00BC3BBB" w:rsidRPr="00E10C12">
        <w:rPr>
          <w:rFonts w:ascii="Arial" w:hAnsi="Arial" w:cs="Arial"/>
          <w:sz w:val="22"/>
          <w:szCs w:val="22"/>
        </w:rPr>
        <w:fldChar w:fldCharType="begin" w:fldLock="1"/>
      </w:r>
      <w:r w:rsidRPr="00E10C12">
        <w:rPr>
          <w:rFonts w:ascii="Arial" w:hAnsi="Arial" w:cs="Arial"/>
          <w:sz w:val="22"/>
          <w:szCs w:val="22"/>
        </w:rPr>
        <w:instrText>ADDIN CSL_CITATION { "citationItems" : [ { "id" : "ITEM-1", "itemData" : { "DOI" : "10.1016/S0014-2999(00)00562-8", "ISBN" : "0014-2999", "ISSN" : "0014-2999", "abstract" : "Dopamine is an important neurotransmitter involved in motor control, endocrine function, reward, cognition and emotion. Dopamine receptors belong to the superfamily of G protein-coupled receptors and play a crucial role in mediating the diverse effects of dopamine in the central nervous system (CNS). The dopaminergic system is implicated in disorders such as Parkinson's disease and addiction, and is the major target for antipsychotic medication in the treatment of schizophrenia. Molecular cloning studies a decade ago revealed the existence of five different dopamine receptor subtypes in mammalian species. While the presence of the abundantly expressed dopamine D(1) and D(2) receptors was predicted from biochemical and pharmacological work, the cloning of the less abundant dopamine D(3), D(4) and D(5) receptors was not anticipated. The identification of these novel dopamine receptor family members posed a challenge with respect to determining their precise physiological roles and identifying their potential as therapeutic targets for dopamine-related disorders. This review is focused on the accomplishments of one decade of research on the dopamine D(4) receptor. New insights into the biochemistry of the dopamine D(4) receptor include the discovery that this G protein-coupled receptor can directly interact with SH3 domains. At the physiological level, converging evidence from transgenic mouse work and human genetic studies suggests that this receptor has a role in exploratory behavior and as a genetic susceptibility factor for attention deficit hyperactivity disorder.", "author" : [ { "dropping-particle" : "", "family" : "Oak", "given" : "J N", "non-dropping-particle" : "", "parse-names" : false, "suffix" : "" }, { "dropping-particle" : "", "family" : "Oldenhof", "given" : "J", "non-dropping-particle" : "", "parse-names" : false, "suffix" : "" }, { "dropping-particle" : "", "family" : "Tol", "given" : "H H M", "non-dropping-particle" : "Van", "parse-names" : false, "suffix" : "" } ], "container-title" : "European Journal of Pharmacology", "id" : "ITEM-1", "issue" : "1-3", "issued" : { "date-parts" : [ [ "2000" ] ] }, "page" : "303-327", "title" : "The dopamine D4 receptor: one decade of research", "type" : "article-journal", "volume" : "405" }, "uris" : [ "http://www.mendeley.com/documents/?uuid=78b41e1a-844a-457b-ac08-6d40f9ea0dab" ] }, { "id" : "ITEM-2", "itemData" : { "DOI" : "10.1126/science.301.5630.160", "ISSN" : "0036-8075", "PMID" : "12855786", "author" : [ { "dropping-particle" : "", "family" : "Brown", "given" : "K.", "non-dropping-particle" : "", "parse-names" : false, "suffix" : "" } ], "container-title" : "Science", "id" : "ITEM-2", "issue" : "5630", "issued" : { "date-parts" : [ [ "2003", "7", "11" ] ] }, "page" : "160-161", "title" : "NEUROSCIENCE: New Attention to ADHD Genes", "type" : "article-journal", "volume" : "301" }, "uris" : [ "http://www.mendeley.com/documents/?uuid=3f8b6ace-1554-3211-87d1-e437694f636e" ] } ], "mendeley" : { "formattedCitation" : "(347,348)", "plainTextFormattedCitation" : "(347,348)", "previouslyFormattedCitation" : "(347,348)" }, "properties" : { "noteIndex" : 60 }, "schema" : "https://github.com/citation-style-language/schema/raw/master/csl-citation.json" }</w:instrText>
      </w:r>
      <w:r w:rsidR="00BC3BBB" w:rsidRPr="00E10C12">
        <w:rPr>
          <w:rFonts w:ascii="Arial" w:hAnsi="Arial" w:cs="Arial"/>
          <w:sz w:val="22"/>
          <w:szCs w:val="22"/>
        </w:rPr>
        <w:fldChar w:fldCharType="separate"/>
      </w:r>
      <w:r w:rsidRPr="00E10C12">
        <w:rPr>
          <w:rFonts w:ascii="Arial" w:hAnsi="Arial" w:cs="Arial"/>
          <w:noProof/>
          <w:sz w:val="22"/>
          <w:szCs w:val="22"/>
        </w:rPr>
        <w:t>(347,348)</w:t>
      </w:r>
      <w:r w:rsidR="00BC3BBB" w:rsidRPr="00E10C12">
        <w:rPr>
          <w:rFonts w:ascii="Arial" w:hAnsi="Arial" w:cs="Arial"/>
          <w:sz w:val="22"/>
          <w:szCs w:val="22"/>
        </w:rPr>
        <w:fldChar w:fldCharType="end"/>
      </w:r>
      <w:r w:rsidRPr="00E10C12">
        <w:rPr>
          <w:rFonts w:ascii="Arial" w:hAnsi="Arial" w:cs="Arial"/>
          <w:sz w:val="22"/>
          <w:szCs w:val="22"/>
        </w:rPr>
        <w:t>. Bilgimiz dahilinde, çalışmamız şu ana kadar miR-124 ile DEHB arasındaki ilişkiyi sorgulayan tek çalışmadır. Fakat çalışmamızda DRD4 ekspresyon düzeylerini saptayabilmek mümkün olmamıştır. DEHB ve miR-124 arasındaki ilişkiyi inceleyen yeni çalışmalarda beraberinde DRD4 ekspresyon düzeylerinin de ölçülmesinin gerekli olacağı düşünülmüştür.</w:t>
      </w:r>
    </w:p>
    <w:p w:rsidR="00E10C12" w:rsidRPr="00E10C12" w:rsidRDefault="00C60153" w:rsidP="00E10C12">
      <w:pPr>
        <w:autoSpaceDE w:val="0"/>
        <w:autoSpaceDN w:val="0"/>
        <w:adjustRightInd w:val="0"/>
        <w:spacing w:line="360" w:lineRule="auto"/>
        <w:ind w:firstLine="708"/>
        <w:jc w:val="both"/>
        <w:rPr>
          <w:rFonts w:ascii="Arial" w:hAnsi="Arial" w:cs="Arial"/>
          <w:color w:val="1F497D" w:themeColor="text2"/>
          <w:sz w:val="22"/>
          <w:szCs w:val="22"/>
        </w:rPr>
      </w:pPr>
      <w:r>
        <w:rPr>
          <w:rFonts w:ascii="Arial" w:hAnsi="Arial" w:cs="Arial"/>
          <w:color w:val="1F497D" w:themeColor="text2"/>
        </w:rPr>
        <w:t xml:space="preserve"> </w:t>
      </w:r>
      <w:r w:rsidR="00E10C12" w:rsidRPr="00E10C12">
        <w:rPr>
          <w:rFonts w:ascii="Arial" w:hAnsi="Arial" w:cs="Arial"/>
          <w:sz w:val="22"/>
          <w:szCs w:val="22"/>
        </w:rPr>
        <w:t xml:space="preserve">MDB hastalarıyla yapılan bir çalışmada periferik kanda miR-124 kontrol grubuna göre yüksek saptanmıştır. Yazarlar bu durumu, miR-124 ekspresyonundaki artışın BDNF’yi dovnregüle ettiği, bu yüzden MDB patogenezine katkıda bulunduğu şeklinde açıklamışlardır </w:t>
      </w:r>
      <w:r w:rsidR="00BC3BBB" w:rsidRPr="00E10C12">
        <w:rPr>
          <w:rFonts w:ascii="Arial" w:hAnsi="Arial" w:cs="Arial"/>
          <w:sz w:val="22"/>
          <w:szCs w:val="22"/>
        </w:rPr>
        <w:fldChar w:fldCharType="begin" w:fldLock="1"/>
      </w:r>
      <w:r w:rsidR="00E10C12" w:rsidRPr="00E10C12">
        <w:rPr>
          <w:rFonts w:ascii="Arial" w:hAnsi="Arial" w:cs="Arial"/>
          <w:sz w:val="22"/>
          <w:szCs w:val="22"/>
        </w:rPr>
        <w:instrText>ADDIN CSL_CITATION { "citationItems" : [ { "id" : "ITEM-1", "itemData" : { "DOI" : "10.1016/j.jpsychires.2016.03.015", "ISSN" : "18791379", "PMID" : "27078210", "abstract" : "Recently, increasing evidence has indicated that dysfunction of microRNA-124 (miR-124) might be involved in the pathophysiology and treatment of major depressive disorder (MDD) in some animal models of depression. However, the role of miR-124 in MDD patients remains unclear. The objective of this study was to investigate whether the miR-124 expression levels in peripheral blood mononuclear cells (PBMCs) were associated with MDD and to evaluate the effects of antidepressant treatment on miR-124 levels. Quantitative real-time PCR was applied to detect miR-124 expression in 32 pre- and post-treatment MDD patients and 30 healthy controls. Our results showed that expression levels of miR-124 from PBMCs in MDD patients were significantly higher than those in healthy controls (p &lt; 0.001), and that the area under the curve of miR-124 from ROC analysis was 0.762 with a sensitivity of 83.33% and specificity of 66.67% in distinguishing MDD patients from healthy controls. In addition, the expression levels of miR-124 were significantly down-regulated after eight weeks of treatment (p &lt; 0.001). MiRNA target gene prediction and functional annotation analysis indicated that altered miR-124 was involved in affecting some important biological processes and pathways related to MDD. These results provide new information on miR-124 involvement in the biological alterations of MDD and in antidepressant effects.", "author" : [ { "dropping-particle" : "", "family" : "He", "given" : "Shen", "non-dropping-particle" : "", "parse-names" : false, "suffix" : "" }, { "dropping-particle" : "", "family" : "Liu", "given" : "Xiaohua", "non-dropping-particle" : "", "parse-names" : false, "suffix" : "" }, { "dropping-particle" : "", "family" : "Jiang", "given" : "Kaida", "non-dropping-particle" : "", "parse-names" : false, "suffix" : "" }, { "dropping-particle" : "", "family" : "Peng", "given" : "Daihui", "non-dropping-particle" : "", "parse-names" : false, "suffix" : "" }, { "dropping-particle" : "", "family" : "Hong", "given" : "Wu", "non-dropping-particle" : "", "parse-names" : false, "suffix" : "" }, { "dropping-particle" : "", "family" : "Fang", "given" : "Yiru", "non-dropping-particle" : "", "parse-names" : false, "suffix" : "" }, { "dropping-particle" : "", "family" : "Qian", "given" : "Yiping", "non-dropping-particle" : "", "parse-names" : false, "suffix" : "" }, { "dropping-particle" : "", "family" : "Yu", "given" : "Shunying", "non-dropping-particle" : "", "parse-names" : false, "suffix" : "" }, { "dropping-particle" : "", "family" : "Li", "given" : "Huafang", "non-dropping-particle" : "", "parse-names" : false, "suffix" : "" } ], "container-title" : "Journal of Psychiatric Research", "id" : "ITEM-1", "issued" : { "date-parts" : [ [ "2016" ] ] }, "page" : "65-71", "title" : "Alterations of microRNA-124 expression in peripheral blood mononuclear cells in pre- and post-treatment patients with major depressive disorder", "type" : "article-journal", "volume" : "78" }, "uris" : [ "http://www.mendeley.com/documents/?uuid=cbdf72bb-176f-4232-b025-ff45faa174e8" ] } ], "mendeley" : { "formattedCitation" : "(258)", "plainTextFormattedCitation" : "(258)", "previouslyFormattedCitation" : "(258)" }, "properties" : { "noteIndex" : 60 }, "schema" : "https://github.com/citation-style-language/schema/raw/master/csl-citation.json" }</w:instrText>
      </w:r>
      <w:r w:rsidR="00BC3BBB" w:rsidRPr="00E10C12">
        <w:rPr>
          <w:rFonts w:ascii="Arial" w:hAnsi="Arial" w:cs="Arial"/>
          <w:sz w:val="22"/>
          <w:szCs w:val="22"/>
        </w:rPr>
        <w:fldChar w:fldCharType="separate"/>
      </w:r>
      <w:r w:rsidR="00E10C12" w:rsidRPr="00E10C12">
        <w:rPr>
          <w:rFonts w:ascii="Arial" w:hAnsi="Arial" w:cs="Arial"/>
          <w:noProof/>
          <w:sz w:val="22"/>
          <w:szCs w:val="22"/>
        </w:rPr>
        <w:t>(258)</w:t>
      </w:r>
      <w:r w:rsidR="00BC3BBB" w:rsidRPr="00E10C12">
        <w:rPr>
          <w:rFonts w:ascii="Arial" w:hAnsi="Arial" w:cs="Arial"/>
          <w:sz w:val="22"/>
          <w:szCs w:val="22"/>
        </w:rPr>
        <w:fldChar w:fldCharType="end"/>
      </w:r>
      <w:r w:rsidR="00E10C12" w:rsidRPr="00E10C12">
        <w:rPr>
          <w:rFonts w:ascii="Arial" w:hAnsi="Arial" w:cs="Arial"/>
          <w:sz w:val="22"/>
          <w:szCs w:val="22"/>
        </w:rPr>
        <w:t xml:space="preserve">. </w:t>
      </w:r>
      <w:r w:rsidR="00E10C12" w:rsidRPr="00E10C12">
        <w:rPr>
          <w:rFonts w:ascii="Arial" w:hAnsi="Arial" w:cs="Arial"/>
          <w:sz w:val="22"/>
          <w:szCs w:val="22"/>
          <w:shd w:val="clear" w:color="auto" w:fill="FFFFFF"/>
        </w:rPr>
        <w:t xml:space="preserve">BDNF’nin ayrıca orta beyin dopaminerjik nöronlarının hayatta kalması ve farklılaşmasında anahtar rol oynadıkları saptanmıştır </w:t>
      </w:r>
      <w:r w:rsidR="00BC3BBB" w:rsidRPr="00E10C12">
        <w:rPr>
          <w:rFonts w:ascii="Arial" w:hAnsi="Arial" w:cs="Arial"/>
          <w:sz w:val="22"/>
          <w:szCs w:val="22"/>
          <w:shd w:val="clear" w:color="auto" w:fill="FFFFFF"/>
        </w:rPr>
        <w:fldChar w:fldCharType="begin" w:fldLock="1"/>
      </w:r>
      <w:r w:rsidR="00E10C12" w:rsidRPr="00E10C12">
        <w:rPr>
          <w:rFonts w:ascii="Arial" w:hAnsi="Arial" w:cs="Arial"/>
          <w:sz w:val="22"/>
          <w:szCs w:val="22"/>
          <w:shd w:val="clear" w:color="auto" w:fill="FFFFFF"/>
        </w:rPr>
        <w:instrText>ADDIN CSL_CITATION { "citationItems" : [ { "id" : "ITEM-1", "itemData" : { "DOI" : "10.1073/pnas.88.3.961", "ISBN" : "0027-8424 (Print)", "ISSN" : "0027-8424", "PMID" : "1992488", "abstract" : "Recombinant human brain-derived neurotrophic factor (rhBDNF) and neurotrophin 3 (rhNT-3), two recently cloned molecules closely related to nerve growth factor (NGF), were produced from human cDNA expressed in human embryonic kidney cells. The recombinant proteins were tested in cultures of dissociated fetal rat brain cells containing basal forebrain cholinergic neurons. rhBDNF stimulated the differentiation of the cholinergic neurons, similar to NGF, which is well established as a neurotrophic factor for these cells. However, rhBDNF was particularly effective during the first few days in vitro, whereas the stimulatory action of rhNGF was more pronounced later in the development of the cultures. This finding indicates the existence of different time periods of responsiveness of the cholinergic neurons to BDNF and NGF. To assess the selectivity of the effect of rhBDNF on cholinergic neurons, its actions were tested in cultures of ventral mesencephalon containing dopaminergic cells. In contrast to NGF, which does not affect central dopaminergic neurons, rhBDNF increased dopamine uptake activity. The findings suggest that BDNF stimulates survival or differentiation of other cells besides the cholinergic neurons.", "author" : [ { "dropping-particle" : "", "family" : "Kn\u00fcsel", "given" : "B", "non-dropping-particle" : "", "parse-names" : false, "suffix" : "" }, { "dropping-particle" : "", "family" : "Winslow", "given" : "J W", "non-dropping-particle" : "", "parse-names" : false, "suffix" : "" }, { "dropping-particle" : "", "family" : "Rosenthal", "given" : "A", "non-dropping-particle" : "", "parse-names" : false, "suffix" : "" }, { "dropping-particle" : "", "family" : "Burton", "given" : "L E", "non-dropping-particle" : "", "parse-names" : false, "suffix" : "" }, { "dropping-particle" : "", "family" : "Seid", "given" : "D P", "non-dropping-particle" : "", "parse-names" : false, "suffix" : "" }, { "dropping-particle" : "", "family" : "Nikolics", "given" : "K", "non-dropping-particle" : "", "parse-names" : false, "suffix" : "" }, { "dropping-particle" : "", "family" : "Hefti", "given" : "F", "non-dropping-particle" : "", "parse-names" : false, "suffix" : "" } ], "container-title" : "Proceedings of the National Academy of Sciences of the United States of America", "id" : "ITEM-1", "issue" : "3", "issued" : { "date-parts" : [ [ "1991" ] ] }, "page" : "961-5", "title" : "Promotion of central cholinergic and dopaminergic neuron differentiation by brain-derived neurotrophic factor but not neurotrophin 3.", "type" : "article-journal", "volume" : "88" }, "uris" : [ "http://www.mendeley.com/documents/?uuid=ac3b9a1e-f528-4ebd-b93b-697b0e8c7e28" ] } ], "mendeley" : { "formattedCitation" : "(349)", "plainTextFormattedCitation" : "(349)", "previouslyFormattedCitation" : "(349)" }, "properties" : { "noteIndex" : 60 }, "schema" : "https://github.com/citation-style-language/schema/raw/master/csl-citation.json" }</w:instrText>
      </w:r>
      <w:r w:rsidR="00BC3BBB" w:rsidRPr="00E10C12">
        <w:rPr>
          <w:rFonts w:ascii="Arial" w:hAnsi="Arial" w:cs="Arial"/>
          <w:sz w:val="22"/>
          <w:szCs w:val="22"/>
          <w:shd w:val="clear" w:color="auto" w:fill="FFFFFF"/>
        </w:rPr>
        <w:fldChar w:fldCharType="separate"/>
      </w:r>
      <w:r w:rsidR="00E10C12" w:rsidRPr="00E10C12">
        <w:rPr>
          <w:rFonts w:ascii="Arial" w:hAnsi="Arial" w:cs="Arial"/>
          <w:noProof/>
          <w:sz w:val="22"/>
          <w:szCs w:val="22"/>
          <w:shd w:val="clear" w:color="auto" w:fill="FFFFFF"/>
        </w:rPr>
        <w:t>(349)</w:t>
      </w:r>
      <w:r w:rsidR="00BC3BBB" w:rsidRPr="00E10C12">
        <w:rPr>
          <w:rFonts w:ascii="Arial" w:hAnsi="Arial" w:cs="Arial"/>
          <w:sz w:val="22"/>
          <w:szCs w:val="22"/>
          <w:shd w:val="clear" w:color="auto" w:fill="FFFFFF"/>
        </w:rPr>
        <w:fldChar w:fldCharType="end"/>
      </w:r>
      <w:r w:rsidR="00E10C12" w:rsidRPr="00E10C12">
        <w:rPr>
          <w:rFonts w:ascii="Arial" w:hAnsi="Arial" w:cs="Arial"/>
          <w:sz w:val="22"/>
          <w:szCs w:val="22"/>
          <w:shd w:val="clear" w:color="auto" w:fill="FFFFFF"/>
        </w:rPr>
        <w:t>.</w:t>
      </w:r>
      <w:r w:rsidR="00E10C12" w:rsidRPr="00E10C12">
        <w:rPr>
          <w:rFonts w:ascii="Arial" w:hAnsi="Arial" w:cs="Arial"/>
          <w:color w:val="4F81BD" w:themeColor="accent1"/>
          <w:sz w:val="22"/>
          <w:szCs w:val="22"/>
        </w:rPr>
        <w:t xml:space="preserve"> </w:t>
      </w:r>
      <w:r w:rsidR="00E10C12" w:rsidRPr="00E10C12">
        <w:rPr>
          <w:rFonts w:ascii="Arial" w:hAnsi="Arial" w:cs="Arial"/>
          <w:sz w:val="22"/>
          <w:szCs w:val="22"/>
        </w:rPr>
        <w:t xml:space="preserve">BDNF yolaklarındaki bozuklukların orta beyinde dopaminerjik disfonksiyona sebep olarak DEHB’de rol oynayabileceği ifade edilmiştir </w:t>
      </w:r>
      <w:r w:rsidR="00BC3BBB" w:rsidRPr="00E10C12">
        <w:rPr>
          <w:rFonts w:ascii="Arial" w:hAnsi="Arial" w:cs="Arial"/>
          <w:sz w:val="22"/>
          <w:szCs w:val="22"/>
        </w:rPr>
        <w:fldChar w:fldCharType="begin" w:fldLock="1"/>
      </w:r>
      <w:r w:rsidR="00E10C12" w:rsidRPr="00E10C12">
        <w:rPr>
          <w:rFonts w:ascii="Arial" w:hAnsi="Arial" w:cs="Arial"/>
          <w:sz w:val="22"/>
          <w:szCs w:val="22"/>
        </w:rPr>
        <w:instrText>ADDIN CSL_CITATION { "citationItems" : [ { "id" : "ITEM-1", "itemData" : { "DOI" : "10.1007/s12035-014-8956-6", "ISSN" : "15591182", "PMID" : "25354496", "abstract" : "Brain-derived neurotrophic factor (BDNF) is a major neurotrophin in the central nervous system that plays a critical role in the physiological brain functions via its two independent receptors: tropomyosin-related kinase B (TrkB) and p75, especially in the neurodevelopment. Disrupting of BDNF and its downstream signals has been found in many neuropsychological diseases, including attention-deficit hyperactivity disorder (ADHD), a common mental disorder which is prevalent in childhood. Understanding the physiological functions of BDNF during neural development and its potential relationship with ADHD will help us to elucidate the possible mechanisms of ADHD and to develop therapeutic approaches for this disease. In this review, we summarized the important literatures for the physiological functions of BDNF in the neurodevelopment. We also performed an association study on the functional genetic variation of BDNF and ADHD by a case-control study in the Chinese mainland population and revealed the potential correlation between BDNF and ADHD which needs further research to confirm.", "author" : [ { "dropping-particle" : "", "family" : "Liu", "given" : "De Yi", "non-dropping-particle" : "", "parse-names" : false, "suffix" : "" }, { "dropping-particle" : "", "family" : "Shen", "given" : "Xue Mei", "non-dropping-particle" : "", "parse-names" : false, "suffix" : "" }, { "dropping-particle" : "", "family" : "Yuan", "given" : "Fang Fen", "non-dropping-particle" : "", "parse-names" : false, "suffix" : "" }, { "dropping-particle" : "", "family" : "Guo", "given" : "Ou Yang", "non-dropping-particle" : "", "parse-names" : false, "suffix" : "" }, { "dropping-particle" : "", "family" : "Zhong", "given" : "Yan", "non-dropping-particle" : "", "parse-names" : false, "suffix" : "" }, { "dropping-particle" : "", "family" : "Chen", "given" : "Jian Guo", "non-dropping-particle" : "", "parse-names" : false, "suffix" : "" }, { "dropping-particle" : "", "family" : "Zhu", "given" : "Ling Qiang", "non-dropping-particle" : "", "parse-names" : false, "suffix" : "" }, { "dropping-particle" : "", "family" : "Wu", "given" : "Jing", "non-dropping-particle" : "", "parse-names" : false, "suffix" : "" } ], "container-title" : "Molecular Neurobiology", "id" : "ITEM-1", "issue" : "3", "issued" : { "date-parts" : [ [ "2015" ] ] }, "page" : "1467-1476", "title" : "The Physiology of BDNF and Its Relationship with ADHD", "type" : "article-journal", "volume" : "52" }, "uris" : [ "http://www.mendeley.com/documents/?uuid=801c7661-d937-4bcf-af5c-7fd8225fff7c" ] }, { "id" : "ITEM-2", "itemData" : { "ISBN" : "0306-9877", "PMID" : "16919891", "abstract" : "Attention-deficit hyperactivity disorder (ADHD) is a common childhood psychiatric disorder. Despite intensive research efforts, the aetiology of ADHD remains unknown. Current evidence suggests that the aetiology of ADHD is heterogeneous, comprising of multiple factors. Recently, it has been proposed that brain-derived neurotrophic factor (BDNF), a member of the neurotrophic factor family, may be implicated in the pathogenesis of ADHD. This hypothesis is supported by recent genetic studies in ADHD. Drawing on findings from studies into the drugs for ADHD relating to central BDNF expression, hyperactivity in BDNF knockout mice, BDNF effects in midbrain dopaminergic function and the close association between BDNF and the dopamine transporter (an important molecule for ADHD pathogenesis), it is proposed here that decreased central BDNF, particularly in the midbrain region, may play an important role in the pathogenesis ADHD. This hypothesis may have some implications for clinical findings in ADHD (for example, the co-morbidity between ADHD and major depression), and provide a new direction for the development of medication for ADHD treatment.", "author" : [ { "dropping-particle" : "", "family" : "Tsai", "given" : "S J", "non-dropping-particle" : "", "parse-names" : false, "suffix" : "" } ], "container-title" : "Medical hypotheses", "id" : "ITEM-2", "issue" : "4", "issued" : { "date-parts" : [ [ "2007" ] ] }, "page" : "896-899", "title" : "Attention-deficit hyperactivity disorder may be associated with decreased central brain-derived neurotrophic factor activity: Clinical and therapeutic implications", "type" : "article-journal", "volume" : "68" }, "uris" : [ "http://www.mendeley.com/documents/?uuid=e0def984-7c15-4b0f-a0d0-cd81c2959f43" ] } ], "mendeley" : { "formattedCitation" : "(350,351)", "plainTextFormattedCitation" : "(350,351)", "previouslyFormattedCitation" : "(350,351)" }, "properties" : { "noteIndex" : 60 }, "schema" : "https://github.com/citation-style-language/schema/raw/master/csl-citation.json" }</w:instrText>
      </w:r>
      <w:r w:rsidR="00BC3BBB" w:rsidRPr="00E10C12">
        <w:rPr>
          <w:rFonts w:ascii="Arial" w:hAnsi="Arial" w:cs="Arial"/>
          <w:sz w:val="22"/>
          <w:szCs w:val="22"/>
        </w:rPr>
        <w:fldChar w:fldCharType="separate"/>
      </w:r>
      <w:r w:rsidR="00E10C12" w:rsidRPr="00E10C12">
        <w:rPr>
          <w:rFonts w:ascii="Arial" w:hAnsi="Arial" w:cs="Arial"/>
          <w:noProof/>
          <w:sz w:val="22"/>
          <w:szCs w:val="22"/>
        </w:rPr>
        <w:t>(350,351)</w:t>
      </w:r>
      <w:r w:rsidR="00BC3BBB" w:rsidRPr="00E10C12">
        <w:rPr>
          <w:rFonts w:ascii="Arial" w:hAnsi="Arial" w:cs="Arial"/>
          <w:sz w:val="22"/>
          <w:szCs w:val="22"/>
        </w:rPr>
        <w:fldChar w:fldCharType="end"/>
      </w:r>
      <w:r w:rsidR="00E10C12" w:rsidRPr="00E10C12">
        <w:rPr>
          <w:rFonts w:ascii="Arial" w:hAnsi="Arial" w:cs="Arial"/>
          <w:sz w:val="22"/>
          <w:szCs w:val="22"/>
        </w:rPr>
        <w:t>.</w:t>
      </w:r>
      <w:r w:rsidR="00E10C12" w:rsidRPr="00E10C12">
        <w:rPr>
          <w:rFonts w:ascii="Arial" w:hAnsi="Arial" w:cs="Arial"/>
          <w:sz w:val="22"/>
          <w:szCs w:val="22"/>
          <w:shd w:val="clear" w:color="auto" w:fill="FFFFFF"/>
        </w:rPr>
        <w:t xml:space="preserve"> </w:t>
      </w:r>
      <w:r w:rsidR="00E10C12" w:rsidRPr="00E10C12">
        <w:rPr>
          <w:rFonts w:ascii="Arial" w:hAnsi="Arial" w:cs="Arial"/>
          <w:sz w:val="22"/>
          <w:szCs w:val="22"/>
        </w:rPr>
        <w:t>Bunlara ek olarak</w:t>
      </w:r>
      <w:r w:rsidR="00E10C12" w:rsidRPr="00E10C12">
        <w:rPr>
          <w:rFonts w:ascii="Arial" w:hAnsi="Arial" w:cs="Arial"/>
          <w:color w:val="1F497D" w:themeColor="text2"/>
          <w:sz w:val="22"/>
          <w:szCs w:val="22"/>
          <w:shd w:val="clear" w:color="auto" w:fill="F7FBFE"/>
        </w:rPr>
        <w:t xml:space="preserve"> </w:t>
      </w:r>
      <w:r w:rsidR="00E10C12" w:rsidRPr="00E10C12">
        <w:rPr>
          <w:rFonts w:ascii="Arial" w:hAnsi="Arial" w:cs="Arial"/>
          <w:sz w:val="22"/>
          <w:szCs w:val="22"/>
        </w:rPr>
        <w:t xml:space="preserve">Bahi ve ark. yaptıkları çalışmada sosyal stresin hipokampusta miR-124a düzeylerini arttırarak BDNF’yi azalttığı bunun depresyon benzeri davranışlara neden olduğu, </w:t>
      </w:r>
      <w:r w:rsidR="00E10C12" w:rsidRPr="00E10C12">
        <w:rPr>
          <w:rFonts w:ascii="Arial" w:hAnsi="Arial" w:cs="Arial"/>
          <w:i/>
          <w:sz w:val="22"/>
          <w:szCs w:val="22"/>
        </w:rPr>
        <w:t>miR124a-sessizleştiricilerinin</w:t>
      </w:r>
      <w:r w:rsidR="00E10C12" w:rsidRPr="00E10C12">
        <w:rPr>
          <w:rFonts w:ascii="Arial" w:hAnsi="Arial" w:cs="Arial"/>
          <w:sz w:val="22"/>
          <w:szCs w:val="22"/>
        </w:rPr>
        <w:t xml:space="preserve"> ekspresyonundaki artışın ise bu depresif bulguları düzelttiğini belirtmişlerdir </w:t>
      </w:r>
      <w:r w:rsidR="00BC3BBB" w:rsidRPr="00E10C12">
        <w:rPr>
          <w:rFonts w:ascii="Arial" w:hAnsi="Arial" w:cs="Arial"/>
          <w:sz w:val="22"/>
          <w:szCs w:val="22"/>
        </w:rPr>
        <w:fldChar w:fldCharType="begin" w:fldLock="1"/>
      </w:r>
      <w:r w:rsidR="00E10C12" w:rsidRPr="00E10C12">
        <w:rPr>
          <w:rFonts w:ascii="Arial" w:hAnsi="Arial" w:cs="Arial"/>
          <w:sz w:val="22"/>
          <w:szCs w:val="22"/>
        </w:rPr>
        <w:instrText>ADDIN CSL_CITATION { "citationItems" : [ { "id" : "ITEM-1", "itemData" : { "DOI" : "10.1016/j.psyneuen.2014.04.009", "ISBN" : "1873-3360 (Electronic)\\r0306-4530 (Linking)", "ISSN" : "18733360", "PMID" : "24882160", "abstract" : "Several lines of evidences suggest that the brain-derived neutrophic factor (BDNF) is implicated in the pathophysiology of depression. However, the molecular mechanisms are not fully understood. In the current study we aimed to investigate how genetic modulation of BDNF in the hippocampus using microRNa124a (miR124a)-expressing lentiviral vectors (LV) might affect depression-like behavior in adult rats. For this purpose, we assessed the expression level of miR124a and its direct target BDNF in the hippocampus and the cortex after 21-days exposure to social defeat stress. Results demonstrated that miR124a was up-regulated in the hippocampus but not in the cortex. In contrast, and as expected, BDNF transcripts were down-regulated. In a different set of experiments, male Wistar rats received bilateral intra-hippocampal or intra-cortical infusions of BDNF- and miR124a-expressing lentiviral vectors and depression-like behavior was assessed after 21-days social defeat stress using the novelty suppressed feeding, the sucrose preference and the forced swim tests. The results indicated that miR124a overexpression exacerbated depression-like behavior. However, an anti-depressant like effect was observed when BDNF or miR124a-silencers (siR124a) were injected into the hippocampus. Importantly, when expressed into the cortex, LV-miR124a, LV-siR124a and LV-BDNF had no effect on depression. Our findings indicate that hippocampal miR124a and its direct target BDNF play an important role in depression-like behavior. Taken together, the current results reveal, for the first time, a potential molecular regulation of miR124a on BDNF, and the pronounced behavioral consequences of this regulation shed light on the mechanisms underlying BDNF anti-depressant potential. \u00a9 2014 Elsevier Ltd.", "author" : [ { "dropping-particle" : "", "family" : "Bahi", "given" : "Amine", "non-dropping-particle" : "", "parse-names" : false, "suffix" : "" }, { "dropping-particle" : "", "family" : "Chandrasekar", "given" : "Vijay", "non-dropping-particle" : "", "parse-names" : false, "suffix" : "" }, { "dropping-particle" : "", "family" : "Dreyer", "given" : "Jean Luc", "non-dropping-particle" : "", "parse-names" : false, "suffix" : "" } ], "container-title" : "Psychoneuroendocrinology", "id" : "ITEM-1", "issued" : { "date-parts" : [ [ "2014" ] ] }, "page" : "78-87", "title" : "Selective lentiviral-mediated suppression of microRNA124a in the hippocampus evokes antidepressants-like effects in rats", "type" : "article-journal", "volume" : "46" }, "uris" : [ "http://www.mendeley.com/documents/?uuid=67949f36-ba3d-4f5c-ae9c-24e37914c5d3" ] } ], "mendeley" : { "formattedCitation" : "(352)", "plainTextFormattedCitation" : "(352)", "previouslyFormattedCitation" : "(352)" }, "properties" : { "noteIndex" : 60 }, "schema" : "https://github.com/citation-style-language/schema/raw/master/csl-citation.json" }</w:instrText>
      </w:r>
      <w:r w:rsidR="00BC3BBB" w:rsidRPr="00E10C12">
        <w:rPr>
          <w:rFonts w:ascii="Arial" w:hAnsi="Arial" w:cs="Arial"/>
          <w:sz w:val="22"/>
          <w:szCs w:val="22"/>
        </w:rPr>
        <w:fldChar w:fldCharType="separate"/>
      </w:r>
      <w:r w:rsidR="00E10C12" w:rsidRPr="00E10C12">
        <w:rPr>
          <w:rFonts w:ascii="Arial" w:hAnsi="Arial" w:cs="Arial"/>
          <w:noProof/>
          <w:sz w:val="22"/>
          <w:szCs w:val="22"/>
        </w:rPr>
        <w:t>(352)</w:t>
      </w:r>
      <w:r w:rsidR="00BC3BBB" w:rsidRPr="00E10C12">
        <w:rPr>
          <w:rFonts w:ascii="Arial" w:hAnsi="Arial" w:cs="Arial"/>
          <w:sz w:val="22"/>
          <w:szCs w:val="22"/>
        </w:rPr>
        <w:fldChar w:fldCharType="end"/>
      </w:r>
      <w:r w:rsidR="00E10C12" w:rsidRPr="00E10C12">
        <w:rPr>
          <w:rFonts w:ascii="Arial" w:hAnsi="Arial" w:cs="Arial"/>
          <w:sz w:val="22"/>
          <w:szCs w:val="22"/>
        </w:rPr>
        <w:t>.</w:t>
      </w:r>
      <w:r w:rsidR="00E10C12" w:rsidRPr="00E10C12">
        <w:rPr>
          <w:rFonts w:ascii="Arial" w:hAnsi="Arial" w:cs="Arial"/>
          <w:color w:val="4F81BD" w:themeColor="accent1"/>
          <w:sz w:val="22"/>
          <w:szCs w:val="22"/>
        </w:rPr>
        <w:t xml:space="preserve">  </w:t>
      </w:r>
      <w:r w:rsidR="00E10C12" w:rsidRPr="00E10C12">
        <w:rPr>
          <w:rFonts w:ascii="Arial" w:hAnsi="Arial" w:cs="Arial"/>
          <w:sz w:val="22"/>
          <w:szCs w:val="22"/>
        </w:rPr>
        <w:t xml:space="preserve">Başka bir çalışmada ise </w:t>
      </w:r>
      <w:r w:rsidR="00E10C12" w:rsidRPr="00E10C12">
        <w:rPr>
          <w:rFonts w:ascii="Arial" w:hAnsi="Arial" w:cs="Arial"/>
          <w:color w:val="212121"/>
          <w:sz w:val="22"/>
          <w:szCs w:val="22"/>
          <w:shd w:val="clear" w:color="auto" w:fill="FFFFFF"/>
        </w:rPr>
        <w:t xml:space="preserve">erken yaşam stresinin hipokampüsteki birçok miRNA'nın </w:t>
      </w:r>
      <w:r w:rsidR="00E10C12" w:rsidRPr="00E10C12">
        <w:rPr>
          <w:rFonts w:ascii="Arial" w:hAnsi="Arial" w:cs="Arial"/>
          <w:sz w:val="22"/>
          <w:szCs w:val="22"/>
          <w:shd w:val="clear" w:color="auto" w:fill="FFFFFF"/>
        </w:rPr>
        <w:t>ekspresyonunu etkiledi</w:t>
      </w:r>
      <w:r w:rsidR="00E10C12" w:rsidRPr="00E10C12">
        <w:rPr>
          <w:rFonts w:ascii="Arial" w:hAnsi="Arial" w:cs="Arial"/>
          <w:sz w:val="22"/>
          <w:szCs w:val="22"/>
        </w:rPr>
        <w:t xml:space="preserve">ği bulgulanmıştır </w:t>
      </w:r>
      <w:r w:rsidR="00BC3BBB" w:rsidRPr="00E10C12">
        <w:rPr>
          <w:rFonts w:ascii="Arial" w:hAnsi="Arial" w:cs="Arial"/>
          <w:sz w:val="22"/>
          <w:szCs w:val="22"/>
        </w:rPr>
        <w:fldChar w:fldCharType="begin" w:fldLock="1"/>
      </w:r>
      <w:r w:rsidR="00E10C12" w:rsidRPr="00E10C12">
        <w:rPr>
          <w:rFonts w:ascii="Arial" w:hAnsi="Arial" w:cs="Arial"/>
          <w:sz w:val="22"/>
          <w:szCs w:val="22"/>
        </w:rPr>
        <w:instrText>ADDIN CSL_CITATION { "citationItems" : [ { "id" : "ITEM-1", "itemData" : { "DOI" : "10.1017/S1461145713000448", "ISBN" : "1469-5111", "ISSN" : "1461-1457", "PMID" : "23684180", "abstract" : "Early-life stress is a main contributory factor to the onset of depression. Treatments remain inadequate and as such, a large unmet medical need for novel therapeutics remains. Impeding advancement is the poor understanding of the molecular pathology. microRNAs (miRNAs) are novel regulators of gene expression. A paucity of information regarding their role in depressive pathology and antidepressant action remains. This study investigated changes to hippocampal miRNA levels induced via early-life stress in Sprague-Dawley rats and whether antidepressant treatments could reverse these changes. Investigated were the selective serotonin reuptake inhibitor fluoxetine, the rapid acting N-methyl-d-aspartate receptor antagonist ketamine and electroconvulsive shock therapy (ECT). Microarray analysis revealed early-life stress affected the expression of multiple hippocampal miRNAs. Antidepressant treatments reversed some of these effects including a stress-induced change to miR-451. Ketamine and ECT possessed the highest number of common targets suggesting convergence on common pathways. Interestingly all three treatments possessed miR-598-5p as a common target. This demonstrates that changes to hippocampal miRNA expression may represent an important component of stress-induced pathology and antidepressant action may reverse these.", "author" : [ { "dropping-particle" : "", "family" : "O'Connor", "given" : "Richard M.", "non-dropping-particle" : "", "parse-names" : false, "suffix" : "" }, { "dropping-particle" : "", "family" : "Grenham", "given" : "Susan", "non-dropping-particle" : "", "parse-names" : false, "suffix" : "" }, { "dropping-particle" : "", "family" : "Dinan", "given" : "Timothy G.", "non-dropping-particle" : "", "parse-names" : false, "suffix" : "" }, { "dropping-particle" : "", "family" : "Cryan", "given" : "John F.", "non-dropping-particle" : "", "parse-names" : false, "suffix" : "" } ], "container-title" : "The International Journal of Neuropsychopharmacology", "id" : "ITEM-1", "issue" : "08", "issued" : { "date-parts" : [ [ "2013" ] ] }, "page" : "1885-1892", "title" : "microRNAs as novel antidepressant targets: converging effects of ketamine and electroconvulsive shock therapy in the rat hippocampus", "type" : "article-journal", "volume" : "16" }, "uris" : [ "http://www.mendeley.com/documents/?uuid=9b38cd4a-85db-45dc-a65c-31fbe3eb62cb" ] } ], "mendeley" : { "formattedCitation" : "(353)", "plainTextFormattedCitation" : "(353)", "previouslyFormattedCitation" : "(353)" }, "properties" : { "noteIndex" : 60 }, "schema" : "https://github.com/citation-style-language/schema/raw/master/csl-citation.json" }</w:instrText>
      </w:r>
      <w:r w:rsidR="00BC3BBB" w:rsidRPr="00E10C12">
        <w:rPr>
          <w:rFonts w:ascii="Arial" w:hAnsi="Arial" w:cs="Arial"/>
          <w:sz w:val="22"/>
          <w:szCs w:val="22"/>
        </w:rPr>
        <w:fldChar w:fldCharType="separate"/>
      </w:r>
      <w:r w:rsidR="00E10C12" w:rsidRPr="00E10C12">
        <w:rPr>
          <w:rFonts w:ascii="Arial" w:hAnsi="Arial" w:cs="Arial"/>
          <w:noProof/>
          <w:sz w:val="22"/>
          <w:szCs w:val="22"/>
        </w:rPr>
        <w:t>(353)</w:t>
      </w:r>
      <w:r w:rsidR="00BC3BBB" w:rsidRPr="00E10C12">
        <w:rPr>
          <w:rFonts w:ascii="Arial" w:hAnsi="Arial" w:cs="Arial"/>
          <w:sz w:val="22"/>
          <w:szCs w:val="22"/>
        </w:rPr>
        <w:fldChar w:fldCharType="end"/>
      </w:r>
      <w:r w:rsidR="00E10C12" w:rsidRPr="00E10C12">
        <w:rPr>
          <w:rFonts w:ascii="Arial" w:hAnsi="Arial" w:cs="Arial"/>
          <w:sz w:val="22"/>
          <w:szCs w:val="22"/>
        </w:rPr>
        <w:t xml:space="preserve">. Erken yaşam stresinin DEHB etyopatogenezine katkısı olduğu düşünülmektedir </w:t>
      </w:r>
      <w:r w:rsidR="00BC3BBB" w:rsidRPr="00E10C12">
        <w:rPr>
          <w:rFonts w:ascii="Arial" w:hAnsi="Arial" w:cs="Arial"/>
          <w:sz w:val="22"/>
          <w:szCs w:val="22"/>
        </w:rPr>
        <w:fldChar w:fldCharType="begin" w:fldLock="1"/>
      </w:r>
      <w:r w:rsidR="00E10C12" w:rsidRPr="00E10C12">
        <w:rPr>
          <w:rFonts w:ascii="Arial" w:hAnsi="Arial" w:cs="Arial"/>
          <w:sz w:val="22"/>
          <w:szCs w:val="22"/>
        </w:rPr>
        <w:instrText>ADDIN CSL_CITATION { "citationItems" : [ { "id" : "ITEM-1", "itemData" : { "DOI" : "10.1111/cch.12139", "ISBN" : "0305-1862", "ISSN" : "03051862", "abstract" : "Attention-deficit hyperactivity disorder ( ADHD) is a complex disorder that can affect individuals across the lifespan. It is associated with substantial heterogeneity in terms of aetiology, clinical presentation and treatment outcome and is the subject of extensive research. Because of this, it can be difficult for clinicians to stay up to date with the most relevant findings and know how best to respond to parents' questions and concerns about the disorder and interventions. This is a narrative review that aims to summarize key findings from recent research into ADHD and its treatment that clinicians can share with families in order to increase their knowledge about ADHD and intervention options. ADHD develops as a result of complex interplay between interdependent genetic and non-genetic factors. The disorder is associated with substantial impairments in functioning and poor long-term outcomes. Pharmacological and non-pharmacological treatment options are available for symptom management and to improve function, but functioning outcomes often fail to normalize in children with ADHD. Despite extensive advances in understanding this complex disorder, it is clear that there is still a long way to go. In particular, we address the need for future non-pharmacological interventions to be more specifically targeted for ADHD symptoms and its commonly associated functioning deficits in order to ensure the best long-term outcomes for children with ADHD. [ABSTRACT FROM AUTHOR]", "author" : [ { "dropping-particle" : "", "family" : "Tarver", "given" : "J", "non-dropping-particle" : "", "parse-names" : false, "suffix" : "" }, { "dropping-particle" : "", "family" : "Daley", "given" : "D", "non-dropping-particle" : "", "parse-names" : false, "suffix" : "" }, { "dropping-particle" : "", "family" : "Sayal", "given" : "K", "non-dropping-particle" : "", "parse-names" : false, "suffix" : "" } ], "container-title" : "Child: Care, Health &amp; Development", "id" : "ITEM-1", "issue" : "6", "issued" : { "date-parts" : [ [ "2014" ] ] }, "page" : "762-774", "title" : "Attention-deficit hyperactivity disorder ( ADHD): an updated review of the essential facts.", "type" : "article-journal", "volume" : "40" }, "uris" : [ "http://www.mendeley.com/documents/?uuid=a435d2a9-aedb-4690-8342-390436c404f0" ] }, { "id" : "ITEM-2", "itemData" : { "DOI" : "10.1192/bjp.179.2.97", "ISBN" : "0007-1250", "ISSN" : "00071250", "PMID" : "11483469", "abstract" : "Examined the behavioural patterns that are specifically associated with institutional privation. A group of 165 children adopted from Romania before the age of 42 months were compared at 4 years and 6 years with 52 non-deprived UK children adopted in infancy. Dysfunction was assessed for 7 domains of functioning. The groups were compared on which, and how many, domains were impaired. Attachment problems, inattention/overactivity, quasi-autistic features and cognitive impairment were associated with institutional privation, but emotional difficulties, poor peer relationships and conduct problems were not. Nevertheless, 1/5 of children who spent the longest time in institutions showed normal functioning. It is concluded that attachment disorder behaviours, inattention/overactivity and quasi-autistic behaviour constitute institutional privation patterns. (PsycINFO Database Record (c) 2009 APA, all rights reserved).", "author" : [ { "dropping-particle" : "", "family" : "Rutter", "given" : "M. L.", "non-dropping-particle" : "", "parse-names" : false, "suffix" : "" }, { "dropping-particle" : "", "family" : "Kreppner", "given" : "J. M.", "non-dropping-particle" : "", "parse-names" : false, "suffix" : "" }, { "dropping-particle" : "", "family" : "O'Connor", "given" : "T. G.", "non-dropping-particle" : "", "parse-names" : false, "suffix" : "" } ], "container-title" : "British Journal of Psychiatry", "id" : "ITEM-2", "issue" : "AUG.", "issued" : { "date-parts" : [ [ "2001" ] ] }, "page" : "97-103", "title" : "Specificity and heterogeneity in children's responses to profound institutional privation", "type" : "article-journal", "volume" : "179" }, "uris" : [ "http://www.mendeley.com/documents/?uuid=ad7fae58-c383-4815-a1a9-b991327fe85d" ] } ], "mendeley" : { "formattedCitation" : "(68,99)", "plainTextFormattedCitation" : "(68,99)", "previouslyFormattedCitation" : "(66,97)" }, "properties" : { "noteIndex" : 60 }, "schema" : "https://github.com/citation-style-language/schema/raw/master/csl-citation.json" }</w:instrText>
      </w:r>
      <w:r w:rsidR="00BC3BBB" w:rsidRPr="00E10C12">
        <w:rPr>
          <w:rFonts w:ascii="Arial" w:hAnsi="Arial" w:cs="Arial"/>
          <w:sz w:val="22"/>
          <w:szCs w:val="22"/>
        </w:rPr>
        <w:fldChar w:fldCharType="separate"/>
      </w:r>
      <w:r w:rsidR="00E10C12" w:rsidRPr="00E10C12">
        <w:rPr>
          <w:rFonts w:ascii="Arial" w:hAnsi="Arial" w:cs="Arial"/>
          <w:noProof/>
          <w:sz w:val="22"/>
          <w:szCs w:val="22"/>
        </w:rPr>
        <w:t>(68,99)</w:t>
      </w:r>
      <w:r w:rsidR="00BC3BBB" w:rsidRPr="00E10C12">
        <w:rPr>
          <w:rFonts w:ascii="Arial" w:hAnsi="Arial" w:cs="Arial"/>
          <w:sz w:val="22"/>
          <w:szCs w:val="22"/>
        </w:rPr>
        <w:fldChar w:fldCharType="end"/>
      </w:r>
      <w:r w:rsidR="00E10C12" w:rsidRPr="00E10C12">
        <w:rPr>
          <w:rFonts w:ascii="Arial" w:hAnsi="Arial" w:cs="Arial"/>
          <w:sz w:val="22"/>
          <w:szCs w:val="22"/>
        </w:rPr>
        <w:t>. miR</w:t>
      </w:r>
      <w:r w:rsidR="00E10C12" w:rsidRPr="00E10C12">
        <w:rPr>
          <w:rFonts w:ascii="Arial" w:hAnsi="Arial" w:cs="Arial"/>
          <w:color w:val="212121"/>
          <w:sz w:val="22"/>
          <w:szCs w:val="22"/>
          <w:shd w:val="clear" w:color="auto" w:fill="FFFFFF"/>
        </w:rPr>
        <w:t xml:space="preserve">-124'ün dovnregülasyonunun, AMPA reseptör kompozisyonunda düzensizliğe neden olarak sosyal işlevsellikte bozulmayla ilişkili olduğu saptanmıştır </w:t>
      </w:r>
      <w:r w:rsidR="00BC3BBB" w:rsidRPr="00E10C12">
        <w:rPr>
          <w:rFonts w:ascii="Arial" w:hAnsi="Arial" w:cs="Arial"/>
          <w:color w:val="212121"/>
          <w:sz w:val="22"/>
          <w:szCs w:val="22"/>
          <w:shd w:val="clear" w:color="auto" w:fill="FFFFFF"/>
        </w:rPr>
        <w:fldChar w:fldCharType="begin" w:fldLock="1"/>
      </w:r>
      <w:r w:rsidR="00E10C12" w:rsidRPr="00E10C12">
        <w:rPr>
          <w:rFonts w:ascii="Arial" w:hAnsi="Arial" w:cs="Arial"/>
          <w:color w:val="212121"/>
          <w:sz w:val="22"/>
          <w:szCs w:val="22"/>
          <w:shd w:val="clear" w:color="auto" w:fill="FFFFFF"/>
        </w:rPr>
        <w:instrText>ADDIN CSL_CITATION { "citationItems" : [ { "id" : "ITEM-1", "itemData" : { "DOI" : "10.1038/nm.3717", "ISBN" : "1546-170X (Electronic)\\r1078-8956 (Linking)", "ISSN" : "1546-170X", "PMID" : "25401692", "abstract" : "Neurodegenerative diseases, such as frontotemporal dementia (FTD), are often associated with behavioral deficits, but the underlying anatomical and molecular causes remain poorly understood. Here we show that forebrain-specific expression of FTD-associated mutant CHMP2B in mice causes several age-dependent neurodegenerative phenotypes, including social behavioral impairments. The social deficits were accompanied by a change in AMPA receptor (AMPAR) composition, leading to an imbalance between Ca(2+)-permeable and Ca(2+)-impermeable AMPARs. Expression of most AMPAR subunits was regulated by the brain-enriched microRNA miR-124, whose abundance was markedly decreased in the superficial layers of the cerebral cortex of mice expressing the mutant CHMP2B. We found similar changes in miR-124 and AMPAR levels in the frontal cortex and induced pluripotent stem cell-derived neurons from subjects with behavioral variant FTD. Moreover, ectopic miR-124 expression in the medial prefrontal cortex of mutant mice decreased AMPAR levels and partially rescued behavioral deficits. Knockdown of the AMPAR subunit Gria2 also alleviated social impairments. Our results identify a previously undescribed mechanism involving miR-124 and AMPARs in regulating social behavior in FTD and suggest a potential therapeutic avenue.", "author" : [ { "dropping-particle" : "", "family" : "Gascon", "given" : "Eduardo", "non-dropping-particle" : "", "parse-names" : false, "suffix" : "" }, { "dropping-particle" : "", "family" : "Lynch", "given" : "Kelleen", "non-dropping-particle" : "", "parse-names" : false, "suffix" : "" }, { "dropping-particle" : "", "family" : "Ruan", "given" : "Hongyu", "non-dropping-particle" : "", "parse-names" : false, "suffix" : "" }, { "dropping-particle" : "", "family" : "Almeida", "given" : "Sandra", "non-dropping-particle" : "", "parse-names" : false, "suffix" : "" }, { "dropping-particle" : "", "family" : "Verheyden", "given" : "Jamie M", "non-dropping-particle" : "", "parse-names" : false, "suffix" : "" }, { "dropping-particle" : "", "family" : "Seeley", "given" : "William W", "non-dropping-particle" : "", "parse-names" : false, "suffix" : "" }, { "dropping-particle" : "", "family" : "Dickson", "given" : "Dennis W", "non-dropping-particle" : "", "parse-names" : false, "suffix" : "" }, { "dropping-particle" : "", "family" : "Petrucelli", "given" : "Leonard", "non-dropping-particle" : "", "parse-names" : false, "suffix" : "" }, { "dropping-particle" : "", "family" : "Sun", "given" : "Danqiong", "non-dropping-particle" : "", "parse-names" : false, "suffix" : "" }, { "dropping-particle" : "", "family" : "Jiao", "given" : "Jian", "non-dropping-particle" : "", "parse-names" : false, "suffix" : "" }, { "dropping-particle" : "", "family" : "Zhou", "given" : "Hongru", "non-dropping-particle" : "", "parse-names" : false, "suffix" : "" }, { "dropping-particle" : "", "family" : "Jakovcevski", "given" : "Mira", "non-dropping-particle" : "", "parse-names" : false, "suffix" : "" }, { "dropping-particle" : "", "family" : "Akbarian", "given" : "Schahram", "non-dropping-particle" : "", "parse-names" : false, "suffix" : "" }, { "dropping-particle" : "", "family" : "Yao", "given" : "Wei-Dong", "non-dropping-particle" : "", "parse-names" : false, "suffix" : "" }, { "dropping-particle" : "", "family" : "Gao", "given" : "Fen-Biao", "non-dropping-particle" : "", "parse-names" : false, "suffix" : "" } ], "container-title" : "Nature medicine", "id" : "ITEM-1", "issue" : "12", "issued" : { "date-parts" : [ [ "2014" ] ] }, "page" : "1444-51", "title" : "Alterations in microRNA-124 and AMPA receptors contribute to social behavioral deficits in frontotemporal dementia.", "type" : "article-journal", "volume" : "20" }, "uris" : [ "http://www.mendeley.com/documents/?uuid=906b3d73-c456-441c-ab27-c0b4fa0a7e24" ] } ], "mendeley" : { "formattedCitation" : "(257)", "plainTextFormattedCitation" : "(257)", "previouslyFormattedCitation" : "(257)" }, "properties" : { "noteIndex" : 60 }, "schema" : "https://github.com/citation-style-language/schema/raw/master/csl-citation.json" }</w:instrText>
      </w:r>
      <w:r w:rsidR="00BC3BBB" w:rsidRPr="00E10C12">
        <w:rPr>
          <w:rFonts w:ascii="Arial" w:hAnsi="Arial" w:cs="Arial"/>
          <w:color w:val="212121"/>
          <w:sz w:val="22"/>
          <w:szCs w:val="22"/>
          <w:shd w:val="clear" w:color="auto" w:fill="FFFFFF"/>
        </w:rPr>
        <w:fldChar w:fldCharType="separate"/>
      </w:r>
      <w:r w:rsidR="00E10C12" w:rsidRPr="00E10C12">
        <w:rPr>
          <w:rFonts w:ascii="Arial" w:hAnsi="Arial" w:cs="Arial"/>
          <w:noProof/>
          <w:color w:val="212121"/>
          <w:sz w:val="22"/>
          <w:szCs w:val="22"/>
          <w:shd w:val="clear" w:color="auto" w:fill="FFFFFF"/>
        </w:rPr>
        <w:t>(257)</w:t>
      </w:r>
      <w:r w:rsidR="00BC3BBB" w:rsidRPr="00E10C12">
        <w:rPr>
          <w:rFonts w:ascii="Arial" w:hAnsi="Arial" w:cs="Arial"/>
          <w:color w:val="212121"/>
          <w:sz w:val="22"/>
          <w:szCs w:val="22"/>
          <w:shd w:val="clear" w:color="auto" w:fill="FFFFFF"/>
        </w:rPr>
        <w:fldChar w:fldCharType="end"/>
      </w:r>
      <w:r w:rsidR="00E10C12" w:rsidRPr="00E10C12">
        <w:rPr>
          <w:rFonts w:ascii="Arial" w:hAnsi="Arial" w:cs="Arial"/>
          <w:color w:val="212121"/>
          <w:sz w:val="22"/>
          <w:szCs w:val="22"/>
          <w:shd w:val="clear" w:color="auto" w:fill="FFFFFF"/>
        </w:rPr>
        <w:t xml:space="preserve">. </w:t>
      </w:r>
      <w:r w:rsidR="00E10C12" w:rsidRPr="00E10C12">
        <w:rPr>
          <w:rFonts w:ascii="Arial" w:hAnsi="Arial" w:cs="Arial"/>
          <w:sz w:val="22"/>
          <w:szCs w:val="22"/>
          <w:shd w:val="clear" w:color="auto" w:fill="FFFFFF"/>
        </w:rPr>
        <w:t xml:space="preserve">Sosyal işlevsellikte bozulma DEHB’de sık gözlenen klinik bir durumdur. </w:t>
      </w:r>
      <w:r w:rsidR="00E10C12" w:rsidRPr="00E10C12">
        <w:rPr>
          <w:rFonts w:ascii="Arial" w:hAnsi="Arial" w:cs="Arial"/>
          <w:color w:val="212121"/>
          <w:sz w:val="22"/>
          <w:szCs w:val="22"/>
          <w:shd w:val="clear" w:color="auto" w:fill="FFFFFF"/>
        </w:rPr>
        <w:t>Ek olarak h</w:t>
      </w:r>
      <w:r w:rsidR="00E10C12" w:rsidRPr="00E10C12">
        <w:rPr>
          <w:rFonts w:ascii="Arial" w:hAnsi="Arial" w:cs="Arial"/>
          <w:sz w:val="22"/>
          <w:szCs w:val="22"/>
          <w:shd w:val="clear" w:color="auto" w:fill="FFFFFF"/>
        </w:rPr>
        <w:t xml:space="preserve">enüz bulguları ön hazırlık niteliğinde olsa da, bir çalışmada </w:t>
      </w:r>
      <w:r w:rsidR="00BC3BBB" w:rsidRPr="00E10C12">
        <w:rPr>
          <w:rFonts w:ascii="Arial" w:hAnsi="Arial" w:cs="Arial"/>
          <w:sz w:val="22"/>
          <w:szCs w:val="22"/>
          <w:shd w:val="clear" w:color="auto" w:fill="FFFFFF"/>
        </w:rPr>
        <w:fldChar w:fldCharType="begin" w:fldLock="1"/>
      </w:r>
      <w:r w:rsidR="00E10C12" w:rsidRPr="00E10C12">
        <w:rPr>
          <w:rFonts w:ascii="Arial" w:hAnsi="Arial" w:cs="Arial"/>
          <w:sz w:val="22"/>
          <w:szCs w:val="22"/>
          <w:shd w:val="clear" w:color="auto" w:fill="FFFFFF"/>
        </w:rPr>
        <w:instrText>ADDIN CSL_CITATION { "citationItems" : [ { "id" : "ITEM-1", "itemData" : { "DOI" : "10.1016/j.euroneuro.2012.12.002", "ISBN" : "1873-7862 (Electronic)\\r0924-977X (Linking)", "ISSN" : "0924977X", "PMID" : "23332465", "abstract" : "Single nucleotide polymorphisms (SNPs) in 3' untranslated regions (3' UTRs) of genes may affect miRNA binding to messenger RNA and contribute to the risk of disease. Whether the SNPs that modify miRNA binding in the 3' UTR are involved in schizophrenia-related genes remains unclear. We selected 803 SNPs from the 3' UTRs of 425 candidate genes for schizophrenia. The potential target SNPs were recognized by Gibbs free energy of miRNA binding. Some SNPs were associated in the literature with schizophrenia or other related neurological diseases. A case-control study of nine SNPs not previously reported as significant in any disease was carried out in a Chinese-Han cohort. We found that rs3219151 (C&gt;T, GABRA6) showed significant decreased risk for schizophrenia (OR=0.8121, p=0.008, padjust=0.03). Further, two putative target SNPs, rs165599 (COMT) and rs10759 (RGS4) reported in several references previously, were selected for analysis by luciferase assay to determine their modification to miRNA binding. We found that miR-124 showed significantly repressed 3' UTR binding to RGS4 mRNA from the rs10759-C allele (p&lt;0.05). Our results suggest that rs3219151 of GABRA6 was associated significantly to decrease the risk of schizophrenia, rs10759 (RGS4) was possible to increase the risk of schizophrenia by miRNA altering the binding of miRNAs to their targets influencing susceptibility to schizophrenia. \u00a9 2013 Elsevier B.V. and ECNP.", "author" : [ { "dropping-particle" : "", "family" : "Gong", "given" : "Yunguo", "non-dropping-particle" : "", "parse-names" : false, "suffix" : "" }, { "dropping-particle" : "", "family" : "Wu", "given" : "Chao N.", "non-dropping-particle" : "", "parse-names" : false, "suffix" : "" }, { "dropping-particle" : "", "family" : "Xu", "given" : "Jiawei", "non-dropping-particle" : "", "parse-names" : false, "suffix" : "" }, { "dropping-particle" : "", "family" : "Feng", "given" : "Guoyin", "non-dropping-particle" : "", "parse-names" : false, "suffix" : "" }, { "dropping-particle" : "", "family" : "Xing", "given" : "Q. H.", "non-dropping-particle" : "", "parse-names" : false, "suffix" : "" }, { "dropping-particle" : "", "family" : "Fu", "given" : "W.", "non-dropping-particle" : "", "parse-names" : false, "suffix" : "" }, { "dropping-particle" : "", "family" : "Li", "given" : "Chong", "non-dropping-particle" : "", "parse-names" : false, "suffix" : "" }, { "dropping-particle" : "", "family" : "He", "given" : "L.", "non-dropping-particle" : "", "parse-names" : false, "suffix" : "" }, { "dropping-particle" : "", "family" : "Zhao", "given" : "X. Z.", "non-dropping-particle" : "", "parse-names" : false, "suffix" : "" } ], "container-title" : "European Neuropsychopharmacology", "id" : "ITEM-1", "issue" : "10", "issued" : { "date-parts" : [ [ "2013" ] ] }, "page" : "1182-1189", "title" : "Polymorphisms in microRNA target sites influence susceptibility to schizophrenia by altering the binding of miRNAs to their targets", "type" : "article-journal", "volume" : "23" }, "uris" : [ "http://www.mendeley.com/documents/?uuid=3c0653e5-6bcc-4dca-b669-d8b4d23e8efe" ] } ], "mendeley" : { "formattedCitation" : "(354)", "plainTextFormattedCitation" : "(354)", "previouslyFormattedCitation" : "(354)" }, "properties" : { "noteIndex" : 60 }, "schema" : "https://github.com/citation-style-language/schema/raw/master/csl-citation.json" }</w:instrText>
      </w:r>
      <w:r w:rsidR="00BC3BBB" w:rsidRPr="00E10C12">
        <w:rPr>
          <w:rFonts w:ascii="Arial" w:hAnsi="Arial" w:cs="Arial"/>
          <w:sz w:val="22"/>
          <w:szCs w:val="22"/>
          <w:shd w:val="clear" w:color="auto" w:fill="FFFFFF"/>
        </w:rPr>
        <w:fldChar w:fldCharType="separate"/>
      </w:r>
      <w:r w:rsidR="00E10C12" w:rsidRPr="00E10C12">
        <w:rPr>
          <w:rFonts w:ascii="Arial" w:hAnsi="Arial" w:cs="Arial"/>
          <w:noProof/>
          <w:sz w:val="22"/>
          <w:szCs w:val="22"/>
          <w:shd w:val="clear" w:color="auto" w:fill="FFFFFF"/>
        </w:rPr>
        <w:t>(354)</w:t>
      </w:r>
      <w:r w:rsidR="00BC3BBB" w:rsidRPr="00E10C12">
        <w:rPr>
          <w:rFonts w:ascii="Arial" w:hAnsi="Arial" w:cs="Arial"/>
          <w:sz w:val="22"/>
          <w:szCs w:val="22"/>
          <w:shd w:val="clear" w:color="auto" w:fill="FFFFFF"/>
        </w:rPr>
        <w:fldChar w:fldCharType="end"/>
      </w:r>
      <w:r w:rsidR="00E10C12" w:rsidRPr="00E10C12">
        <w:rPr>
          <w:rFonts w:ascii="Arial" w:hAnsi="Arial" w:cs="Arial"/>
          <w:sz w:val="22"/>
          <w:szCs w:val="22"/>
          <w:shd w:val="clear" w:color="auto" w:fill="FFFFFF"/>
        </w:rPr>
        <w:t xml:space="preserve"> miR-124’ün RGS4 (Regulator Of G Protein Signaling 4) regülasyonunda rol aldığı, RGS4’ün dorsolateral prefrontal korteks (DLPFK) volümü ile ilişkili olabileceği belirtilmiştir </w:t>
      </w:r>
      <w:r w:rsidR="00BC3BBB" w:rsidRPr="00E10C12">
        <w:rPr>
          <w:rFonts w:ascii="Arial" w:hAnsi="Arial" w:cs="Arial"/>
          <w:sz w:val="22"/>
          <w:szCs w:val="22"/>
          <w:shd w:val="clear" w:color="auto" w:fill="FFFFFF"/>
        </w:rPr>
        <w:fldChar w:fldCharType="begin" w:fldLock="1"/>
      </w:r>
      <w:r w:rsidR="00E10C12" w:rsidRPr="00E10C12">
        <w:rPr>
          <w:rFonts w:ascii="Arial" w:hAnsi="Arial" w:cs="Arial"/>
          <w:sz w:val="22"/>
          <w:szCs w:val="22"/>
          <w:shd w:val="clear" w:color="auto" w:fill="FFFFFF"/>
        </w:rPr>
        <w:instrText>ADDIN CSL_CITATION { "citationItems" : [ { "id" : "ITEM-1", "itemData" : { "DOI" : "10.1002/ajmg.b.30577", "ISBN" : "1552-485X (Electronic)\\r1552-4841 (Linking)", "ISSN" : "15524841", "PMID" : "17722013", "abstract" : "The regulator of G-protein signaling 4 (RGS4) has been suggested as a candidate gene for schizophrenia. However, following an initial positive report, subsequent association studies between RGS4 and schizophrenia have yielded inconclusive results. Also, few studies have investigated the association of RGS4 polymorphisms with the phenotypic subgroups of schizophrenia. To further clarify the role of RGS4 in this disease, we performed a case-control study (504 cases and 531 controls of Han Chinese descent) to examine the association of RGS4 with schizophrenia and with clinical and neurocognitive profiles. The four markers (SNPs 1, 4, 7, and 18) implicated in the original association study were genotyped. We detected significant association of four-marker haplotypes with schizophrenia (UNPHASED: global P = 0.037; PHASE: global P = 0.048). The haplotype G-G-G-G, which was implicated in at least three previous studies, was the major risk haplotype (UNPHASED: P = 0.019; PHASE: P = 0.010). Regarding the clinical phenotypes, the Wechsler Adult Intelligence Test (WAIS) information subtest score was associated with SNP4 genotypes (P = 0.001). PANSS total and global psychopathology scores were also associated with SNP4, but may not reliably reflect the general severity of disease as the scores may be affected by confounders like medication response. Our study provides further support for a role of RGS4 in the pathogenesis of schizophrenia. We identified G-G-G-G as the risk haplotype in our Chinese sample. The association with information subtest score suggests an effect of RGS4 on premorbid functioning, which may be related to neurodevelopmental processes. Further independent studies are required to verify our findings.", "author" : [ { "dropping-particle" : "", "family" : "So", "given" : "Hon Cheong", "non-dropping-particle" : "", "parse-names" : false, "suffix" : "" }, { "dropping-particle" : "", "family" : "Chen", "given" : "Ronald Y.L.", "non-dropping-particle" : "", "parse-names" : false, "suffix" : "" }, { "dropping-particle" : "", "family" : "Chen", "given" : "Eric Y.H.", "non-dropping-particle" : "", "parse-names" : false, "suffix" : "" }, { "dropping-particle" : "", "family" : "Cheung", "given" : "Eric F.C.", "non-dropping-particle" : "", "parse-names" : false, "suffix" : "" }, { "dropping-particle" : "", "family" : "Li", "given" : "Tao", "non-dropping-particle" : "", "parse-names" : false, "suffix" : "" }, { "dropping-particle" : "", "family" : "Sham", "given" : "Pak C.", "non-dropping-particle" : "", "parse-names" : false, "suffix" : "" } ], "container-title" : "American Journal of Medical Genetics, Part B: Neuropsychiatric Genetics", "id" : "ITEM-1", "issue" : "1", "issued" : { "date-parts" : [ [ "2008" ] ] }, "page" : "77-85", "title" : "An association study of RGS4 polymorphisms with clinical phenotypes of schizophrenia in a Chinese population", "type" : "article-journal", "volume" : "147" }, "uris" : [ "http://www.mendeley.com/documents/?uuid=f7c07469-2a3b-46bd-bc9e-ba4cb9f0d1d8" ] } ], "mendeley" : { "formattedCitation" : "(355)", "plainTextFormattedCitation" : "(355)", "previouslyFormattedCitation" : "(355)" }, "properties" : { "noteIndex" : 60 }, "schema" : "https://github.com/citation-style-language/schema/raw/master/csl-citation.json" }</w:instrText>
      </w:r>
      <w:r w:rsidR="00BC3BBB" w:rsidRPr="00E10C12">
        <w:rPr>
          <w:rFonts w:ascii="Arial" w:hAnsi="Arial" w:cs="Arial"/>
          <w:sz w:val="22"/>
          <w:szCs w:val="22"/>
          <w:shd w:val="clear" w:color="auto" w:fill="FFFFFF"/>
        </w:rPr>
        <w:fldChar w:fldCharType="separate"/>
      </w:r>
      <w:r w:rsidR="00E10C12" w:rsidRPr="00E10C12">
        <w:rPr>
          <w:rFonts w:ascii="Arial" w:hAnsi="Arial" w:cs="Arial"/>
          <w:noProof/>
          <w:sz w:val="22"/>
          <w:szCs w:val="22"/>
          <w:shd w:val="clear" w:color="auto" w:fill="FFFFFF"/>
        </w:rPr>
        <w:t>(355)</w:t>
      </w:r>
      <w:r w:rsidR="00BC3BBB" w:rsidRPr="00E10C12">
        <w:rPr>
          <w:rFonts w:ascii="Arial" w:hAnsi="Arial" w:cs="Arial"/>
          <w:sz w:val="22"/>
          <w:szCs w:val="22"/>
          <w:shd w:val="clear" w:color="auto" w:fill="FFFFFF"/>
        </w:rPr>
        <w:fldChar w:fldCharType="end"/>
      </w:r>
      <w:r w:rsidR="00E10C12" w:rsidRPr="00E10C12">
        <w:rPr>
          <w:rFonts w:ascii="Arial" w:hAnsi="Arial" w:cs="Arial"/>
          <w:sz w:val="22"/>
          <w:szCs w:val="22"/>
          <w:shd w:val="clear" w:color="auto" w:fill="FFFFFF"/>
        </w:rPr>
        <w:t xml:space="preserve">. DLPFK disfonksiyonu DEHB’de tanımlanmıştır </w:t>
      </w:r>
      <w:r w:rsidR="00BC3BBB" w:rsidRPr="00E10C12">
        <w:rPr>
          <w:rFonts w:ascii="Arial" w:hAnsi="Arial" w:cs="Arial"/>
          <w:sz w:val="22"/>
          <w:szCs w:val="22"/>
          <w:shd w:val="clear" w:color="auto" w:fill="FFFFFF"/>
        </w:rPr>
        <w:fldChar w:fldCharType="begin" w:fldLock="1"/>
      </w:r>
      <w:r w:rsidR="00E10C12" w:rsidRPr="00E10C12">
        <w:rPr>
          <w:rFonts w:ascii="Arial" w:hAnsi="Arial" w:cs="Arial"/>
          <w:sz w:val="22"/>
          <w:szCs w:val="22"/>
          <w:shd w:val="clear" w:color="auto" w:fill="FFFFFF"/>
        </w:rPr>
        <w:instrText>ADDIN CSL_CITATION { "citationItems" : [ { "id" : "ITEM-1", "itemData" : { "abstract" : "Attention Deficit Hyperactivity Disorder (ADHD) and Autism Spectrum Disorder (ASD) are often comorbid and share behavioural-cognitive abnormalities in sustained attention. A key question is whether this shared cognitive phenotype is based on common or different underlying pathophysiologies. To elucidate this question, we compared 20 boys with ADHD to 20 age and IQ matched ASD and 20 healthy boys using functional magnetic resonance imaging (fMRI) during a parametrically modulated vigilance task with a progressively increasing load of sustained attention. ADHD and ASD boys had significantly reduced activation relative to controls in bilateral striatothalamic regions, left dorsolateral prefrontal cortex (DLPFC) and superior parietal cortex. Both groups also displayed significantly increased precuneus activation relative to controls. Precuneus was negatively correlated with the DLPFC activation, and progressively more deactivated with increasing attention load in controls, but not patients, suggesting problems with deactivation of a task-related default mode network in both disorders. However, left DLPFC underactivation was significantly more pronounced in ADHD relative to ASD boys, which furthermore was associated with sustained performance measures that were only impaired in ADHD patients. ASD boys, on the other hand, had disorder-specific enhanced cerebellar activation relative to both ADHD and control boys, presumably reflecting compensation. The findings show that ADHD and ASD boys have both shared and disorder-specific abnormalities in brain function during sustained attention. Shared deficits were in frontostriatoparietal activation and default mode suppression. Differences were a more severe DLPFC dysfunction in ADHD and a disorder-specific frontostriatocerebellar dysregulation in ASD.", "author" : [ { "dropping-particle" : "", "family" : "Christakou", "given" : "Anastasia", "non-dropping-particle" : "", "parse-names" : false, "suffix" : "" }, { "dropping-particle" : "", "family" : "Murphy", "given" : "CM", "non-dropping-particle" : "", "parse-names" : false, "suffix" : "" }, { "dropping-particle" : "", "family" : "Chantiluke", "given" : "K", "non-dropping-particle" : "", "parse-names" : false, "suffix" : "" }, { "dropping-particle" : "", "family" : "Cubillo", "given" : "AI", "non-dropping-particle" : "", "parse-names" : false, "suffix" : "" }, { "dropping-particle" : "", "family" : "Smith", "given" : "AB", "non-dropping-particle" : "", "parse-names" : false, "suffix" : "" }, { "dropping-particle" : "", "family" : "Giampietro", "given" : "V", "non-dropping-particle" : "", "parse-names" : false, "suffix" : "" }, { "dropping-particle" : "", "family" : "Daly", "given" : "E", "non-dropping-particle" : "", "parse-names" : false, "suffix" : "" }, { "dropping-particle" : "", "family" : "Ecker", "given" : "C", "non-dropping-particle" : "", "parse-names" : false, "suffix" : "" }, { "dropping-particle" : "", "family" : "Robertson", "given" : "D", "non-dropping-particle" : "", "parse-names" : false, "suffix" : "" }, { "dropping-particle" : "", "family" : "Mrc Aims Consortium", "given" : "", "non-dropping-particle" : "", "parse-names" : false, "suffix" : "" }, { "dropping-particle" : "", "family" : "Murphy", "given" : "DG", "non-dropping-particle" : "", "parse-names" : false, "suffix" : "" }, { "dropping-particle" : "", "family" : "Rubia", "given" : "K", "non-dropping-particle" : "", "parse-names" : false, "suffix" : "" } ], "container-title" : "Molecular Psychiatry", "id" : "ITEM-1", "issued" : { "date-parts" : [ [ "2012" ] ] }, "page" : "1-9", "title" : "Disorder-specific functional abnormalities during sustained attention in youth with Attention Deficit Hyperactivity Disorder (ADHD) and with Autism", "type" : "article-journal" }, "uris" : [ "http://www.mendeley.com/documents/?uuid=43c38ca3-ee0a-42f5-ab6a-cda5784a39db" ] } ], "mendeley" : { "formattedCitation" : "(356)", "plainTextFormattedCitation" : "(356)", "previouslyFormattedCitation" : "(356)" }, "properties" : { "noteIndex" : 61 }, "schema" : "https://github.com/citation-style-language/schema/raw/master/csl-citation.json" }</w:instrText>
      </w:r>
      <w:r w:rsidR="00BC3BBB" w:rsidRPr="00E10C12">
        <w:rPr>
          <w:rFonts w:ascii="Arial" w:hAnsi="Arial" w:cs="Arial"/>
          <w:sz w:val="22"/>
          <w:szCs w:val="22"/>
          <w:shd w:val="clear" w:color="auto" w:fill="FFFFFF"/>
        </w:rPr>
        <w:fldChar w:fldCharType="separate"/>
      </w:r>
      <w:r w:rsidR="00E10C12" w:rsidRPr="00E10C12">
        <w:rPr>
          <w:rFonts w:ascii="Arial" w:hAnsi="Arial" w:cs="Arial"/>
          <w:noProof/>
          <w:sz w:val="22"/>
          <w:szCs w:val="22"/>
          <w:shd w:val="clear" w:color="auto" w:fill="FFFFFF"/>
        </w:rPr>
        <w:t>(356)</w:t>
      </w:r>
      <w:r w:rsidR="00BC3BBB" w:rsidRPr="00E10C12">
        <w:rPr>
          <w:rFonts w:ascii="Arial" w:hAnsi="Arial" w:cs="Arial"/>
          <w:sz w:val="22"/>
          <w:szCs w:val="22"/>
          <w:shd w:val="clear" w:color="auto" w:fill="FFFFFF"/>
        </w:rPr>
        <w:fldChar w:fldCharType="end"/>
      </w:r>
      <w:r w:rsidR="00E10C12" w:rsidRPr="00E10C12">
        <w:rPr>
          <w:rFonts w:ascii="Arial" w:hAnsi="Arial" w:cs="Arial"/>
          <w:sz w:val="22"/>
          <w:szCs w:val="22"/>
          <w:shd w:val="clear" w:color="auto" w:fill="FFFFFF"/>
        </w:rPr>
        <w:t xml:space="preserve">. </w:t>
      </w:r>
      <w:r w:rsidR="00E10C12" w:rsidRPr="00E10C12">
        <w:rPr>
          <w:rFonts w:ascii="Arial" w:hAnsi="Arial" w:cs="Arial"/>
          <w:sz w:val="22"/>
          <w:szCs w:val="22"/>
        </w:rPr>
        <w:t>Farklı genlerin miR-124 için bağla</w:t>
      </w:r>
      <w:r w:rsidR="005D08E6">
        <w:rPr>
          <w:rFonts w:ascii="Arial" w:hAnsi="Arial" w:cs="Arial"/>
          <w:sz w:val="22"/>
          <w:szCs w:val="22"/>
        </w:rPr>
        <w:t>n</w:t>
      </w:r>
      <w:r w:rsidR="00E10C12" w:rsidRPr="00E10C12">
        <w:rPr>
          <w:rFonts w:ascii="Arial" w:hAnsi="Arial" w:cs="Arial"/>
          <w:sz w:val="22"/>
          <w:szCs w:val="22"/>
        </w:rPr>
        <w:t xml:space="preserve">ma bölgelerindeki varyantların bilişsel performans ile </w:t>
      </w:r>
      <w:r w:rsidR="00E10C12" w:rsidRPr="00E10C12">
        <w:rPr>
          <w:rFonts w:ascii="Arial" w:hAnsi="Arial" w:cs="Arial"/>
          <w:sz w:val="22"/>
          <w:szCs w:val="22"/>
        </w:rPr>
        <w:lastRenderedPageBreak/>
        <w:t xml:space="preserve">ilişkisi olduğu belirtilmiştir </w:t>
      </w:r>
      <w:r w:rsidR="00BC3BBB" w:rsidRPr="00E10C12">
        <w:rPr>
          <w:rFonts w:ascii="Arial" w:hAnsi="Arial" w:cs="Arial"/>
          <w:sz w:val="22"/>
          <w:szCs w:val="22"/>
        </w:rPr>
        <w:fldChar w:fldCharType="begin" w:fldLock="1"/>
      </w:r>
      <w:r w:rsidR="00E10C12" w:rsidRPr="00E10C12">
        <w:rPr>
          <w:rFonts w:ascii="Arial" w:hAnsi="Arial" w:cs="Arial"/>
          <w:sz w:val="22"/>
          <w:szCs w:val="22"/>
        </w:rPr>
        <w:instrText>ADDIN CSL_CITATION { "citationItems" : [ { "id" : "ITEM-1", "itemData" : { "DOI" : "10.1371/journal.pone.0107065", "ISBN" : "1932-6203", "ISSN" : "19326203", "PMID" : "25222038", "abstract" : "As a product of the unique evolution of the human brain, human cognitive performance is largely a collection of heritable traits. Rather surprisingly, to date there have been no reported cases to highlight genes that underwent adaptive evolution in humans and which carry polymorphisms that have a marked effect on cognitive performance. IQ motif containing GTPase activating protein 1 (IQGAP1), a scaffold protein, affects learning and memory in a dose-dependent manner. Its expression is regulated by miR-124 through the binding sites in the 3'UTR, where a SNP (rs1042538) exists in the core-binding motif. Here we showed that this SNP can influence the miR-target interaction both in vitro and in vivo. Individuals carrying the derived T alleles have higher IQGAP1 expression in the brain as compared to the ancestral A allele carriers. We observed a significant and male-specific association between rs1042538 and tactile performances in two independent cohorts. Males with the derived allele displayed higher tactual performances as compared to those with the ancestral allele. Furthermore, we found a highly diverged allele-frequency distribution of rs1042538 among world human populations, likely caused by natural selection and/or recent population expansion. These results suggest that current human populations still carry sequence variations that affect cognitive performances and that these genetic variants may likely have been subject to comparatively recent natural selection.", "author" : [ { "dropping-particle" : "", "family" : "Yang", "given" : "Lixin", "non-dropping-particle" : "", "parse-names" : false, "suffix" : "" }, { "dropping-particle" : "", "family" : "Zhang", "given" : "Rui", "non-dropping-particle" : "", "parse-names" : false, "suffix" : "" }, { "dropping-particle" : "", "family" : "Li", "given" : "Ming", "non-dropping-particle" : "", "parse-names" : false, "suffix" : "" }, { "dropping-particle" : "", "family" : "Wu", "given" : "Xujun", "non-dropping-particle" : "", "parse-names" : false, "suffix" : "" }, { "dropping-particle" : "", "family" : "Wang", "given" : "Jianhong", "non-dropping-particle" : "", "parse-names" : false, "suffix" : "" }, { "dropping-particle" : "", "family" : "Huang", "given" : "Lin", "non-dropping-particle" : "", "parse-names" : false, "suffix" : "" }, { "dropping-particle" : "", "family" : "Shi", "given" : "Xiaodong", "non-dropping-particle" : "", "parse-names" : false, "suffix" : "" }, { "dropping-particle" : "", "family" : "Li", "given" : "Qingwei", "non-dropping-particle" : "", "parse-names" : false, "suffix" : "" }, { "dropping-particle" : "", "family" : "Su", "given" : "Bing", "non-dropping-particle" : "", "parse-names" : false, "suffix" : "" } ], "container-title" : "PLoS ONE", "id" : "ITEM-1", "issue" : "9", "issued" : { "date-parts" : [ [ "2014" ] ] }, "title" : "A functional MiR-124 binding-site polymorphism in IQGAP1 affects human cognitive performance", "type" : "article-journal", "volume" : "9" }, "uris" : [ "http://www.mendeley.com/documents/?uuid=a5385a43-ddc2-4102-b117-cafca270bcd9" ] } ], "mendeley" : { "formattedCitation" : "(357)", "plainTextFormattedCitation" : "(357)", "previouslyFormattedCitation" : "(357)" }, "properties" : { "noteIndex" : 61 }, "schema" : "https://github.com/citation-style-language/schema/raw/master/csl-citation.json" }</w:instrText>
      </w:r>
      <w:r w:rsidR="00BC3BBB" w:rsidRPr="00E10C12">
        <w:rPr>
          <w:rFonts w:ascii="Arial" w:hAnsi="Arial" w:cs="Arial"/>
          <w:sz w:val="22"/>
          <w:szCs w:val="22"/>
        </w:rPr>
        <w:fldChar w:fldCharType="separate"/>
      </w:r>
      <w:r w:rsidR="00E10C12" w:rsidRPr="00E10C12">
        <w:rPr>
          <w:rFonts w:ascii="Arial" w:hAnsi="Arial" w:cs="Arial"/>
          <w:noProof/>
          <w:sz w:val="22"/>
          <w:szCs w:val="22"/>
        </w:rPr>
        <w:t>(357)</w:t>
      </w:r>
      <w:r w:rsidR="00BC3BBB" w:rsidRPr="00E10C12">
        <w:rPr>
          <w:rFonts w:ascii="Arial" w:hAnsi="Arial" w:cs="Arial"/>
          <w:sz w:val="22"/>
          <w:szCs w:val="22"/>
        </w:rPr>
        <w:fldChar w:fldCharType="end"/>
      </w:r>
      <w:r w:rsidR="00E10C12" w:rsidRPr="00E10C12">
        <w:rPr>
          <w:rFonts w:ascii="Arial" w:hAnsi="Arial" w:cs="Arial"/>
          <w:sz w:val="22"/>
          <w:szCs w:val="22"/>
        </w:rPr>
        <w:t xml:space="preserve">.  miR-124’ün başka bir hedefi olan “IQ Motif Containing GTPase Activating Protein 1” (IQGAP1) </w:t>
      </w:r>
      <w:r w:rsidR="00BC3BBB" w:rsidRPr="00E10C12">
        <w:rPr>
          <w:rFonts w:ascii="Arial" w:hAnsi="Arial" w:cs="Arial"/>
          <w:sz w:val="22"/>
          <w:szCs w:val="22"/>
        </w:rPr>
        <w:fldChar w:fldCharType="begin" w:fldLock="1"/>
      </w:r>
      <w:r w:rsidR="00E10C12" w:rsidRPr="00E10C12">
        <w:rPr>
          <w:rFonts w:ascii="Arial" w:hAnsi="Arial" w:cs="Arial"/>
          <w:sz w:val="22"/>
          <w:szCs w:val="22"/>
        </w:rPr>
        <w:instrText>ADDIN CSL_CITATION { "citationItems" : [ { "id" : "ITEM-1", "itemData" : { "DOI" : "10.1038/nature03315", "ISBN" : "0028-0836", "ISSN" : "0028-0836", "PMID" : "15685193", "abstract" : "MicroRNAs (miRNAs) are a class of noncoding RNAs that post-transcriptionally regulate gene expression in plants and animals. To investigate the influence of miRNAs on transcript levels, we transfected miRNAs into human cells and used microarrays to examine changes in the messenger RNA profile. Here we show that delivering miR-124 causes the expression profile to shift towards that of brain, the organ in which miR-124 is preferentially expressed, whereas delivering miR-1 shifts the profile towards that of muscle, where miR-1 is preferentially expressed. In each case, about 100 messages were downregulated after 12 h. The 3' untranslated regions of these messages had a significant propensity to pair to the 5' region of the miRNA, as expected if many of these messages are the direct targets of the miRNAs. Our results suggest that metazoan miRNAs can reduce the levels of many of their target transcripts, not just the amount of protein deriving from these transcripts. Moreover, miR-1 and miR-124, and presumably other tissue-specific miRNAs, seem to downregulate a far greater number of targets than previously appreciated, thereby helping to define tissue-specific gene expression in humans.", "author" : [ { "dropping-particle" : "", "family" : "Lim", "given" : "Lee P.", "non-dropping-particle" : "", "parse-names" : false, "suffix" : "" }, { "dropping-particle" : "", "family" : "Lau", "given" : "Nelson C.", "non-dropping-particle" : "", "parse-names" : false, "suffix" : "" }, { "dropping-particle" : "", "family" : "Garrett-Engele", "given" : "Philip", "non-dropping-particle" : "", "parse-names" : false, "suffix" : "" }, { "dropping-particle" : "", "family" : "Grimson", "given" : "Andrew", "non-dropping-particle" : "", "parse-names" : false, "suffix" : "" }, { "dropping-particle" : "", "family" : "Schelter", "given" : "Janell M.", "non-dropping-particle" : "", "parse-names" : false, "suffix" : "" }, { "dropping-particle" : "", "family" : "Castle", "given" : "John", "non-dropping-particle" : "", "parse-names" : false, "suffix" : "" }, { "dropping-particle" : "", "family" : "Bartel", "given" : "David P.", "non-dropping-particle" : "", "parse-names" : false, "suffix" : "" }, { "dropping-particle" : "", "family" : "Linsley", "given" : "Peter S.", "non-dropping-particle" : "", "parse-names" : false, "suffix" : "" }, { "dropping-particle" : "", "family" : "Johnson", "given" : "Jason M.", "non-dropping-particle" : "", "parse-names" : false, "suffix" : "" } ], "container-title" : "Nature", "id" : "ITEM-1", "issue" : "7027", "issued" : { "date-parts" : [ [ "2005" ] ] }, "page" : "769-773", "title" : "Microarray analysis shows that some microRNAs downregulate large numbers of target mRNAs", "type" : "article-journal", "volume" : "433" }, "uris" : [ "http://www.mendeley.com/documents/?uuid=049e366d-b70c-4a8a-a490-3cef5101459b" ] }, { "id" : "ITEM-2", "itemData" : { "DOI" : "10.1242/jcs.02379", "ISSN" : "0021-9533", "PMID" : "15890984", "abstract" : "The dynamic rearrangement of cell-cell adhesion is one of the major physiological events in tissue development and tumor metastasis. Polarized cell migration, another key event, is a tightly regulated process that occurs during tissue development, chemotaxis and wound healing. Rho-family small GTPases, especially Rac1 and Cdc42, play pivotal roles in these processes through one of their effectors, IQGAP1. Recent studies reveal that IQGAP1 regulates cadherin-mediated cell-cell adhesion both positively and negatively. It captures and stabilizes microtubules through the microtubule-binding protein CLIP-170 near the cell cortex, leading to establishment of polarized cell morphology and directional cell migration. Furthermore, Rac1 and Cdc42 link the adenomatous polyposis coli (APC) protein to actin filaments through IQGAP1 at the leading edge and thereby regulate polarization and directional migration.", "author" : [ { "dropping-particle" : "", "family" : "Noritake", "given" : "J.", "non-dropping-particle" : "", "parse-names" : false, "suffix" : "" }, { "dropping-particle" : "", "family" : "Watanabe", "given" : "Takashi", "non-dropping-particle" : "", "parse-names" : false, "suffix" : "" }, { "dropping-particle" : "", "family" : "Sato", "given" : "Kazumasa", "non-dropping-particle" : "", "parse-names" : false, "suffix" : "" }, { "dropping-particle" : "", "family" : "Wang", "given" : "Shujie", "non-dropping-particle" : "", "parse-names" : false, "suffix" : "" }, { "dropping-particle" : "", "family" : "Kaibuchi", "given" : "Kozo", "non-dropping-particle" : "", "parse-names" : false, "suffix" : "" } ], "container-title" : "Journal of Cell Science", "id" : "ITEM-2", "issue" : "10", "issued" : { "date-parts" : [ [ "2005", "5", "15" ] ] }, "page" : "2085-2092", "title" : "IQGAP1: a key regulator of adhesion and migration", "type" : "article-journal", "volume" : "118" }, "uris" : [ "http://www.mendeley.com/documents/?uuid=457cab65-0005-3822-baa8-f5e3653c3e25" ] }, { "id" : "ITEM-3", "itemData" : { "DOI" : "10.1371/journal.pone.0107065", "ISBN" : "1932-6203", "ISSN" : "19326203", "PMID" : "25222038", "abstract" : "As a product of the unique evolution of the human brain, human cognitive performance is largely a collection of heritable traits. Rather surprisingly, to date there have been no reported cases to highlight genes that underwent adaptive evolution in humans and which carry polymorphisms that have a marked effect on cognitive performance. IQ motif containing GTPase activating protein 1 (IQGAP1), a scaffold protein, affects learning and memory in a dose-dependent manner. Its expression is regulated by miR-124 through the binding sites in the 3'UTR, where a SNP (rs1042538) exists in the core-binding motif. Here we showed that this SNP can influence the miR-target interaction both in vitro and in vivo. Individuals carrying the derived T alleles have higher IQGAP1 expression in the brain as compared to the ancestral A allele carriers. We observed a significant and male-specific association between rs1042538 and tactile performances in two independent cohorts. Males with the derived allele displayed higher tactual performances as compared to those with the ancestral allele. Furthermore, we found a highly diverged allele-frequency distribution of rs1042538 among world human populations, likely caused by natural selection and/or recent population expansion. These results suggest that current human populations still carry sequence variations that affect cognitive performances and that these genetic variants may likely have been subject to comparatively recent natural selection.", "author" : [ { "dropping-particle" : "", "family" : "Yang", "given" : "Lixin", "non-dropping-particle" : "", "parse-names" : false, "suffix" : "" }, { "dropping-particle" : "", "family" : "Zhang", "given" : "Rui", "non-dropping-particle" : "", "parse-names" : false, "suffix" : "" }, { "dropping-particle" : "", "family" : "Li", "given" : "Ming", "non-dropping-particle" : "", "parse-names" : false, "suffix" : "" }, { "dropping-particle" : "", "family" : "Wu", "given" : "Xujun", "non-dropping-particle" : "", "parse-names" : false, "suffix" : "" }, { "dropping-particle" : "", "family" : "Wang", "given" : "Jianhong", "non-dropping-particle" : "", "parse-names" : false, "suffix" : "" }, { "dropping-particle" : "", "family" : "Huang", "given" : "Lin", "non-dropping-particle" : "", "parse-names" : false, "suffix" : "" }, { "dropping-particle" : "", "family" : "Shi", "given" : "Xiaodong", "non-dropping-particle" : "", "parse-names" : false, "suffix" : "" }, { "dropping-particle" : "", "family" : "Li", "given" : "Qingwei", "non-dropping-particle" : "", "parse-names" : false, "suffix" : "" }, { "dropping-particle" : "", "family" : "Su", "given" : "Bing", "non-dropping-particle" : "", "parse-names" : false, "suffix" : "" } ], "container-title" : "PLoS ONE", "id" : "ITEM-3", "issue" : "9", "issued" : { "date-parts" : [ [ "2014" ] ] }, "title" : "A functional MiR-124 binding-site polymorphism in IQGAP1 affects human cognitive performance", "type" : "article-journal", "volume" : "9" }, "uris" : [ "http://www.mendeley.com/documents/?uuid=a5385a43-ddc2-4102-b117-cafca270bcd9" ] } ], "mendeley" : { "formattedCitation" : "(357\u2013359)", "plainTextFormattedCitation" : "(357\u2013359)", "previouslyFormattedCitation" : "(357\u2013359)" }, "properties" : { "noteIndex" : 61 }, "schema" : "https://github.com/citation-style-language/schema/raw/master/csl-citation.json" }</w:instrText>
      </w:r>
      <w:r w:rsidR="00BC3BBB" w:rsidRPr="00E10C12">
        <w:rPr>
          <w:rFonts w:ascii="Arial" w:hAnsi="Arial" w:cs="Arial"/>
          <w:sz w:val="22"/>
          <w:szCs w:val="22"/>
        </w:rPr>
        <w:fldChar w:fldCharType="separate"/>
      </w:r>
      <w:r w:rsidR="00E10C12" w:rsidRPr="00E10C12">
        <w:rPr>
          <w:rFonts w:ascii="Arial" w:hAnsi="Arial" w:cs="Arial"/>
          <w:noProof/>
          <w:sz w:val="22"/>
          <w:szCs w:val="22"/>
        </w:rPr>
        <w:t>(357–359)</w:t>
      </w:r>
      <w:r w:rsidR="00BC3BBB" w:rsidRPr="00E10C12">
        <w:rPr>
          <w:rFonts w:ascii="Arial" w:hAnsi="Arial" w:cs="Arial"/>
          <w:sz w:val="22"/>
          <w:szCs w:val="22"/>
        </w:rPr>
        <w:fldChar w:fldCharType="end"/>
      </w:r>
      <w:r w:rsidR="00E10C12" w:rsidRPr="00E10C12">
        <w:rPr>
          <w:rFonts w:ascii="Arial" w:hAnsi="Arial" w:cs="Arial"/>
          <w:sz w:val="22"/>
          <w:szCs w:val="22"/>
          <w:shd w:val="clear" w:color="auto" w:fill="FFFFFF"/>
        </w:rPr>
        <w:t>,</w:t>
      </w:r>
      <w:r w:rsidR="00E10C12" w:rsidRPr="00E10C12">
        <w:rPr>
          <w:rFonts w:ascii="Arial" w:hAnsi="Arial" w:cs="Arial"/>
          <w:color w:val="4F81BD" w:themeColor="accent1"/>
          <w:sz w:val="22"/>
          <w:szCs w:val="22"/>
        </w:rPr>
        <w:t xml:space="preserve"> </w:t>
      </w:r>
      <w:r w:rsidR="00E10C12" w:rsidRPr="00E10C12">
        <w:rPr>
          <w:rFonts w:ascii="Arial" w:hAnsi="Arial" w:cs="Arial"/>
          <w:sz w:val="22"/>
          <w:szCs w:val="22"/>
        </w:rPr>
        <w:t>hücre adezyonu, migrasyonu ve iskeletinde rol alır.</w:t>
      </w:r>
      <w:r w:rsidR="00E10C12" w:rsidRPr="00E10C12">
        <w:rPr>
          <w:rFonts w:ascii="Arial" w:hAnsi="Arial" w:cs="Arial"/>
          <w:color w:val="1F497D" w:themeColor="text2"/>
          <w:sz w:val="22"/>
          <w:szCs w:val="22"/>
          <w:shd w:val="clear" w:color="auto" w:fill="FFFFFF"/>
        </w:rPr>
        <w:t xml:space="preserve"> </w:t>
      </w:r>
      <w:r w:rsidR="00E10C12" w:rsidRPr="00E10C12">
        <w:rPr>
          <w:rFonts w:ascii="Arial" w:hAnsi="Arial" w:cs="Arial"/>
          <w:sz w:val="22"/>
          <w:szCs w:val="22"/>
          <w:shd w:val="clear" w:color="auto" w:fill="FFFFFF"/>
        </w:rPr>
        <w:t>Ayrıca</w:t>
      </w:r>
      <w:r w:rsidR="00E10C12" w:rsidRPr="00E10C12">
        <w:rPr>
          <w:rFonts w:ascii="Arial" w:hAnsi="Arial" w:cs="Arial"/>
          <w:sz w:val="22"/>
          <w:szCs w:val="22"/>
        </w:rPr>
        <w:t xml:space="preserve"> öğrenme ve bellek gibi spesifik nöronal işlevlerde rolü olduğu gösterilmiştir </w:t>
      </w:r>
      <w:r w:rsidR="00BC3BBB" w:rsidRPr="00E10C12">
        <w:rPr>
          <w:rFonts w:ascii="Arial" w:hAnsi="Arial" w:cs="Arial"/>
          <w:sz w:val="22"/>
          <w:szCs w:val="22"/>
        </w:rPr>
        <w:fldChar w:fldCharType="begin" w:fldLock="1"/>
      </w:r>
      <w:r w:rsidR="00E10C12" w:rsidRPr="00E10C12">
        <w:rPr>
          <w:rFonts w:ascii="Arial" w:hAnsi="Arial" w:cs="Arial"/>
          <w:sz w:val="22"/>
          <w:szCs w:val="22"/>
        </w:rPr>
        <w:instrText>ADDIN CSL_CITATION { "citationItems" : [ { "id" : "ITEM-1", "itemData" : { "DOI" : "10.1523/JNEUROSCI.0830-07.2007", "ISBN" : "1529-2401 (Electronic)\\r0270-6474 (Linking)", "ISSN" : "0270-6474", "PMID" : "17460084", "abstract" : "In the germinative zone of the adult rodent brain, neural progenitors migrate into niches delimited by astrocyte processes and differentiate into neuronal precursors. In the present study, we report a modulating role for the scaffolding protein IQGAP1 in neural progenitor migration. We have identified IQGAP1 as a new marker of amplifying neural progenitor and neuronal precursor cells of the subventricular zone (SVZ) and the rostral migratory stream (RMS) in the adult mouse brain. To determine functions for IQGAP1 in neural progenitors, we compared the properties of neural progenitor cells from wild-type and Iqgap1-null mutant mice in vivo and in vitro. The in vivo studies reveal a delay in the transition of de novo neural progenitors into neuronal precursor cells in Iqgap1-null mice. In vitro, we demonstrated that IQGAP1 acts as a downstream effector in the vascular endothelial growth factor (VEGF)-dependent migratory response of neural progenitors that also impacts on their neuronal differentiation. The Rho-family GTPases cdc42/Rac1 and Lis1 are major partners of IQGAP1 in this migratory process. Finally, astrocytes of the neurogenic SVZ and RMS are shown to express VEGF. We propose that VEGF synthesized by astrocytes could be involved in the guidance of neural progenitors to neurogenic niches and that IQGAP1 is an effector of the VEGF-dependent migratory signal.", "author" : [ { "dropping-particle" : "", "family" : "Balenci", "given" : "L.", "non-dropping-particle" : "", "parse-names" : false, "suffix" : "" }, { "dropping-particle" : "", "family" : "Saoudi", "given" : "Y.", "non-dropping-particle" : "", "parse-names" : false, "suffix" : "" }, { "dropping-particle" : "", "family" : "Grunwald", "given" : "D.", "non-dropping-particle" : "", "parse-names" : false, "suffix" : "" }, { "dropping-particle" : "", "family" : "Deloulme", "given" : "J. C.", "non-dropping-particle" : "", "parse-names" : false, "suffix" : "" }, { "dropping-particle" : "", "family" : "Bouron", "given" : "A.", "non-dropping-particle" : "", "parse-names" : false, "suffix" : "" }, { "dropping-particle" : "", "family" : "Bernards", "given" : "A.", "non-dropping-particle" : "", "parse-names" : false, "suffix" : "" }, { "dropping-particle" : "", "family" : "Baudier", "given" : "J.", "non-dropping-particle" : "", "parse-names" : false, "suffix" : "" } ], "container-title" : "Journal of Neuroscience", "id" : "ITEM-1", "issue" : "17", "issued" : { "date-parts" : [ [ "2007" ] ] }, "page" : "4716-4724", "title" : "IQGAP1 Regulates Adult Neural Progenitors In Vivo and Vascular Endothelial Growth Factor-Triggered Neural Progenitor Migration In Vitro", "type" : "article-journal", "volume" : "27" }, "uris" : [ "http://www.mendeley.com/documents/?uuid=2bb98a38-7d30-44c0-834e-15fd8d4bd7f8" ] } ], "mendeley" : { "formattedCitation" : "(360)", "plainTextFormattedCitation" : "(360)", "previouslyFormattedCitation" : "(360)" }, "properties" : { "noteIndex" : 61 }, "schema" : "https://github.com/citation-style-language/schema/raw/master/csl-citation.json" }</w:instrText>
      </w:r>
      <w:r w:rsidR="00BC3BBB" w:rsidRPr="00E10C12">
        <w:rPr>
          <w:rFonts w:ascii="Arial" w:hAnsi="Arial" w:cs="Arial"/>
          <w:sz w:val="22"/>
          <w:szCs w:val="22"/>
        </w:rPr>
        <w:fldChar w:fldCharType="separate"/>
      </w:r>
      <w:r w:rsidR="00E10C12" w:rsidRPr="00E10C12">
        <w:rPr>
          <w:rFonts w:ascii="Arial" w:hAnsi="Arial" w:cs="Arial"/>
          <w:noProof/>
          <w:sz w:val="22"/>
          <w:szCs w:val="22"/>
        </w:rPr>
        <w:t>(360)</w:t>
      </w:r>
      <w:r w:rsidR="00BC3BBB" w:rsidRPr="00E10C12">
        <w:rPr>
          <w:rFonts w:ascii="Arial" w:hAnsi="Arial" w:cs="Arial"/>
          <w:sz w:val="22"/>
          <w:szCs w:val="22"/>
        </w:rPr>
        <w:fldChar w:fldCharType="end"/>
      </w:r>
      <w:r w:rsidR="00E10C12" w:rsidRPr="00E10C12">
        <w:rPr>
          <w:rFonts w:ascii="Arial" w:hAnsi="Arial" w:cs="Arial"/>
          <w:sz w:val="22"/>
          <w:szCs w:val="22"/>
        </w:rPr>
        <w:t xml:space="preserve">. </w:t>
      </w:r>
      <w:r w:rsidR="00E10C12" w:rsidRPr="00E10C12">
        <w:rPr>
          <w:rFonts w:ascii="Arial" w:hAnsi="Arial" w:cs="Arial"/>
          <w:sz w:val="22"/>
          <w:szCs w:val="22"/>
          <w:shd w:val="clear" w:color="auto" w:fill="FFFFFF"/>
        </w:rPr>
        <w:t xml:space="preserve">Bellek üzerindeki etkisinin N-cadherin hücre iskeleti IQGAP/Erk sinyal yolağı üzerinden olduğu gösterilmiştir </w:t>
      </w:r>
      <w:r w:rsidR="00BC3BBB" w:rsidRPr="00E10C12">
        <w:rPr>
          <w:rFonts w:ascii="Arial" w:hAnsi="Arial" w:cs="Arial"/>
          <w:sz w:val="22"/>
          <w:szCs w:val="22"/>
          <w:shd w:val="clear" w:color="auto" w:fill="FFFFFF"/>
        </w:rPr>
        <w:fldChar w:fldCharType="begin" w:fldLock="1"/>
      </w:r>
      <w:r w:rsidR="00E10C12" w:rsidRPr="00E10C12">
        <w:rPr>
          <w:rFonts w:ascii="Arial" w:hAnsi="Arial" w:cs="Arial"/>
          <w:sz w:val="22"/>
          <w:szCs w:val="22"/>
          <w:shd w:val="clear" w:color="auto" w:fill="FFFFFF"/>
        </w:rPr>
        <w:instrText>ADDIN CSL_CITATION { "citationItems" : [ { "id" : "ITEM-1", "itemData" : { "DOI" : "10.1016/j.neuron.2007.07.034", "ISBN" : "0896-6273 (Print)", "ISSN" : "08966273", "PMID" : "17785185", "abstract" : "Cadherin-mediated interactions are integral to synapse formation and potentiation. Here we show that N-cadherin is required for memory formation and regulation of a subset of underlying biochemical processes. N-cadherin antagonistic peptide containing the His-Ala-Val motif (HAV-N) transiently disrupted hippocampal N-cadherin dimerization and impaired the formation of long-term contextual fear memory while sparing short-term memory, retrieval, and extinction. HAV-N impaired the learning-induced phosphorylation of a distinctive, cytoskeletally associated fraction of hippocampal Erk-1/2 and altered the distribution of IQGAP1, a scaffold protein linking cadherin-mediated cell adhesion to the cytoskeleton. This effect was accompanied by reduction of N-cadherin/IQGAP1/Erk-2 interactions. Similarly, in primary neuronal cultures, HAV-N prevented NMDA-induced dendritic Erk-1/2 phosphorylation and caused relocation of IQGAP1 from dendritic spines into the shafts. The data suggest that the newly identified role of hippocampal N-cadherin in memory consolidation may be mediated, at least in part, by cytoskeletal IQGAP1/Erk signaling. \u00a9 2007 Elsevier Inc. All rights reserved.", "author" : [ { "dropping-particle" : "", "family" : "Schrick", "given" : "Christina", "non-dropping-particle" : "", "parse-names" : false, "suffix" : "" }, { "dropping-particle" : "", "family" : "Fischer", "given" : "Andre", "non-dropping-particle" : "", "parse-names" : false, "suffix" : "" }, { "dropping-particle" : "", "family" : "Srivastava", "given" : "Deepak P.", "non-dropping-particle" : "", "parse-names" : false, "suffix" : "" }, { "dropping-particle" : "", "family" : "Tronson", "given" : "Natalie C.", "non-dropping-particle" : "", "parse-names" : false, "suffix" : "" }, { "dropping-particle" : "", "family" : "Penzes", "given" : "Peter", "non-dropping-particle" : "", "parse-names" : false, "suffix" : "" }, { "dropping-particle" : "", "family" : "Radulovic", "given" : "Jelena", "non-dropping-particle" : "", "parse-names" : false, "suffix" : "" } ], "container-title" : "Neuron", "id" : "ITEM-1", "issue" : "5", "issued" : { "date-parts" : [ [ "2007" ] ] }, "page" : "786-798", "title" : "N-Cadherin Regulates Cytoskeletally Associated IQGAP1/ERK Signaling and Memory Formation", "type" : "article-journal", "volume" : "55" }, "uris" : [ "http://www.mendeley.com/documents/?uuid=1769adcc-a48a-4e81-bf18-8ead53b1f295" ] } ], "mendeley" : { "formattedCitation" : "(361)", "plainTextFormattedCitation" : "(361)", "previouslyFormattedCitation" : "(361)" }, "properties" : { "noteIndex" : 61 }, "schema" : "https://github.com/citation-style-language/schema/raw/master/csl-citation.json" }</w:instrText>
      </w:r>
      <w:r w:rsidR="00BC3BBB" w:rsidRPr="00E10C12">
        <w:rPr>
          <w:rFonts w:ascii="Arial" w:hAnsi="Arial" w:cs="Arial"/>
          <w:sz w:val="22"/>
          <w:szCs w:val="22"/>
          <w:shd w:val="clear" w:color="auto" w:fill="FFFFFF"/>
        </w:rPr>
        <w:fldChar w:fldCharType="separate"/>
      </w:r>
      <w:r w:rsidR="00E10C12" w:rsidRPr="00E10C12">
        <w:rPr>
          <w:rFonts w:ascii="Arial" w:hAnsi="Arial" w:cs="Arial"/>
          <w:noProof/>
          <w:sz w:val="22"/>
          <w:szCs w:val="22"/>
          <w:shd w:val="clear" w:color="auto" w:fill="FFFFFF"/>
        </w:rPr>
        <w:t>(361)</w:t>
      </w:r>
      <w:r w:rsidR="00BC3BBB" w:rsidRPr="00E10C12">
        <w:rPr>
          <w:rFonts w:ascii="Arial" w:hAnsi="Arial" w:cs="Arial"/>
          <w:sz w:val="22"/>
          <w:szCs w:val="22"/>
          <w:shd w:val="clear" w:color="auto" w:fill="FFFFFF"/>
        </w:rPr>
        <w:fldChar w:fldCharType="end"/>
      </w:r>
      <w:r w:rsidR="00E10C12" w:rsidRPr="00E10C12">
        <w:rPr>
          <w:rFonts w:ascii="Arial" w:hAnsi="Arial" w:cs="Arial"/>
          <w:sz w:val="22"/>
          <w:szCs w:val="22"/>
          <w:shd w:val="clear" w:color="auto" w:fill="FFFFFF"/>
        </w:rPr>
        <w:t xml:space="preserve">. IQGAP1 dovnregülasyonunun uzun dönem bellek kayıplarıyla ilişkili olduğu </w:t>
      </w:r>
      <w:r w:rsidR="00BC3BBB" w:rsidRPr="00E10C12">
        <w:rPr>
          <w:rFonts w:ascii="Arial" w:hAnsi="Arial" w:cs="Arial"/>
          <w:sz w:val="22"/>
          <w:szCs w:val="22"/>
          <w:shd w:val="clear" w:color="auto" w:fill="FFFFFF"/>
        </w:rPr>
        <w:fldChar w:fldCharType="begin" w:fldLock="1"/>
      </w:r>
      <w:r w:rsidR="00E10C12" w:rsidRPr="00E10C12">
        <w:rPr>
          <w:rFonts w:ascii="Arial" w:hAnsi="Arial" w:cs="Arial"/>
          <w:sz w:val="22"/>
          <w:szCs w:val="22"/>
          <w:shd w:val="clear" w:color="auto" w:fill="FFFFFF"/>
        </w:rPr>
        <w:instrText>ADDIN CSL_CITATION { "citationItems" : [ { "id" : "ITEM-1", "itemData" : { "DOI" : "10.1523/JNEUROSCI.1300-11.2011", "ISBN" : "1529-2401 (Electronic)\\r0270-6474 (Linking)", "ISSN" : "1529-2401", "PMID" : "21653857", "abstract" : "General or brain-region-specific decreases in spine number or morphology accompany major neuropsychiatric disorders. It is unclear, however, whether changes in spine density are specific for an individual mental process or disorder and, if so, which molecules confer such specificity. Here we identify the scaffolding protein IQGAP1 as a key regulator of dendritic spine number with a specific role in cognitive but not emotional or motivational processes. We show that IQGAP1 is an important component of NMDAR multiprotein complexes and functionally interacts with the NR2A subunits and the extracellular signal-regulated kinase 1 (ERK1) and ERK2 signaling pathway. Mice lacking the IQGAP1 gene exhibited significantly lower levels of surface NR2A and impaired ERK activity compared to their wild-type littermates. Accordingly, primary hippocampal cultures of IQGAP1(-/-) neurons exhibited reduced surface expression of NR2A and disrupted ERK signaling in response to NR2A-dependent NMDAR stimulation. These molecular changes were accompanied by region-specific reductions of dendritic spine density in key brain areas involved in cognition, emotion, and motivation. IQGAP1 knock-outs exhibited marked long-term memory deficits accompanied by impaired hippocampal long-term potentiation (LTP) in a weak cellular learning model; in contrast, LTP was unaffected when induced with stronger stimulation paradigms. Anxiety- and depression-like behavior remained intact. On the basis of these findings, we propose that a dysfunctional IQGAP1 gene contributes to the cognitive deficits in brain disorders characterized by fewer dendritic spines.", "author" : [ { "dropping-particle" : "", "family" : "Gao", "given" : "Can", "non-dropping-particle" : "", "parse-names" : false, "suffix" : "" }, { "dropping-particle" : "", "family" : "Frausto", "given" : "Shanti F", "non-dropping-particle" : "", "parse-names" : false, "suffix" : "" }, { "dropping-particle" : "", "family" : "Guedea", "given" : "Anita L", "non-dropping-particle" : "", "parse-names" : false, "suffix" : "" }, { "dropping-particle" : "", "family" : "Tronson", "given" : "Natalie C", "non-dropping-particle" : "", "parse-names" : false, "suffix" : "" }, { "dropping-particle" : "", "family" : "Jovasevic", "given" : "Vladimir", "non-dropping-particle" : "", "parse-names" : false, "suffix" : "" }, { "dropping-particle" : "", "family" : "Leaderbrand", "given" : "Katie", "non-dropping-particle" : "", "parse-names" : false, "suffix" : "" }, { "dropping-particle" : "", "family" : "Corcoran", "given" : "Kevin A", "non-dropping-particle" : "", "parse-names" : false, "suffix" : "" }, { "dropping-particle" : "", "family" : "Guzm\u00e1n", "given" : "Yomayra F", "non-dropping-particle" : "", "parse-names" : false, "suffix" : "" }, { "dropping-particle" : "", "family" : "Swanson", "given" : "Geoffrey T", "non-dropping-particle" : "", "parse-names" : false, "suffix" : "" }, { "dropping-particle" : "", "family" : "Radulovic", "given" : "Jelena", "non-dropping-particle" : "", "parse-names" : false, "suffix" : "" } ], "container-title" : "The Journal of neuroscience : the official journal of the Society for Neuroscience", "id" : "ITEM-1", "issue" : "23", "issued" : { "date-parts" : [ [ "2011" ] ] }, "page" : "8533-42", "title" : "IQGAP1 regulates NR2A signaling, spine density, and cognitive processes.", "type" : "article-journal", "volume" : "31" }, "uris" : [ "http://www.mendeley.com/documents/?uuid=fc66dac0-1efa-4631-b015-46189646ed22" ] } ], "mendeley" : { "formattedCitation" : "(362)", "plainTextFormattedCitation" : "(362)", "previouslyFormattedCitation" : "(362)" }, "properties" : { "noteIndex" : 61 }, "schema" : "https://github.com/citation-style-language/schema/raw/master/csl-citation.json" }</w:instrText>
      </w:r>
      <w:r w:rsidR="00BC3BBB" w:rsidRPr="00E10C12">
        <w:rPr>
          <w:rFonts w:ascii="Arial" w:hAnsi="Arial" w:cs="Arial"/>
          <w:sz w:val="22"/>
          <w:szCs w:val="22"/>
          <w:shd w:val="clear" w:color="auto" w:fill="FFFFFF"/>
        </w:rPr>
        <w:fldChar w:fldCharType="separate"/>
      </w:r>
      <w:r w:rsidR="00E10C12" w:rsidRPr="00E10C12">
        <w:rPr>
          <w:rFonts w:ascii="Arial" w:hAnsi="Arial" w:cs="Arial"/>
          <w:noProof/>
          <w:sz w:val="22"/>
          <w:szCs w:val="22"/>
          <w:shd w:val="clear" w:color="auto" w:fill="FFFFFF"/>
        </w:rPr>
        <w:t>(362)</w:t>
      </w:r>
      <w:r w:rsidR="00BC3BBB" w:rsidRPr="00E10C12">
        <w:rPr>
          <w:rFonts w:ascii="Arial" w:hAnsi="Arial" w:cs="Arial"/>
          <w:sz w:val="22"/>
          <w:szCs w:val="22"/>
          <w:shd w:val="clear" w:color="auto" w:fill="FFFFFF"/>
        </w:rPr>
        <w:fldChar w:fldCharType="end"/>
      </w:r>
      <w:r w:rsidR="00E10C12" w:rsidRPr="00E10C12">
        <w:rPr>
          <w:rFonts w:ascii="Arial" w:hAnsi="Arial" w:cs="Arial"/>
          <w:sz w:val="22"/>
          <w:szCs w:val="22"/>
          <w:shd w:val="clear" w:color="auto" w:fill="FFFFFF"/>
        </w:rPr>
        <w:t xml:space="preserve">, </w:t>
      </w:r>
      <w:r w:rsidR="00E10C12" w:rsidRPr="00E10C12">
        <w:rPr>
          <w:rFonts w:ascii="Arial" w:hAnsi="Arial" w:cs="Arial"/>
          <w:sz w:val="22"/>
          <w:szCs w:val="22"/>
        </w:rPr>
        <w:t xml:space="preserve">ayrıca miR-124 dahil, fare nöronlarındaki tüm miRNA repertuarının down regülasyonunun öğrenmeyi ve hafızayı güçlendirdiği bulunmuştır </w:t>
      </w:r>
      <w:r w:rsidR="00BC3BBB" w:rsidRPr="00E10C12">
        <w:rPr>
          <w:rFonts w:ascii="Arial" w:hAnsi="Arial" w:cs="Arial"/>
          <w:sz w:val="22"/>
          <w:szCs w:val="22"/>
        </w:rPr>
        <w:fldChar w:fldCharType="begin" w:fldLock="1"/>
      </w:r>
      <w:r w:rsidR="00E10C12" w:rsidRPr="00E10C12">
        <w:rPr>
          <w:rFonts w:ascii="Arial" w:hAnsi="Arial" w:cs="Arial"/>
          <w:sz w:val="22"/>
          <w:szCs w:val="22"/>
        </w:rPr>
        <w:instrText>ADDIN CSL_CITATION { "citationItems" : [ { "id" : "ITEM-1", "itemData" : { "DOI" : "10.1523/JNEUROSCI.3030-10.2010", "ISBN" : "0270-6474", "ISSN" : "0270-6474", "PMID" : "21048142", "abstract" : "Dicer-dependent noncoding RNAs, including microRNAs (miRNAs), play an important role in a modulation of translation of mRNA transcripts necessary for differentiation in many cell types. In vivo experiments using cell type-specific Dicer1 gene inactivation in neurons showed its essential role for neuronal development and survival. However, little is known about the consequences of a loss of miRNAs in adult, fully differentiated neurons. To address this question, we used an inducible variant of the Cre recombinase (tamoxifen-inducible CreERT2) under control of Camk2a gene regulatory elements. After induction of Dicer1 gene deletion in adult mouse forebrain, we observed a progressive loss of a whole set of brain-specific miRNAs. Animals were tested in a battery of both aversively and appetitively motivated cognitive tasks, such as Morris water maze, IntelliCage system, or trace fear conditioning. Compatible with rather long half-life of miRNAs in hippocampal neurons, we observed an enhancement of memory strength of mutant mice 12 weeks after the Dicer1 gene mutation, before the onset of neurodegenerative process. In acute brain slices, immediately after high-frequency stimulation of the Schaffer collaterals, the efficacy at CA3-to-CA1 synapses was higher in mutant than in control mice, whereas long-term potentiation was comparable between genotypes. This phenotype was reflected at the subcellular and molecular level by the elongated filopodia-like shaped dendritic spines and an increased translation of synaptic plasticity-related proteins, such as BDNF and MMP-9 in mutant animals. The presented work shows miRNAs as key players in the learning and memory process of mammals.", "author" : [ { "dropping-particle" : "", "family" : "Konopka", "given" : "W.", "non-dropping-particle" : "", "parse-names" : false, "suffix" : "" }, { "dropping-particle" : "", "family" : "Kiryk", "given" : "A.", "non-dropping-particle" : "", "parse-names" : false, "suffix" : "" }, { "dropping-particle" : "", "family" : "Novak", "given" : "M.", "non-dropping-particle" : "", "parse-names" : false, "suffix" : "" }, { "dropping-particle" : "", "family" : "Herwerth", "given" : "M.", "non-dropping-particle" : "", "parse-names" : false, "suffix" : "" }, { "dropping-particle" : "", "family" : "Parkitna", "given" : "J. R.", "non-dropping-particle" : "", "parse-names" : false, "suffix" : "" }, { "dropping-particle" : "", "family" : "Wawrzyniak", "given" : "M.", "non-dropping-particle" : "", "parse-names" : false, "suffix" : "" }, { "dropping-particle" : "", "family" : "Kowarsch", "given" : "A.", "non-dropping-particle" : "", "parse-names" : false, "suffix" : "" }, { "dropping-particle" : "", "family" : "Michaluk", "given" : "P.", "non-dropping-particle" : "", "parse-names" : false, "suffix" : "" }, { "dropping-particle" : "", "family" : "Dzwonek", "given" : "J.", "non-dropping-particle" : "", "parse-names" : false, "suffix" : "" }, { "dropping-particle" : "", "family" : "Arnsperger", "given" : "T.", "non-dropping-particle" : "", "parse-names" : false, "suffix" : "" }, { "dropping-particle" : "", "family" : "Wilczynski", "given" : "G.", "non-dropping-particle" : "", "parse-names" : false, "suffix" : "" }, { "dropping-particle" : "", "family" : "Merkenschlager", "given" : "M.", "non-dropping-particle" : "", "parse-names" : false, "suffix" : "" }, { "dropping-particle" : "", "family" : "Theis", "given" : "F. J.", "non-dropping-particle" : "", "parse-names" : false, "suffix" : "" }, { "dropping-particle" : "", "family" : "Kohr", "given" : "G.", "non-dropping-particle" : "", "parse-names" : false, "suffix" : "" }, { "dropping-particle" : "", "family" : "Kaczmarek", "given" : "L.", "non-dropping-particle" : "", "parse-names" : false, "suffix" : "" }, { "dropping-particle" : "", "family" : "Schutz", "given" : "G.", "non-dropping-particle" : "", "parse-names" : false, "suffix" : "" } ], "container-title" : "Journal of Neuroscience", "id" : "ITEM-1", "issue" : "44", "issued" : { "date-parts" : [ [ "2010" ] ] }, "page" : "14835-14842", "title" : "MicroRNA Loss Enhances Learning and Memory in Mice", "type" : "article-journal", "volume" : "30" }, "uris" : [ "http://www.mendeley.com/documents/?uuid=61db70a8-8238-4cf3-8df5-eea62a9a6111" ] } ], "mendeley" : { "formattedCitation" : "(363)", "plainTextFormattedCitation" : "(363)", "previouslyFormattedCitation" : "(363)" }, "properties" : { "noteIndex" : 61 }, "schema" : "https://github.com/citation-style-language/schema/raw/master/csl-citation.json" }</w:instrText>
      </w:r>
      <w:r w:rsidR="00BC3BBB" w:rsidRPr="00E10C12">
        <w:rPr>
          <w:rFonts w:ascii="Arial" w:hAnsi="Arial" w:cs="Arial"/>
          <w:sz w:val="22"/>
          <w:szCs w:val="22"/>
        </w:rPr>
        <w:fldChar w:fldCharType="separate"/>
      </w:r>
      <w:r w:rsidR="00E10C12" w:rsidRPr="00E10C12">
        <w:rPr>
          <w:rFonts w:ascii="Arial" w:hAnsi="Arial" w:cs="Arial"/>
          <w:noProof/>
          <w:sz w:val="22"/>
          <w:szCs w:val="22"/>
        </w:rPr>
        <w:t>(363)</w:t>
      </w:r>
      <w:r w:rsidR="00BC3BBB" w:rsidRPr="00E10C12">
        <w:rPr>
          <w:rFonts w:ascii="Arial" w:hAnsi="Arial" w:cs="Arial"/>
          <w:sz w:val="22"/>
          <w:szCs w:val="22"/>
        </w:rPr>
        <w:fldChar w:fldCharType="end"/>
      </w:r>
      <w:r w:rsidR="00E10C12" w:rsidRPr="00E10C12">
        <w:rPr>
          <w:rFonts w:ascii="Arial" w:hAnsi="Arial" w:cs="Arial"/>
          <w:sz w:val="22"/>
          <w:szCs w:val="22"/>
        </w:rPr>
        <w:t xml:space="preserve">. </w:t>
      </w:r>
      <w:r w:rsidR="00E10C12" w:rsidRPr="00E10C12">
        <w:rPr>
          <w:rFonts w:ascii="Arial" w:hAnsi="Arial" w:cs="Arial"/>
          <w:sz w:val="22"/>
          <w:szCs w:val="22"/>
          <w:shd w:val="clear" w:color="auto" w:fill="FFFFFF"/>
        </w:rPr>
        <w:t xml:space="preserve">Yang ve ark.’nın yetişkinlerle yaptığı çalışmada miR-124-hedef etkileşimini bozan bir SNP’nin IQGAP1 proteinin ekspresyonunda artışa yol açtığı, bu SNP’yi taşıyan bireylerin </w:t>
      </w:r>
      <w:r w:rsidR="00E10C12" w:rsidRPr="00E10C12">
        <w:rPr>
          <w:rFonts w:ascii="Arial" w:hAnsi="Arial" w:cs="Arial"/>
          <w:i/>
          <w:sz w:val="22"/>
          <w:szCs w:val="22"/>
          <w:shd w:val="clear" w:color="auto" w:fill="FFFFFF"/>
        </w:rPr>
        <w:t>“Tactual Performance Testi”</w:t>
      </w:r>
      <w:r w:rsidR="00E10C12" w:rsidRPr="00E10C12">
        <w:rPr>
          <w:rFonts w:ascii="Arial" w:hAnsi="Arial" w:cs="Arial"/>
          <w:sz w:val="22"/>
          <w:szCs w:val="22"/>
          <w:shd w:val="clear" w:color="auto" w:fill="FFFFFF"/>
        </w:rPr>
        <w:t xml:space="preserve">nden daha iyi sonuç aldıkları belirtilmiştir </w:t>
      </w:r>
      <w:r w:rsidR="00BC3BBB" w:rsidRPr="00E10C12">
        <w:rPr>
          <w:rFonts w:ascii="Arial" w:hAnsi="Arial" w:cs="Arial"/>
          <w:sz w:val="22"/>
          <w:szCs w:val="22"/>
          <w:shd w:val="clear" w:color="auto" w:fill="FFFFFF"/>
        </w:rPr>
        <w:fldChar w:fldCharType="begin" w:fldLock="1"/>
      </w:r>
      <w:r w:rsidR="00E10C12" w:rsidRPr="00E10C12">
        <w:rPr>
          <w:rFonts w:ascii="Arial" w:hAnsi="Arial" w:cs="Arial"/>
          <w:sz w:val="22"/>
          <w:szCs w:val="22"/>
          <w:shd w:val="clear" w:color="auto" w:fill="FFFFFF"/>
        </w:rPr>
        <w:instrText>ADDIN CSL_CITATION { "citationItems" : [ { "id" : "ITEM-1", "itemData" : { "DOI" : "10.1371/journal.pone.0107065", "ISBN" : "1932-6203", "ISSN" : "19326203", "PMID" : "25222038", "abstract" : "As a product of the unique evolution of the human brain, human cognitive performance is largely a collection of heritable traits. Rather surprisingly, to date there have been no reported cases to highlight genes that underwent adaptive evolution in humans and which carry polymorphisms that have a marked effect on cognitive performance. IQ motif containing GTPase activating protein 1 (IQGAP1), a scaffold protein, affects learning and memory in a dose-dependent manner. Its expression is regulated by miR-124 through the binding sites in the 3'UTR, where a SNP (rs1042538) exists in the core-binding motif. Here we showed that this SNP can influence the miR-target interaction both in vitro and in vivo. Individuals carrying the derived T alleles have higher IQGAP1 expression in the brain as compared to the ancestral A allele carriers. We observed a significant and male-specific association between rs1042538 and tactile performances in two independent cohorts. Males with the derived allele displayed higher tactual performances as compared to those with the ancestral allele. Furthermore, we found a highly diverged allele-frequency distribution of rs1042538 among world human populations, likely caused by natural selection and/or recent population expansion. These results suggest that current human populations still carry sequence variations that affect cognitive performances and that these genetic variants may likely have been subject to comparatively recent natural selection.", "author" : [ { "dropping-particle" : "", "family" : "Yang", "given" : "Lixin", "non-dropping-particle" : "", "parse-names" : false, "suffix" : "" }, { "dropping-particle" : "", "family" : "Zhang", "given" : "Rui", "non-dropping-particle" : "", "parse-names" : false, "suffix" : "" }, { "dropping-particle" : "", "family" : "Li", "given" : "Ming", "non-dropping-particle" : "", "parse-names" : false, "suffix" : "" }, { "dropping-particle" : "", "family" : "Wu", "given" : "Xujun", "non-dropping-particle" : "", "parse-names" : false, "suffix" : "" }, { "dropping-particle" : "", "family" : "Wang", "given" : "Jianhong", "non-dropping-particle" : "", "parse-names" : false, "suffix" : "" }, { "dropping-particle" : "", "family" : "Huang", "given" : "Lin", "non-dropping-particle" : "", "parse-names" : false, "suffix" : "" }, { "dropping-particle" : "", "family" : "Shi", "given" : "Xiaodong", "non-dropping-particle" : "", "parse-names" : false, "suffix" : "" }, { "dropping-particle" : "", "family" : "Li", "given" : "Qingwei", "non-dropping-particle" : "", "parse-names" : false, "suffix" : "" }, { "dropping-particle" : "", "family" : "Su", "given" : "Bing", "non-dropping-particle" : "", "parse-names" : false, "suffix" : "" } ], "container-title" : "PLoS ONE", "id" : "ITEM-1", "issue" : "9", "issued" : { "date-parts" : [ [ "2014" ] ] }, "title" : "A functional MiR-124 binding-site polymorphism in IQGAP1 affects human cognitive performance", "type" : "article-journal", "volume" : "9" }, "uris" : [ "http://www.mendeley.com/documents/?uuid=a5385a43-ddc2-4102-b117-cafca270bcd9" ] } ], "mendeley" : { "formattedCitation" : "(357)", "plainTextFormattedCitation" : "(357)", "previouslyFormattedCitation" : "(357)" }, "properties" : { "noteIndex" : 61 }, "schema" : "https://github.com/citation-style-language/schema/raw/master/csl-citation.json" }</w:instrText>
      </w:r>
      <w:r w:rsidR="00BC3BBB" w:rsidRPr="00E10C12">
        <w:rPr>
          <w:rFonts w:ascii="Arial" w:hAnsi="Arial" w:cs="Arial"/>
          <w:sz w:val="22"/>
          <w:szCs w:val="22"/>
          <w:shd w:val="clear" w:color="auto" w:fill="FFFFFF"/>
        </w:rPr>
        <w:fldChar w:fldCharType="separate"/>
      </w:r>
      <w:r w:rsidR="00E10C12" w:rsidRPr="00E10C12">
        <w:rPr>
          <w:rFonts w:ascii="Arial" w:hAnsi="Arial" w:cs="Arial"/>
          <w:noProof/>
          <w:sz w:val="22"/>
          <w:szCs w:val="22"/>
          <w:shd w:val="clear" w:color="auto" w:fill="FFFFFF"/>
        </w:rPr>
        <w:t>(357)</w:t>
      </w:r>
      <w:r w:rsidR="00BC3BBB" w:rsidRPr="00E10C12">
        <w:rPr>
          <w:rFonts w:ascii="Arial" w:hAnsi="Arial" w:cs="Arial"/>
          <w:sz w:val="22"/>
          <w:szCs w:val="22"/>
          <w:shd w:val="clear" w:color="auto" w:fill="FFFFFF"/>
        </w:rPr>
        <w:fldChar w:fldCharType="end"/>
      </w:r>
      <w:r w:rsidR="00E10C12" w:rsidRPr="00E10C12">
        <w:rPr>
          <w:rFonts w:ascii="Arial" w:hAnsi="Arial" w:cs="Arial"/>
          <w:sz w:val="22"/>
          <w:szCs w:val="22"/>
          <w:shd w:val="clear" w:color="auto" w:fill="FFFFFF"/>
        </w:rPr>
        <w:t xml:space="preserve">. </w:t>
      </w:r>
      <w:r w:rsidR="00E10C12" w:rsidRPr="00E10C12">
        <w:rPr>
          <w:rFonts w:ascii="Arial" w:hAnsi="Arial" w:cs="Arial"/>
          <w:sz w:val="22"/>
          <w:szCs w:val="22"/>
        </w:rPr>
        <w:t>Yine CREB (</w:t>
      </w:r>
      <w:r w:rsidR="00E10C12" w:rsidRPr="00E10C12">
        <w:rPr>
          <w:rFonts w:ascii="Arial" w:hAnsi="Arial" w:cs="Arial"/>
          <w:sz w:val="22"/>
          <w:szCs w:val="22"/>
          <w:shd w:val="clear" w:color="auto" w:fill="FFFFFF"/>
        </w:rPr>
        <w:t>CAMP Responsive Element Binding Protein)</w:t>
      </w:r>
      <w:r w:rsidR="00E10C12" w:rsidRPr="00E10C12">
        <w:rPr>
          <w:rFonts w:ascii="Arial" w:hAnsi="Arial" w:cs="Arial"/>
          <w:sz w:val="22"/>
          <w:szCs w:val="22"/>
        </w:rPr>
        <w:t xml:space="preserve"> geni regülasyonu üzerinden miR-124’ün serotonin-bağımlı-uzun-dönem fasilasyona etkileri gösterilmiştir </w:t>
      </w:r>
      <w:r w:rsidR="00BC3BBB" w:rsidRPr="00E10C12">
        <w:rPr>
          <w:rFonts w:ascii="Arial" w:hAnsi="Arial" w:cs="Arial"/>
          <w:sz w:val="22"/>
          <w:szCs w:val="22"/>
        </w:rPr>
        <w:fldChar w:fldCharType="begin" w:fldLock="1"/>
      </w:r>
      <w:r w:rsidR="00E10C12" w:rsidRPr="00E10C12">
        <w:rPr>
          <w:rFonts w:ascii="Arial" w:hAnsi="Arial" w:cs="Arial"/>
          <w:sz w:val="22"/>
          <w:szCs w:val="22"/>
        </w:rPr>
        <w:instrText>ADDIN CSL_CITATION { "citationItems" : [ { "id" : "ITEM-1", "itemData" : { "DOI" : "10.1016/j.neuron.2009.05.029", "ISBN" : "1097-4199 (Electronic)\\r0896-6273 (Linking)", "ISSN" : "08966273", "PMID" : "19778509", "abstract" : "Memory storage and memory-related synaptic plasticity rely on precise spatiotemporal regulation of gene expression. To explore the role of small regulatory RNAs in learning-related synaptic plasticity, we carried out massive parallel sequencing to profile the small RNAs of Aplysia californica. We identified 170 distinct miRNAs, 13 of which were novel and specific to Aplysia. Nine miRNAs were brain enriched, and several of these were rapidly downregulated by\u00a0transient exposure to serotonin, a modulatory neurotransmitter released during learning. Further characterization of the brain-enriched miRNAs revealed that miR-124, the most abundant and well-conserved brain-specific miRNA, was exclusively present presynaptically in a sensory-motor synapse where it constrains serotonin-induced synaptic facilitation through regulation of the transcriptional factor CREB. We therefore present direct evidence that a modulatory neurotransmitter important for learning can regulate the levels of small RNAs and present a role for miR-124 in long-term plasticity of synapses in the mature nervous system. \u00a9 2009 Elsevier Inc. All rights reserved.", "author" : [ { "dropping-particle" : "", "family" : "Rajasethupathy", "given" : "Priyamvada", "non-dropping-particle" : "", "parse-names" : false, "suffix" : "" }, { "dropping-particle" : "", "family" : "Fiumara", "given" : "Ferdinando", "non-dropping-particle" : "", "parse-names" : false, "suffix" : "" }, { "dropping-particle" : "", "family" : "Sheridan", "given" : "Robert", "non-dropping-particle" : "", "parse-names" : false, "suffix" : "" }, { "dropping-particle" : "", "family" : "Betel", "given" : "Doron", "non-dropping-particle" : "", "parse-names" : false, "suffix" : "" }, { "dropping-particle" : "V.", "family" : "Puthanveettil", "given" : "Sathyanarayanan", "non-dropping-particle" : "", "parse-names" : false, "suffix" : "" }, { "dropping-particle" : "", "family" : "Russo", "given" : "James J.", "non-dropping-particle" : "", "parse-names" : false, "suffix" : "" }, { "dropping-particle" : "", "family" : "Sander", "given" : "Chris", "non-dropping-particle" : "", "parse-names" : false, "suffix" : "" }, { "dropping-particle" : "", "family" : "Tuschl", "given" : "Thomas", "non-dropping-particle" : "", "parse-names" : false, "suffix" : "" }, { "dropping-particle" : "", "family" : "Kandel", "given" : "Eric", "non-dropping-particle" : "", "parse-names" : false, "suffix" : "" } ], "container-title" : "Neuron", "id" : "ITEM-1", "issue" : "6", "issued" : { "date-parts" : [ [ "2009" ] ] }, "page" : "803-817", "title" : "Characterization of Small RNAs in Aplysia Reveals a Role for miR-124 in Constraining Synaptic Plasticity through CREB", "type" : "article-journal", "volume" : "63" }, "uris" : [ "http://www.mendeley.com/documents/?uuid=eaa2fd85-2506-437f-8886-973ad19f8db0" ] } ], "mendeley" : { "formattedCitation" : "(364)", "plainTextFormattedCitation" : "(364)", "previouslyFormattedCitation" : "(364)" }, "properties" : { "noteIndex" : 61 }, "schema" : "https://github.com/citation-style-language/schema/raw/master/csl-citation.json" }</w:instrText>
      </w:r>
      <w:r w:rsidR="00BC3BBB" w:rsidRPr="00E10C12">
        <w:rPr>
          <w:rFonts w:ascii="Arial" w:hAnsi="Arial" w:cs="Arial"/>
          <w:sz w:val="22"/>
          <w:szCs w:val="22"/>
        </w:rPr>
        <w:fldChar w:fldCharType="separate"/>
      </w:r>
      <w:r w:rsidR="00E10C12" w:rsidRPr="00E10C12">
        <w:rPr>
          <w:rFonts w:ascii="Arial" w:hAnsi="Arial" w:cs="Arial"/>
          <w:noProof/>
          <w:sz w:val="22"/>
          <w:szCs w:val="22"/>
        </w:rPr>
        <w:t>(364)</w:t>
      </w:r>
      <w:r w:rsidR="00BC3BBB" w:rsidRPr="00E10C12">
        <w:rPr>
          <w:rFonts w:ascii="Arial" w:hAnsi="Arial" w:cs="Arial"/>
          <w:sz w:val="22"/>
          <w:szCs w:val="22"/>
        </w:rPr>
        <w:fldChar w:fldCharType="end"/>
      </w:r>
      <w:r w:rsidR="00E10C12" w:rsidRPr="00E10C12">
        <w:rPr>
          <w:rStyle w:val="mixed-citation"/>
          <w:rFonts w:ascii="Arial" w:hAnsi="Arial" w:cs="Arial"/>
          <w:color w:val="4F81BD" w:themeColor="accent1"/>
          <w:sz w:val="22"/>
          <w:szCs w:val="22"/>
        </w:rPr>
        <w:t>.</w:t>
      </w:r>
      <w:r w:rsidR="00E10C12" w:rsidRPr="00E10C12">
        <w:rPr>
          <w:rStyle w:val="mixed-citation"/>
          <w:rFonts w:ascii="Arial" w:hAnsi="Arial" w:cs="Arial"/>
          <w:sz w:val="22"/>
          <w:szCs w:val="22"/>
        </w:rPr>
        <w:t xml:space="preserve"> miR-124’ün başka bir hedefinin ise NR3C1 (</w:t>
      </w:r>
      <w:r w:rsidR="00E10C12" w:rsidRPr="00E10C12">
        <w:rPr>
          <w:rFonts w:ascii="Arial" w:hAnsi="Arial" w:cs="Arial"/>
          <w:sz w:val="22"/>
          <w:szCs w:val="22"/>
        </w:rPr>
        <w:t>Nuclear Receptor Subfamily 3 Group C Member 1)</w:t>
      </w:r>
      <w:r w:rsidR="00E10C12" w:rsidRPr="00E10C12">
        <w:rPr>
          <w:rStyle w:val="mixed-citation"/>
          <w:rFonts w:ascii="Arial" w:hAnsi="Arial" w:cs="Arial"/>
          <w:sz w:val="22"/>
          <w:szCs w:val="22"/>
        </w:rPr>
        <w:t xml:space="preserve"> geni olduğu gösterilmiştir </w:t>
      </w:r>
      <w:r w:rsidR="00BC3BBB" w:rsidRPr="00E10C12">
        <w:rPr>
          <w:rStyle w:val="mixed-citation"/>
          <w:rFonts w:ascii="Arial" w:hAnsi="Arial" w:cs="Arial"/>
          <w:sz w:val="22"/>
          <w:szCs w:val="22"/>
        </w:rPr>
        <w:fldChar w:fldCharType="begin" w:fldLock="1"/>
      </w:r>
      <w:r w:rsidR="00E10C12" w:rsidRPr="00E10C12">
        <w:rPr>
          <w:rStyle w:val="mixed-citation"/>
          <w:rFonts w:ascii="Arial" w:hAnsi="Arial" w:cs="Arial"/>
          <w:sz w:val="22"/>
          <w:szCs w:val="22"/>
        </w:rPr>
        <w:instrText>ADDIN CSL_CITATION { "citationItems" : [ { "id" : "ITEM-1", "itemData" : { "DOI" : "10.1038/npp.2016.175", "ISSN" : "0893-133X", "PMID" : "27577603", "abstract" : "Major depressive disorder (MDD) is predicted to be the 2(nd) leading cause of global disease burden by 2030. A large number of MDD patients do not respond to the currently available medication because of its poorly understood etiology. Recently, studies of microRNAs (miRNAs), which act as a molecular switch of gene expression, have shown promise in identifying molecular network that could provide significant clues to various psychiatric illnesses. Using an in vitro system, a rodent depression model, and human postmortem brain, we investigated the role of a brain enriched, neuron specific miRNA, miR-124-3p, whose expression is highly dysregulated in stressed rodents, and identified a set of target genes involved in stress response and neural plasticity. We also found that miR-124-3p is epigenetically regulated and its interaction with RNA induced silencing complex (RISC) is compromised in MDD. Using blood serum, we found similar dysregulation of miR-124-3p in antidepressant free MDD subjects. Altogether, our study demonstrates potential contribution of miR-124-3p in the pathophysiology of MDD and suggests that this miRNA may serve as a novel target for drug development and a biomarker for MDD pathogenesis.Neuropsychopharmacology accepted article preview online, 31 August 2016. doi:10.1038/npp.2016.175.", "author" : [ { "dropping-particle" : "", "family" : "Roy", "given" : "Bhaskar", "non-dropping-particle" : "", "parse-names" : false, "suffix" : "" }, { "dropping-particle" : "", "family" : "Dunbar", "given" : "Michael", "non-dropping-particle" : "", "parse-names" : false, "suffix" : "" }, { "dropping-particle" : "", "family" : "Shelton", "given" : "Richard C", "non-dropping-particle" : "", "parse-names" : false, "suffix" : "" }, { "dropping-particle" : "", "family" : "Dwivedi", "given" : "Yogesh", "non-dropping-particle" : "", "parse-names" : false, "suffix" : "" } ], "container-title" : "Neuropsychopharmacology", "id" : "ITEM-1", "issue" : "4", "issued" : { "date-parts" : [ [ "2017" ] ] }, "page" : "864-875", "title" : "Identification of MicroRNA-124-3p as a Putative Epigenetic Signature of Major Depressive Disorder", "type" : "article-journal", "volume" : "42" }, "uris" : [ "http://www.mendeley.com/documents/?uuid=27c532b1-055a-4194-8726-80f2ed082d64" ] }, { "id" : "ITEM-2", "itemData" : { "DOI" : "10.1210/en.2008-1335", "ISBN" : "1945-7170 (Electronic)\\r0013-7227 (Linking)", "ISSN" : "00137227", "PMID" : "19131573", "abstract" : "Glucocorticoids (GCs) exert profound effects on a variety of physiological processes, including adaptation to stress, metabolism, immunity, and neuronal development. Cellular responsiveness to GCs depends on numerous factors, including the amount of the glucocorticoid receptor (GR) protein. We tested the hypothesis that micro-RNAs (miRs), a recently discovered group of noncoding RNAs involved in mRNA translation, might control GR activity by reducing GR protein levels in neuronal tissues. We tested a panel of five miRs consisting of 124aa, 328, 524, 22, and 18. We found that miRs 18 and 124a reduced GR-mediated events in addition to decreasing GR protein levels. miR reporter assays revealed binding of miR-124a to the 3' untranslated region of GR. In correspondence, the activation of the GR-responsive gene glucocorticoid-induced leucine zipper was strongly impaired by miR-124a and -18 overexpression. Although miR-18 is expressed widely throughout the body, expression of miR-124a is restricted to the brain. Endogenous miR-124a up-regulation during neuronal differentiation of P19 cells was associated with a decreasing amount of GR protein levels and reduced activity of luciferase reporter constructs bearing GR 3' untranslated regions. Furthermore, we show that miR-124a expression varies over time during the stress hyporesponsive period, a neonatal period when GC signaling is modulated. Our findings demonstrate a potential role for miRs in the regulation of cell type-specific responsiveness to GCs, as may occur during critical periods of neuronal development. Ultimately, our results may provide a better understanding of the etiology of stress-related diseases as well as the efficacy of GC therapy.", "author" : [ { "dropping-particle" : "", "family" : "Vreugdenhil", "given" : "Erno", "non-dropping-particle" : "", "parse-names" : false, "suffix" : "" }, { "dropping-particle" : "", "family" : "Verissimo", "given" : "Carla S.L.", "non-dropping-particle" : "", "parse-names" : false, "suffix" : "" }, { "dropping-particle" : "", "family" : "Mariman", "given" : "Rob", "non-dropping-particle" : "", "parse-names" : false, "suffix" : "" }, { "dropping-particle" : "", "family" : "Kamphorst", "given" : "Jessica T.", "non-dropping-particle" : "", "parse-names" : false, "suffix" : "" }, { "dropping-particle" : "", "family" : "Barbosa", "given" : "Joana S.", "non-dropping-particle" : "", "parse-names" : false, "suffix" : "" }, { "dropping-particle" : "", "family" : "Zweers", "given" : "Thijs", "non-dropping-particle" : "", "parse-names" : false, "suffix" : "" }, { "dropping-particle" : "", "family" : "Champagne", "given" : "Danielle L.", "non-dropping-particle" : "", "parse-names" : false, "suffix" : "" }, { "dropping-particle" : "", "family" : "Schouten", "given" : "Theo", "non-dropping-particle" : "", "parse-names" : false, "suffix" : "" }, { "dropping-particle" : "", "family" : "Meijer", "given" : "Onno C.", "non-dropping-particle" : "", "parse-names" : false, "suffix" : "" }, { "dropping-particle" : "", "family" : "Ron Kloet", "given" : "E.", "non-dropping-particle" : "De", "parse-names" : false, "suffix" : "" }, { "dropping-particle" : "", "family" : "Fitzsimons", "given" : "Carlos P.", "non-dropping-particle" : "", "parse-names" : false, "suffix" : "" } ], "container-title" : "Endocrinology", "id" : "ITEM-2", "issue" : "5", "issued" : { "date-parts" : [ [ "2009" ] ] }, "page" : "2220-2228", "title" : "MicroRNA 18 and 124a down-regulate the glucocorticoid receptor: Implications for glucocorticoid responsiveness in the brain", "type" : "article-journal", "volume" : "150" }, "uris" : [ "http://www.mendeley.com/documents/?uuid=acbc9331-49e8-4707-a0aa-8c0e1199e617" ] } ], "mendeley" : { "formattedCitation" : "(365,366)", "plainTextFormattedCitation" : "(365,366)", "previouslyFormattedCitation" : "(365,366)" }, "properties" : { "noteIndex" : 61 }, "schema" : "https://github.com/citation-style-language/schema/raw/master/csl-citation.json" }</w:instrText>
      </w:r>
      <w:r w:rsidR="00BC3BBB" w:rsidRPr="00E10C12">
        <w:rPr>
          <w:rStyle w:val="mixed-citation"/>
          <w:rFonts w:ascii="Arial" w:hAnsi="Arial" w:cs="Arial"/>
          <w:sz w:val="22"/>
          <w:szCs w:val="22"/>
        </w:rPr>
        <w:fldChar w:fldCharType="separate"/>
      </w:r>
      <w:r w:rsidR="00E10C12" w:rsidRPr="00E10C12">
        <w:rPr>
          <w:rStyle w:val="mixed-citation"/>
          <w:rFonts w:ascii="Arial" w:hAnsi="Arial" w:cs="Arial"/>
          <w:noProof/>
          <w:sz w:val="22"/>
          <w:szCs w:val="22"/>
        </w:rPr>
        <w:t>(365,366)</w:t>
      </w:r>
      <w:r w:rsidR="00BC3BBB" w:rsidRPr="00E10C12">
        <w:rPr>
          <w:rStyle w:val="mixed-citation"/>
          <w:rFonts w:ascii="Arial" w:hAnsi="Arial" w:cs="Arial"/>
          <w:sz w:val="22"/>
          <w:szCs w:val="22"/>
        </w:rPr>
        <w:fldChar w:fldCharType="end"/>
      </w:r>
      <w:r w:rsidR="00E10C12" w:rsidRPr="00E10C12">
        <w:rPr>
          <w:rStyle w:val="mixed-citation"/>
          <w:rFonts w:ascii="Arial" w:hAnsi="Arial" w:cs="Arial"/>
          <w:sz w:val="22"/>
          <w:szCs w:val="22"/>
        </w:rPr>
        <w:t xml:space="preserve">. </w:t>
      </w:r>
      <w:r w:rsidR="00E10C12" w:rsidRPr="00E10C12">
        <w:rPr>
          <w:rFonts w:ascii="Arial" w:hAnsi="Arial" w:cs="Arial"/>
          <w:sz w:val="22"/>
          <w:szCs w:val="22"/>
        </w:rPr>
        <w:t xml:space="preserve">Glukokortikoid reseptörünü kodlayan NR3C1 geni ve DEHB arasında ilişki gösteren çalışmalar mevcuttur </w:t>
      </w:r>
      <w:r w:rsidR="00BC3BBB" w:rsidRPr="00E10C12">
        <w:rPr>
          <w:rFonts w:ascii="Arial" w:hAnsi="Arial" w:cs="Arial"/>
          <w:sz w:val="22"/>
          <w:szCs w:val="22"/>
        </w:rPr>
        <w:fldChar w:fldCharType="begin" w:fldLock="1"/>
      </w:r>
      <w:r w:rsidR="00E10C12" w:rsidRPr="00E10C12">
        <w:rPr>
          <w:rFonts w:ascii="Arial" w:hAnsi="Arial" w:cs="Arial"/>
          <w:sz w:val="22"/>
          <w:szCs w:val="22"/>
        </w:rPr>
        <w:instrText>ADDIN CSL_CITATION { "citationItems" : [ { "id" : "ITEM-1", "itemData" : { "DOI" : "10.1007/s12035-015-9679-z", "ISSN" : "1559-1182", "PMID" : "26820676", "abstract" : "Attention deficit hyperactivity disorder (ADHD) is a child developmental and behavioral disorder which seriously hinders their education and development. To investigate the key regulators in the prefrontal cortex (PFC), the major affected areas of ADHD, microRNA (miR)-138,138*, 34c*, 296, and 494, were noted for their significant downregulation in ADHD model rats spontaneously hypertensive rats (SHRs) compared to Wistar Kyoto (WKY) rat control. Based on promoter sequence analysis and activity assay, glucocorticoid receptor (Nr3c1) was identified for the inhibition of the promoter activity of miR-138-1, 34c*, 296, and 494 genes and their transcription. In the PFC of ADHD model rats SHR, Nr3c1 expression was abnormally elevated and reversely correlated with the levels of miR-138-1, 34c, 296, and 494 expression. Luciferase report assays indicated that all miR-138, 138*, 34c*, 296, and 494 targeted the 3' untranslated region of transcription factor Bhlhb2 (Bhlhe40) messenger RNA (mRNA) in common and ectopic expression of miR-138,138*, 34c*, 296, and 494 further suppressed the expression of Bhlhb2 gene. Consistently, Bhlhb2 expression was significantly higher in PFC of ADHD model SHR than control. Overexpressed Bhlhb2 in vitro significantly suppressed PC12 cell differentiation, and silence of Bhlhb2 enhanced the growth of neurite axon and dendrite. To observe the roles of Bhlhb2 further in vivo, Bhlhb2 was silenced in the PFC of nine SHR rats. Interestingly, knockdown of Bhlhb2 significantly improved the hyperactivity behaviors in SHRs compared to control. These findings show that Nr3c1-Bhlhb2 axis dysregulation was involved in the development of attention deficit and hyperactivity.", "author" : [ { "dropping-particle" : "", "family" : "Wu", "given" : "Li Hui", "non-dropping-particle" : "", "parse-names" : false, "suffix" : "" }, { "dropping-particle" : "", "family" : "Cheng", "given" : "Wei", "non-dropping-particle" : "", "parse-names" : false, "suffix" : "" }, { "dropping-particle" : "", "family" : "Yu", "given" : "Mei", "non-dropping-particle" : "", "parse-names" : false, "suffix" : "" }, { "dropping-particle" : "", "family" : "He", "given" : "Bao Mei", "non-dropping-particle" : "", "parse-names" : false, "suffix" : "" }, { "dropping-particle" : "", "family" : "Sun", "given" : "Hui", "non-dropping-particle" : "", "parse-names" : false, "suffix" : "" }, { "dropping-particle" : "", "family" : "Chen", "given" : "Qi", "non-dropping-particle" : "", "parse-names" : false, "suffix" : "" }, { "dropping-particle" : "", "family" : "Dong", "given" : "Yi Wei", "non-dropping-particle" : "", "parse-names" : false, "suffix" : "" }, { "dropping-particle" : "", "family" : "Shao", "given" : "Xiao Ting", "non-dropping-particle" : "", "parse-names" : false, "suffix" : "" }, { "dropping-particle" : "", "family" : "Cai", "given" : "Qian Qian", "non-dropping-particle" : "", "parse-names" : false, "suffix" : "" }, { "dropping-particle" : "", "family" : "Peng", "given" : "Min", "non-dropping-particle" : "", "parse-names" : false, "suffix" : "" }, { "dropping-particle" : "", "family" : "Wu", "given" : "Xing Zhong", "non-dropping-particle" : "", "parse-names" : false, "suffix" : "" } ], "container-title" : "Molecular neurobiology", "id" : "ITEM-1", "issue" : "2", "issued" : { "date-parts" : [ [ "2017", "3", "28" ] ] }, "page" : "1196-1212", "title" : "Nr3C1-Bhlhb2 Axis Dysregulation Is Involved in the Development of Attention Deficit Hyperactivity.", "type" : "article-journal", "volume" : "54" }, "uris" : [ "http://www.mendeley.com/documents/?uuid=d896d854-87b4-324f-bab6-9853e088d8b4" ] }, { "id" : "ITEM-2", "itemData" : { "DOI" : "http://dx.doi.org/10.1007/s12017-012-8202-1", "ISBN" : "1535-1084\\r1559-1174", "PMID" : "2013146484", "abstract" : "Exposure to stressors results in a spectrum of autonomic, endocrine, and behavioral responses. A key pathway in this response to stress is the hypothalamic-pituitary-adrenal (HPA) axis, which results in a transient increase in circulating cortisol, which exerts its effects through the two related ligand-activated transcription factors: the glucocorticoid receptor (GR) and mineralocorticoid receptor (MR). Genetic polymorphisms in these receptors have been shown to influence HPA axis reactivity, and chronic dysregulation of the HPA axis has been associated with the development of several psychiatric disorders. The objective of the study was to test the association between four functional polymorphisms in NR3C1 (encoding GR: ER22/23EK-rs6189, N363S-rs6195, BclI-rs41423247, A3669G-rs6198) and two in NR3C2 (encoding MR: 215G/C-rs2070951, I180 V-rs5522) with childhood ADHD. Family-based association tests (FBAT) were conducted with the categorical diagnosis of ADHD, behavioral and cognitive phenotypes related to ADHD, as well as with treatment response assessed in a 2-week, double-blind, placebo-controlled trial with methylphenidate. A specific haplotype (G:A:G:G; ER22/23EK- N363S- BclI- A3669G) of NR3C1 showed a significant association with behaviors related to ADHD (particularly thought and attention problems, aggressive behavior), comorbidity with oppositional defiant disorder, and executive function domains. An association was also observed with treatment response (assessed by the Conners'-Teachers and Restricted Academic Situation Scale). In contrast, MR gene polymorphisms were not associated with any of the variables tested. To the best of our knowledge, this is the first report showing an association between functional polymorphisms in NR3C1 and ADHD, providing genetic evidence for involvement of the HPA axis in the disorder and treatment response. 2012 Springer Science+Business Media New York.", "author" : [ { "dropping-particle" : "", "family" : "Fortier", "given" : "M E", "non-dropping-particle" : "", "parse-names" : false, "suffix" : "" }, { "dropping-particle" : "", "family" : "Sengupta", "given" : "S M", "non-dropping-particle" : "", "parse-names" : false, "suffix" : "" }, { "dropping-particle" : "", "family" : "Grizenko", "given" : "N", "non-dropping-particle" : "", "parse-names" : false, "suffix" : "" }, { "dropping-particle" : "", "family" : "Choudhry", "given" : "Z", "non-dropping-particle" : "", "parse-names" : false, "suffix" : "" }, { "dropping-particle" : "", "family" : "Thakur", "given" : "G", "non-dropping-particle" : "", "parse-names" : false, "suffix" : "" }, { "dropping-particle" : "", "family" : "Joober", "given" : "R", "non-dropping-particle" : "", "parse-names" : false, "suffix" : "" } ], "container-title" : "Neuromolecular Medicine", "id" : "ITEM-2", "issue" : "1", "issued" : { "date-parts" : [ [ "2013" ] ] }, "page" : "122-132", "title" : "Genetic evidence for the association of the hypothalamic-pituitary-adrenal (HPA) axis with ADHD and methylphenidate treatment response", "type" : "article-journal", "volume" : "15" }, "uris" : [ "http://www.mendeley.com/documents/?uuid=4632c891-e427-4ac3-8bdf-e7651a66876b" ] } ], "mendeley" : { "formattedCitation" : "(242,367)", "plainTextFormattedCitation" : "(242,367)", "previouslyFormattedCitation" : "(240,367)" }, "properties" : { "noteIndex" : 61 }, "schema" : "https://github.com/citation-style-language/schema/raw/master/csl-citation.json" }</w:instrText>
      </w:r>
      <w:r w:rsidR="00BC3BBB" w:rsidRPr="00E10C12">
        <w:rPr>
          <w:rFonts w:ascii="Arial" w:hAnsi="Arial" w:cs="Arial"/>
          <w:sz w:val="22"/>
          <w:szCs w:val="22"/>
        </w:rPr>
        <w:fldChar w:fldCharType="separate"/>
      </w:r>
      <w:r w:rsidR="00E10C12" w:rsidRPr="00E10C12">
        <w:rPr>
          <w:rFonts w:ascii="Arial" w:hAnsi="Arial" w:cs="Arial"/>
          <w:noProof/>
          <w:sz w:val="22"/>
          <w:szCs w:val="22"/>
        </w:rPr>
        <w:t>(242,367)</w:t>
      </w:r>
      <w:r w:rsidR="00BC3BBB" w:rsidRPr="00E10C12">
        <w:rPr>
          <w:rFonts w:ascii="Arial" w:hAnsi="Arial" w:cs="Arial"/>
          <w:sz w:val="22"/>
          <w:szCs w:val="22"/>
        </w:rPr>
        <w:fldChar w:fldCharType="end"/>
      </w:r>
      <w:r w:rsidR="00E10C12" w:rsidRPr="00E10C12">
        <w:rPr>
          <w:rFonts w:ascii="Arial" w:hAnsi="Arial" w:cs="Arial"/>
          <w:sz w:val="22"/>
          <w:szCs w:val="22"/>
        </w:rPr>
        <w:t xml:space="preserve">. </w:t>
      </w:r>
      <w:bookmarkStart w:id="1" w:name="_z5jwfthk02wc" w:colFirst="0" w:colLast="0"/>
      <w:bookmarkStart w:id="2" w:name="_x8ccjwfdckis" w:colFirst="0" w:colLast="0"/>
      <w:bookmarkStart w:id="3" w:name="_2et92p0" w:colFirst="0" w:colLast="0"/>
      <w:bookmarkEnd w:id="1"/>
      <w:bookmarkEnd w:id="2"/>
      <w:bookmarkEnd w:id="3"/>
    </w:p>
    <w:p w:rsidR="00E10C12" w:rsidRPr="00E10C12" w:rsidRDefault="00C60153" w:rsidP="00E10C12">
      <w:pPr>
        <w:autoSpaceDE w:val="0"/>
        <w:autoSpaceDN w:val="0"/>
        <w:adjustRightInd w:val="0"/>
        <w:spacing w:line="360" w:lineRule="auto"/>
        <w:jc w:val="both"/>
        <w:rPr>
          <w:rFonts w:ascii="Arial" w:eastAsia="Arial" w:hAnsi="Arial" w:cs="Arial"/>
          <w:sz w:val="22"/>
          <w:szCs w:val="22"/>
        </w:rPr>
      </w:pPr>
      <w:r>
        <w:rPr>
          <w:rFonts w:ascii="Arial" w:eastAsia="Arial" w:hAnsi="Arial" w:cs="Arial"/>
        </w:rPr>
        <w:tab/>
      </w:r>
      <w:r w:rsidR="00E10C12" w:rsidRPr="00E10C12">
        <w:rPr>
          <w:rFonts w:ascii="Arial" w:eastAsia="Arial" w:hAnsi="Arial" w:cs="Arial"/>
          <w:sz w:val="22"/>
          <w:szCs w:val="22"/>
        </w:rPr>
        <w:t>Eldeki bilgiler doğrultusunda miR-124’ün dopaminerjik nöron sağkalımına, erken strese verilen cevaba ve DLPFK disfonksiyona etkisi ve de DEHB</w:t>
      </w:r>
      <w:r w:rsidR="00E10C12">
        <w:rPr>
          <w:rFonts w:ascii="Arial" w:eastAsia="Arial" w:hAnsi="Arial" w:cs="Arial"/>
          <w:sz w:val="22"/>
          <w:szCs w:val="22"/>
        </w:rPr>
        <w:t xml:space="preserve"> et</w:t>
      </w:r>
      <w:r w:rsidR="00E10C12" w:rsidRPr="00E10C12">
        <w:rPr>
          <w:rFonts w:ascii="Arial" w:eastAsia="Arial" w:hAnsi="Arial" w:cs="Arial"/>
          <w:sz w:val="22"/>
          <w:szCs w:val="22"/>
        </w:rPr>
        <w:t xml:space="preserve">yopatogenezinde  suçlanan genlerle ilişkisi (ör: DRD4, BDNF) nedeniyle </w:t>
      </w:r>
      <w:r w:rsidR="00422AE5">
        <w:rPr>
          <w:rFonts w:ascii="Arial" w:eastAsia="Arial" w:hAnsi="Arial" w:cs="Arial"/>
          <w:sz w:val="22"/>
          <w:szCs w:val="22"/>
        </w:rPr>
        <w:t>DEHB</w:t>
      </w:r>
      <w:r w:rsidR="00E10C12" w:rsidRPr="00E10C12">
        <w:rPr>
          <w:rFonts w:ascii="Arial" w:eastAsia="Arial" w:hAnsi="Arial" w:cs="Arial"/>
          <w:sz w:val="22"/>
          <w:szCs w:val="22"/>
        </w:rPr>
        <w:t xml:space="preserve"> ile ilişkili olabileceği hipotezini kurduk. Ayrıca miR-124’ün DEHB’de sık rastlanılan kognitif ve sosyal işlevsellikte bozulma gibi klinik bulgularla ortaya konulmuş olan ilişkisi de bu hipotezimizi kuvvetlendirmiştir.  </w:t>
      </w:r>
      <w:r w:rsidR="00C83B85">
        <w:rPr>
          <w:rFonts w:ascii="Arial" w:eastAsia="Arial" w:hAnsi="Arial" w:cs="Arial"/>
          <w:sz w:val="22"/>
          <w:szCs w:val="22"/>
        </w:rPr>
        <w:t xml:space="preserve">Olgu grubunda miR-124-3p düzeyleri kontrol grubuna göredaha yüksek saptanmış fakat istatistiksel olarak anlamlı bulunmamıştır (p=0.193). </w:t>
      </w:r>
      <w:r w:rsidR="00E10C12" w:rsidRPr="00E10C12">
        <w:rPr>
          <w:rFonts w:ascii="Arial" w:eastAsia="Arial" w:hAnsi="Arial" w:cs="Arial"/>
          <w:sz w:val="22"/>
          <w:szCs w:val="22"/>
        </w:rPr>
        <w:t xml:space="preserve">Bununla birlikte, miR-124-3p düzeyleri ile öğretmenler tarafından doldurulan </w:t>
      </w:r>
      <w:r w:rsidR="00E10C12" w:rsidRPr="00E10C12">
        <w:rPr>
          <w:rFonts w:ascii="Arial" w:eastAsia="Arial" w:hAnsi="Arial" w:cs="Arial"/>
          <w:i/>
          <w:sz w:val="22"/>
          <w:szCs w:val="22"/>
        </w:rPr>
        <w:t xml:space="preserve">DSM-IV Belirti Listesi Dikkat Eksikliği Alt Başlığı </w:t>
      </w:r>
      <w:r w:rsidR="00E10C12" w:rsidRPr="00E10C12">
        <w:rPr>
          <w:rFonts w:ascii="Arial" w:eastAsia="Arial" w:hAnsi="Arial" w:cs="Arial"/>
          <w:sz w:val="22"/>
          <w:szCs w:val="22"/>
        </w:rPr>
        <w:t>puanları arasında orta düzeyde ilişki saptanmıştır (</w:t>
      </w:r>
      <w:r w:rsidR="005D08E6" w:rsidRPr="005D08E6">
        <w:rPr>
          <w:rFonts w:ascii="Arial" w:eastAsia="Arial" w:hAnsi="Arial" w:cs="Arial"/>
          <w:b/>
          <w:sz w:val="22"/>
          <w:szCs w:val="22"/>
        </w:rPr>
        <w:t xml:space="preserve">r=-0.435 </w:t>
      </w:r>
      <w:r w:rsidR="00E10C12" w:rsidRPr="005D08E6">
        <w:rPr>
          <w:rFonts w:ascii="Arial" w:eastAsia="Arial" w:hAnsi="Arial" w:cs="Arial"/>
          <w:b/>
          <w:sz w:val="22"/>
          <w:szCs w:val="22"/>
        </w:rPr>
        <w:t>p=0.048</w:t>
      </w:r>
      <w:r w:rsidR="00E10C12" w:rsidRPr="00E10C12">
        <w:rPr>
          <w:rFonts w:ascii="Arial" w:eastAsia="Arial" w:hAnsi="Arial" w:cs="Arial"/>
          <w:sz w:val="22"/>
          <w:szCs w:val="22"/>
        </w:rPr>
        <w:t xml:space="preserve">). Bu bulgunun miR-124-3p’nin nörokognitif fonksiyonlar üzerindeki etkisini gösteriyor olabileceği düşünülmüştür. Gruplar arasında beklenilen anlamlı farklılığın tespit edilememis olması, sadece kombine tip olguları çalışmaya dahil etmemiz, kognitif işlevsellikte bozulmanın ön planda olduğu dikkat eksikliği baskın olguları dışlamamız ile ilişkili olabilir. Ayrıca örneklem sayımızın az olması da hasta ve kontrol grupları arasında istatistiksel olarak anlamlı bir fark saptamamıza engel teşkil etmiş olabilir. Bunlarla birlikte ileriki çalışmalarda katılımcıların nörokognitif işlevselliklerini ölçen test </w:t>
      </w:r>
      <w:r w:rsidR="00E10C12" w:rsidRPr="00E10C12">
        <w:rPr>
          <w:rFonts w:ascii="Arial" w:eastAsia="Arial" w:hAnsi="Arial" w:cs="Arial"/>
          <w:sz w:val="22"/>
          <w:szCs w:val="22"/>
        </w:rPr>
        <w:lastRenderedPageBreak/>
        <w:t>sonuçlarına göre alt gruplara ayrılması ve bu alt grupların miR-124 düzeylerinin karşılaştırılmasının gerekliliği ortaya çıkmıştır.</w:t>
      </w:r>
    </w:p>
    <w:p w:rsidR="00E10C12" w:rsidRPr="00E10C12" w:rsidRDefault="00E10C12" w:rsidP="00E10C12">
      <w:pPr>
        <w:spacing w:line="360" w:lineRule="auto"/>
        <w:ind w:firstLine="720"/>
        <w:jc w:val="both"/>
        <w:rPr>
          <w:rFonts w:ascii="Arial" w:hAnsi="Arial" w:cs="Arial"/>
          <w:color w:val="E36C0A" w:themeColor="accent6" w:themeShade="BF"/>
          <w:sz w:val="22"/>
          <w:szCs w:val="22"/>
        </w:rPr>
      </w:pPr>
      <w:r w:rsidRPr="00E10C12">
        <w:rPr>
          <w:rFonts w:ascii="Arial" w:hAnsi="Arial" w:cs="Arial"/>
          <w:b/>
          <w:sz w:val="22"/>
          <w:szCs w:val="22"/>
        </w:rPr>
        <w:t>miR-107:</w:t>
      </w:r>
      <w:r w:rsidRPr="00E10C12">
        <w:rPr>
          <w:rFonts w:ascii="Arial" w:hAnsi="Arial" w:cs="Arial"/>
          <w:sz w:val="22"/>
          <w:szCs w:val="22"/>
        </w:rPr>
        <w:t xml:space="preserve"> Çalışmamızda olgu grubu ve kontrol grubu periferik kan miR-107 düzeyleri karşılaştırıldığında, iki grup arasında istatistiksel olarak anlamlı bir fark bulunamamıştır. Literatürde miR-107 düzeyi ve DEHB arasındaki ilişkiyi sorgulayan başka bir çalışmada Kandemir ve ark. DEHB’li çocukların periferik kan örneklerindeki miR-107 düzeyini kontrollere göre azalmış saptamışlardır. Ayrıca 0.448’in altındaki miR-107 düzeylerinin DEHB için pozitif prediktif değerini %70.6, negatif prediktif değerini %86.5 olarak hesaplamışlar, miR-107 düzeyinin biomarker adayı olabileceğini belirtmişlerdir </w:t>
      </w:r>
      <w:r w:rsidR="00BC3BBB" w:rsidRPr="00E10C12">
        <w:rPr>
          <w:rFonts w:ascii="Arial" w:hAnsi="Arial" w:cs="Arial"/>
          <w:sz w:val="22"/>
          <w:szCs w:val="22"/>
        </w:rPr>
        <w:fldChar w:fldCharType="begin" w:fldLock="1"/>
      </w:r>
      <w:r w:rsidRPr="00E10C12">
        <w:rPr>
          <w:rFonts w:ascii="Arial" w:hAnsi="Arial" w:cs="Arial"/>
          <w:sz w:val="22"/>
          <w:szCs w:val="22"/>
        </w:rPr>
        <w:instrText>ADDIN CSL_CITATION { "citationItems" : [ { "id" : "ITEM-1", "itemData" : { "PMID" : "2014562316", "abstract" : "Attention-deficit/hyperactivity disorder (ADHD) is one of the most prevalent childhood disorders, although disorders etiology and pathogenesis remains unknown, several theories about ADHD development have been proposed and many researchers believe that it is caused by both genetic and environmental factors. In this study we evaluated miR18a-5p, miR22-3p, miR24-3p, miR106b-5p, miR107, miR125b-5p and miR155a-5p levels in child and adolescent ADHD patients. The research sample consisted a group of 52 ADHD patients, and 52 healthy volunteer controls. There was no significant difference in age and sex between the two groups (p&gt; 0.05). miRNA 18a-5p, 22-3p, 24-3p, 106b-5p and 107 levels were statistically significantly decreased in ADHD patients(p&lt; 0.05). miRNA 155a-5p levels were increased in patients group (p&lt; 0.05). The positive predictive value (PPV) and negative predictive value of miR107 was estimated for the cutoff point of 0.4480. PPV was 70% and NPV was 86.5% for the taken cut off point. There could be a close relationship between levels of circulating miRNAs and ADHD. If we could understand how the signaling pathways arranged by miRNAs, impact on CNS development, function and pathology this can improve our knowledge about ADHD etiology and treatment. 2014 Elsevier Ireland Ltd.", "author" : [ { "dropping-particle" : "", "family" : "Kandemir", "given" : "H", "non-dropping-particle" : "", "parse-names" : false, "suffix" : "" }, { "dropping-particle" : "", "family" : "Erdal", "given" : "M E", "non-dropping-particle" : "", "parse-names" : false, "suffix" : "" }, { "dropping-particle" : "", "family" : "Selek", "given" : "S", "non-dropping-particle" : "", "parse-names" : false, "suffix" : "" }, { "dropping-particle" : "", "family" : "Ay", "given" : "O I", "non-dropping-particle" : "", "parse-names" : false, "suffix" : "" }, { "dropping-particle" : "", "family" : "Karababa", "given" : "T F", "non-dropping-particle" : "", "parse-names" : false, "suffix" : "" }, { "dropping-particle" : "", "family" : "Kandemir", "given" : "S B", "non-dropping-particle" : "", "parse-names" : false, "suffix" : "" }, { "dropping-particle" : "", "family" : "Ay", "given" : "M E", "non-dropping-particle" : "", "parse-names" : false, "suffix" : "" }, { "dropping-particle" : "", "family" : "Yilmaz", "given" : "T G", "non-dropping-particle" : "", "parse-names" : false, "suffix" : "" }, { "dropping-particle" : "", "family" : "Bayazit", "given" : "H", "non-dropping-particle" : "", "parse-names" : false, "suffix" : "" }, { "dropping-particle" : "", "family" : "Tasdelen", "given" : "B", "non-dropping-particle" : "", "parse-names" : false, "suffix" : "" } ], "container-title" : "Neuroscience Letters", "id" : "ITEM-1", "issued" : { "date-parts" : [ [ "2014" ] ] }, "page" : "158-162", "title" : "Evaluation of several micro RNA (miRNA) levels in children and adolescents with attention deficit hyperactivity disorder", "type" : "article-journal", "volume" : "580" }, "uris" : [ "http://www.mendeley.com/documents/?uuid=69499660-946a-47ee-b34e-132295ad0567" ] } ], "mendeley" : { "formattedCitation" : "(17)", "plainTextFormattedCitation" : "(17)", "previouslyFormattedCitation" : "(17)" }, "properties" : { "noteIndex" : 62 }, "schema" : "https://github.com/citation-style-language/schema/raw/master/csl-citation.json" }</w:instrText>
      </w:r>
      <w:r w:rsidR="00BC3BBB" w:rsidRPr="00E10C12">
        <w:rPr>
          <w:rFonts w:ascii="Arial" w:hAnsi="Arial" w:cs="Arial"/>
          <w:sz w:val="22"/>
          <w:szCs w:val="22"/>
        </w:rPr>
        <w:fldChar w:fldCharType="separate"/>
      </w:r>
      <w:r w:rsidRPr="00E10C12">
        <w:rPr>
          <w:rFonts w:ascii="Arial" w:hAnsi="Arial" w:cs="Arial"/>
          <w:noProof/>
          <w:sz w:val="22"/>
          <w:szCs w:val="22"/>
        </w:rPr>
        <w:t>(17)</w:t>
      </w:r>
      <w:r w:rsidR="00BC3BBB" w:rsidRPr="00E10C12">
        <w:rPr>
          <w:rFonts w:ascii="Arial" w:hAnsi="Arial" w:cs="Arial"/>
          <w:sz w:val="22"/>
          <w:szCs w:val="22"/>
        </w:rPr>
        <w:fldChar w:fldCharType="end"/>
      </w:r>
      <w:r w:rsidRPr="00E10C12">
        <w:rPr>
          <w:rFonts w:ascii="Arial" w:hAnsi="Arial" w:cs="Arial"/>
          <w:sz w:val="22"/>
          <w:szCs w:val="22"/>
        </w:rPr>
        <w:t xml:space="preserve">. Yazarlar, travmatik beyin hasarı ve nörodejeneratif bozukluklarda miR-107 düzeyinin değişmiş saptanması </w:t>
      </w:r>
      <w:r w:rsidR="00BC3BBB" w:rsidRPr="00E10C12">
        <w:rPr>
          <w:rFonts w:ascii="Arial" w:hAnsi="Arial" w:cs="Arial"/>
          <w:sz w:val="22"/>
          <w:szCs w:val="22"/>
        </w:rPr>
        <w:fldChar w:fldCharType="begin" w:fldLock="1"/>
      </w:r>
      <w:r w:rsidRPr="00E10C12">
        <w:rPr>
          <w:rFonts w:ascii="Arial" w:hAnsi="Arial" w:cs="Arial"/>
          <w:sz w:val="22"/>
          <w:szCs w:val="22"/>
        </w:rPr>
        <w:instrText>ADDIN CSL_CITATION { "citationItems" : [ { "id" : "ITEM-1", "itemData" : { "DOI" : "10.2353/ajpath.2010.091202", "ISBN" : "0002-9440", "ISSN" : "00029440", "PMID" : "20489155", "abstract" : "Granulin (GRN, or progranulin) is a protein involved in wound repair, inflammation, and neoplasia. GRN has also been directly implicated in frontotemporal dementia and may contribute to Alzheimer's disease pathogenesis. However, GRN regulation expression is poorly understood. A high-throughput experimental microRNA assay showed that GRN is the strongest target for miR-107 in human H4 neuroglioma cells. miR-107 has been implicated in Alzheimer's disease pathogenesis, and sequence elements in the open reading frame-rather than the 3' untranslated region-of GRN mRNA are recognized by miR-107 and are highly conserved among vertebrate species. To better understand the mechanism of this interaction, FLAG-tagged Argonaute constructs were used following miR-107 transfection. GRN mRNA interacts preferentially with Argonaute 2. In vitro and in vivo studies indicate that regulation of GRN by miR-107 may be functionally important. Glucose supplementation in cultured cells that leads to increased miR-107 levels also results in decreased GRN expression, including changes in cell compartmentation and decreased secretion of GRN protein. This effect was eliminated following miR-107 transfection. We also tested a mouse model where miR-107 has been shown to be down-regulated. In brain tissue subjacent to 1.0 mm depth controlled cortical impact, surviving hippocampal neurons show decreased miR-107 with augmentation of neuronal GRN expression. These findings indicate that miR-107 contributes to GRN expression regulation with implications for brain disorders.", "author" : [ { "dropping-particle" : "", "family" : "Wang", "given" : "Wang-Xia", "non-dropping-particle" : "", "parse-names" : false, "suffix" : "" }, { "dropping-particle" : "", "family" : "Wilfred", "given" : "Bernard R", "non-dropping-particle" : "", "parse-names" : false, "suffix" : "" }, { "dropping-particle" : "", "family" : "Madathil", "given" : "Sindhu K", "non-dropping-particle" : "", "parse-names" : false, "suffix" : "" }, { "dropping-particle" : "", "family" : "Tang", "given" : "Guiliang", "non-dropping-particle" : "", "parse-names" : false, "suffix" : "" }, { "dropping-particle" : "", "family" : "Hu", "given" : "Yanling", "non-dropping-particle" : "", "parse-names" : false, "suffix" : "" }, { "dropping-particle" : "", "family" : "Dimayuga", "given" : "James", "non-dropping-particle" : "", "parse-names" : false, "suffix" : "" }, { "dropping-particle" : "", "family" : "Stromberg", "given" : "Arnold J", "non-dropping-particle" : "", "parse-names" : false, "suffix" : "" }, { "dropping-particle" : "", "family" : "Huang", "given" : "Qingwei", "non-dropping-particle" : "", "parse-names" : false, "suffix" : "" }, { "dropping-particle" : "", "family" : "Saatman", "given" : "Kathryn E", "non-dropping-particle" : "", "parse-names" : false, "suffix" : "" }, { "dropping-particle" : "", "family" : "Nelson", "given" : "Peter T", "non-dropping-particle" : "", "parse-names" : false, "suffix" : "" } ], "container-title" : "The American journal of pathology", "id" : "ITEM-1", "issue" : "1", "issued" : { "date-parts" : [ [ "2010" ] ] }, "page" : "334-345", "title" : "miR-107 regulates granulin/progranulin with implications for traumatic brain injury and neurodegenerative disease.", "type" : "article-journal", "volume" : "177" }, "uris" : [ "http://www.mendeley.com/documents/?uuid=8bfc0815-671a-4c69-bd2c-d9a2c119ec18" ] } ], "mendeley" : { "formattedCitation" : "(244)", "plainTextFormattedCitation" : "(244)", "previouslyFormattedCitation" : "(242)" }, "properties" : { "noteIndex" : 62 }, "schema" : "https://github.com/citation-style-language/schema/raw/master/csl-citation.json" }</w:instrText>
      </w:r>
      <w:r w:rsidR="00BC3BBB" w:rsidRPr="00E10C12">
        <w:rPr>
          <w:rFonts w:ascii="Arial" w:hAnsi="Arial" w:cs="Arial"/>
          <w:sz w:val="22"/>
          <w:szCs w:val="22"/>
        </w:rPr>
        <w:fldChar w:fldCharType="separate"/>
      </w:r>
      <w:r w:rsidRPr="00E10C12">
        <w:rPr>
          <w:rFonts w:ascii="Arial" w:hAnsi="Arial" w:cs="Arial"/>
          <w:noProof/>
          <w:sz w:val="22"/>
          <w:szCs w:val="22"/>
        </w:rPr>
        <w:t>(244)</w:t>
      </w:r>
      <w:r w:rsidR="00BC3BBB" w:rsidRPr="00E10C12">
        <w:rPr>
          <w:rFonts w:ascii="Arial" w:hAnsi="Arial" w:cs="Arial"/>
          <w:sz w:val="22"/>
          <w:szCs w:val="22"/>
        </w:rPr>
        <w:fldChar w:fldCharType="end"/>
      </w:r>
      <w:r w:rsidRPr="00E10C12">
        <w:rPr>
          <w:rFonts w:ascii="Arial" w:hAnsi="Arial" w:cs="Arial"/>
          <w:sz w:val="22"/>
          <w:szCs w:val="22"/>
        </w:rPr>
        <w:t xml:space="preserve"> nedeniyle DEHB’deki minimal beyin değişiklikleri ile ilişkili olabileceğini belirtmişlerdir </w:t>
      </w:r>
      <w:r w:rsidR="00BC3BBB" w:rsidRPr="00E10C12">
        <w:rPr>
          <w:rFonts w:ascii="Arial" w:hAnsi="Arial" w:cs="Arial"/>
          <w:sz w:val="22"/>
          <w:szCs w:val="22"/>
        </w:rPr>
        <w:fldChar w:fldCharType="begin" w:fldLock="1"/>
      </w:r>
      <w:r w:rsidRPr="00E10C12">
        <w:rPr>
          <w:rFonts w:ascii="Arial" w:hAnsi="Arial" w:cs="Arial"/>
          <w:sz w:val="22"/>
          <w:szCs w:val="22"/>
        </w:rPr>
        <w:instrText>ADDIN CSL_CITATION { "citationItems" : [ { "id" : "ITEM-1", "itemData" : { "PMID" : "2014562316", "abstract" : "Attention-deficit/hyperactivity disorder (ADHD) is one of the most prevalent childhood disorders, although disorders etiology and pathogenesis remains unknown, several theories about ADHD development have been proposed and many researchers believe that it is caused by both genetic and environmental factors. In this study we evaluated miR18a-5p, miR22-3p, miR24-3p, miR106b-5p, miR107, miR125b-5p and miR155a-5p levels in child and adolescent ADHD patients. The research sample consisted a group of 52 ADHD patients, and 52 healthy volunteer controls. There was no significant difference in age and sex between the two groups (p&gt; 0.05). miRNA 18a-5p, 22-3p, 24-3p, 106b-5p and 107 levels were statistically significantly decreased in ADHD patients(p&lt; 0.05). miRNA 155a-5p levels were increased in patients group (p&lt; 0.05). The positive predictive value (PPV) and negative predictive value of miR107 was estimated for the cutoff point of 0.4480. PPV was 70% and NPV was 86.5% for the taken cut off point. There could be a close relationship between levels of circulating miRNAs and ADHD. If we could understand how the signaling pathways arranged by miRNAs, impact on CNS development, function and pathology this can improve our knowledge about ADHD etiology and treatment. 2014 Elsevier Ireland Ltd.", "author" : [ { "dropping-particle" : "", "family" : "Kandemir", "given" : "H", "non-dropping-particle" : "", "parse-names" : false, "suffix" : "" }, { "dropping-particle" : "", "family" : "Erdal", "given" : "M E", "non-dropping-particle" : "", "parse-names" : false, "suffix" : "" }, { "dropping-particle" : "", "family" : "Selek", "given" : "S", "non-dropping-particle" : "", "parse-names" : false, "suffix" : "" }, { "dropping-particle" : "", "family" : "Ay", "given" : "O I", "non-dropping-particle" : "", "parse-names" : false, "suffix" : "" }, { "dropping-particle" : "", "family" : "Karababa", "given" : "T F", "non-dropping-particle" : "", "parse-names" : false, "suffix" : "" }, { "dropping-particle" : "", "family" : "Kandemir", "given" : "S B", "non-dropping-particle" : "", "parse-names" : false, "suffix" : "" }, { "dropping-particle" : "", "family" : "Ay", "given" : "M E", "non-dropping-particle" : "", "parse-names" : false, "suffix" : "" }, { "dropping-particle" : "", "family" : "Yilmaz", "given" : "T G", "non-dropping-particle" : "", "parse-names" : false, "suffix" : "" }, { "dropping-particle" : "", "family" : "Bayazit", "given" : "H", "non-dropping-particle" : "", "parse-names" : false, "suffix" : "" }, { "dropping-particle" : "", "family" : "Tasdelen", "given" : "B", "non-dropping-particle" : "", "parse-names" : false, "suffix" : "" } ], "container-title" : "Neuroscience Letters", "id" : "ITEM-1", "issued" : { "date-parts" : [ [ "2014" ] ] }, "page" : "158-162", "title" : "Evaluation of several micro RNA (miRNA) levels in children and adolescents with attention deficit hyperactivity disorder", "type" : "article-journal", "volume" : "580" }, "uris" : [ "http://www.mendeley.com/documents/?uuid=69499660-946a-47ee-b34e-132295ad0567" ] } ], "mendeley" : { "formattedCitation" : "(17)", "plainTextFormattedCitation" : "(17)", "previouslyFormattedCitation" : "(17)" }, "properties" : { "noteIndex" : 62 }, "schema" : "https://github.com/citation-style-language/schema/raw/master/csl-citation.json" }</w:instrText>
      </w:r>
      <w:r w:rsidR="00BC3BBB" w:rsidRPr="00E10C12">
        <w:rPr>
          <w:rFonts w:ascii="Arial" w:hAnsi="Arial" w:cs="Arial"/>
          <w:sz w:val="22"/>
          <w:szCs w:val="22"/>
        </w:rPr>
        <w:fldChar w:fldCharType="separate"/>
      </w:r>
      <w:r w:rsidRPr="00E10C12">
        <w:rPr>
          <w:rFonts w:ascii="Arial" w:hAnsi="Arial" w:cs="Arial"/>
          <w:noProof/>
          <w:sz w:val="22"/>
          <w:szCs w:val="22"/>
        </w:rPr>
        <w:t>(17)</w:t>
      </w:r>
      <w:r w:rsidR="00BC3BBB" w:rsidRPr="00E10C12">
        <w:rPr>
          <w:rFonts w:ascii="Arial" w:hAnsi="Arial" w:cs="Arial"/>
          <w:sz w:val="22"/>
          <w:szCs w:val="22"/>
        </w:rPr>
        <w:fldChar w:fldCharType="end"/>
      </w:r>
      <w:r w:rsidRPr="00E10C12">
        <w:rPr>
          <w:rFonts w:ascii="Arial" w:hAnsi="Arial" w:cs="Arial"/>
          <w:sz w:val="22"/>
          <w:szCs w:val="22"/>
        </w:rPr>
        <w:t>.</w:t>
      </w:r>
      <w:r w:rsidRPr="00E10C12">
        <w:rPr>
          <w:rFonts w:ascii="Arial" w:hAnsi="Arial" w:cs="Arial"/>
          <w:color w:val="E36C0A" w:themeColor="accent6" w:themeShade="BF"/>
          <w:sz w:val="22"/>
          <w:szCs w:val="22"/>
        </w:rPr>
        <w:t xml:space="preserve"> </w:t>
      </w:r>
      <w:r w:rsidRPr="00E10C12">
        <w:rPr>
          <w:rFonts w:ascii="Arial" w:hAnsi="Arial" w:cs="Arial"/>
          <w:sz w:val="22"/>
          <w:szCs w:val="22"/>
        </w:rPr>
        <w:t>Çalışmamızda, olgu</w:t>
      </w:r>
      <w:r w:rsidRPr="00E10C12">
        <w:rPr>
          <w:rFonts w:ascii="Arial" w:eastAsia="Arial" w:hAnsi="Arial" w:cs="Arial"/>
          <w:sz w:val="22"/>
          <w:szCs w:val="22"/>
        </w:rPr>
        <w:t xml:space="preserve"> grubunun </w:t>
      </w:r>
      <w:r w:rsidRPr="00E10C12">
        <w:rPr>
          <w:rFonts w:ascii="Arial" w:eastAsia="Arial" w:hAnsi="Arial" w:cs="Arial"/>
          <w:i/>
          <w:sz w:val="22"/>
          <w:szCs w:val="22"/>
        </w:rPr>
        <w:t xml:space="preserve">DSM-IV Belirti Listesi </w:t>
      </w:r>
      <w:r w:rsidRPr="00E10C12">
        <w:rPr>
          <w:rFonts w:ascii="Arial" w:eastAsia="Arial" w:hAnsi="Arial" w:cs="Arial"/>
          <w:sz w:val="22"/>
          <w:szCs w:val="22"/>
        </w:rPr>
        <w:t xml:space="preserve">ölçekleri değerlendirildiğinde, miR-107 düzeyleri ile öğretmen tarafından doldurulan </w:t>
      </w:r>
      <w:r w:rsidRPr="00E10C12">
        <w:rPr>
          <w:rFonts w:ascii="Arial" w:eastAsia="Arial" w:hAnsi="Arial" w:cs="Arial"/>
          <w:i/>
          <w:sz w:val="22"/>
          <w:szCs w:val="22"/>
        </w:rPr>
        <w:t>DSM-IV Belirti Listesi Hiperaktivite Alt Başlığı</w:t>
      </w:r>
      <w:r w:rsidRPr="00E10C12">
        <w:rPr>
          <w:rFonts w:ascii="Arial" w:eastAsia="Arial" w:hAnsi="Arial" w:cs="Arial"/>
          <w:sz w:val="22"/>
          <w:szCs w:val="22"/>
        </w:rPr>
        <w:t xml:space="preserve"> puanları arasında negatif korelasyon saptanmıştır </w:t>
      </w:r>
      <w:r w:rsidRPr="00F80248">
        <w:rPr>
          <w:rFonts w:ascii="Arial" w:eastAsia="Arial" w:hAnsi="Arial" w:cs="Arial"/>
          <w:sz w:val="22"/>
          <w:szCs w:val="22"/>
        </w:rPr>
        <w:t>(</w:t>
      </w:r>
      <w:r w:rsidR="00F80248" w:rsidRPr="00F80248">
        <w:rPr>
          <w:rFonts w:ascii="Arial" w:eastAsia="Arial" w:hAnsi="Arial" w:cs="Arial"/>
          <w:b/>
          <w:sz w:val="22"/>
          <w:szCs w:val="22"/>
        </w:rPr>
        <w:t>r=</w:t>
      </w:r>
      <w:r w:rsidR="00F80248" w:rsidRPr="00F80248">
        <w:rPr>
          <w:rFonts w:ascii="Arial" w:hAnsi="Arial" w:cs="Arial"/>
          <w:b/>
          <w:bCs/>
          <w:color w:val="000000"/>
          <w:sz w:val="22"/>
          <w:szCs w:val="22"/>
        </w:rPr>
        <w:t>-0.565,</w:t>
      </w:r>
      <w:r w:rsidR="00F80248">
        <w:rPr>
          <w:rFonts w:ascii="Arial" w:hAnsi="Arial" w:cs="Arial"/>
          <w:b/>
          <w:bCs/>
          <w:color w:val="000000"/>
          <w:sz w:val="20"/>
          <w:szCs w:val="20"/>
        </w:rPr>
        <w:t xml:space="preserve"> </w:t>
      </w:r>
      <w:r w:rsidRPr="00E10C12">
        <w:rPr>
          <w:rFonts w:ascii="Arial" w:eastAsia="Arial" w:hAnsi="Arial" w:cs="Arial"/>
          <w:b/>
          <w:sz w:val="22"/>
          <w:szCs w:val="22"/>
        </w:rPr>
        <w:t>p=0.008</w:t>
      </w:r>
      <w:r w:rsidRPr="00E10C12">
        <w:rPr>
          <w:rFonts w:ascii="Arial" w:eastAsia="Arial" w:hAnsi="Arial" w:cs="Arial"/>
          <w:sz w:val="22"/>
          <w:szCs w:val="22"/>
        </w:rPr>
        <w:t xml:space="preserve">). Başka bir ifadeyle, hiperaktivite-impulsivite ilişkili semptomlar arttıkça, miR-107 düzeylerinde düşme olmaktadır. Bu bulgu, Kandemir ve arkadaşlarının DEHB’li olgularda azalmış buldukları miR-107 düzeyleri ile uyumlu gözükmektedir (17). </w:t>
      </w:r>
      <w:r w:rsidRPr="00E10C12">
        <w:rPr>
          <w:rFonts w:ascii="Arial" w:hAnsi="Arial" w:cs="Arial"/>
          <w:sz w:val="22"/>
          <w:szCs w:val="22"/>
        </w:rPr>
        <w:t xml:space="preserve">Literatürde, miR-107 ekspresyonundaki artışın sebep olduğu değişiklikler gösterilmiştir. miR-107’nin hedeflerinden biri olan Progranulin (GRN)’de azalmaya sebep olduğu belirtilmiş, GRN’nin glukoz metabolizması, nöroinflamasyon ve hücre proliferasyonunun düzenlenmesinden sorumlu genlerden biri olduğuna dair bulgular saptanmıştır </w:t>
      </w:r>
      <w:r w:rsidR="00BC3BBB" w:rsidRPr="00E10C12">
        <w:rPr>
          <w:rFonts w:ascii="Arial" w:hAnsi="Arial" w:cs="Arial"/>
          <w:sz w:val="22"/>
          <w:szCs w:val="22"/>
        </w:rPr>
        <w:fldChar w:fldCharType="begin" w:fldLock="1"/>
      </w:r>
      <w:r w:rsidRPr="00E10C12">
        <w:rPr>
          <w:rFonts w:ascii="Arial" w:hAnsi="Arial" w:cs="Arial"/>
          <w:sz w:val="22"/>
          <w:szCs w:val="22"/>
        </w:rPr>
        <w:instrText>ADDIN CSL_CITATION { "citationItems" : [ { "id" : "ITEM-1", "itemData" : { "DOI" : "10.2353/ajpath.2010.091202", "ISBN" : "0002-9440", "ISSN" : "00029440", "PMID" : "20489155", "abstract" : "Granulin (GRN, or progranulin) is a protein involved in wound repair, inflammation, and neoplasia. GRN has also been directly implicated in frontotemporal dementia and may contribute to Alzheimer's disease pathogenesis. However, GRN regulation expression is poorly understood. A high-throughput experimental microRNA assay showed that GRN is the strongest target for miR-107 in human H4 neuroglioma cells. miR-107 has been implicated in Alzheimer's disease pathogenesis, and sequence elements in the open reading frame-rather than the 3' untranslated region-of GRN mRNA are recognized by miR-107 and are highly conserved among vertebrate species. To better understand the mechanism of this interaction, FLAG-tagged Argonaute constructs were used following miR-107 transfection. GRN mRNA interacts preferentially with Argonaute 2. In vitro and in vivo studies indicate that regulation of GRN by miR-107 may be functionally important. Glucose supplementation in cultured cells that leads to increased miR-107 levels also results in decreased GRN expression, including changes in cell compartmentation and decreased secretion of GRN protein. This effect was eliminated following miR-107 transfection. We also tested a mouse model where miR-107 has been shown to be down-regulated. In brain tissue subjacent to 1.0 mm depth controlled cortical impact, surviving hippocampal neurons show decreased miR-107 with augmentation of neuronal GRN expression. These findings indicate that miR-107 contributes to GRN expression regulation with implications for brain disorders.", "author" : [ { "dropping-particle" : "", "family" : "Wang", "given" : "Wang-Xia", "non-dropping-particle" : "", "parse-names" : false, "suffix" : "" }, { "dropping-particle" : "", "family" : "Wilfred", "given" : "Bernard R", "non-dropping-particle" : "", "parse-names" : false, "suffix" : "" }, { "dropping-particle" : "", "family" : "Madathil", "given" : "Sindhu K", "non-dropping-particle" : "", "parse-names" : false, "suffix" : "" }, { "dropping-particle" : "", "family" : "Tang", "given" : "Guiliang", "non-dropping-particle" : "", "parse-names" : false, "suffix" : "" }, { "dropping-particle" : "", "family" : "Hu", "given" : "Yanling", "non-dropping-particle" : "", "parse-names" : false, "suffix" : "" }, { "dropping-particle" : "", "family" : "Dimayuga", "given" : "James", "non-dropping-particle" : "", "parse-names" : false, "suffix" : "" }, { "dropping-particle" : "", "family" : "Stromberg", "given" : "Arnold J", "non-dropping-particle" : "", "parse-names" : false, "suffix" : "" }, { "dropping-particle" : "", "family" : "Huang", "given" : "Qingwei", "non-dropping-particle" : "", "parse-names" : false, "suffix" : "" }, { "dropping-particle" : "", "family" : "Saatman", "given" : "Kathryn E", "non-dropping-particle" : "", "parse-names" : false, "suffix" : "" }, { "dropping-particle" : "", "family" : "Nelson", "given" : "Peter T", "non-dropping-particle" : "", "parse-names" : false, "suffix" : "" } ], "container-title" : "The American journal of pathology", "id" : "ITEM-1", "issue" : "1", "issued" : { "date-parts" : [ [ "2010" ] ] }, "page" : "334-345", "title" : "miR-107 regulates granulin/progranulin with implications for traumatic brain injury and neurodegenerative disease.", "type" : "article-journal", "volume" : "177" }, "uris" : [ "http://www.mendeley.com/documents/?uuid=8bfc0815-671a-4c69-bd2c-d9a2c119ec18" ] } ], "mendeley" : { "formattedCitation" : "(244)", "plainTextFormattedCitation" : "(244)", "previouslyFormattedCitation" : "(242)" }, "properties" : { "noteIndex" : 62 }, "schema" : "https://github.com/citation-style-language/schema/raw/master/csl-citation.json" }</w:instrText>
      </w:r>
      <w:r w:rsidR="00BC3BBB" w:rsidRPr="00E10C12">
        <w:rPr>
          <w:rFonts w:ascii="Arial" w:hAnsi="Arial" w:cs="Arial"/>
          <w:sz w:val="22"/>
          <w:szCs w:val="22"/>
        </w:rPr>
        <w:fldChar w:fldCharType="separate"/>
      </w:r>
      <w:r w:rsidRPr="00E10C12">
        <w:rPr>
          <w:rFonts w:ascii="Arial" w:hAnsi="Arial" w:cs="Arial"/>
          <w:noProof/>
          <w:sz w:val="22"/>
          <w:szCs w:val="22"/>
        </w:rPr>
        <w:t>(244)</w:t>
      </w:r>
      <w:r w:rsidR="00BC3BBB" w:rsidRPr="00E10C12">
        <w:rPr>
          <w:rFonts w:ascii="Arial" w:hAnsi="Arial" w:cs="Arial"/>
          <w:sz w:val="22"/>
          <w:szCs w:val="22"/>
        </w:rPr>
        <w:fldChar w:fldCharType="end"/>
      </w:r>
      <w:r w:rsidRPr="00E10C12">
        <w:rPr>
          <w:rFonts w:ascii="Arial" w:hAnsi="Arial" w:cs="Arial"/>
          <w:sz w:val="22"/>
          <w:szCs w:val="22"/>
        </w:rPr>
        <w:t xml:space="preserve">. GRN’nin anti-inflamatuar etkinliği bilinmektedir </w:t>
      </w:r>
      <w:r w:rsidR="00BC3BBB" w:rsidRPr="00E10C12">
        <w:rPr>
          <w:rFonts w:ascii="Arial" w:hAnsi="Arial" w:cs="Arial"/>
          <w:sz w:val="22"/>
          <w:szCs w:val="22"/>
        </w:rPr>
        <w:fldChar w:fldCharType="begin" w:fldLock="1"/>
      </w:r>
      <w:r w:rsidRPr="00E10C12">
        <w:rPr>
          <w:rFonts w:ascii="Arial" w:hAnsi="Arial" w:cs="Arial"/>
          <w:sz w:val="22"/>
          <w:szCs w:val="22"/>
        </w:rPr>
        <w:instrText>ADDIN CSL_CITATION { "citationItems" : [ { "id" : "ITEM-1", "itemData" : { "DOI" : "10.1084/jem.20091568", "ISBN" : "1540-9538 (Electronic)\\r0022-1007 (Linking)", "ISSN" : "0022-1007", "PMID" : "20026663", "abstract" : "Progranulin (PGRN) is a widely expressed protein involved in diverse biological processes. Haploinsufficiency of PGRN in the human causes tau-negative, ubiquitin-positive frontotemporal dementia (FTD). However, the mechanisms are unknown. To explore the role of PGRN in vivo, we generated PGRN-deficient mice. Macrophages from these mice released less interleukin-10 and more inflammatory cytokines than wild type (WT) when exposed to bacterial lipopolysaccharide. PGRN-deficient mice failed to clear Listeria monocytogenes infection as quickly as WT and allowed bacteria to proliferate in the brain, with correspondingly greater inflammation than in WT. PGRN-deficient macrophages and microglia were cytotoxic to hippocampal cells in vitro, and PGRN-deficient hippocampal slices were hypersusceptible to deprivation of oxygen and glucose. With age, brains of PGRN-deficient mice displayed greater activation of microglia and astrocytes than WT, and their hippocampal and thalamic neurons accumulated cytosolic phosphorylated transactivation response element DNA binding protein-43. Thus, PGRN is a key regulator of inflammation and plays critical roles in both host defense and neuronal integrity. FTD associated with PGRN insufficiency may result from many years of reduced neutrotrophic support together with cumulative damage in association with dysregulated inflammation.", "author" : [ { "dropping-particle" : "", "family" : "Yin", "given" : "Fangfang", "non-dropping-particle" : "", "parse-names" : false, "suffix" : "" }, { "dropping-particle" : "", "family" : "Banerjee", "given" : "Rebecca", "non-dropping-particle" : "", "parse-names" : false, "suffix" : "" }, { "dropping-particle" : "", "family" : "Thomas", "given" : "Bobby", "non-dropping-particle" : "", "parse-names" : false, "suffix" : "" }, { "dropping-particle" : "", "family" : "Zhou", "given" : "Ping", "non-dropping-particle" : "", "parse-names" : false, "suffix" : "" }, { "dropping-particle" : "", "family" : "Qian", "given" : "Liping", "non-dropping-particle" : "", "parse-names" : false, "suffix" : "" }, { "dropping-particle" : "", "family" : "Jia", "given" : "Ting", "non-dropping-particle" : "", "parse-names" : false, "suffix" : "" }, { "dropping-particle" : "", "family" : "Ma", "given" : "Xiaojing", "non-dropping-particle" : "", "parse-names" : false, "suffix" : "" }, { "dropping-particle" : "", "family" : "Ma", "given" : "Yao", "non-dropping-particle" : "", "parse-names" : false, "suffix" : "" }, { "dropping-particle" : "", "family" : "Iadecola", "given" : "Costantino", "non-dropping-particle" : "", "parse-names" : false, "suffix" : "" }, { "dropping-particle" : "", "family" : "Beal", "given" : "M. Flint", "non-dropping-particle" : "", "parse-names" : false, "suffix" : "" }, { "dropping-particle" : "", "family" : "Nathan", "given" : "Carl", "non-dropping-particle" : "", "parse-names" : false, "suffix" : "" }, { "dropping-particle" : "", "family" : "Ding", "given" : "Aihao", "non-dropping-particle" : "", "parse-names" : false, "suffix" : "" } ], "container-title" : "The Journal of Experimental Medicine", "id" : "ITEM-1", "issue" : "1", "issued" : { "date-parts" : [ [ "2010" ] ] }, "page" : "117-128", "title" : "Exaggerated inflammation, impaired host defense, and neuropathology in progranulin-deficient mice", "type" : "article-journal", "volume" : "207" }, "uris" : [ "http://www.mendeley.com/documents/?uuid=8fc8dbe0-7201-44f6-aaf2-54f5e0f9b414" ] } ], "mendeley" : { "formattedCitation" : "(368)", "plainTextFormattedCitation" : "(368)", "previouslyFormattedCitation" : "(368)" }, "properties" : { "noteIndex" : 62 }, "schema" : "https://github.com/citation-style-language/schema/raw/master/csl-citation.json" }</w:instrText>
      </w:r>
      <w:r w:rsidR="00BC3BBB" w:rsidRPr="00E10C12">
        <w:rPr>
          <w:rFonts w:ascii="Arial" w:hAnsi="Arial" w:cs="Arial"/>
          <w:sz w:val="22"/>
          <w:szCs w:val="22"/>
        </w:rPr>
        <w:fldChar w:fldCharType="separate"/>
      </w:r>
      <w:r w:rsidRPr="00E10C12">
        <w:rPr>
          <w:rFonts w:ascii="Arial" w:hAnsi="Arial" w:cs="Arial"/>
          <w:noProof/>
          <w:sz w:val="22"/>
          <w:szCs w:val="22"/>
        </w:rPr>
        <w:t>(368)</w:t>
      </w:r>
      <w:r w:rsidR="00BC3BBB" w:rsidRPr="00E10C12">
        <w:rPr>
          <w:rFonts w:ascii="Arial" w:hAnsi="Arial" w:cs="Arial"/>
          <w:sz w:val="22"/>
          <w:szCs w:val="22"/>
        </w:rPr>
        <w:fldChar w:fldCharType="end"/>
      </w:r>
      <w:r w:rsidRPr="00E10C12">
        <w:rPr>
          <w:rFonts w:ascii="Arial" w:hAnsi="Arial" w:cs="Arial"/>
          <w:sz w:val="22"/>
          <w:szCs w:val="22"/>
          <w:shd w:val="clear" w:color="auto" w:fill="FFFFFF"/>
        </w:rPr>
        <w:t>.</w:t>
      </w:r>
      <w:r w:rsidRPr="00E10C12">
        <w:rPr>
          <w:rFonts w:ascii="Arial" w:hAnsi="Arial" w:cs="Arial"/>
          <w:color w:val="4F81BD" w:themeColor="accent1"/>
          <w:sz w:val="22"/>
          <w:szCs w:val="22"/>
          <w:shd w:val="clear" w:color="auto" w:fill="FFFFFF"/>
        </w:rPr>
        <w:t xml:space="preserve"> </w:t>
      </w:r>
      <w:r w:rsidRPr="00E10C12">
        <w:rPr>
          <w:rFonts w:ascii="Arial" w:hAnsi="Arial" w:cs="Arial"/>
          <w:sz w:val="22"/>
          <w:szCs w:val="22"/>
          <w:shd w:val="clear" w:color="auto" w:fill="FFFFFF"/>
        </w:rPr>
        <w:t xml:space="preserve">GRN geninde delesyonu olan fare makrofajlarında pro-inflamatuar sitokinlerin ekspresyonunda artış gösterilmiştir </w:t>
      </w:r>
      <w:r w:rsidR="00BC3BBB" w:rsidRPr="00E10C12">
        <w:rPr>
          <w:rFonts w:ascii="Arial" w:hAnsi="Arial" w:cs="Arial"/>
          <w:sz w:val="22"/>
          <w:szCs w:val="22"/>
          <w:shd w:val="clear" w:color="auto" w:fill="FFFFFF"/>
        </w:rPr>
        <w:fldChar w:fldCharType="begin" w:fldLock="1"/>
      </w:r>
      <w:r w:rsidRPr="00E10C12">
        <w:rPr>
          <w:rFonts w:ascii="Arial" w:hAnsi="Arial" w:cs="Arial"/>
          <w:sz w:val="22"/>
          <w:szCs w:val="22"/>
          <w:shd w:val="clear" w:color="auto" w:fill="FFFFFF"/>
        </w:rPr>
        <w:instrText>ADDIN CSL_CITATION { "citationItems" : [ { "id" : "ITEM-1", "itemData" : { "DOI" : "10.1074/jbc.R112.399170", "ISBN" : "1083-351X (Electronic)\\r0021-9258 (Linking)", "ISSN" : "00219258", "PMID" : "22859297", "abstract" : "GRN mutations cause frontotemporal lobar degeneration with TDP-43-positive inclusions. The mechanism of pathogenesis is haploinsufficiency. Recently, homozygous GRN mutations were detected in two patients with neuronal ceroid lipofuscinosis, a lysosomal storage disease. It is unknown whether the pathogenesis of these two conditions is related. Progranulin is cleaved into smaller peptides called granulins. Progranulin and granulins are attributed with roles in cancer, inflammation, and neuronal physiology. Cell surface receptors for progranulin, but not granulin peptides, have been reported. Revealing the cell surface receptors and the intracellular functions of granulins and progranulin is crucial for understanding their contributions to neurodegeneration.", "author" : [ { "dropping-particle" : "", "family" : "Cenik", "given" : "Basar", "non-dropping-particle" : "", "parse-names" : false, "suffix" : "" }, { "dropping-particle" : "", "family" : "Sephton", "given" : "Chantelle F.", "non-dropping-particle" : "", "parse-names" : false, "suffix" : "" }, { "dropping-particle" : "", "family" : "Cenik", "given" : "Bercin Kutluk", "non-dropping-particle" : "", "parse-names" : false, "suffix" : "" }, { "dropping-particle" : "", "family" : "Herz", "given" : "Joachim", "non-dropping-particle" : "", "parse-names" : false, "suffix" : "" }, { "dropping-particle" : "", "family" : "Yu", "given" : "Gang", "non-dropping-particle" : "", "parse-names" : false, "suffix" : "" } ], "container-title" : "Journal of Biological Chemistry", "id" : "ITEM-1", "issue" : "39", "issued" : { "date-parts" : [ [ "2012" ] ] }, "page" : "32298-32306", "title" : "Progranulin: A proteolytically processed protein at the crossroads of inflammation and neurodegeneration", "type" : "article-journal", "volume" : "287" }, "uris" : [ "http://www.mendeley.com/documents/?uuid=0a7c4cca-56b7-4ec5-8dd9-b29b8dc53973" ] } ], "mendeley" : { "formattedCitation" : "(369)", "plainTextFormattedCitation" : "(369)", "previouslyFormattedCitation" : "(369)" }, "properties" : { "noteIndex" : 62 }, "schema" : "https://github.com/citation-style-language/schema/raw/master/csl-citation.json" }</w:instrText>
      </w:r>
      <w:r w:rsidR="00BC3BBB" w:rsidRPr="00E10C12">
        <w:rPr>
          <w:rFonts w:ascii="Arial" w:hAnsi="Arial" w:cs="Arial"/>
          <w:sz w:val="22"/>
          <w:szCs w:val="22"/>
          <w:shd w:val="clear" w:color="auto" w:fill="FFFFFF"/>
        </w:rPr>
        <w:fldChar w:fldCharType="separate"/>
      </w:r>
      <w:r w:rsidRPr="00E10C12">
        <w:rPr>
          <w:rFonts w:ascii="Arial" w:hAnsi="Arial" w:cs="Arial"/>
          <w:noProof/>
          <w:sz w:val="22"/>
          <w:szCs w:val="22"/>
          <w:shd w:val="clear" w:color="auto" w:fill="FFFFFF"/>
        </w:rPr>
        <w:t>(369)</w:t>
      </w:r>
      <w:r w:rsidR="00BC3BBB" w:rsidRPr="00E10C12">
        <w:rPr>
          <w:rFonts w:ascii="Arial" w:hAnsi="Arial" w:cs="Arial"/>
          <w:sz w:val="22"/>
          <w:szCs w:val="22"/>
          <w:shd w:val="clear" w:color="auto" w:fill="FFFFFF"/>
        </w:rPr>
        <w:fldChar w:fldCharType="end"/>
      </w:r>
      <w:r w:rsidRPr="00E10C12">
        <w:rPr>
          <w:rFonts w:ascii="Arial" w:hAnsi="Arial" w:cs="Arial"/>
          <w:sz w:val="22"/>
          <w:szCs w:val="22"/>
          <w:shd w:val="clear" w:color="auto" w:fill="FFFFFF"/>
        </w:rPr>
        <w:t xml:space="preserve">. Benzer şekilde DEHB’li çocuklarda pro-inflamatuar sitokinlerin 4 kat daha artmış olduğu, </w:t>
      </w:r>
      <w:r w:rsidRPr="00E10C12">
        <w:rPr>
          <w:rFonts w:ascii="Arial" w:hAnsi="Arial" w:cs="Arial"/>
          <w:sz w:val="22"/>
          <w:szCs w:val="22"/>
        </w:rPr>
        <w:t xml:space="preserve">bunun kronik bağışıklık aracılı nörolojik inflamasyona neden olabileceği belirtilmiştir. Sitokinlerin aşırı üretiminin beyin dokusunda kronik inflamasyona neden olabileceği ve bunun gri madde heterotopisi ve azalmış kortikal hacim bulgularıyla tutarlı olduğu ifade edilmiştir </w:t>
      </w:r>
      <w:r w:rsidR="00BC3BBB" w:rsidRPr="00E10C12">
        <w:rPr>
          <w:rFonts w:ascii="Arial" w:hAnsi="Arial" w:cs="Arial"/>
          <w:sz w:val="22"/>
          <w:szCs w:val="22"/>
        </w:rPr>
        <w:fldChar w:fldCharType="begin" w:fldLock="1"/>
      </w:r>
      <w:r w:rsidRPr="00E10C12">
        <w:rPr>
          <w:rFonts w:ascii="Arial" w:hAnsi="Arial" w:cs="Arial"/>
          <w:sz w:val="22"/>
          <w:szCs w:val="22"/>
        </w:rPr>
        <w:instrText>ADDIN CSL_CITATION { "citationItems" : [ { "id" : "ITEM-1", "itemData" : { "DOI" : "10.1016/j.psyneuen.2012.09.017", "ISBN" : "0306-4530", "ISSN" : "03064530", "PMID" : "23141851", "abstract" : "Epidemiological data indicate that atopic eczema (AE) in infancy significantly increases the risk for attention deficit/hyperactivity disorder (ADHD) in later life. The underlying pathophysiological mechanisms of this comorbidity are unknown. We propose that the release of inflammatory cytokines caused by the allergic inflammation and/or elevated levels of psychological stress as a result of the chronic disease interfere with the maturation of prefrontal cortex regions and neurotransmitter systems involved ADHD pathology. Alternatively, increased stress levels in ADHD patients may trigger AE via neuroimmunological mechanisms. In a third model, AE and ADHD may be viewed as two separate disorders with one or more shared risk factors (e.g., genetics, prenatal stress) that increase the susceptibility for both disorders leading to the co-occurrence of AE and ADHD. Future investigation of these three models may lead to a better understanding of the mechanisms underlying the observed comorbidity between AE and ADHD and further, to targeted interdisciplinary primary prevention and treatment strategies. \u00a9 2012 Elsevier Ltd.", "author" : [ { "dropping-particle" : "", "family" : "Buske-Kirschbaum", "given" : "A.", "non-dropping-particle" : "", "parse-names" : false, "suffix" : "" }, { "dropping-particle" : "", "family" : "Schmitt", "given" : "J.", "non-dropping-particle" : "", "parse-names" : false, "suffix" : "" }, { "dropping-particle" : "", "family" : "Plessow", "given" : "F.", "non-dropping-particle" : "", "parse-names" : false, "suffix" : "" }, { "dropping-particle" : "", "family" : "Romanos", "given" : "M.", "non-dropping-particle" : "", "parse-names" : false, "suffix" : "" }, { "dropping-particle" : "", "family" : "Weidinger", "given" : "S.", "non-dropping-particle" : "", "parse-names" : false, "suffix" : "" }, { "dropping-particle" : "", "family" : "Roessner", "given" : "V.", "non-dropping-particle" : "", "parse-names" : false, "suffix" : "" } ], "container-title" : "Psychoneuroendocrinology", "id" : "ITEM-1", "issue" : "1", "issued" : { "date-parts" : [ [ "2013" ] ] }, "page" : "12-23", "title" : "Psychoendocrine and psychoneuroimmunological mechanisms in the comorbidity of atopic eczema and attention deficit/hyperactivity disorder", "type" : "article-journal", "volume" : "38" }, "uris" : [ "http://www.mendeley.com/documents/?uuid=37eaefb2-66f7-40f7-9e23-d9dd4d7fceb3" ] } ], "mendeley" : { "formattedCitation" : "(370)", "plainTextFormattedCitation" : "(370)", "previouslyFormattedCitation" : "(370)" }, "properties" : { "noteIndex" : 62 }, "schema" : "https://github.com/citation-style-language/schema/raw/master/csl-citation.json" }</w:instrText>
      </w:r>
      <w:r w:rsidR="00BC3BBB" w:rsidRPr="00E10C12">
        <w:rPr>
          <w:rFonts w:ascii="Arial" w:hAnsi="Arial" w:cs="Arial"/>
          <w:sz w:val="22"/>
          <w:szCs w:val="22"/>
        </w:rPr>
        <w:fldChar w:fldCharType="separate"/>
      </w:r>
      <w:r w:rsidRPr="00E10C12">
        <w:rPr>
          <w:rFonts w:ascii="Arial" w:hAnsi="Arial" w:cs="Arial"/>
          <w:noProof/>
          <w:sz w:val="22"/>
          <w:szCs w:val="22"/>
        </w:rPr>
        <w:t>(370)</w:t>
      </w:r>
      <w:r w:rsidR="00BC3BBB" w:rsidRPr="00E10C12">
        <w:rPr>
          <w:rFonts w:ascii="Arial" w:hAnsi="Arial" w:cs="Arial"/>
          <w:sz w:val="22"/>
          <w:szCs w:val="22"/>
        </w:rPr>
        <w:fldChar w:fldCharType="end"/>
      </w:r>
      <w:r w:rsidRPr="00E10C12">
        <w:rPr>
          <w:rFonts w:ascii="Arial" w:hAnsi="Arial" w:cs="Arial"/>
          <w:sz w:val="22"/>
          <w:szCs w:val="22"/>
        </w:rPr>
        <w:t>. Literatürde nörodejeneratif bozukluklar, şizofreni ve bipolar bozukluk ile GRN ilişkisi çalışılmış olmasına rağmen, bilgimize göre DEHB ile ilişkisi çalışılmamıştır. miR-107’nin GRN aracılığıyla DEHB’nin inflamatuar mekanizmalarına katkısını daha iyi açıklayabilmek için DEHB’li bireylerde GRN ve miR-107 düzeylerini sorgulayan çalışmalara ihtiyaç olduğu düşünülmüştür.</w:t>
      </w:r>
    </w:p>
    <w:p w:rsidR="00C60153" w:rsidRPr="00E10C12" w:rsidRDefault="00C60153" w:rsidP="00C60153">
      <w:pPr>
        <w:spacing w:line="360" w:lineRule="auto"/>
        <w:ind w:firstLine="720"/>
        <w:jc w:val="both"/>
        <w:rPr>
          <w:rFonts w:ascii="Arial" w:hAnsi="Arial" w:cs="Arial"/>
          <w:sz w:val="22"/>
          <w:szCs w:val="22"/>
          <w:shd w:val="clear" w:color="auto" w:fill="FFFFFF"/>
        </w:rPr>
      </w:pPr>
      <w:r w:rsidRPr="00E10C12">
        <w:rPr>
          <w:rFonts w:ascii="Arial" w:hAnsi="Arial" w:cs="Arial"/>
          <w:sz w:val="22"/>
          <w:szCs w:val="22"/>
          <w:shd w:val="clear" w:color="auto" w:fill="FFFFFF"/>
        </w:rPr>
        <w:lastRenderedPageBreak/>
        <w:t xml:space="preserve">GRN’nin nörit büyümesini ve nöronal diferansiasyonu arttırdığı gösterilmiştir </w:t>
      </w:r>
      <w:r w:rsidR="00BC3BBB" w:rsidRPr="00E10C12">
        <w:rPr>
          <w:rFonts w:ascii="Arial" w:hAnsi="Arial" w:cs="Arial"/>
          <w:sz w:val="22"/>
          <w:szCs w:val="22"/>
          <w:shd w:val="clear" w:color="auto" w:fill="FFFFFF"/>
        </w:rPr>
        <w:fldChar w:fldCharType="begin" w:fldLock="1"/>
      </w:r>
      <w:r w:rsidR="005827F2" w:rsidRPr="00E10C12">
        <w:rPr>
          <w:rFonts w:ascii="Arial" w:hAnsi="Arial" w:cs="Arial"/>
          <w:sz w:val="22"/>
          <w:szCs w:val="22"/>
          <w:shd w:val="clear" w:color="auto" w:fill="FFFFFF"/>
        </w:rPr>
        <w:instrText>ADDIN CSL_CITATION { "citationItems" : [ { "id" : "ITEM-1", "itemData" : { "DOI" : "10.1007/s13238-010-0067-1", "ISBN" : "1674-8018 (Electronic)", "ISSN" : "16748018", "PMID" : "21204008", "abstract" : "Progranulin (PGRN) has recently emerged as a key player in a subset of frontotemporal dementias (FTD). Numerous mutations in the progranulin gene have been identified in patients with familial or sporadic frontotemporal lobar degeneration (FTLD). In order to understand the molecular mechanisms by which PGRN deficiency leads to FTLD, we examined activity of PGRN in mouse cortical and hippocampal neurons and in human neuroblastoma SH-SY5Y cells. Treatment of mouse neurons with PGRN protein resulted in an increase in neurite outgrowth, supporting the role of PGRN as a neurotrophic factor. PGRN treatment stimulated phosphorylation of glycogen synthase kinase-3 beta (GSK-3\u03b2) in cultured neurons. Knockdown of PGRN in SH-SY5Y cells impaired retinoic acid induced differentiation and reduced the level of phosphorylated GSK-3\u03b2. PGRN knockdown cells were also more sensitized to staurosporine-induced apoptosis. These results reveal an important role of PGRN in neurite outgrowth and involvement of GSK-3\u03b2 in mediating PGRN activity. Identification of GSK-3\u03b2 activation as a downstream event for PGRN signaling provides a mechanistic explanation for PGRN activity in the nervous system. Our work also suggest that loss of axonal growth stimulation during neural injury repair or deficits in axonal repair may contribute to neuronal damage or axonal loss in FTLD associated with PGRN mutations. Finally, our study suggests that modulating GSK-3\u03b2 or similar signaling events may provide therapeutic benefits for FTLD cases associated with PGRN mutations.", "author" : [ { "dropping-particle" : "", "family" : "Gao", "given" : "Xue", "non-dropping-particle" : "", "parse-names" : false, "suffix" : "" }, { "dropping-particle" : "", "family" : "Joselin", "given" : "Alvin P.", "non-dropping-particle" : "", "parse-names" : false, "suffix" : "" }, { "dropping-particle" : "", "family" : "Wang", "given" : "Lei", "non-dropping-particle" : "", "parse-names" : false, "suffix" : "" }, { "dropping-particle" : "", "family" : "Kar", "given" : "Amar", "non-dropping-particle" : "", "parse-names" : false, "suffix" : "" }, { "dropping-particle" : "", "family" : "Ray", "given" : "Payal", "non-dropping-particle" : "", "parse-names" : false, "suffix" : "" }, { "dropping-particle" : "", "family" : "Bateman", "given" : "Andrew", "non-dropping-particle" : "", "parse-names" : false, "suffix" : "" }, { "dropping-particle" : "", "family" : "Goate", "given" : "Alison M.", "non-dropping-particle" : "", "parse-names" : false, "suffix" : "" }, { "dropping-particle" : "", "family" : "Wu", "given" : "Jane Y.", "non-dropping-particle" : "", "parse-names" : false, "suffix" : "" } ], "container-title" : "Protein and Cell", "id" : "ITEM-1", "issue" : "6", "issued" : { "date-parts" : [ [ "2010" ] ] }, "page" : "552-562", "title" : "Progranulin promotes neurite outgrowth and neuronal differentiation by regulating GSK-3??", "type" : "article-journal", "volume" : "1" }, "uris" : [ "http://www.mendeley.com/documents/?uuid=007a8050-1571-417a-bfb9-6123ca456867" ] } ], "mendeley" : { "formattedCitation" : "(370)", "plainTextFormattedCitation" : "(370)", "previouslyFormattedCitation" : "(371)" }, "properties" : { "noteIndex" : 62 }, "schema" : "https://github.com/citation-style-language/schema/raw/master/csl-citation.json" }</w:instrText>
      </w:r>
      <w:r w:rsidR="00BC3BBB" w:rsidRPr="00E10C12">
        <w:rPr>
          <w:rFonts w:ascii="Arial" w:hAnsi="Arial" w:cs="Arial"/>
          <w:sz w:val="22"/>
          <w:szCs w:val="22"/>
          <w:shd w:val="clear" w:color="auto" w:fill="FFFFFF"/>
        </w:rPr>
        <w:fldChar w:fldCharType="separate"/>
      </w:r>
      <w:r w:rsidR="005827F2" w:rsidRPr="00E10C12">
        <w:rPr>
          <w:rFonts w:ascii="Arial" w:hAnsi="Arial" w:cs="Arial"/>
          <w:noProof/>
          <w:sz w:val="22"/>
          <w:szCs w:val="22"/>
          <w:shd w:val="clear" w:color="auto" w:fill="FFFFFF"/>
        </w:rPr>
        <w:t>(370)</w:t>
      </w:r>
      <w:r w:rsidR="00BC3BBB" w:rsidRPr="00E10C12">
        <w:rPr>
          <w:rFonts w:ascii="Arial" w:hAnsi="Arial" w:cs="Arial"/>
          <w:sz w:val="22"/>
          <w:szCs w:val="22"/>
          <w:shd w:val="clear" w:color="auto" w:fill="FFFFFF"/>
        </w:rPr>
        <w:fldChar w:fldCharType="end"/>
      </w:r>
      <w:r w:rsidRPr="00E10C12">
        <w:rPr>
          <w:rFonts w:ascii="Arial" w:hAnsi="Arial" w:cs="Arial"/>
          <w:sz w:val="22"/>
          <w:szCs w:val="22"/>
          <w:shd w:val="clear" w:color="auto" w:fill="FFFFFF"/>
        </w:rPr>
        <w:t xml:space="preserve">. GRN delesyonu olan farelerde hippokampal bölgede azalmış dendritik uzunluk ve dendritik çıkıntı (spine) yoğunluğu saptanmıştır </w:t>
      </w:r>
      <w:r w:rsidR="00BC3BBB" w:rsidRPr="00E10C12">
        <w:rPr>
          <w:rFonts w:ascii="Arial" w:hAnsi="Arial" w:cs="Arial"/>
          <w:sz w:val="22"/>
          <w:szCs w:val="22"/>
          <w:shd w:val="clear" w:color="auto" w:fill="FFFFFF"/>
        </w:rPr>
        <w:fldChar w:fldCharType="begin" w:fldLock="1"/>
      </w:r>
      <w:r w:rsidR="005827F2" w:rsidRPr="00E10C12">
        <w:rPr>
          <w:rFonts w:ascii="Arial" w:hAnsi="Arial" w:cs="Arial"/>
          <w:sz w:val="22"/>
          <w:szCs w:val="22"/>
          <w:shd w:val="clear" w:color="auto" w:fill="FFFFFF"/>
        </w:rPr>
        <w:instrText>ADDIN CSL_CITATION { "citationItems" : [ { "id" : "ITEM-1", "itemData" : { "DOI" : "10.1016/j.nbd.2011.10.016", "ISBN" : "1095-953X", "ISSN" : "09699961", "PMID" : "22062772", "abstract" : "Progranulin haploinsufficiency is a common cause of familial frontotemporal dementia (FTD), but the role of progranulin in the brain is poorly understood. To investigate the role of murine progranulin (Grn) in the CNS in vivo, we generated mice targeted at the progranulin locus (Grn) using a gene-trap vector. Constitutive progranulin knockout mice (GrnKO) show moderate abnormalities in anxiety-related behaviors, social interactions, motor coordination, and novel object recognition at 8. months of age, many of which differ between males and females. Analysis of synaptic transmission in 10-12. month old GrnKO male mice indicates altered synaptic connectivity and impaired synaptic plasticity. Additionally, apical dendrites in pyramidal cells in the CA1 region of the hippocampus in GrnKO males display an altered morphology and have significantly decreased spine density compared to wild-type (WT) mice. The observed changes in behavior, synaptic transmission, and neuronal morphology in GrnKO mice occur prior to neuropathological abnormalities, most of which are apparent at 18 but not at 8. months of age. We conclude that progranulin deficiency leads to reduced synaptic connectivity and impaired plasticity, which may contribute to FTD pathology in human patients. \u00a9 2011 Elsevier Inc.", "author" : [ { "dropping-particle" : "", "family" : "Petkau", "given" : "Terri L.", "non-dropping-particle" : "", "parse-names" : false, "suffix" : "" }, { "dropping-particle" : "", "family" : "Neal", "given" : "Scott J.", "non-dropping-particle" : "", "parse-names" : false, "suffix" : "" }, { "dropping-particle" : "", "family" : "Milnerwood", "given" : "Austen", "non-dropping-particle" : "", "parse-names" : false, "suffix" : "" }, { "dropping-particle" : "", "family" : "Mew", "given" : "Ada", "non-dropping-particle" : "", "parse-names" : false, "suffix" : "" }, { "dropping-particle" : "", "family" : "Hill", "given" : "Austin M.", "non-dropping-particle" : "", "parse-names" : false, "suffix" : "" }, { "dropping-particle" : "", "family" : "Orban", "given" : "Paul", "non-dropping-particle" : "", "parse-names" : false, "suffix" : "" }, { "dropping-particle" : "", "family" : "Gregg", "given" : "Jenny", "non-dropping-particle" : "", "parse-names" : false, "suffix" : "" }, { "dropping-particle" : "", "family" : "Lu", "given" : "Ge", "non-dropping-particle" : "", "parse-names" : false, "suffix" : "" }, { "dropping-particle" : "", "family" : "Feldman", "given" : "Howard H.", "non-dropping-particle" : "", "parse-names" : false, "suffix" : "" }, { "dropping-particle" : "", "family" : "Mackenzie", "given" : "Ian R.A.", "non-dropping-particle" : "", "parse-names" : false, "suffix" : "" }, { "dropping-particle" : "", "family" : "Raymond", "given" : "Lynn A.", "non-dropping-particle" : "", "parse-names" : false, "suffix" : "" }, { "dropping-particle" : "", "family" : "Leavitt", "given" : "Blair R.", "non-dropping-particle" : "", "parse-names" : false, "suffix" : "" } ], "container-title" : "Neurobiology of Disease", "id" : "ITEM-1", "issue" : "2", "issued" : { "date-parts" : [ [ "2012" ] ] }, "page" : "711-722", "title" : "Synaptic dysfunction in progranulin-deficient mice", "type" : "article-journal", "volume" : "45" }, "uris" : [ "http://www.mendeley.com/documents/?uuid=79a89721-2845-4a81-ae5a-84152e7a62e7" ] } ], "mendeley" : { "formattedCitation" : "(371)", "plainTextFormattedCitation" : "(371)", "previouslyFormattedCitation" : "(372)" }, "properties" : { "noteIndex" : 62 }, "schema" : "https://github.com/citation-style-language/schema/raw/master/csl-citation.json" }</w:instrText>
      </w:r>
      <w:r w:rsidR="00BC3BBB" w:rsidRPr="00E10C12">
        <w:rPr>
          <w:rFonts w:ascii="Arial" w:hAnsi="Arial" w:cs="Arial"/>
          <w:sz w:val="22"/>
          <w:szCs w:val="22"/>
          <w:shd w:val="clear" w:color="auto" w:fill="FFFFFF"/>
        </w:rPr>
        <w:fldChar w:fldCharType="separate"/>
      </w:r>
      <w:r w:rsidR="005827F2" w:rsidRPr="00E10C12">
        <w:rPr>
          <w:rFonts w:ascii="Arial" w:hAnsi="Arial" w:cs="Arial"/>
          <w:noProof/>
          <w:sz w:val="22"/>
          <w:szCs w:val="22"/>
          <w:shd w:val="clear" w:color="auto" w:fill="FFFFFF"/>
        </w:rPr>
        <w:t>(371)</w:t>
      </w:r>
      <w:r w:rsidR="00BC3BBB" w:rsidRPr="00E10C12">
        <w:rPr>
          <w:rFonts w:ascii="Arial" w:hAnsi="Arial" w:cs="Arial"/>
          <w:sz w:val="22"/>
          <w:szCs w:val="22"/>
          <w:shd w:val="clear" w:color="auto" w:fill="FFFFFF"/>
        </w:rPr>
        <w:fldChar w:fldCharType="end"/>
      </w:r>
      <w:r w:rsidRPr="00E10C12">
        <w:rPr>
          <w:rFonts w:ascii="Arial" w:hAnsi="Arial" w:cs="Arial"/>
          <w:sz w:val="22"/>
          <w:szCs w:val="22"/>
          <w:shd w:val="clear" w:color="auto" w:fill="FFFFFF"/>
        </w:rPr>
        <w:t xml:space="preserve">. Dendritik çıkıntıların bilhassa kognitif defisitler içeren birçok nöropsikiyatrik bozukluk için yaygın bir substrat olarak işlev görebileceği belirtilmiştir </w:t>
      </w:r>
      <w:r w:rsidR="00BC3BBB" w:rsidRPr="00E10C12">
        <w:rPr>
          <w:rFonts w:ascii="Arial" w:hAnsi="Arial" w:cs="Arial"/>
          <w:sz w:val="22"/>
          <w:szCs w:val="22"/>
          <w:shd w:val="clear" w:color="auto" w:fill="FFFFFF"/>
        </w:rPr>
        <w:fldChar w:fldCharType="begin" w:fldLock="1"/>
      </w:r>
      <w:r w:rsidR="005827F2" w:rsidRPr="00E10C12">
        <w:rPr>
          <w:rFonts w:ascii="Arial" w:hAnsi="Arial" w:cs="Arial"/>
          <w:sz w:val="22"/>
          <w:szCs w:val="22"/>
          <w:shd w:val="clear" w:color="auto" w:fill="FFFFFF"/>
        </w:rPr>
        <w:instrText>ADDIN CSL_CITATION { "citationItems" : [ { "id" : "ITEM-1", "itemData" : { "DOI" : "10.1038/nn.2741", "ISBN" : "1546-1726 (Electronic)\\r1097-6256 (Linking)", "ISSN" : "1097-6256", "PMID" : "21346746", "abstract" : "Substantial progress has been made toward understanding the genetic architecture, cellular substrates, brain circuits and endophenotypic profiles of neuropsychiatric disorders, including autism spectrum disorders (ASD), schizophrenia and Alzheimer's disease. Recent evidence implicates spiny synapses as important substrates of pathogenesis in these disorders. Although synaptic perturbations are not the only alterations relevant for these diseases, understanding the molecular underpinnings of spine pathology may provide insight into their etiologies and may reveal new drug targets. Here we discuss recent neuropathological, genetic, molecular and animal model studies that implicate structural alterations at spiny synapses in the pathogenesis of major neurological disorders, focusing on ASD, schizophrenia and Alzheimer's disease as representatives of these categories across different ages of onset. We stress the importance of reverse translation, collaborative and multidisciplinary approaches, and the study of the spatio-temporal roles of disease molecules in the context of synaptic regulatory pathways and neuronal circuits that underlie disease endophenotypes.", "author" : [ { "dropping-particle" : "", "family" : "Penzes", "given" : "Peter", "non-dropping-particle" : "", "parse-names" : false, "suffix" : "" }, { "dropping-particle" : "", "family" : "Cahill", "given" : "Michael E", "non-dropping-particle" : "", "parse-names" : false, "suffix" : "" }, { "dropping-particle" : "", "family" : "Jones", "given" : "Kelly A", "non-dropping-particle" : "", "parse-names" : false, "suffix" : "" }, { "dropping-particle" : "", "family" : "VanLeeuwen", "given" : "Jon-Eric", "non-dropping-particle" : "", "parse-names" : false, "suffix" : "" }, { "dropping-particle" : "", "family" : "Woolfrey", "given" : "Kevin M", "non-dropping-particle" : "", "parse-names" : false, "suffix" : "" } ], "container-title" : "Nature Neuroscience", "id" : "ITEM-1", "issue" : "3", "issued" : { "date-parts" : [ [ "2011" ] ] }, "page" : "285-293", "title" : "Dendritic spine pathology in neuropsychiatric disorders", "type" : "article-journal", "volume" : "14" }, "uris" : [ "http://www.mendeley.com/documents/?uuid=7172452d-a1e9-4c74-b545-31489684f55f" ] } ], "mendeley" : { "formattedCitation" : "(372)", "plainTextFormattedCitation" : "(372)", "previouslyFormattedCitation" : "(373)" }, "properties" : { "noteIndex" : 62 }, "schema" : "https://github.com/citation-style-language/schema/raw/master/csl-citation.json" }</w:instrText>
      </w:r>
      <w:r w:rsidR="00BC3BBB" w:rsidRPr="00E10C12">
        <w:rPr>
          <w:rFonts w:ascii="Arial" w:hAnsi="Arial" w:cs="Arial"/>
          <w:sz w:val="22"/>
          <w:szCs w:val="22"/>
          <w:shd w:val="clear" w:color="auto" w:fill="FFFFFF"/>
        </w:rPr>
        <w:fldChar w:fldCharType="separate"/>
      </w:r>
      <w:r w:rsidR="005827F2" w:rsidRPr="00E10C12">
        <w:rPr>
          <w:rFonts w:ascii="Arial" w:hAnsi="Arial" w:cs="Arial"/>
          <w:noProof/>
          <w:sz w:val="22"/>
          <w:szCs w:val="22"/>
          <w:shd w:val="clear" w:color="auto" w:fill="FFFFFF"/>
        </w:rPr>
        <w:t>(372)</w:t>
      </w:r>
      <w:r w:rsidR="00BC3BBB" w:rsidRPr="00E10C12">
        <w:rPr>
          <w:rFonts w:ascii="Arial" w:hAnsi="Arial" w:cs="Arial"/>
          <w:sz w:val="22"/>
          <w:szCs w:val="22"/>
          <w:shd w:val="clear" w:color="auto" w:fill="FFFFFF"/>
        </w:rPr>
        <w:fldChar w:fldCharType="end"/>
      </w:r>
      <w:r w:rsidRPr="00E10C12">
        <w:rPr>
          <w:rFonts w:ascii="Arial" w:hAnsi="Arial" w:cs="Arial"/>
          <w:color w:val="212121"/>
          <w:sz w:val="22"/>
          <w:szCs w:val="22"/>
          <w:shd w:val="clear" w:color="auto" w:fill="FFFFFF"/>
        </w:rPr>
        <w:t xml:space="preserve">. Kim ve ark. DEHB tedavisinde yaygın olarak kullanılan MPH’ın dendritik çıkıntı oluşumunu arttırdığını göstermişlerdir </w:t>
      </w:r>
      <w:r w:rsidR="00BC3BBB" w:rsidRPr="00E10C12">
        <w:rPr>
          <w:rFonts w:ascii="Arial" w:hAnsi="Arial" w:cs="Arial"/>
          <w:color w:val="212121"/>
          <w:sz w:val="22"/>
          <w:szCs w:val="22"/>
          <w:shd w:val="clear" w:color="auto" w:fill="FFFFFF"/>
        </w:rPr>
        <w:fldChar w:fldCharType="begin" w:fldLock="1"/>
      </w:r>
      <w:r w:rsidR="005827F2" w:rsidRPr="00E10C12">
        <w:rPr>
          <w:rFonts w:ascii="Arial" w:hAnsi="Arial" w:cs="Arial"/>
          <w:color w:val="212121"/>
          <w:sz w:val="22"/>
          <w:szCs w:val="22"/>
          <w:shd w:val="clear" w:color="auto" w:fill="FFFFFF"/>
        </w:rPr>
        <w:instrText>ADDIN CSL_CITATION { "citationItems" : [ { "id" : "ITEM-1", "itemData" : { "DOI" : "10.1073/pnas.0813179106", "ISBN" : "0813179106", "ISSN" : "0027-8424", "abstract" : "Methylphenidate is the psychostimulant medication most commonly prescribed to treat attention deficit hyperactivity disorder (ADHD). Recent trends in the high usage of methylphenidate for both therapeutic and nontherapeutic purposes prompted us to investigate the long-term effects of exposure to the drug on neuronal adaptation. We compared the effects of chronic methylphenidate or cocaine (15 mg/kg, 14 days for both) exposure in mice on dendritic spine morphology and \u0394FosB expression in medium-sized spiny neurons (MSN) from ventral and dorsal striatum. Chronic methylphenidate increased the density of dendritic spines in MSN-D1 (MSN-expressing dopamine D1 receptors) from the core and shell of nucleus accumbens (NAcc) as well as MSN-D2 (MSN-expressing dopamine D2 receptors) from the shell of NAcc. In contrast, cocaine increased the density of spines in both populations of MSN from all regions of striatum. In general, the effect of methylphenidate on the increase of shorter spines (class 2) was less than that of cocaine. Interestingly, the methylphenidate-induced increase in the density of relatively longer spines (class 3) in the shell of NAcc was bigger than that induced by cocaine. Furthermore, methylphenidate exposure increased expression of \u0394FosB only in MSN-D1 from all areas of striatum, and surprisingly, the increase was greater than that induced by cocaine. Thus, our results show differential effects of methylphenidate and cocaine on neuronal adaptation in specific types of MSN in reward-related brain regions.", "author" : [ { "dropping-particle" : "", "family" : "Kim", "given" : "Yong", "non-dropping-particle" : "", "parse-names" : false, "suffix" : "" }, { "dropping-particle" : "", "family" : "Teylan", "given" : "Merilee A", "non-dropping-particle" : "", "parse-names" : false, "suffix" : "" }, { "dropping-particle" : "", "family" : "Baron", "given" : "Matthew", "non-dropping-particle" : "", "parse-names" : false, "suffix" : "" }, { "dropping-particle" : "", "family" : "Sands", "given" : "Adam", "non-dropping-particle" : "", "parse-names" : false, "suffix" : "" }, { "dropping-particle" : "", "family" : "Nairn", "given" : "Angus C", "non-dropping-particle" : "", "parse-names" : false, "suffix" : "" }, { "dropping-particle" : "", "family" : "Greengard", "given" : "Paul", "non-dropping-particle" : "", "parse-names" : false, "suffix" : "" } ], "container-title" : "Proceedings of the National Academy of Sciences", "id" : "ITEM-1", "issue" : "8", "issued" : { "date-parts" : [ [ "2009" ] ] }, "page" : "2915-2920", "title" : "Methylphenidate-induced dendritic spine formation and \u0394FosB expression in nucleus accumbens", "type" : "article-journal", "volume" : "106" }, "uris" : [ "http://www.mendeley.com/documents/?uuid=4daa8d00-c6ff-4c95-9c11-7097ae748560" ] } ], "mendeley" : { "formattedCitation" : "(373)", "plainTextFormattedCitation" : "(373)", "previouslyFormattedCitation" : "(374)" }, "properties" : { "noteIndex" : 62 }, "schema" : "https://github.com/citation-style-language/schema/raw/master/csl-citation.json" }</w:instrText>
      </w:r>
      <w:r w:rsidR="00BC3BBB" w:rsidRPr="00E10C12">
        <w:rPr>
          <w:rFonts w:ascii="Arial" w:hAnsi="Arial" w:cs="Arial"/>
          <w:color w:val="212121"/>
          <w:sz w:val="22"/>
          <w:szCs w:val="22"/>
          <w:shd w:val="clear" w:color="auto" w:fill="FFFFFF"/>
        </w:rPr>
        <w:fldChar w:fldCharType="separate"/>
      </w:r>
      <w:r w:rsidR="005827F2" w:rsidRPr="00E10C12">
        <w:rPr>
          <w:rFonts w:ascii="Arial" w:hAnsi="Arial" w:cs="Arial"/>
          <w:noProof/>
          <w:color w:val="212121"/>
          <w:sz w:val="22"/>
          <w:szCs w:val="22"/>
          <w:shd w:val="clear" w:color="auto" w:fill="FFFFFF"/>
        </w:rPr>
        <w:t>(373)</w:t>
      </w:r>
      <w:r w:rsidR="00BC3BBB" w:rsidRPr="00E10C12">
        <w:rPr>
          <w:rFonts w:ascii="Arial" w:hAnsi="Arial" w:cs="Arial"/>
          <w:color w:val="212121"/>
          <w:sz w:val="22"/>
          <w:szCs w:val="22"/>
          <w:shd w:val="clear" w:color="auto" w:fill="FFFFFF"/>
        </w:rPr>
        <w:fldChar w:fldCharType="end"/>
      </w:r>
      <w:r w:rsidRPr="00E10C12">
        <w:rPr>
          <w:rFonts w:ascii="Arial" w:hAnsi="Arial" w:cs="Arial"/>
          <w:color w:val="212121"/>
          <w:sz w:val="22"/>
          <w:szCs w:val="22"/>
          <w:shd w:val="clear" w:color="auto" w:fill="FFFFFF"/>
        </w:rPr>
        <w:t xml:space="preserve">. </w:t>
      </w:r>
      <w:r w:rsidRPr="00E10C12">
        <w:rPr>
          <w:rFonts w:ascii="Arial" w:hAnsi="Arial" w:cs="Arial"/>
          <w:sz w:val="22"/>
          <w:szCs w:val="22"/>
          <w:shd w:val="clear" w:color="auto" w:fill="FFFFFF"/>
        </w:rPr>
        <w:t>miR-107’nin dendritik çıkıntılara etkisi üzerinden DEHB kliniği ve patogenezi ile ilişkisisini sorgulayan yeni çalışmalara ihtiyaç olduğu düşünülmüştür.</w:t>
      </w:r>
    </w:p>
    <w:p w:rsidR="00C60153" w:rsidRPr="00E10C12" w:rsidRDefault="00C60153" w:rsidP="00C60153">
      <w:pPr>
        <w:spacing w:line="360" w:lineRule="auto"/>
        <w:ind w:firstLine="720"/>
        <w:jc w:val="both"/>
        <w:rPr>
          <w:rFonts w:ascii="Arial" w:hAnsi="Arial" w:cs="Arial"/>
          <w:sz w:val="22"/>
          <w:szCs w:val="22"/>
          <w:shd w:val="clear" w:color="auto" w:fill="FFFFFF"/>
        </w:rPr>
      </w:pPr>
      <w:r w:rsidRPr="00E10C12">
        <w:rPr>
          <w:rFonts w:ascii="Arial" w:hAnsi="Arial" w:cs="Arial"/>
          <w:sz w:val="22"/>
          <w:szCs w:val="22"/>
          <w:shd w:val="clear" w:color="auto" w:fill="FFFFFF"/>
        </w:rPr>
        <w:t xml:space="preserve">Hippokampal öğrenmeyi ve hafızayı test eden </w:t>
      </w:r>
      <w:r w:rsidRPr="00E10C12">
        <w:rPr>
          <w:rFonts w:ascii="Arial" w:hAnsi="Arial" w:cs="Arial"/>
          <w:i/>
          <w:sz w:val="22"/>
          <w:szCs w:val="22"/>
          <w:shd w:val="clear" w:color="auto" w:fill="FFFFFF"/>
        </w:rPr>
        <w:t>“Morris Su Labirent”</w:t>
      </w:r>
      <w:r w:rsidRPr="00E10C12">
        <w:rPr>
          <w:rFonts w:ascii="Arial" w:hAnsi="Arial" w:cs="Arial"/>
          <w:sz w:val="22"/>
          <w:szCs w:val="22"/>
          <w:shd w:val="clear" w:color="auto" w:fill="FFFFFF"/>
        </w:rPr>
        <w:t xml:space="preserve"> deneyide</w:t>
      </w:r>
      <w:r w:rsidRPr="00E10C12">
        <w:rPr>
          <w:rFonts w:ascii="Arial" w:hAnsi="Arial" w:cs="Arial"/>
          <w:i/>
          <w:sz w:val="22"/>
          <w:szCs w:val="22"/>
          <w:shd w:val="clear" w:color="auto" w:fill="FFFFFF"/>
        </w:rPr>
        <w:t xml:space="preserve"> </w:t>
      </w:r>
      <w:r w:rsidRPr="00E10C12">
        <w:rPr>
          <w:rFonts w:ascii="Arial" w:hAnsi="Arial" w:cs="Arial"/>
          <w:sz w:val="22"/>
          <w:szCs w:val="22"/>
          <w:shd w:val="clear" w:color="auto" w:fill="FFFFFF"/>
        </w:rPr>
        <w:t xml:space="preserve">GRN delesyonu olan sıçanlarda bozukluklar saptanmış </w:t>
      </w:r>
      <w:r w:rsidR="00BC3BBB" w:rsidRPr="00E10C12">
        <w:rPr>
          <w:rFonts w:ascii="Arial" w:hAnsi="Arial" w:cs="Arial"/>
          <w:sz w:val="22"/>
          <w:szCs w:val="22"/>
          <w:shd w:val="clear" w:color="auto" w:fill="FFFFFF"/>
        </w:rPr>
        <w:fldChar w:fldCharType="begin" w:fldLock="1"/>
      </w:r>
      <w:r w:rsidR="005827F2" w:rsidRPr="00E10C12">
        <w:rPr>
          <w:rFonts w:ascii="Arial" w:hAnsi="Arial" w:cs="Arial"/>
          <w:sz w:val="22"/>
          <w:szCs w:val="22"/>
          <w:shd w:val="clear" w:color="auto" w:fill="FFFFFF"/>
        </w:rPr>
        <w:instrText>ADDIN CSL_CITATION { "citationItems" : [ { "id" : "ITEM-1", "itemData" : { "DOI" : "10.1096/fj.10-161471", "ISBN" : "1530-6860", "ISSN" : "0892-6638", "PMID" : "20667979", "abstract" : "Progranulin haploinsufficiency causes frontotemporal dementia with tau-negative, ubiquitin-positive neuronal inclusion pathology. In this study, we showed that progranulin-deficient mice displayed increased depression- and disinhibition-like behavior, as well as deficits in social recognition from a relatively young age. These mice did not have any deficit in locomotion or exploration. Eighteen-month-old progranulin-deficient mice demonstrated impaired spatial learning and memory in the Morris water maze. In addition to behavioral deficits, progranulin-deficient mice showed a progressive development of neuropathology from 12 mo of age, including enhanced activation of microglia and astrocytes and ubiquitination and cytoplasmic accumulation of phosphorylated TDP-43. Thus, progranulin deficiency induced FTD-like behavioral and neuropathological deficits. These mice may serve as an important tool for deciphering underlying mechanisms in frontotemporal dementia.", "author" : [ { "dropping-particle" : "", "family" : "Yin", "given" : "F.", "non-dropping-particle" : "", "parse-names" : false, "suffix" : "" }, { "dropping-particle" : "", "family" : "Dumont", "given" : "M.", "non-dropping-particle" : "", "parse-names" : false, "suffix" : "" }, { "dropping-particle" : "", "family" : "Banerjee", "given" : "R.", "non-dropping-particle" : "", "parse-names" : false, "suffix" : "" }, { "dropping-particle" : "", "family" : "Ma", "given" : "Y.", "non-dropping-particle" : "", "parse-names" : false, "suffix" : "" }, { "dropping-particle" : "", "family" : "Li", "given" : "H.", "non-dropping-particle" : "", "parse-names" : false, "suffix" : "" }, { "dropping-particle" : "", "family" : "Lin", "given" : "M. T.", "non-dropping-particle" : "", "parse-names" : false, "suffix" : "" }, { "dropping-particle" : "", "family" : "Beal", "given" : "M. F.", "non-dropping-particle" : "", "parse-names" : false, "suffix" : "" }, { "dropping-particle" : "", "family" : "Nathan", "given" : "C.", "non-dropping-particle" : "", "parse-names" : false, "suffix" : "" }, { "dropping-particle" : "", "family" : "Thomas", "given" : "B.", "non-dropping-particle" : "", "parse-names" : false, "suffix" : "" }, { "dropping-particle" : "", "family" : "Ding", "given" : "A.", "non-dropping-particle" : "", "parse-names" : false, "suffix" : "" } ], "container-title" : "The FASEB Journal", "id" : "ITEM-1", "issue" : "12", "issued" : { "date-parts" : [ [ "2010" ] ] }, "page" : "4639-4647", "title" : "Behavioral deficits and progressive neuropathology in progranulin-deficient mice: a mouse model of frontotemporal dementia", "type" : "article-journal", "volume" : "24" }, "uris" : [ "http://www.mendeley.com/documents/?uuid=5c62e647-4faa-478d-8756-8ff34b10c1de" ] } ], "mendeley" : { "formattedCitation" : "(374)", "plainTextFormattedCitation" : "(374)", "previouslyFormattedCitation" : "(375)" }, "properties" : { "noteIndex" : 62 }, "schema" : "https://github.com/citation-style-language/schema/raw/master/csl-citation.json" }</w:instrText>
      </w:r>
      <w:r w:rsidR="00BC3BBB" w:rsidRPr="00E10C12">
        <w:rPr>
          <w:rFonts w:ascii="Arial" w:hAnsi="Arial" w:cs="Arial"/>
          <w:sz w:val="22"/>
          <w:szCs w:val="22"/>
          <w:shd w:val="clear" w:color="auto" w:fill="FFFFFF"/>
        </w:rPr>
        <w:fldChar w:fldCharType="separate"/>
      </w:r>
      <w:r w:rsidR="005827F2" w:rsidRPr="00E10C12">
        <w:rPr>
          <w:rFonts w:ascii="Arial" w:hAnsi="Arial" w:cs="Arial"/>
          <w:noProof/>
          <w:sz w:val="22"/>
          <w:szCs w:val="22"/>
          <w:shd w:val="clear" w:color="auto" w:fill="FFFFFF"/>
        </w:rPr>
        <w:t>(374)</w:t>
      </w:r>
      <w:r w:rsidR="00BC3BBB" w:rsidRPr="00E10C12">
        <w:rPr>
          <w:rFonts w:ascii="Arial" w:hAnsi="Arial" w:cs="Arial"/>
          <w:sz w:val="22"/>
          <w:szCs w:val="22"/>
          <w:shd w:val="clear" w:color="auto" w:fill="FFFFFF"/>
        </w:rPr>
        <w:fldChar w:fldCharType="end"/>
      </w:r>
      <w:r w:rsidRPr="00E10C12">
        <w:rPr>
          <w:rFonts w:ascii="Arial" w:hAnsi="Arial" w:cs="Arial"/>
          <w:sz w:val="22"/>
          <w:szCs w:val="22"/>
          <w:shd w:val="clear" w:color="auto" w:fill="FFFFFF"/>
        </w:rPr>
        <w:t>,  </w:t>
      </w:r>
      <w:r w:rsidRPr="00E10C12">
        <w:rPr>
          <w:rFonts w:ascii="Arial" w:hAnsi="Arial" w:cs="Arial"/>
          <w:color w:val="4F81BD" w:themeColor="accent1"/>
          <w:sz w:val="22"/>
          <w:szCs w:val="22"/>
          <w:shd w:val="clear" w:color="auto" w:fill="FFFFFF"/>
        </w:rPr>
        <w:t xml:space="preserve"> </w:t>
      </w:r>
      <w:r w:rsidRPr="00E10C12">
        <w:rPr>
          <w:rFonts w:ascii="Arial" w:hAnsi="Arial" w:cs="Arial"/>
          <w:sz w:val="22"/>
          <w:szCs w:val="22"/>
          <w:shd w:val="clear" w:color="auto" w:fill="FFFFFF"/>
        </w:rPr>
        <w:t xml:space="preserve">bu bulgunun frontotemporal lobar dejenerasyonun kliniği ile tutuarlı olduğu belirtilmiştir </w:t>
      </w:r>
      <w:r w:rsidR="00BC3BBB" w:rsidRPr="00E10C12">
        <w:rPr>
          <w:rFonts w:ascii="Arial" w:hAnsi="Arial" w:cs="Arial"/>
          <w:sz w:val="22"/>
          <w:szCs w:val="22"/>
          <w:shd w:val="clear" w:color="auto" w:fill="FFFFFF"/>
        </w:rPr>
        <w:fldChar w:fldCharType="begin" w:fldLock="1"/>
      </w:r>
      <w:r w:rsidR="005827F2" w:rsidRPr="00E10C12">
        <w:rPr>
          <w:rFonts w:ascii="Arial" w:hAnsi="Arial" w:cs="Arial"/>
          <w:sz w:val="22"/>
          <w:szCs w:val="22"/>
          <w:shd w:val="clear" w:color="auto" w:fill="FFFFFF"/>
        </w:rPr>
        <w:instrText>ADDIN CSL_CITATION { "citationItems" : [ { "id" : "ITEM-1", "itemData" : { "DOI" : "10.1074/jbc.R112.399170", "ISBN" : "1083-351X (Electronic)\\r0021-9258 (Linking)", "ISSN" : "00219258", "PMID" : "22859297", "abstract" : "GRN mutations cause frontotemporal lobar degeneration with TDP-43-positive inclusions. The mechanism of pathogenesis is haploinsufficiency. Recently, homozygous GRN mutations were detected in two patients with neuronal ceroid lipofuscinosis, a lysosomal storage disease. It is unknown whether the pathogenesis of these two conditions is related. Progranulin is cleaved into smaller peptides called granulins. Progranulin and granulins are attributed with roles in cancer, inflammation, and neuronal physiology. Cell surface receptors for progranulin, but not granulin peptides, have been reported. Revealing the cell surface receptors and the intracellular functions of granulins and progranulin is crucial for understanding their contributions to neurodegeneration.", "author" : [ { "dropping-particle" : "", "family" : "Cenik", "given" : "Basar", "non-dropping-particle" : "", "parse-names" : false, "suffix" : "" }, { "dropping-particle" : "", "family" : "Sephton", "given" : "Chantelle F.", "non-dropping-particle" : "", "parse-names" : false, "suffix" : "" }, { "dropping-particle" : "", "family" : "Cenik", "given" : "Bercin Kutluk", "non-dropping-particle" : "", "parse-names" : false, "suffix" : "" }, { "dropping-particle" : "", "family" : "Herz", "given" : "Joachim", "non-dropping-particle" : "", "parse-names" : false, "suffix" : "" }, { "dropping-particle" : "", "family" : "Yu", "given" : "Gang", "non-dropping-particle" : "", "parse-names" : false, "suffix" : "" } ], "container-title" : "Journal of Biological Chemistry", "id" : "ITEM-1", "issue" : "39", "issued" : { "date-parts" : [ [ "2012" ] ] }, "page" : "32298-32306", "title" : "Progranulin: A proteolytically processed protein at the crossroads of inflammation and neurodegeneration", "type" : "article-journal", "volume" : "287" }, "uris" : [ "http://www.mendeley.com/documents/?uuid=0a7c4cca-56b7-4ec5-8dd9-b29b8dc53973" ] } ], "mendeley" : { "formattedCitation" : "(368)", "plainTextFormattedCitation" : "(368)", "previouslyFormattedCitation" : "(369)" }, "properties" : { "noteIndex" : 62 }, "schema" : "https://github.com/citation-style-language/schema/raw/master/csl-citation.json" }</w:instrText>
      </w:r>
      <w:r w:rsidR="00BC3BBB" w:rsidRPr="00E10C12">
        <w:rPr>
          <w:rFonts w:ascii="Arial" w:hAnsi="Arial" w:cs="Arial"/>
          <w:sz w:val="22"/>
          <w:szCs w:val="22"/>
          <w:shd w:val="clear" w:color="auto" w:fill="FFFFFF"/>
        </w:rPr>
        <w:fldChar w:fldCharType="separate"/>
      </w:r>
      <w:r w:rsidR="005827F2" w:rsidRPr="00E10C12">
        <w:rPr>
          <w:rFonts w:ascii="Arial" w:hAnsi="Arial" w:cs="Arial"/>
          <w:noProof/>
          <w:sz w:val="22"/>
          <w:szCs w:val="22"/>
          <w:shd w:val="clear" w:color="auto" w:fill="FFFFFF"/>
        </w:rPr>
        <w:t>(368)</w:t>
      </w:r>
      <w:r w:rsidR="00BC3BBB" w:rsidRPr="00E10C12">
        <w:rPr>
          <w:rFonts w:ascii="Arial" w:hAnsi="Arial" w:cs="Arial"/>
          <w:sz w:val="22"/>
          <w:szCs w:val="22"/>
          <w:shd w:val="clear" w:color="auto" w:fill="FFFFFF"/>
        </w:rPr>
        <w:fldChar w:fldCharType="end"/>
      </w:r>
      <w:r w:rsidRPr="00E10C12">
        <w:rPr>
          <w:rFonts w:ascii="Arial" w:hAnsi="Arial" w:cs="Arial"/>
          <w:sz w:val="22"/>
          <w:szCs w:val="22"/>
          <w:shd w:val="clear" w:color="auto" w:fill="FFFFFF"/>
        </w:rPr>
        <w:t>.</w:t>
      </w:r>
      <w:r w:rsidRPr="00E10C12">
        <w:rPr>
          <w:sz w:val="22"/>
          <w:szCs w:val="22"/>
          <w:shd w:val="clear" w:color="auto" w:fill="FFFFFF"/>
        </w:rPr>
        <w:t xml:space="preserve"> </w:t>
      </w:r>
      <w:r w:rsidRPr="00E10C12">
        <w:rPr>
          <w:rFonts w:ascii="Arial" w:hAnsi="Arial" w:cs="Arial"/>
          <w:sz w:val="22"/>
          <w:szCs w:val="22"/>
          <w:shd w:val="clear" w:color="auto" w:fill="FFFFFF"/>
        </w:rPr>
        <w:t xml:space="preserve">DEHB’ye sıkça eşlik eden </w:t>
      </w:r>
      <w:r w:rsidR="002C7B8B">
        <w:rPr>
          <w:rFonts w:ascii="Arial" w:hAnsi="Arial" w:cs="Arial"/>
          <w:sz w:val="22"/>
          <w:szCs w:val="22"/>
          <w:shd w:val="clear" w:color="auto" w:fill="FFFFFF"/>
        </w:rPr>
        <w:t>d</w:t>
      </w:r>
      <w:r w:rsidRPr="00E10C12">
        <w:rPr>
          <w:rFonts w:ascii="Arial" w:hAnsi="Arial" w:cs="Arial"/>
          <w:sz w:val="22"/>
          <w:szCs w:val="22"/>
          <w:shd w:val="clear" w:color="auto" w:fill="FFFFFF"/>
        </w:rPr>
        <w:t xml:space="preserve">avranım </w:t>
      </w:r>
      <w:r w:rsidR="002C7B8B">
        <w:rPr>
          <w:rFonts w:ascii="Arial" w:hAnsi="Arial" w:cs="Arial"/>
          <w:sz w:val="22"/>
          <w:szCs w:val="22"/>
          <w:shd w:val="clear" w:color="auto" w:fill="FFFFFF"/>
        </w:rPr>
        <w:t>b</w:t>
      </w:r>
      <w:r w:rsidRPr="00E10C12">
        <w:rPr>
          <w:rFonts w:ascii="Arial" w:hAnsi="Arial" w:cs="Arial"/>
          <w:sz w:val="22"/>
          <w:szCs w:val="22"/>
          <w:shd w:val="clear" w:color="auto" w:fill="FFFFFF"/>
        </w:rPr>
        <w:t xml:space="preserve">ozukluğu </w:t>
      </w:r>
      <w:r w:rsidR="00BC3BBB" w:rsidRPr="00E10C12">
        <w:rPr>
          <w:rFonts w:ascii="Arial" w:hAnsi="Arial" w:cs="Arial"/>
          <w:sz w:val="22"/>
          <w:szCs w:val="22"/>
          <w:shd w:val="clear" w:color="auto" w:fill="FFFFFF"/>
        </w:rPr>
        <w:fldChar w:fldCharType="begin" w:fldLock="1"/>
      </w:r>
      <w:r w:rsidR="005827F2" w:rsidRPr="00E10C12">
        <w:rPr>
          <w:rFonts w:ascii="Arial" w:hAnsi="Arial" w:cs="Arial"/>
          <w:sz w:val="22"/>
          <w:szCs w:val="22"/>
          <w:shd w:val="clear" w:color="auto" w:fill="FFFFFF"/>
        </w:rPr>
        <w:instrText>ADDIN CSL_CITATION { "citationItems" : [ { "id" : "ITEM-1", "itemData" : { "author" : [ { "dropping-particle" : "", "family" : "Loeber", "given" : "Rolf", "non-dropping-particle" : "", "parse-names" : false, "suffix" : "" }, { "dropping-particle" : "", "family" : "Burke", "given" : "Jeffrey D.", "non-dropping-particle" : "", "parse-names" : false, "suffix" : "" }, { "dropping-particle" : "", "family" : "Lahey", "given" : "Benjamin B.", "non-dropping-particle" : "", "parse-names" : false, "suffix" : "" }, { "dropping-particle" : "", "family" : "Winters", "given" : "Alaina", "non-dropping-particle" : "", "parse-names" : false, "suffix" : "" }, { "dropping-particle" : "", "family" : "Zera", "given" : "Marcie", "non-dropping-particle" : "", "parse-names" : false, "suffix" : "" } ], "container-title" : "Journal of the American Academy of Child Psychiatry", "id" : "ITEM-1", "issue" : "12", "issued" : { "date-parts" : [ [ "2000" ] ] }, "page" : "1468-1484", "title" : "Oppositional defiant and conduct disorder: A review of the past 10 years, part I", "type" : "article-journal", "volume" : "39" }, "uris" : [ "http://www.mendeley.com/documents/?uuid=fedf30ff-de0b-4273-9f8b-248f6a85f571" ] } ], "mendeley" : { "formattedCitation" : "(375)", "plainTextFormattedCitation" : "(375)", "previouslyFormattedCitation" : "(376)" }, "properties" : { "noteIndex" : 63 }, "schema" : "https://github.com/citation-style-language/schema/raw/master/csl-citation.json" }</w:instrText>
      </w:r>
      <w:r w:rsidR="00BC3BBB" w:rsidRPr="00E10C12">
        <w:rPr>
          <w:rFonts w:ascii="Arial" w:hAnsi="Arial" w:cs="Arial"/>
          <w:sz w:val="22"/>
          <w:szCs w:val="22"/>
          <w:shd w:val="clear" w:color="auto" w:fill="FFFFFF"/>
        </w:rPr>
        <w:fldChar w:fldCharType="separate"/>
      </w:r>
      <w:r w:rsidR="005827F2" w:rsidRPr="00E10C12">
        <w:rPr>
          <w:rFonts w:ascii="Arial" w:hAnsi="Arial" w:cs="Arial"/>
          <w:noProof/>
          <w:sz w:val="22"/>
          <w:szCs w:val="22"/>
          <w:shd w:val="clear" w:color="auto" w:fill="FFFFFF"/>
        </w:rPr>
        <w:t>(375)</w:t>
      </w:r>
      <w:r w:rsidR="00BC3BBB" w:rsidRPr="00E10C12">
        <w:rPr>
          <w:rFonts w:ascii="Arial" w:hAnsi="Arial" w:cs="Arial"/>
          <w:sz w:val="22"/>
          <w:szCs w:val="22"/>
          <w:shd w:val="clear" w:color="auto" w:fill="FFFFFF"/>
        </w:rPr>
        <w:fldChar w:fldCharType="end"/>
      </w:r>
      <w:r w:rsidRPr="00E10C12">
        <w:rPr>
          <w:rFonts w:ascii="Arial" w:hAnsi="Arial" w:cs="Arial"/>
          <w:sz w:val="22"/>
          <w:szCs w:val="22"/>
          <w:shd w:val="clear" w:color="auto" w:fill="FFFFFF"/>
        </w:rPr>
        <w:t xml:space="preserve"> ile frontotemporal bölgeyi inceleyen bir çalışmada, DB tanılı ergenlerde frontotemporal beyaz maddede mikrostrüktürel anormallikler saptanmıştır </w:t>
      </w:r>
      <w:r w:rsidR="00BC3BBB" w:rsidRPr="00E10C12">
        <w:rPr>
          <w:rFonts w:ascii="Arial" w:hAnsi="Arial" w:cs="Arial"/>
          <w:sz w:val="22"/>
          <w:szCs w:val="22"/>
          <w:shd w:val="clear" w:color="auto" w:fill="FFFFFF"/>
        </w:rPr>
        <w:fldChar w:fldCharType="begin" w:fldLock="1"/>
      </w:r>
      <w:r w:rsidR="005827F2" w:rsidRPr="00E10C12">
        <w:rPr>
          <w:rFonts w:ascii="Arial" w:hAnsi="Arial" w:cs="Arial"/>
          <w:sz w:val="22"/>
          <w:szCs w:val="22"/>
          <w:shd w:val="clear" w:color="auto" w:fill="FFFFFF"/>
        </w:rPr>
        <w:instrText>ADDIN CSL_CITATION { "citationItems" : [ { "id" : "ITEM-1", "itemData" : { "DOI" : "10.1017/S003329171200116X", "ISBN" : "1469-8978", "ISSN" : "0033-2917", "PMID" : "22617495", "abstract" : "BACKGROUND: Children with conduct disorder (CD) are at increased risk of developing antisocial personality disorder (ASPD) and psychopathy in adulthood. The biological basis for this is poorly understood. A preliminary diffusion tensor magnetic resonance imaging (DT-MRI) study of psychopathic antisocial adults reported significant differences from controls in the fractional anisotropy (FA) of the uncinate fasciculus (UF), a white-matter tract that connects the amygdala to the frontal lobe. However, it is unknown whether developmental abnormalities are present in the UF of younger individuals with CD.\\n\\nMETHOD: We used DT-MRI tractography to investigate, for the first time, the microstructural integrity of the UF in adolescents with CD, and age-related differences in this tract. We compared FA and perpendicular diffusivity of the UF in 27 adolescents with CD and 16 healthy controls (12 to 19 years old) who did not differ significantly in age, IQ or substance use history. To confirm that these findings were specific to the UF, the same measurements were extracted from two non-limbic control tracts. Participants in the CD group had a history of serious aggressive and violent behaviour, including robbery, burglary, grievous bodily harm and sexual assault.\\n\\nRESULTS: Individuals with CD had a significantly increased FA (p = 0.006), and reduced perpendicular diffusivity (p = 0.002), in the left UF. Furthermore, there were significant age-related between-group differences in perpendicular diffusivity of the same tract (Z obs = 2.40, p = 0.01). Controls, but not those with CD, showed significant age-related maturation. There were no significant between-group differences in any measure within the control tracts.\\n\\nCONCLUSIONS: Adolescents with CD have significant differences in the 'connectivity' and maturation of UF.", "author" : [ { "dropping-particle" : "", "family" : "Sarkar", "given" : "S.", "non-dropping-particle" : "", "parse-names" : false, "suffix" : "" }, { "dropping-particle" : "", "family" : "Craig", "given" : "M. C.", "non-dropping-particle" : "", "parse-names" : false, "suffix" : "" }, { "dropping-particle" : "", "family" : "Catani", "given" : "M.", "non-dropping-particle" : "", "parse-names" : false, "suffix" : "" }, { "dropping-particle" : "", "family" : "Dell'Acqua", "given" : "F.", "non-dropping-particle" : "", "parse-names" : false, "suffix" : "" }, { "dropping-particle" : "", "family" : "Fahy", "given" : "T.", "non-dropping-particle" : "", "parse-names" : false, "suffix" : "" }, { "dropping-particle" : "", "family" : "Deeley", "given" : "Q.", "non-dropping-particle" : "", "parse-names" : false, "suffix" : "" }, { "dropping-particle" : "", "family" : "Murphy", "given" : "D. G. M.", "non-dropping-particle" : "", "parse-names" : false, "suffix" : "" } ], "container-title" : "Psychological Medicine", "id" : "ITEM-1", "issue" : "02", "issued" : { "date-parts" : [ [ "2013" ] ] }, "page" : "401-411", "title" : "Frontotemporal white-matter microstructural abnormalities in adolescents with conduct disorder: a diffusion tensor imaging study", "type" : "article-journal", "volume" : "43" }, "uris" : [ "http://www.mendeley.com/documents/?uuid=3bfa97c8-fac4-4b3b-8f7e-24d9e5a86689" ] } ], "mendeley" : { "formattedCitation" : "(376)", "plainTextFormattedCitation" : "(376)", "previouslyFormattedCitation" : "(377)" }, "properties" : { "noteIndex" : 63 }, "schema" : "https://github.com/citation-style-language/schema/raw/master/csl-citation.json" }</w:instrText>
      </w:r>
      <w:r w:rsidR="00BC3BBB" w:rsidRPr="00E10C12">
        <w:rPr>
          <w:rFonts w:ascii="Arial" w:hAnsi="Arial" w:cs="Arial"/>
          <w:sz w:val="22"/>
          <w:szCs w:val="22"/>
          <w:shd w:val="clear" w:color="auto" w:fill="FFFFFF"/>
        </w:rPr>
        <w:fldChar w:fldCharType="separate"/>
      </w:r>
      <w:r w:rsidR="005827F2" w:rsidRPr="00E10C12">
        <w:rPr>
          <w:rFonts w:ascii="Arial" w:hAnsi="Arial" w:cs="Arial"/>
          <w:noProof/>
          <w:sz w:val="22"/>
          <w:szCs w:val="22"/>
          <w:shd w:val="clear" w:color="auto" w:fill="FFFFFF"/>
        </w:rPr>
        <w:t>(376)</w:t>
      </w:r>
      <w:r w:rsidR="00BC3BBB" w:rsidRPr="00E10C12">
        <w:rPr>
          <w:rFonts w:ascii="Arial" w:hAnsi="Arial" w:cs="Arial"/>
          <w:sz w:val="22"/>
          <w:szCs w:val="22"/>
          <w:shd w:val="clear" w:color="auto" w:fill="FFFFFF"/>
        </w:rPr>
        <w:fldChar w:fldCharType="end"/>
      </w:r>
      <w:r w:rsidRPr="00E10C12">
        <w:rPr>
          <w:rFonts w:ascii="Arial" w:hAnsi="Arial" w:cs="Arial"/>
          <w:sz w:val="22"/>
          <w:szCs w:val="22"/>
          <w:shd w:val="clear" w:color="auto" w:fill="FFFFFF"/>
        </w:rPr>
        <w:t xml:space="preserve">. </w:t>
      </w:r>
      <w:r w:rsidRPr="00E10C12">
        <w:rPr>
          <w:rFonts w:ascii="Arial" w:hAnsi="Arial" w:cs="Arial"/>
          <w:sz w:val="22"/>
          <w:szCs w:val="22"/>
        </w:rPr>
        <w:t>Çalışmamızda nörogörüntüleme ile beyin bölgelerindeki değişiklikleri saptama imkanımız olmamıştır. Özellikle DB eşlik eden DEHB’lilerde nörogörüntüleme yöntemleriyle beyin bölgelerindeki değişikliklerle birlikte miR-107 düzeylernin çalışılmasına ihtiyaç olduğu düşünülmüştür.</w:t>
      </w:r>
    </w:p>
    <w:p w:rsidR="00E10C12" w:rsidRPr="00E10C12" w:rsidRDefault="00C60153" w:rsidP="00E10C12">
      <w:pPr>
        <w:spacing w:line="360" w:lineRule="auto"/>
        <w:jc w:val="both"/>
        <w:rPr>
          <w:rFonts w:ascii="Arial" w:hAnsi="Arial" w:cs="Arial"/>
          <w:sz w:val="22"/>
          <w:szCs w:val="22"/>
        </w:rPr>
      </w:pPr>
      <w:r>
        <w:tab/>
      </w:r>
      <w:r w:rsidR="00E10C12" w:rsidRPr="00E10C12">
        <w:rPr>
          <w:rFonts w:ascii="Arial" w:hAnsi="Arial" w:cs="Arial"/>
          <w:sz w:val="22"/>
          <w:szCs w:val="22"/>
        </w:rPr>
        <w:t>Bizim çalışmamızda olgu ve kontrol grubu açısından periferik kan miR-107 düzeyleri arasında anlamlı bir farklılık saptanmamıştır. Çalışmada, grupların yaş ortalamaları açısından istatistiksel olarak anlamlı fark olmamakla birlikte, hem olgu grubunda (p = 0</w:t>
      </w:r>
      <w:r w:rsidR="00E10C12" w:rsidRPr="00E10C12">
        <w:rPr>
          <w:rFonts w:ascii="Arial" w:hAnsi="Arial" w:cs="Arial"/>
          <w:bCs/>
          <w:sz w:val="22"/>
          <w:szCs w:val="22"/>
        </w:rPr>
        <w:t>.023)</w:t>
      </w:r>
      <w:r w:rsidR="00E10C12" w:rsidRPr="00E10C12">
        <w:rPr>
          <w:rFonts w:ascii="Arial" w:hAnsi="Arial" w:cs="Arial"/>
          <w:sz w:val="22"/>
          <w:szCs w:val="22"/>
        </w:rPr>
        <w:t xml:space="preserve"> hem de kontrol grubunda (p = </w:t>
      </w:r>
      <w:r w:rsidR="00E10C12" w:rsidRPr="00E10C12">
        <w:rPr>
          <w:rFonts w:ascii="Arial" w:hAnsi="Arial" w:cs="Arial"/>
          <w:bCs/>
          <w:sz w:val="22"/>
          <w:szCs w:val="22"/>
        </w:rPr>
        <w:t>0.030)</w:t>
      </w:r>
      <w:r w:rsidR="00E10C12" w:rsidRPr="00E10C12">
        <w:rPr>
          <w:rFonts w:ascii="Arial" w:hAnsi="Arial" w:cs="Arial"/>
          <w:b/>
          <w:bCs/>
          <w:sz w:val="22"/>
          <w:szCs w:val="22"/>
        </w:rPr>
        <w:t xml:space="preserve"> </w:t>
      </w:r>
      <w:r w:rsidR="00E10C12" w:rsidRPr="00E10C12">
        <w:rPr>
          <w:rFonts w:ascii="Arial" w:hAnsi="Arial" w:cs="Arial"/>
          <w:sz w:val="22"/>
          <w:szCs w:val="22"/>
        </w:rPr>
        <w:t xml:space="preserve">perfireik kan miR-107 düzeyleri ile yaş arasında korelasyon saptanmıştır. Noren Hooten ve ark. yaptıkları çalışmada miR-107 düzeyinin yaşla azaldığını göstermişlerdir </w:t>
      </w:r>
      <w:r w:rsidR="00BC3BBB" w:rsidRPr="00E10C12">
        <w:rPr>
          <w:rFonts w:ascii="Arial" w:hAnsi="Arial" w:cs="Arial"/>
          <w:sz w:val="22"/>
          <w:szCs w:val="22"/>
        </w:rPr>
        <w:fldChar w:fldCharType="begin" w:fldLock="1"/>
      </w:r>
      <w:r w:rsidR="00E10C12" w:rsidRPr="00E10C12">
        <w:rPr>
          <w:rFonts w:ascii="Arial" w:hAnsi="Arial" w:cs="Arial"/>
          <w:sz w:val="22"/>
          <w:szCs w:val="22"/>
        </w:rPr>
        <w:instrText>ADDIN CSL_CITATION { "citationItems" : [ { "id" : "ITEM-1", "itemData" : { "DOI" : "10.18632/aging.100603", "ISBN" : "1945-4589 (Electronic)\\r1945-4589 (Linking)", "ISSN" : "19454589", "PMID" : "24088671", "abstract" : "MicroRNAs (miRNAs) are small noncoding RNAs that post-transcriptionally regulate gene expression by targeting specific mRNAs. Altered expression of circulating miRNAs have been associated with age-related diseases including cancer and cardiovascular disease. Although we and others have found an age-dependent decrease in miRNA expression in peripheral blood mononuclear cells (PBMCs), little is known about the role of circulating miRNAs in human aging. Here, we examined miRNA expression in human serum from young (mean age 30 years) and old (mean age 64 years) individuals using next generation sequencing technology and real-time quantitative PCR. Of the miRNAs that we found to be present in serum, three were significantly decreased in 20 older individuals compared to 20 younger individuals: miR-151a-5p, miR-181a-5p and miR-1248. Consistent with our data in humans, these miRNAs are also present at lower levels in the serum of elderly rhesus monkeys. In humans, miR-1248 was found to regulate the expression of mRNAs involved in inflammatory pathways and miR-181a was found to correlate negatively with the pro-inflammatory cytokines IL-6 and TNF\u03b1 and to correlate positively with the anti-inflammatory cytokines TGF\u03b2 and IL-10. These results suggest that circulating miRNAs may be a biological marker of aging and could also be important for regulating longevity. Identification of stable miRNA biomarkers in serum could have great potential as a noninvasive diagnostic tool as well as enhance our understanding of physiological changes that occur with age.", "author" : [ { "dropping-particle" : "", "family" : "Noren Hooten", "given" : "Nicole", "non-dropping-particle" : "", "parse-names" : false, "suffix" : "" }, { "dropping-particle" : "", "family" : "Fitzpatrick", "given" : "Megan", "non-dropping-particle" : "", "parse-names" : false, "suffix" : "" }, { "dropping-particle" : "", "family" : "Wood", "given" : "William H.", "non-dropping-particle" : "", "parse-names" : false, "suffix" : "" }, { "dropping-particle" : "", "family" : "De", "given" : "Supriyo", "non-dropping-particle" : "", "parse-names" : false, "suffix" : "" }, { "dropping-particle" : "", "family" : "Ejiogu", "given" : "Ngozi", "non-dropping-particle" : "", "parse-names" : false, "suffix" : "" }, { "dropping-particle" : "", "family" : "Zhang", "given" : "Yongqing", "non-dropping-particle" : "", "parse-names" : false, "suffix" : "" }, { "dropping-particle" : "", "family" : "Mattison", "given" : "Julie A.", "non-dropping-particle" : "", "parse-names" : false, "suffix" : "" }, { "dropping-particle" : "", "family" : "Becker", "given" : "Kevin G.", "non-dropping-particle" : "", "parse-names" : false, "suffix" : "" }, { "dropping-particle" : "", "family" : "Zonderman", "given" : "Alan B.", "non-dropping-particle" : "", "parse-names" : false, "suffix" : "" }, { "dropping-particle" : "", "family" : "Evans", "given" : "Michele K.", "non-dropping-particle" : "", "parse-names" : false, "suffix" : "" } ], "container-title" : "Aging", "id" : "ITEM-1", "issue" : "10", "issued" : { "date-parts" : [ [ "2013" ] ] }, "page" : "725-740", "title" : "Age-related changes in microRNA levels in serum", "type" : "article-journal", "volume" : "5" }, "uris" : [ "http://www.mendeley.com/documents/?uuid=43aad8bd-da91-4d22-863e-17b0db6271c3" ] } ], "mendeley" : { "formattedCitation" : "(378)", "plainTextFormattedCitation" : "(378)", "previouslyFormattedCitation" : "(378)" }, "properties" : { "noteIndex" : 63 }, "schema" : "https://github.com/citation-style-language/schema/raw/master/csl-citation.json" }</w:instrText>
      </w:r>
      <w:r w:rsidR="00BC3BBB" w:rsidRPr="00E10C12">
        <w:rPr>
          <w:rFonts w:ascii="Arial" w:hAnsi="Arial" w:cs="Arial"/>
          <w:sz w:val="22"/>
          <w:szCs w:val="22"/>
        </w:rPr>
        <w:fldChar w:fldCharType="separate"/>
      </w:r>
      <w:r w:rsidR="00E10C12" w:rsidRPr="00E10C12">
        <w:rPr>
          <w:rFonts w:ascii="Arial" w:hAnsi="Arial" w:cs="Arial"/>
          <w:noProof/>
          <w:sz w:val="22"/>
          <w:szCs w:val="22"/>
        </w:rPr>
        <w:t>(378)</w:t>
      </w:r>
      <w:r w:rsidR="00BC3BBB" w:rsidRPr="00E10C12">
        <w:rPr>
          <w:rFonts w:ascii="Arial" w:hAnsi="Arial" w:cs="Arial"/>
          <w:sz w:val="22"/>
          <w:szCs w:val="22"/>
        </w:rPr>
        <w:fldChar w:fldCharType="end"/>
      </w:r>
      <w:r w:rsidR="00E10C12" w:rsidRPr="00E10C12">
        <w:rPr>
          <w:rFonts w:ascii="Arial" w:hAnsi="Arial" w:cs="Arial"/>
          <w:sz w:val="22"/>
          <w:szCs w:val="22"/>
        </w:rPr>
        <w:t>. Fakat tüm katılımcılar dahil edildiğinde yaş ile periferik kan miR-107 düzeyleri arasında anlamlı bir ilişki saptanmamıştır. Yine de mevcut bilgilerimize dayanarak ileriki çalışmalarda yaşın miR-107 üzerinde etkisinin göz önünde tutulmasının faydalı olacağı düşünülmüştür. Ayrıca kontrol grubunda cinsiyete göre miR-107 düzeylerinin istatistiksel olarak anlamlı şek</w:t>
      </w:r>
      <w:r w:rsidR="002819CC">
        <w:rPr>
          <w:rFonts w:ascii="Arial" w:hAnsi="Arial" w:cs="Arial"/>
          <w:sz w:val="22"/>
          <w:szCs w:val="22"/>
        </w:rPr>
        <w:t>i</w:t>
      </w:r>
      <w:r w:rsidR="00E10C12" w:rsidRPr="00E10C12">
        <w:rPr>
          <w:rFonts w:ascii="Arial" w:hAnsi="Arial" w:cs="Arial"/>
          <w:sz w:val="22"/>
          <w:szCs w:val="22"/>
        </w:rPr>
        <w:t xml:space="preserve">lde farklılaştığı bulunmuştur. Bu nedenle hem yaşın hem de cinsiyetin karıştırıcı etkileri olabileceği düşünülmüş, ANCOVA ile yaş ve cinsiyet etkileri kontrol edilerek grup karşılaştırmaları yapılmış, yine, DEHB ile kontrol grubu arasında miR-107 düzeyleri açısından anlamlı bir farklılık gözlenmemiştir. Ayrıca </w:t>
      </w:r>
      <w:r w:rsidR="002A7023">
        <w:rPr>
          <w:rFonts w:ascii="Arial" w:hAnsi="Arial" w:cs="Arial"/>
          <w:sz w:val="22"/>
          <w:szCs w:val="22"/>
        </w:rPr>
        <w:t>b</w:t>
      </w:r>
      <w:r w:rsidR="00E10C12" w:rsidRPr="00E10C12">
        <w:rPr>
          <w:rFonts w:ascii="Arial" w:hAnsi="Arial" w:cs="Arial"/>
          <w:sz w:val="22"/>
          <w:szCs w:val="22"/>
        </w:rPr>
        <w:t>u durum kontrol grubundaki cinsiyete göre farklılaşma yalnızca DEHB’li olgular ele alındığın</w:t>
      </w:r>
      <w:r w:rsidR="002A7023">
        <w:rPr>
          <w:rFonts w:ascii="Arial" w:hAnsi="Arial" w:cs="Arial"/>
          <w:sz w:val="22"/>
          <w:szCs w:val="22"/>
        </w:rPr>
        <w:t>da ya da her iki grup katılımcı</w:t>
      </w:r>
      <w:r w:rsidR="00E10C12" w:rsidRPr="00E10C12">
        <w:rPr>
          <w:rFonts w:ascii="Arial" w:hAnsi="Arial" w:cs="Arial"/>
          <w:sz w:val="22"/>
          <w:szCs w:val="22"/>
        </w:rPr>
        <w:t>l</w:t>
      </w:r>
      <w:r w:rsidR="002A7023">
        <w:rPr>
          <w:rFonts w:ascii="Arial" w:hAnsi="Arial" w:cs="Arial"/>
          <w:sz w:val="22"/>
          <w:szCs w:val="22"/>
        </w:rPr>
        <w:t>a</w:t>
      </w:r>
      <w:r w:rsidR="00E10C12" w:rsidRPr="00E10C12">
        <w:rPr>
          <w:rFonts w:ascii="Arial" w:hAnsi="Arial" w:cs="Arial"/>
          <w:sz w:val="22"/>
          <w:szCs w:val="22"/>
        </w:rPr>
        <w:t xml:space="preserve">rı birlikte </w:t>
      </w:r>
      <w:r w:rsidR="00E10C12" w:rsidRPr="00E10C12">
        <w:rPr>
          <w:rFonts w:ascii="Arial" w:hAnsi="Arial" w:cs="Arial"/>
          <w:sz w:val="22"/>
          <w:szCs w:val="22"/>
        </w:rPr>
        <w:lastRenderedPageBreak/>
        <w:t>değerlendirildiğinde oluşmamaktadır. (p&gt;0.05). miR-107’nin cinsiyet ve yaşla ilişkisini sorgulayan daha büyük katılımcı sayıları ile oluşturulacak çalışmalara gereksinim olduğu düşünülmüştür.</w:t>
      </w:r>
    </w:p>
    <w:p w:rsidR="00E10C12" w:rsidRPr="00E10C12" w:rsidRDefault="00E10C12" w:rsidP="00E10C12">
      <w:pPr>
        <w:spacing w:line="360" w:lineRule="auto"/>
        <w:ind w:firstLine="708"/>
        <w:jc w:val="both"/>
        <w:rPr>
          <w:rFonts w:ascii="Arial" w:hAnsi="Arial" w:cs="Arial"/>
          <w:sz w:val="22"/>
          <w:szCs w:val="22"/>
        </w:rPr>
      </w:pPr>
      <w:r w:rsidRPr="00E10C12">
        <w:rPr>
          <w:rFonts w:ascii="Arial" w:hAnsi="Arial" w:cs="Arial"/>
          <w:b/>
          <w:sz w:val="22"/>
          <w:szCs w:val="22"/>
        </w:rPr>
        <w:t>miR-4447:</w:t>
      </w:r>
      <w:r w:rsidRPr="00E10C12">
        <w:rPr>
          <w:rFonts w:ascii="Arial" w:hAnsi="Arial" w:cs="Arial"/>
          <w:sz w:val="22"/>
          <w:szCs w:val="22"/>
        </w:rPr>
        <w:t xml:space="preserve"> miRNA veritabanına göre DAT1 geni miR-4447 tarafından hedef alınmaktadır </w:t>
      </w:r>
      <w:r w:rsidR="00BC3BBB" w:rsidRPr="00E10C12">
        <w:rPr>
          <w:rFonts w:ascii="Arial" w:hAnsi="Arial" w:cs="Arial"/>
          <w:sz w:val="22"/>
          <w:szCs w:val="22"/>
        </w:rPr>
        <w:fldChar w:fldCharType="begin" w:fldLock="1"/>
      </w:r>
      <w:r w:rsidRPr="00E10C12">
        <w:rPr>
          <w:rFonts w:ascii="Arial" w:hAnsi="Arial" w:cs="Arial"/>
          <w:sz w:val="22"/>
          <w:szCs w:val="22"/>
        </w:rPr>
        <w:instrText>ADDIN CSL_CITATION { "citationItems" : [ { "id" : "ITEM-1", "itemData" : { "DOI" : "10.1093/nar/gku1104", "ISSN" : "0305-1048", "author" : [ { "dropping-particle" : "", "family" : "Wong", "given" : "N", "non-dropping-particle" : "", "parse-names" : false, "suffix" : "" }, { "dropping-particle" : "", "family" : "Wang", "given" : "X W", "non-dropping-particle" : "", "parse-names" : false, "suffix" : "" } ], "container-title" : "Nucleic Acids Research", "id" : "ITEM-1", "issue" : "D1", "issued" : { "date-parts" : [ [ "2015" ] ] }, "page" : "D146-D152", "title" : "miRDB: an online resource for microRNA target prediction and functional annotations", "type" : "article-journal", "volume" : "43" }, "uris" : [ "http://www.mendeley.com/documents/?uuid=131d1896-4bd8-46db-935f-15341eb3ba12" ] } ], "mendeley" : { "formattedCitation" : "(22)", "plainTextFormattedCitation" : "(22)", "previouslyFormattedCitation" : "(22)" }, "properties" : { "noteIndex" : 63 }, "schema" : "https://github.com/citation-style-language/schema/raw/master/csl-citation.json" }</w:instrText>
      </w:r>
      <w:r w:rsidR="00BC3BBB" w:rsidRPr="00E10C12">
        <w:rPr>
          <w:rFonts w:ascii="Arial" w:hAnsi="Arial" w:cs="Arial"/>
          <w:sz w:val="22"/>
          <w:szCs w:val="22"/>
        </w:rPr>
        <w:fldChar w:fldCharType="separate"/>
      </w:r>
      <w:r w:rsidRPr="00E10C12">
        <w:rPr>
          <w:rFonts w:ascii="Arial" w:hAnsi="Arial" w:cs="Arial"/>
          <w:noProof/>
          <w:sz w:val="22"/>
          <w:szCs w:val="22"/>
        </w:rPr>
        <w:t>(22)</w:t>
      </w:r>
      <w:r w:rsidR="00BC3BBB" w:rsidRPr="00E10C12">
        <w:rPr>
          <w:rFonts w:ascii="Arial" w:hAnsi="Arial" w:cs="Arial"/>
          <w:sz w:val="22"/>
          <w:szCs w:val="22"/>
        </w:rPr>
        <w:fldChar w:fldCharType="end"/>
      </w:r>
      <w:r w:rsidRPr="00E10C12">
        <w:rPr>
          <w:rFonts w:ascii="Arial" w:hAnsi="Arial" w:cs="Arial"/>
          <w:color w:val="E36C0A" w:themeColor="accent6" w:themeShade="BF"/>
          <w:sz w:val="22"/>
          <w:szCs w:val="22"/>
        </w:rPr>
        <w:t>.</w:t>
      </w:r>
      <w:r w:rsidRPr="00E10C12">
        <w:rPr>
          <w:rFonts w:ascii="Arial" w:hAnsi="Arial" w:cs="Arial"/>
          <w:sz w:val="22"/>
          <w:szCs w:val="22"/>
        </w:rPr>
        <w:t xml:space="preserve"> DAT1 geninin DEHB ve diğer psikiyatrik rahatsızlıklar üzerine etkisi belirtilmesine rağmen </w:t>
      </w:r>
      <w:r w:rsidR="00BC3BBB" w:rsidRPr="00E10C12">
        <w:rPr>
          <w:rFonts w:ascii="Arial" w:hAnsi="Arial" w:cs="Arial"/>
          <w:sz w:val="22"/>
          <w:szCs w:val="22"/>
        </w:rPr>
        <w:fldChar w:fldCharType="begin" w:fldLock="1"/>
      </w:r>
      <w:r w:rsidRPr="00E10C12">
        <w:rPr>
          <w:rFonts w:ascii="Arial" w:hAnsi="Arial" w:cs="Arial"/>
          <w:sz w:val="22"/>
          <w:szCs w:val="22"/>
        </w:rPr>
        <w:instrText>ADDIN CSL_CITATION { "citationItems" : [ { "id" : "ITEM-1", "itemData" : { "DOI" : "10.1016/j.jpsychires.2014.09.014", "ISBN" : "0022-3956", "ISSN" : "00223956 (ISSN)", "abstract" : "Major efforts have been directed at family-based association and case-control studies to identify the involvement of candidate genes in the major disorders of mental health. What remains unknown is whether candidate genes are associated with multiple disorders via pleiotropic mechanisms, and/or if other genes are specific to susceptibility for individual disorders. Here we undertook a review of genes that have been identified in prior meta-analyses examining specific genes and specific mental disorders that have core disruptions to emotional and cognitive function and contribute most to burden of illness- major depressive disorder (MDD), anxiety disorders (AD, including panic disorder and obsessive compulsive disorder), schizophrenia (SZ) and bipolar disorder (BD) and attention deficit hyperactivity disorder (ADHD). A literature review was conducted up to end-March 2013 which included a total of 1519 meta-analyses across 157 studies reporting multiple genes implicated in one or more of the five disorders studied. A total of 134 genes (206 variants) were identified as significantly associated risk variants for MDD, AD, ADHD, SZ or BD. Null genetic effects were also reported for 195 genes (426 variants). 13 genetic variants were shared in common between two or more disorders (APOE e4, ACE Ins/Del, BDNF Val66Met, COMT Val158Met, DAOA G72/G30 rs3918342, DAT1 40-bp, DRD4 48-bp, SLC6A4 5-HTTLPR, HTR1A C1019G, MTHR C677T, MTHR A1298C, SLC6A4 VNTR and TPH1 218A/C) demonstrating evidence for pleiotrophy. Another 12 meta-analyses of GWAS studies of the same disorders were identified, with no overlap in genetic variants reported. This review highlights the progress that is being made in identifying shared and unique genetic mechanisms that contribute to the risk of developing several major psychiatric disorders, and identifies further steps for progress. \u00a9 2014 Elsevier Ltd.", "author" : [ { "dropping-particle" : "", "family" : "Gatt", "given" : "J M", "non-dropping-particle" : "", "parse-names" : false, "suffix" : "" }, { "dropping-particle" : "", "family" : "Burton", "given" : "K L O", "non-dropping-particle" : "", "parse-names" : false, "suffix" : "" }, { "dropping-particle" : "", "family" : "Williams", "given" : "L M", "non-dropping-particle" : "", "parse-names" : false, "suffix" : "" }, { "dropping-particle" : "", "family" : "Schofield", "given" : "P R", "non-dropping-particle" : "", "parse-names" : false, "suffix" : "" } ], "container-title" : "Journal of Psychiatric Research", "id" : "ITEM-1", "issued" : { "date-parts" : [ [ "2015" ] ] }, "page" : "1-13", "title" : "Specific and common genes implicated across major mental disorders: A review of meta-analysis studies", "type" : "article-journal", "volume" : "60" }, "uris" : [ "http://www.mendeley.com/documents/?uuid=03924cc3-376a-4c17-a7c3-12ddddf245d7" ] } ], "mendeley" : { "formattedCitation" : "(379)", "plainTextFormattedCitation" : "(379)", "previouslyFormattedCitation" : "(379)" }, "properties" : { "noteIndex" : 63 }, "schema" : "https://github.com/citation-style-language/schema/raw/master/csl-citation.json" }</w:instrText>
      </w:r>
      <w:r w:rsidR="00BC3BBB" w:rsidRPr="00E10C12">
        <w:rPr>
          <w:rFonts w:ascii="Arial" w:hAnsi="Arial" w:cs="Arial"/>
          <w:sz w:val="22"/>
          <w:szCs w:val="22"/>
        </w:rPr>
        <w:fldChar w:fldCharType="separate"/>
      </w:r>
      <w:r w:rsidRPr="00E10C12">
        <w:rPr>
          <w:rFonts w:ascii="Arial" w:hAnsi="Arial" w:cs="Arial"/>
          <w:noProof/>
          <w:sz w:val="22"/>
          <w:szCs w:val="22"/>
        </w:rPr>
        <w:t>(379)</w:t>
      </w:r>
      <w:r w:rsidR="00BC3BBB" w:rsidRPr="00E10C12">
        <w:rPr>
          <w:rFonts w:ascii="Arial" w:hAnsi="Arial" w:cs="Arial"/>
          <w:sz w:val="22"/>
          <w:szCs w:val="22"/>
        </w:rPr>
        <w:fldChar w:fldCharType="end"/>
      </w:r>
      <w:r w:rsidRPr="00E10C12">
        <w:rPr>
          <w:rFonts w:ascii="Arial" w:hAnsi="Arial" w:cs="Arial"/>
          <w:sz w:val="22"/>
          <w:szCs w:val="22"/>
        </w:rPr>
        <w:t xml:space="preserve">, bildiğimiz kadarı ile çalışmamız miR-4447’nin hem DEHB hem de psikiyatrik rahatsızlıklar ile ilişkisini sorgulayan ilk çalışmadır. DAT1'deki farklı varyasyonların DEHB ile ilişkili beyin bölgelerinde işlev bozuklukları ile ilişkili olduğu gösterilmiştir </w:t>
      </w:r>
      <w:r w:rsidR="00BC3BBB" w:rsidRPr="00E10C12">
        <w:rPr>
          <w:rFonts w:ascii="Arial" w:hAnsi="Arial" w:cs="Arial"/>
          <w:sz w:val="22"/>
          <w:szCs w:val="22"/>
        </w:rPr>
        <w:fldChar w:fldCharType="begin" w:fldLock="1"/>
      </w:r>
      <w:r w:rsidRPr="00E10C12">
        <w:rPr>
          <w:rFonts w:ascii="Arial" w:hAnsi="Arial" w:cs="Arial"/>
          <w:sz w:val="22"/>
          <w:szCs w:val="22"/>
        </w:rPr>
        <w:instrText>ADDIN CSL_CITATION { "citationItems" : [ { "id" : "ITEM-1", "itemData" : { "DOI" : "10.1002/ajmg.b.31022", "ISBN" : "1552-485X (Electronic)\\r1552-4841 (Linking)", "ISSN" : "15524841", "PMID" : "19676101", "abstract" : "Although attention-deficit/hyperactivity disorder (ADHD) is associated both with brain alterations in attention and executive function (EF) circuitry and with genetic variations within the dopamine system (including the dopamine transporter gene [SLC6A3]), few studies have directly investigated how genetic variations are linked to brain alterations. We sought to examine how a polymorphism in the 3' untranslated region (UTR) of SLC6A3, associated with ADHD in meta-analysis, might contribute to variation in dorsal anterior cingulate cortex (dACC) function in subjects with ADHD. We collected fMRI scans of 42 individuals with ADHD, all of European descent and over the age of 17, while they performed the multi-source interference task (MSIT), a cognitive task shown to activate dACC. SLC6A3 3' UTR variable number tandem repeat (VNTR) polymorphisms were genotyped and brain activity was compared for groups based on allele status. ADHD individuals homozygous for the 10R allele showed significant hypoactivation in the left dACC compared to 9R-carriers. Exploratory analysis also showed trends toward hypoactivation in the 10R homozygotes in left cerebellar vermis and right lateral prefrontal cortex. Further breakdown of genotype groups showed similar activation in individuals heterozygous and homozygous for the 9R allele. Alterations in activation of attention and EF networks found previously to be involved in ADHD are likely influenced by SLC6A3 genotype. This genotype may contribute to heterogeneity of brain alterations found within ADHD samples.", "author" : [ { "dropping-particle" : "", "family" : "Brown", "given" : "Ariel B.", "non-dropping-particle" : "", "parse-names" : false, "suffix" : "" }, { "dropping-particle" : "", "family" : "Biederman", "given" : "Joseph", "non-dropping-particle" : "", "parse-names" : false, "suffix" : "" }, { "dropping-particle" : "", "family" : "Valera", "given" : "Eve M.", "non-dropping-particle" : "", "parse-names" : false, "suffix" : "" }, { "dropping-particle" : "", "family" : "Doyle", "given" : "Alysa E.", "non-dropping-particle" : "", "parse-names" : false, "suffix" : "" }, { "dropping-particle" : "", "family" : "Bush", "given" : "George", "non-dropping-particle" : "", "parse-names" : false, "suffix" : "" }, { "dropping-particle" : "", "family" : "Spencer", "given" : "Thomas", "non-dropping-particle" : "", "parse-names" : false, "suffix" : "" }, { "dropping-particle" : "", "family" : "Monuteaux", "given" : "Michael C.", "non-dropping-particle" : "", "parse-names" : false, "suffix" : "" }, { "dropping-particle" : "", "family" : "Mick", "given" : "Eric", "non-dropping-particle" : "", "parse-names" : false, "suffix" : "" }, { "dropping-particle" : "", "family" : "Whitfield-Gabrieli", "given" : "Susan", "non-dropping-particle" : "", "parse-names" : false, "suffix" : "" }, { "dropping-particle" : "", "family" : "Makris", "given" : "Nikos", "non-dropping-particle" : "", "parse-names" : false, "suffix" : "" }, { "dropping-particle" : "", "family" : "LaViolette", "given" : "Peter S.", "non-dropping-particle" : "", "parse-names" : false, "suffix" : "" }, { "dropping-particle" : "", "family" : "Oscar-Berman", "given" : "Marlene", "non-dropping-particle" : "", "parse-names" : false, "suffix" : "" }, { "dropping-particle" : "V.", "family" : "Faraone", "given" : "Stephen", "non-dropping-particle" : "", "parse-names" : false, "suffix" : "" }, { "dropping-particle" : "", "family" : "Seidman", "given" : "Larry J.", "non-dropping-particle" : "", "parse-names" : false, "suffix" : "" } ], "container-title" : "American Journal of Medical Genetics, Part B: Neuropsychiatric Genetics", "id" : "ITEM-1", "issue" : "2", "issued" : { "date-parts" : [ [ "2010" ] ] }, "page" : "365-375", "title" : "Effect of dopamine transporter gene (SLC6A3) variation on dorsal anterior cingulate function in attention-deficit/hyperactivity disorder", "type" : "article-journal", "volume" : "153" }, "uris" : [ "http://www.mendeley.com/documents/?uuid=f55bbc09-6ea5-4afb-9819-0c7cf163cff4" ] } ], "mendeley" : { "formattedCitation" : "(380)", "plainTextFormattedCitation" : "(380)", "previouslyFormattedCitation" : "(380)" }, "properties" : { "noteIndex" : 63 }, "schema" : "https://github.com/citation-style-language/schema/raw/master/csl-citation.json" }</w:instrText>
      </w:r>
      <w:r w:rsidR="00BC3BBB" w:rsidRPr="00E10C12">
        <w:rPr>
          <w:rFonts w:ascii="Arial" w:hAnsi="Arial" w:cs="Arial"/>
          <w:sz w:val="22"/>
          <w:szCs w:val="22"/>
        </w:rPr>
        <w:fldChar w:fldCharType="separate"/>
      </w:r>
      <w:r w:rsidRPr="00E10C12">
        <w:rPr>
          <w:rFonts w:ascii="Arial" w:hAnsi="Arial" w:cs="Arial"/>
          <w:noProof/>
          <w:sz w:val="22"/>
          <w:szCs w:val="22"/>
        </w:rPr>
        <w:t>(380)</w:t>
      </w:r>
      <w:r w:rsidR="00BC3BBB" w:rsidRPr="00E10C12">
        <w:rPr>
          <w:rFonts w:ascii="Arial" w:hAnsi="Arial" w:cs="Arial"/>
          <w:sz w:val="22"/>
          <w:szCs w:val="22"/>
        </w:rPr>
        <w:fldChar w:fldCharType="end"/>
      </w:r>
      <w:r w:rsidRPr="00E10C12">
        <w:rPr>
          <w:rFonts w:ascii="Arial" w:hAnsi="Arial" w:cs="Arial"/>
          <w:color w:val="4F81BD" w:themeColor="accent1"/>
          <w:sz w:val="22"/>
          <w:szCs w:val="22"/>
        </w:rPr>
        <w:t xml:space="preserve">. </w:t>
      </w:r>
      <w:r w:rsidRPr="00E10C12">
        <w:rPr>
          <w:rFonts w:ascii="Arial" w:hAnsi="Arial" w:cs="Arial"/>
          <w:sz w:val="22"/>
          <w:szCs w:val="22"/>
        </w:rPr>
        <w:t>DAT1 genini hedef almasına karşılık, çalışmamızda DEHB ve kontrol grubu arasında periferik kan miR-4447 düzeyleri açısından anlamlı bir farklılık saptanmamıştır. miR-4447’nin olgu grubunda cinsiyete göre istatistiksel olarak anlamlı şekilde farklıl</w:t>
      </w:r>
      <w:r w:rsidR="007A5614">
        <w:rPr>
          <w:rFonts w:ascii="Arial" w:hAnsi="Arial" w:cs="Arial"/>
          <w:sz w:val="22"/>
          <w:szCs w:val="22"/>
        </w:rPr>
        <w:t>a</w:t>
      </w:r>
      <w:r w:rsidRPr="00E10C12">
        <w:rPr>
          <w:rFonts w:ascii="Arial" w:hAnsi="Arial" w:cs="Arial"/>
          <w:sz w:val="22"/>
          <w:szCs w:val="22"/>
        </w:rPr>
        <w:t xml:space="preserve">ştığı(p=0.029) saptanmış, bu nedenle tüm katılımcılar dahil edilerek miR-4447’nin cinsiyetle ilişkisi değerlendirilmiş ve,  istatistiksel olarak anlamlı bir sonuç elde edilmemiştir. Gruplar yaş ve cinsiyet açısından eşleştirilmiş olmakla birlikte,  ANCOVA ile cinsiyet etkisi kontrol edildiğinde, DEHB ile kontrol grubu arasında miR-4447 düzeyleri açısından anlamlı bir farklılık saptanmamıştır. </w:t>
      </w:r>
    </w:p>
    <w:p w:rsidR="00E10C12" w:rsidRPr="00E10C12" w:rsidRDefault="00E10C12" w:rsidP="00E10C12">
      <w:pPr>
        <w:spacing w:line="360" w:lineRule="auto"/>
        <w:ind w:firstLine="708"/>
        <w:jc w:val="both"/>
        <w:rPr>
          <w:rFonts w:ascii="Arial" w:hAnsi="Arial" w:cs="Arial"/>
          <w:sz w:val="22"/>
          <w:szCs w:val="22"/>
        </w:rPr>
      </w:pPr>
      <w:r w:rsidRPr="00E10C12">
        <w:rPr>
          <w:rFonts w:ascii="Arial" w:hAnsi="Arial" w:cs="Arial"/>
          <w:sz w:val="22"/>
          <w:szCs w:val="22"/>
        </w:rPr>
        <w:t xml:space="preserve">miRNA veritabanına göre DAT1’in ayrıca miR-3173 ve miR-6799 tarafından da hedef alındığı belirtilmiştir </w:t>
      </w:r>
      <w:r w:rsidR="00BC3BBB" w:rsidRPr="00E10C12">
        <w:rPr>
          <w:rFonts w:ascii="Arial" w:hAnsi="Arial" w:cs="Arial"/>
          <w:sz w:val="22"/>
          <w:szCs w:val="22"/>
        </w:rPr>
        <w:fldChar w:fldCharType="begin" w:fldLock="1"/>
      </w:r>
      <w:r w:rsidRPr="00E10C12">
        <w:rPr>
          <w:rFonts w:ascii="Arial" w:hAnsi="Arial" w:cs="Arial"/>
          <w:sz w:val="22"/>
          <w:szCs w:val="22"/>
        </w:rPr>
        <w:instrText>ADDIN CSL_CITATION { "citationItems" : [ { "id" : "ITEM-1", "itemData" : { "DOI" : "10.1093/nar/gku1104", "ISSN" : "0305-1048", "author" : [ { "dropping-particle" : "", "family" : "Wong", "given" : "N", "non-dropping-particle" : "", "parse-names" : false, "suffix" : "" }, { "dropping-particle" : "", "family" : "Wang", "given" : "X W", "non-dropping-particle" : "", "parse-names" : false, "suffix" : "" } ], "container-title" : "Nucleic Acids Research", "id" : "ITEM-1", "issue" : "D1", "issued" : { "date-parts" : [ [ "2015" ] ] }, "page" : "D146-D152", "title" : "miRDB: an online resource for microRNA target prediction and functional annotations", "type" : "article-journal", "volume" : "43" }, "uris" : [ "http://www.mendeley.com/documents/?uuid=131d1896-4bd8-46db-935f-15341eb3ba12" ] } ], "mendeley" : { "formattedCitation" : "(22)", "plainTextFormattedCitation" : "(22)", "previouslyFormattedCitation" : "(22)" }, "properties" : { "noteIndex" : 64 }, "schema" : "https://github.com/citation-style-language/schema/raw/master/csl-citation.json" }</w:instrText>
      </w:r>
      <w:r w:rsidR="00BC3BBB" w:rsidRPr="00E10C12">
        <w:rPr>
          <w:rFonts w:ascii="Arial" w:hAnsi="Arial" w:cs="Arial"/>
          <w:sz w:val="22"/>
          <w:szCs w:val="22"/>
        </w:rPr>
        <w:fldChar w:fldCharType="separate"/>
      </w:r>
      <w:r w:rsidRPr="00E10C12">
        <w:rPr>
          <w:rFonts w:ascii="Arial" w:hAnsi="Arial" w:cs="Arial"/>
          <w:noProof/>
          <w:sz w:val="22"/>
          <w:szCs w:val="22"/>
        </w:rPr>
        <w:t>(22)</w:t>
      </w:r>
      <w:r w:rsidR="00BC3BBB" w:rsidRPr="00E10C12">
        <w:rPr>
          <w:rFonts w:ascii="Arial" w:hAnsi="Arial" w:cs="Arial"/>
          <w:sz w:val="22"/>
          <w:szCs w:val="22"/>
        </w:rPr>
        <w:fldChar w:fldCharType="end"/>
      </w:r>
      <w:r w:rsidRPr="00E10C12">
        <w:rPr>
          <w:rFonts w:ascii="Arial" w:hAnsi="Arial" w:cs="Arial"/>
          <w:sz w:val="22"/>
          <w:szCs w:val="22"/>
        </w:rPr>
        <w:t>.</w:t>
      </w:r>
      <w:r w:rsidRPr="00E10C12">
        <w:rPr>
          <w:rFonts w:ascii="Arial" w:hAnsi="Arial" w:cs="Arial"/>
          <w:color w:val="E36C0A" w:themeColor="accent6" w:themeShade="BF"/>
          <w:sz w:val="22"/>
          <w:szCs w:val="22"/>
        </w:rPr>
        <w:t xml:space="preserve"> </w:t>
      </w:r>
      <w:r w:rsidRPr="00E10C12">
        <w:rPr>
          <w:rFonts w:ascii="Arial" w:hAnsi="Arial" w:cs="Arial"/>
          <w:sz w:val="22"/>
          <w:szCs w:val="22"/>
        </w:rPr>
        <w:t>Ayrıca</w:t>
      </w:r>
      <w:r w:rsidRPr="00E10C12">
        <w:rPr>
          <w:rFonts w:ascii="Arial" w:hAnsi="Arial" w:cs="Arial"/>
          <w:color w:val="4F81BD" w:themeColor="accent1"/>
          <w:sz w:val="22"/>
          <w:szCs w:val="22"/>
        </w:rPr>
        <w:t xml:space="preserve"> </w:t>
      </w:r>
      <w:r w:rsidRPr="00E10C12">
        <w:rPr>
          <w:rFonts w:ascii="Arial" w:hAnsi="Arial" w:cs="Arial"/>
          <w:sz w:val="22"/>
          <w:szCs w:val="22"/>
        </w:rPr>
        <w:t xml:space="preserve">DAT1 VNTR polimorfizmi ile DEHB arasında ilişki saptayan bir çalışmada, VNTR’da miR-1972, miR-30b-5p, miR-1301 and miR-6070 için bağlanma bölgeleri bulunmuş ve bu miRNA’ların DEHB ile ilişkisinin çalışılması önerilmiştir </w:t>
      </w:r>
      <w:r w:rsidR="00BC3BBB" w:rsidRPr="00E10C12">
        <w:rPr>
          <w:rFonts w:ascii="Arial" w:hAnsi="Arial" w:cs="Arial"/>
          <w:sz w:val="22"/>
          <w:szCs w:val="22"/>
        </w:rPr>
        <w:fldChar w:fldCharType="begin" w:fldLock="1"/>
      </w:r>
      <w:r w:rsidRPr="00E10C12">
        <w:rPr>
          <w:rFonts w:ascii="Arial" w:hAnsi="Arial" w:cs="Arial"/>
          <w:sz w:val="22"/>
          <w:szCs w:val="22"/>
        </w:rPr>
        <w:instrText>ADDIN CSL_CITATION { "citationItems" : [ { "id" : "ITEM-1", "itemData" : { "DOI" : "10.1186/s12993-015-0066-8", "ISBN" : "1744-9081", "ISSN" : "1744-9081", "PMID" : "26058807", "abstract" : "BACKGROUND: ADHD and alcoholism are psychiatric diseases with pathophysiology related to dopamine system. DAT1 belongs to the SLC6 family of transporters and is involved in the regulation of extracellular dopamine levels. A 40 bp variable number tandem repeat (VNTR) polymorphism in the 3'-untranslated region of DAT1/SLC6A3 gene was previously reported to be associated with various phenotypes involving disturbed regulation of dopaminergic neurotransmission.\\n\\nMETHODS: A total of 1312 subjects were included and genotyped for 40 bp VNTR polymorphism of DAT1/SLC6A3 gene in this study (441 alcoholics, 400 non-alcoholic controls, 218 ADHD children and 253 non ADHD children). Using miRBase software, we have performed a computer analysis of VNTR part of DAT1 gene for presence of miRNA binding sites.\\n\\nRESULTS: We have found significant relationships between ADHD and the 40\u00a0bp VNTR polymorphisms of DAT1/SLC6A3 gene (P\u2009&lt;\u20090.01). The 9/9 genotype appeared to reduce the risk of ADHD about 0.4-fold (p\u2009&lt;\u20090.04). We also noted an occurrence of rare genotypes in ADHD (frequency different from controls at p\u2009&lt;\u20090.01). No association between alcoholism and genotype frequencies of 40\u00a0bp VNTR polymorphism of DAT1/SLC6A3 gene has been detected.\\n\\nCONCLUSIONS: We have found an association between 40\u00a0bp VNTR polymorphism of DAT1/SLC6A3 gene and ADHD in the Czech population; in a broad agreement with studies in other population samples. Furthermore, we detected rare genotypes 8/10, 7/10 and 10/11 present in ADHD boys only and identified miRNAs that should be looked at as potential novel targets in the research on ADHD.", "author" : [ { "dropping-particle" : "", "family" : "\u0160er\u00fd", "given" : "Omar", "non-dropping-particle" : "", "parse-names" : false, "suffix" : "" }, { "dropping-particle" : "", "family" : "Paclt", "given" : "Ivo", "non-dropping-particle" : "", "parse-names" : false, "suffix" : "" }, { "dropping-particle" : "", "family" : "Drt\u00edlkov\u00e1", "given" : "Ivana", "non-dropping-particle" : "", "parse-names" : false, "suffix" : "" }, { "dropping-particle" : "", "family" : "Theiner", "given" : "Pavel", "non-dropping-particle" : "", "parse-names" : false, "suffix" : "" }, { "dropping-particle" : "", "family" : "Kope\u010dkov\u00e1", "given" : "Marta", "non-dropping-particle" : "", "parse-names" : false, "suffix" : "" }, { "dropping-particle" : "", "family" : "Zvolsk\u00fd", "given" : "Petr", "non-dropping-particle" : "", "parse-names" : false, "suffix" : "" }, { "dropping-particle" : "", "family" : "Balcar", "given" : "Vladimir J.", "non-dropping-particle" : "", "parse-names" : false, "suffix" : "" } ], "container-title" : "Behavioral and Brain Functions", "id" : "ITEM-1", "issue" : "1", "issued" : { "date-parts" : [ [ "2015" ] ] }, "page" : "21", "title" : "A 40-bp VNTR polymorphism in the 3\u2032-untranslated region of DAT1/SLC6A3 is associated with ADHD but not with alcoholism", "type" : "article-journal", "volume" : "11" }, "uris" : [ "http://www.mendeley.com/documents/?uuid=d025ac44-b9f4-43fb-ab9f-f47169fee292" ] } ], "mendeley" : { "formattedCitation" : "(241)", "plainTextFormattedCitation" : "(241)", "previouslyFormattedCitation" : "(239)" }, "properties" : { "noteIndex" : 64 }, "schema" : "https://github.com/citation-style-language/schema/raw/master/csl-citation.json" }</w:instrText>
      </w:r>
      <w:r w:rsidR="00BC3BBB" w:rsidRPr="00E10C12">
        <w:rPr>
          <w:rFonts w:ascii="Arial" w:hAnsi="Arial" w:cs="Arial"/>
          <w:sz w:val="22"/>
          <w:szCs w:val="22"/>
        </w:rPr>
        <w:fldChar w:fldCharType="separate"/>
      </w:r>
      <w:r w:rsidRPr="00E10C12">
        <w:rPr>
          <w:rFonts w:ascii="Arial" w:hAnsi="Arial" w:cs="Arial"/>
          <w:noProof/>
          <w:sz w:val="22"/>
          <w:szCs w:val="22"/>
        </w:rPr>
        <w:t>(241)</w:t>
      </w:r>
      <w:r w:rsidR="00BC3BBB" w:rsidRPr="00E10C12">
        <w:rPr>
          <w:rFonts w:ascii="Arial" w:hAnsi="Arial" w:cs="Arial"/>
          <w:sz w:val="22"/>
          <w:szCs w:val="22"/>
        </w:rPr>
        <w:fldChar w:fldCharType="end"/>
      </w:r>
      <w:r w:rsidRPr="00E10C12">
        <w:rPr>
          <w:rFonts w:ascii="Arial" w:hAnsi="Arial" w:cs="Arial"/>
          <w:sz w:val="22"/>
          <w:szCs w:val="22"/>
        </w:rPr>
        <w:t xml:space="preserve">. Mevcut çalışmada sadece miR-4447 düzeyleri açısından karşılaştırılmış ve DEHB ile kontrol grubu arasında anlamlı bir fark saptanmamıştır. İleriki çalışmalarda daha büyük bir örneklemin, </w:t>
      </w:r>
      <w:r w:rsidRPr="00E10C12">
        <w:rPr>
          <w:rFonts w:ascii="Arial" w:hAnsi="Arial" w:cs="Arial"/>
          <w:sz w:val="22"/>
          <w:szCs w:val="22"/>
          <w:shd w:val="clear" w:color="auto" w:fill="FFFFFF"/>
        </w:rPr>
        <w:t>miRNA düzeyleri ile birlikte DAT1 ekspresyon seviyelerinin ölçülmesinin ve önerilen diğer miRNA düzeylerinin de araştırılmasının gerekli olduğu düşünülmüştür.</w:t>
      </w:r>
    </w:p>
    <w:p w:rsidR="00E10C12" w:rsidRPr="00E10C12" w:rsidRDefault="00E10C12" w:rsidP="00E10C12">
      <w:pPr>
        <w:spacing w:line="360" w:lineRule="auto"/>
        <w:ind w:firstLine="708"/>
        <w:jc w:val="both"/>
        <w:rPr>
          <w:rFonts w:ascii="Arial" w:hAnsi="Arial" w:cs="Arial"/>
          <w:sz w:val="22"/>
          <w:szCs w:val="22"/>
        </w:rPr>
      </w:pPr>
      <w:r w:rsidRPr="00E10C12">
        <w:rPr>
          <w:rFonts w:ascii="Arial" w:hAnsi="Arial" w:cs="Arial"/>
          <w:sz w:val="22"/>
          <w:szCs w:val="22"/>
        </w:rPr>
        <w:t xml:space="preserve">Sonuç olarak bu çalışma, miRNA'ların </w:t>
      </w:r>
      <w:r w:rsidR="00B14EA6">
        <w:rPr>
          <w:rFonts w:ascii="Arial" w:hAnsi="Arial" w:cs="Arial"/>
          <w:sz w:val="22"/>
          <w:szCs w:val="22"/>
        </w:rPr>
        <w:t xml:space="preserve">psikotrop </w:t>
      </w:r>
      <w:r w:rsidRPr="00E10C12">
        <w:rPr>
          <w:rFonts w:ascii="Arial" w:hAnsi="Arial" w:cs="Arial"/>
          <w:sz w:val="22"/>
          <w:szCs w:val="22"/>
        </w:rPr>
        <w:t>ilaç geliştirme için yeni bir hedef ve DEHB patogenezi için biyolojik bir marker olarak önemine dikkat çeken literatürdeki diğer çalışmaların vurgusunu destekler nitelikte bulgular ortaya koymuştur. Posttranskripsionel faktörler olarak miRNA’ların, protein translasyonu üzerine regülatör etkileri, nöronal plastisite, modifikasyon ve farklılaşmada önemlidir. Bu mekan</w:t>
      </w:r>
      <w:r w:rsidR="00032B56">
        <w:rPr>
          <w:rFonts w:ascii="Arial" w:hAnsi="Arial" w:cs="Arial"/>
          <w:sz w:val="22"/>
          <w:szCs w:val="22"/>
        </w:rPr>
        <w:t>i</w:t>
      </w:r>
      <w:r w:rsidRPr="00E10C12">
        <w:rPr>
          <w:rFonts w:ascii="Arial" w:hAnsi="Arial" w:cs="Arial"/>
          <w:sz w:val="22"/>
          <w:szCs w:val="22"/>
        </w:rPr>
        <w:t xml:space="preserve">zmalarla miRNA’ların DEHB etiyolojisinde yer buluyor olmaları kuvvetle muhtemel gözükmektedir.  </w:t>
      </w:r>
    </w:p>
    <w:p w:rsidR="00E10C12" w:rsidRPr="00E10C12" w:rsidRDefault="00E10C12" w:rsidP="00E10C12">
      <w:pPr>
        <w:spacing w:line="360" w:lineRule="auto"/>
        <w:ind w:firstLine="708"/>
        <w:jc w:val="both"/>
        <w:rPr>
          <w:rFonts w:ascii="Arial" w:hAnsi="Arial" w:cs="Arial"/>
          <w:sz w:val="22"/>
          <w:szCs w:val="22"/>
        </w:rPr>
      </w:pPr>
      <w:r w:rsidRPr="00E10C12">
        <w:rPr>
          <w:rFonts w:ascii="Arial" w:hAnsi="Arial" w:cs="Arial"/>
          <w:sz w:val="22"/>
          <w:szCs w:val="22"/>
        </w:rPr>
        <w:t xml:space="preserve">Çalışmadaki sonuçlar değerlendirilirken örneklem büyüklüğündeki kısıtlılığımız akılda tutulmalıdır. Ayrıca epigenetik çalışmalarda etnisite de etkili </w:t>
      </w:r>
      <w:r w:rsidRPr="00E10C12">
        <w:rPr>
          <w:rFonts w:ascii="Arial" w:hAnsi="Arial" w:cs="Arial"/>
          <w:sz w:val="22"/>
          <w:szCs w:val="22"/>
        </w:rPr>
        <w:lastRenderedPageBreak/>
        <w:t xml:space="preserve">olabilmektedir. Bu araştırma, Türk örnekleminde çocuk ve ergen yaş grubunda klinik örneklemden katılımcılar ile yürütülmüş bir çalışmadır. İleride toplum örneklemli daha fazla sayıda katılımcı ile yapılacak ve daha fazla sayıda aday miRNA’nın araştırıldığı çalışmalar miRNA- DEHB ilişkisi konusundaki bilgilerimizi genişletecektir. Ayrıca, miRNA değerlendirmesine eş zamanlı olarak nörokognitif testler, nörogörüntüleme ile beynin yapısını değerlendirme, gen çalışmasına imkan sağlayan ya da gen ürünü proteinlerin miktarını ölçebildiğimiz  ürünlerin düzeyini belirleyebilmeye olanak sağlayan çalışmalar DEHB  etiyopatogenezini bütüncül olarak kavrayabilmede önemli olacak gibi gözükmektedir.  </w:t>
      </w:r>
    </w:p>
    <w:p w:rsidR="00C60153" w:rsidRDefault="00C60153"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E10C12" w:rsidRDefault="00E10C12" w:rsidP="00C60153">
      <w:pPr>
        <w:spacing w:line="360" w:lineRule="auto"/>
        <w:ind w:firstLine="708"/>
        <w:jc w:val="both"/>
        <w:rPr>
          <w:rFonts w:ascii="Arial" w:hAnsi="Arial" w:cs="Arial"/>
        </w:rPr>
      </w:pPr>
    </w:p>
    <w:p w:rsidR="00C60153" w:rsidRPr="00E10C12" w:rsidRDefault="00C60153" w:rsidP="00C60153">
      <w:pPr>
        <w:autoSpaceDE w:val="0"/>
        <w:autoSpaceDN w:val="0"/>
        <w:adjustRightInd w:val="0"/>
        <w:spacing w:line="360" w:lineRule="auto"/>
        <w:ind w:firstLine="567"/>
        <w:jc w:val="center"/>
        <w:rPr>
          <w:rFonts w:ascii="Arial" w:hAnsi="Arial" w:cs="Arial"/>
          <w:b/>
          <w:sz w:val="22"/>
          <w:szCs w:val="22"/>
        </w:rPr>
      </w:pPr>
      <w:r w:rsidRPr="00E10C12">
        <w:rPr>
          <w:rFonts w:ascii="Arial" w:hAnsi="Arial" w:cs="Arial"/>
          <w:b/>
          <w:sz w:val="22"/>
          <w:szCs w:val="22"/>
        </w:rPr>
        <w:lastRenderedPageBreak/>
        <w:t>SONUÇLAR</w:t>
      </w:r>
    </w:p>
    <w:p w:rsidR="00C60153" w:rsidRPr="00E10C12" w:rsidRDefault="00C60153" w:rsidP="00C60153">
      <w:pPr>
        <w:spacing w:line="360" w:lineRule="auto"/>
        <w:ind w:firstLine="567"/>
        <w:contextualSpacing/>
        <w:jc w:val="both"/>
        <w:rPr>
          <w:rFonts w:ascii="Arial" w:hAnsi="Arial" w:cs="Arial"/>
          <w:sz w:val="22"/>
          <w:szCs w:val="22"/>
        </w:rPr>
      </w:pPr>
    </w:p>
    <w:p w:rsidR="00C60153" w:rsidRPr="00E10C12" w:rsidRDefault="00C60153" w:rsidP="00C60153">
      <w:pPr>
        <w:spacing w:line="360" w:lineRule="auto"/>
        <w:ind w:firstLine="567"/>
        <w:contextualSpacing/>
        <w:jc w:val="both"/>
        <w:rPr>
          <w:rFonts w:ascii="Arial" w:hAnsi="Arial" w:cs="Arial"/>
          <w:sz w:val="22"/>
          <w:szCs w:val="22"/>
        </w:rPr>
      </w:pPr>
      <w:r w:rsidRPr="00E10C12">
        <w:rPr>
          <w:rFonts w:ascii="Arial" w:hAnsi="Arial" w:cs="Arial"/>
          <w:sz w:val="22"/>
          <w:szCs w:val="22"/>
        </w:rPr>
        <w:t xml:space="preserve">Bu çalışmada DEHB tanılı çocuk ve ergenlerde periferik kan miR-5692b, miR-let-7d, miR-124-3p, miR-107 ve miR-4447 düzeylerinin değerlendirilerek bu parametrelerin </w:t>
      </w:r>
      <w:r w:rsidR="00C84BC3" w:rsidRPr="00E10C12">
        <w:rPr>
          <w:rFonts w:ascii="Arial" w:hAnsi="Arial" w:cs="Arial"/>
          <w:sz w:val="22"/>
          <w:szCs w:val="22"/>
        </w:rPr>
        <w:t>et</w:t>
      </w:r>
      <w:r w:rsidRPr="00E10C12">
        <w:rPr>
          <w:rFonts w:ascii="Arial" w:hAnsi="Arial" w:cs="Arial"/>
          <w:sz w:val="22"/>
          <w:szCs w:val="22"/>
        </w:rPr>
        <w:t>yopatogenezdeki yerinin araştırılması amaçlanmıştır. Bu çalışmada;</w:t>
      </w:r>
    </w:p>
    <w:p w:rsidR="00C60153" w:rsidRPr="00E10C12" w:rsidRDefault="00C60153" w:rsidP="00C60153">
      <w:pPr>
        <w:pStyle w:val="ListeParagraf"/>
        <w:numPr>
          <w:ilvl w:val="0"/>
          <w:numId w:val="15"/>
        </w:numPr>
        <w:rPr>
          <w:rFonts w:ascii="Arial" w:hAnsi="Arial" w:cs="Arial"/>
          <w:sz w:val="22"/>
          <w:szCs w:val="22"/>
        </w:rPr>
      </w:pPr>
      <w:r w:rsidRPr="00E10C12">
        <w:rPr>
          <w:rFonts w:ascii="Arial" w:hAnsi="Arial" w:cs="Arial"/>
          <w:sz w:val="22"/>
          <w:szCs w:val="22"/>
        </w:rPr>
        <w:t>6-17 yaş arası sadece DEHB tanısını karşılayan 30 çocuk ve 30 kontrol grubu çocuk çalışmaya katılmıştır.</w:t>
      </w:r>
    </w:p>
    <w:p w:rsidR="00C60153" w:rsidRPr="00E10C12" w:rsidRDefault="00C60153" w:rsidP="00C60153">
      <w:pPr>
        <w:pStyle w:val="ListeParagraf"/>
        <w:numPr>
          <w:ilvl w:val="0"/>
          <w:numId w:val="15"/>
        </w:numPr>
        <w:rPr>
          <w:rFonts w:ascii="Arial" w:hAnsi="Arial" w:cs="Arial"/>
          <w:sz w:val="22"/>
          <w:szCs w:val="22"/>
        </w:rPr>
      </w:pPr>
      <w:r w:rsidRPr="00E10C12">
        <w:rPr>
          <w:rFonts w:ascii="Arial" w:hAnsi="Arial" w:cs="Arial"/>
          <w:sz w:val="22"/>
          <w:szCs w:val="22"/>
        </w:rPr>
        <w:t>Olgu ve kontrol grubunun yaş ortalamaları ve cinsiyetleri arasında anlamlı fark bulunmamaktadır.</w:t>
      </w:r>
    </w:p>
    <w:p w:rsidR="00C60153" w:rsidRPr="00E10C12" w:rsidRDefault="00C60153" w:rsidP="00C60153">
      <w:pPr>
        <w:pStyle w:val="ListeParagraf"/>
        <w:numPr>
          <w:ilvl w:val="0"/>
          <w:numId w:val="15"/>
        </w:numPr>
        <w:rPr>
          <w:rFonts w:ascii="Arial" w:hAnsi="Arial" w:cs="Arial"/>
          <w:sz w:val="22"/>
          <w:szCs w:val="22"/>
        </w:rPr>
      </w:pPr>
      <w:r w:rsidRPr="00E10C12">
        <w:rPr>
          <w:rFonts w:ascii="Arial" w:hAnsi="Arial" w:cs="Arial"/>
          <w:sz w:val="22"/>
          <w:szCs w:val="22"/>
        </w:rPr>
        <w:t>Olgu ve kontrol grubundaki ailelerin çocuk sayısıları arasında anlamlı fark bulunmamaktadır.</w:t>
      </w:r>
    </w:p>
    <w:p w:rsidR="00C60153" w:rsidRPr="00E10C12" w:rsidRDefault="00C60153" w:rsidP="00C60153">
      <w:pPr>
        <w:pStyle w:val="ListeParagraf"/>
        <w:numPr>
          <w:ilvl w:val="0"/>
          <w:numId w:val="15"/>
        </w:numPr>
        <w:rPr>
          <w:rFonts w:ascii="Arial" w:hAnsi="Arial" w:cs="Arial"/>
          <w:sz w:val="22"/>
          <w:szCs w:val="22"/>
        </w:rPr>
      </w:pPr>
      <w:r w:rsidRPr="00E10C12">
        <w:rPr>
          <w:rFonts w:ascii="Arial" w:hAnsi="Arial" w:cs="Arial"/>
          <w:sz w:val="22"/>
          <w:szCs w:val="22"/>
        </w:rPr>
        <w:t>Olgu ve kontrol grupları arasında aile yapısı ya da aile gelir düzeyleri açısından anlamlı bir farka rastlanmamıştır.</w:t>
      </w:r>
    </w:p>
    <w:p w:rsidR="00C60153" w:rsidRPr="00E10C12" w:rsidRDefault="00C60153" w:rsidP="00C60153">
      <w:pPr>
        <w:pStyle w:val="ListeParagraf"/>
        <w:numPr>
          <w:ilvl w:val="0"/>
          <w:numId w:val="15"/>
        </w:numPr>
        <w:rPr>
          <w:rFonts w:ascii="Arial" w:hAnsi="Arial" w:cs="Arial"/>
          <w:sz w:val="22"/>
          <w:szCs w:val="22"/>
        </w:rPr>
      </w:pPr>
      <w:r w:rsidRPr="00E10C12">
        <w:rPr>
          <w:rFonts w:ascii="Arial" w:hAnsi="Arial" w:cs="Arial"/>
          <w:sz w:val="22"/>
          <w:szCs w:val="22"/>
        </w:rPr>
        <w:t>Ailede fiziksel ya da ruhsal hastalık varlığı açısından olgu ve kontrol grupları arasında anlamlı bir fark belirlenmemiştir.</w:t>
      </w:r>
    </w:p>
    <w:p w:rsidR="00C60153" w:rsidRPr="00E10C12" w:rsidRDefault="00C60153" w:rsidP="00C60153">
      <w:pPr>
        <w:pStyle w:val="ListeParagraf"/>
        <w:numPr>
          <w:ilvl w:val="0"/>
          <w:numId w:val="15"/>
        </w:numPr>
        <w:rPr>
          <w:rFonts w:ascii="Arial" w:hAnsi="Arial" w:cs="Arial"/>
          <w:sz w:val="22"/>
          <w:szCs w:val="22"/>
        </w:rPr>
      </w:pPr>
      <w:r w:rsidRPr="00E10C12">
        <w:rPr>
          <w:rFonts w:ascii="Arial" w:hAnsi="Arial" w:cs="Arial"/>
          <w:sz w:val="22"/>
          <w:szCs w:val="22"/>
        </w:rPr>
        <w:t>Olgu grubunun ders başarısı, ödev yapma becerisi, akran ve kardeş ilişkileri açısından kontrol grubuna göre anlamlı olarak daha çok sorunla karşılaştığı belirlenmiştir.</w:t>
      </w:r>
    </w:p>
    <w:p w:rsidR="00C60153" w:rsidRPr="00E10C12" w:rsidRDefault="00C60153" w:rsidP="00C60153">
      <w:pPr>
        <w:pStyle w:val="ListeParagraf"/>
        <w:numPr>
          <w:ilvl w:val="0"/>
          <w:numId w:val="15"/>
        </w:numPr>
        <w:rPr>
          <w:rFonts w:ascii="Arial" w:hAnsi="Arial" w:cs="Arial"/>
          <w:sz w:val="22"/>
          <w:szCs w:val="22"/>
        </w:rPr>
      </w:pPr>
      <w:r w:rsidRPr="00E10C12">
        <w:rPr>
          <w:rFonts w:ascii="Arial" w:hAnsi="Arial" w:cs="Arial"/>
          <w:sz w:val="22"/>
          <w:szCs w:val="22"/>
          <w:shd w:val="clear" w:color="auto" w:fill="FFFFFF"/>
        </w:rPr>
        <w:t>Olgu ve kontrol grupları arasında miR-124-3p, miR-107 ve miR-4447 düzeyleri açısından anlamlı bir farklılığa rastlanmamıştır.</w:t>
      </w:r>
    </w:p>
    <w:p w:rsidR="00C60153" w:rsidRPr="00E10C12" w:rsidRDefault="00C60153" w:rsidP="00C60153">
      <w:pPr>
        <w:pStyle w:val="ListeParagraf"/>
        <w:numPr>
          <w:ilvl w:val="0"/>
          <w:numId w:val="15"/>
        </w:numPr>
        <w:rPr>
          <w:rFonts w:ascii="Arial" w:hAnsi="Arial" w:cs="Arial"/>
          <w:sz w:val="22"/>
          <w:szCs w:val="22"/>
        </w:rPr>
      </w:pPr>
      <w:r w:rsidRPr="00E10C12">
        <w:rPr>
          <w:rFonts w:ascii="Arial" w:hAnsi="Arial" w:cs="Arial"/>
          <w:sz w:val="22"/>
          <w:szCs w:val="22"/>
          <w:shd w:val="clear" w:color="auto" w:fill="FFFFFF"/>
        </w:rPr>
        <w:t xml:space="preserve">Olgu grubunda </w:t>
      </w:r>
      <w:r w:rsidRPr="00E10C12">
        <w:rPr>
          <w:rFonts w:ascii="Arial" w:hAnsi="Arial" w:cs="Arial"/>
          <w:sz w:val="22"/>
          <w:szCs w:val="22"/>
        </w:rPr>
        <w:t xml:space="preserve">miR-5692b </w:t>
      </w:r>
      <w:r w:rsidRPr="00E10C12">
        <w:rPr>
          <w:rFonts w:ascii="Arial" w:hAnsi="Arial" w:cs="Arial"/>
          <w:sz w:val="22"/>
          <w:szCs w:val="22"/>
          <w:shd w:val="clear" w:color="auto" w:fill="FFFFFF"/>
        </w:rPr>
        <w:t xml:space="preserve">düzeyleri kontrollere göre anlamlı olarak yüksek, </w:t>
      </w:r>
      <w:r w:rsidRPr="00E10C12">
        <w:rPr>
          <w:rFonts w:ascii="Arial" w:hAnsi="Arial" w:cs="Arial"/>
          <w:sz w:val="22"/>
          <w:szCs w:val="22"/>
        </w:rPr>
        <w:t>miR-let-7d</w:t>
      </w:r>
      <w:r w:rsidRPr="00E10C12">
        <w:rPr>
          <w:rFonts w:ascii="Arial" w:hAnsi="Arial" w:cs="Arial"/>
          <w:sz w:val="22"/>
          <w:szCs w:val="22"/>
          <w:shd w:val="clear" w:color="auto" w:fill="FFFFFF"/>
        </w:rPr>
        <w:t xml:space="preserve"> düzeyleri ise kontrollere göre anlamlı olarak düşük saptanmıştır.</w:t>
      </w:r>
    </w:p>
    <w:p w:rsidR="00C60153" w:rsidRPr="00E10C12" w:rsidRDefault="00C60153" w:rsidP="00C60153">
      <w:pPr>
        <w:pStyle w:val="ListeParagraf"/>
        <w:numPr>
          <w:ilvl w:val="0"/>
          <w:numId w:val="15"/>
        </w:numPr>
        <w:rPr>
          <w:rFonts w:ascii="Arial" w:hAnsi="Arial" w:cs="Arial"/>
          <w:sz w:val="22"/>
          <w:szCs w:val="22"/>
        </w:rPr>
      </w:pPr>
      <w:r w:rsidRPr="00E10C12">
        <w:rPr>
          <w:rFonts w:ascii="Arial" w:hAnsi="Arial" w:cs="Arial"/>
          <w:sz w:val="22"/>
          <w:szCs w:val="22"/>
        </w:rPr>
        <w:t>Olgu grubunda miR-4447 düzeyinin erkeklerde kızlara göre anlamlı olarak yüksek saptanmıştır.</w:t>
      </w:r>
    </w:p>
    <w:p w:rsidR="00C60153" w:rsidRPr="00E10C12" w:rsidRDefault="00C60153" w:rsidP="00C60153">
      <w:pPr>
        <w:pStyle w:val="ListeParagraf"/>
        <w:numPr>
          <w:ilvl w:val="0"/>
          <w:numId w:val="15"/>
        </w:numPr>
        <w:rPr>
          <w:rFonts w:ascii="Arial" w:hAnsi="Arial" w:cs="Arial"/>
          <w:sz w:val="22"/>
          <w:szCs w:val="22"/>
        </w:rPr>
      </w:pPr>
      <w:r w:rsidRPr="00E10C12">
        <w:rPr>
          <w:rFonts w:ascii="Arial" w:hAnsi="Arial" w:cs="Arial"/>
          <w:sz w:val="22"/>
          <w:szCs w:val="22"/>
        </w:rPr>
        <w:t>Kontrol grubunda miR-107 düzeyinin kızlarda erkeklere göre anlamlı olarak yüksek saptanmıştır.</w:t>
      </w:r>
    </w:p>
    <w:p w:rsidR="00C60153" w:rsidRPr="00E10C12" w:rsidRDefault="00C60153" w:rsidP="00C60153">
      <w:pPr>
        <w:pStyle w:val="ListeParagraf"/>
        <w:numPr>
          <w:ilvl w:val="0"/>
          <w:numId w:val="15"/>
        </w:numPr>
        <w:rPr>
          <w:rFonts w:ascii="Arial" w:hAnsi="Arial" w:cs="Arial"/>
          <w:sz w:val="22"/>
          <w:szCs w:val="22"/>
        </w:rPr>
      </w:pPr>
      <w:r w:rsidRPr="00E10C12">
        <w:rPr>
          <w:rFonts w:ascii="Arial" w:hAnsi="Arial" w:cs="Arial"/>
          <w:sz w:val="22"/>
          <w:szCs w:val="22"/>
        </w:rPr>
        <w:t>Yaş ile miR-107 düzeyi arasında olgu grubunda negatif , kontrol grubunda pozitif korelasyon olduğu bulgulanmıştır.</w:t>
      </w:r>
    </w:p>
    <w:p w:rsidR="00C60153" w:rsidRPr="00E10C12" w:rsidRDefault="00C60153" w:rsidP="00C60153">
      <w:pPr>
        <w:pStyle w:val="ListeParagraf"/>
        <w:numPr>
          <w:ilvl w:val="0"/>
          <w:numId w:val="15"/>
        </w:numPr>
        <w:rPr>
          <w:rFonts w:ascii="Arial" w:hAnsi="Arial" w:cs="Arial"/>
          <w:sz w:val="22"/>
          <w:szCs w:val="22"/>
        </w:rPr>
      </w:pPr>
      <w:r w:rsidRPr="00E10C12">
        <w:rPr>
          <w:rFonts w:ascii="Arial" w:hAnsi="Arial" w:cs="Arial"/>
          <w:sz w:val="22"/>
          <w:szCs w:val="22"/>
          <w:shd w:val="clear" w:color="auto" w:fill="FFFFFF"/>
        </w:rPr>
        <w:t xml:space="preserve">Tüm örneklemde cinsiyet ve yaş ile serum </w:t>
      </w:r>
      <w:r w:rsidRPr="00E10C12">
        <w:rPr>
          <w:rFonts w:ascii="Arial" w:hAnsi="Arial" w:cs="Arial"/>
          <w:sz w:val="22"/>
          <w:szCs w:val="22"/>
        </w:rPr>
        <w:t xml:space="preserve">miR-5692b, miR-let-7d, miR-124-3p, miR-107 ve miR-4447 </w:t>
      </w:r>
      <w:r w:rsidRPr="00E10C12">
        <w:rPr>
          <w:rFonts w:ascii="Arial" w:hAnsi="Arial" w:cs="Arial"/>
          <w:sz w:val="22"/>
          <w:szCs w:val="22"/>
          <w:shd w:val="clear" w:color="auto" w:fill="FFFFFF"/>
        </w:rPr>
        <w:t xml:space="preserve"> düzeyleri arasında anlamlı bir fark bulunmamıştır.</w:t>
      </w:r>
    </w:p>
    <w:p w:rsidR="00C60153" w:rsidRPr="00E10C12" w:rsidRDefault="00C60153" w:rsidP="00C60153">
      <w:pPr>
        <w:pStyle w:val="ListeParagraf"/>
        <w:numPr>
          <w:ilvl w:val="0"/>
          <w:numId w:val="15"/>
        </w:numPr>
        <w:rPr>
          <w:rFonts w:ascii="Arial" w:hAnsi="Arial" w:cs="Arial"/>
          <w:sz w:val="22"/>
          <w:szCs w:val="22"/>
        </w:rPr>
      </w:pPr>
      <w:r w:rsidRPr="00E10C12">
        <w:rPr>
          <w:rFonts w:ascii="Arial" w:hAnsi="Arial" w:cs="Arial"/>
          <w:sz w:val="22"/>
          <w:szCs w:val="22"/>
          <w:shd w:val="clear" w:color="auto" w:fill="FFFFFF"/>
        </w:rPr>
        <w:t xml:space="preserve">miR-107 düzeyleri ile </w:t>
      </w:r>
      <w:r w:rsidRPr="00E10C12">
        <w:rPr>
          <w:rFonts w:ascii="Arial" w:hAnsi="Arial" w:cs="Arial"/>
          <w:sz w:val="22"/>
          <w:szCs w:val="22"/>
        </w:rPr>
        <w:t xml:space="preserve">öğretmen tarafından doldurulan </w:t>
      </w:r>
      <w:r w:rsidRPr="00E10C12">
        <w:rPr>
          <w:rFonts w:ascii="Arial" w:hAnsi="Arial" w:cs="Arial"/>
          <w:i/>
          <w:sz w:val="22"/>
          <w:szCs w:val="22"/>
        </w:rPr>
        <w:t xml:space="preserve">“Çocuk ve Ergenlerde Yıkıcı Davranım Bozuklukları İçin DSM-IV'e Dayalı Tarama </w:t>
      </w:r>
      <w:r w:rsidRPr="00E10C12">
        <w:rPr>
          <w:rFonts w:ascii="Arial" w:hAnsi="Arial" w:cs="Arial"/>
          <w:i/>
          <w:sz w:val="22"/>
          <w:szCs w:val="22"/>
        </w:rPr>
        <w:lastRenderedPageBreak/>
        <w:t>ve Değerlendirme Ölçeği</w:t>
      </w:r>
      <w:r w:rsidRPr="00E10C12">
        <w:rPr>
          <w:rFonts w:ascii="Arial" w:hAnsi="Arial" w:cs="Arial"/>
          <w:sz w:val="22"/>
          <w:szCs w:val="22"/>
        </w:rPr>
        <w:t>”nin hiperaktivite / dürtüsellik alt alanı puanları arasında ilişki saptanmıştır.</w:t>
      </w:r>
    </w:p>
    <w:p w:rsidR="00C60153" w:rsidRPr="00E10C12" w:rsidRDefault="00C60153" w:rsidP="00C60153">
      <w:pPr>
        <w:pStyle w:val="ListeParagraf"/>
        <w:numPr>
          <w:ilvl w:val="0"/>
          <w:numId w:val="15"/>
        </w:numPr>
        <w:rPr>
          <w:rFonts w:ascii="Arial" w:hAnsi="Arial" w:cs="Arial"/>
          <w:sz w:val="22"/>
          <w:szCs w:val="22"/>
        </w:rPr>
      </w:pPr>
      <w:r w:rsidRPr="00E10C12">
        <w:rPr>
          <w:rFonts w:ascii="Arial" w:hAnsi="Arial" w:cs="Arial"/>
          <w:sz w:val="22"/>
          <w:szCs w:val="22"/>
          <w:shd w:val="clear" w:color="auto" w:fill="FFFFFF"/>
        </w:rPr>
        <w:t xml:space="preserve">miR-124-3p düzeyleri ile </w:t>
      </w:r>
      <w:r w:rsidRPr="00E10C12">
        <w:rPr>
          <w:rFonts w:ascii="Arial" w:hAnsi="Arial" w:cs="Arial"/>
          <w:sz w:val="22"/>
          <w:szCs w:val="22"/>
        </w:rPr>
        <w:t xml:space="preserve">öğretmen tarafından doldurulan </w:t>
      </w:r>
      <w:r w:rsidRPr="00E10C12">
        <w:rPr>
          <w:rFonts w:ascii="Arial" w:hAnsi="Arial" w:cs="Arial"/>
          <w:i/>
          <w:sz w:val="22"/>
          <w:szCs w:val="22"/>
        </w:rPr>
        <w:t>“Çocuk ve Ergenlerde Yıkıcı Davranım Bozuklukları İçin DSM-IV'e Dayalı Tarama ve Değerlendirme Ölçeği</w:t>
      </w:r>
      <w:r w:rsidRPr="00E10C12">
        <w:rPr>
          <w:rFonts w:ascii="Arial" w:hAnsi="Arial" w:cs="Arial"/>
          <w:sz w:val="22"/>
          <w:szCs w:val="22"/>
        </w:rPr>
        <w:t>”nin dikkat eksikliği alt alanı puanları arasında ilişki saptanmıştır.</w:t>
      </w:r>
    </w:p>
    <w:p w:rsidR="00C60153" w:rsidRDefault="00C60153"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E10C12" w:rsidRDefault="00E10C12" w:rsidP="00C60153">
      <w:pPr>
        <w:pStyle w:val="ListeParagraf"/>
        <w:ind w:left="1287" w:firstLine="0"/>
        <w:rPr>
          <w:rFonts w:ascii="Arial" w:hAnsi="Arial" w:cs="Arial"/>
        </w:rPr>
      </w:pPr>
    </w:p>
    <w:p w:rsidR="00C60153" w:rsidRPr="0063132D" w:rsidRDefault="00C60153" w:rsidP="00C60153">
      <w:pPr>
        <w:autoSpaceDE w:val="0"/>
        <w:autoSpaceDN w:val="0"/>
        <w:adjustRightInd w:val="0"/>
        <w:spacing w:line="360" w:lineRule="auto"/>
        <w:ind w:firstLine="567"/>
        <w:jc w:val="center"/>
        <w:rPr>
          <w:rFonts w:ascii="Arial" w:hAnsi="Arial" w:cs="Arial"/>
          <w:b/>
          <w:sz w:val="22"/>
          <w:szCs w:val="22"/>
        </w:rPr>
      </w:pPr>
      <w:r w:rsidRPr="0063132D">
        <w:rPr>
          <w:rFonts w:ascii="Arial" w:hAnsi="Arial" w:cs="Arial"/>
          <w:b/>
          <w:sz w:val="22"/>
          <w:szCs w:val="22"/>
        </w:rPr>
        <w:lastRenderedPageBreak/>
        <w:t>KAYNAKLAR</w:t>
      </w:r>
    </w:p>
    <w:p w:rsidR="005827F2" w:rsidRPr="0063132D" w:rsidRDefault="00BC3BBB"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b/>
          <w:sz w:val="22"/>
          <w:szCs w:val="22"/>
        </w:rPr>
        <w:fldChar w:fldCharType="begin" w:fldLock="1"/>
      </w:r>
      <w:r w:rsidR="00C60153" w:rsidRPr="0063132D">
        <w:rPr>
          <w:rFonts w:ascii="Arial" w:hAnsi="Arial" w:cs="Arial"/>
          <w:b/>
          <w:sz w:val="22"/>
          <w:szCs w:val="22"/>
        </w:rPr>
        <w:instrText xml:space="preserve">ADDIN Mendeley Bibliography CSL_BIBLIOGRAPHY </w:instrText>
      </w:r>
      <w:r w:rsidRPr="0063132D">
        <w:rPr>
          <w:rFonts w:ascii="Arial" w:hAnsi="Arial" w:cs="Arial"/>
          <w:b/>
          <w:sz w:val="22"/>
          <w:szCs w:val="22"/>
        </w:rPr>
        <w:fldChar w:fldCharType="separate"/>
      </w:r>
      <w:r w:rsidR="005827F2" w:rsidRPr="0063132D">
        <w:rPr>
          <w:rFonts w:ascii="Arial" w:hAnsi="Arial" w:cs="Arial"/>
          <w:noProof/>
          <w:sz w:val="22"/>
          <w:szCs w:val="22"/>
        </w:rPr>
        <w:t xml:space="preserve">1. National Institute for Health and Clinical Excellence (NICE) (2008): Attention deficit hyperactivity disorder: Diagnosis and management of ADHD in children, young people and adults. </w:t>
      </w:r>
      <w:r w:rsidR="005827F2" w:rsidRPr="0063132D">
        <w:rPr>
          <w:rFonts w:ascii="Arial" w:hAnsi="Arial" w:cs="Arial"/>
          <w:i/>
          <w:iCs/>
          <w:noProof/>
          <w:sz w:val="22"/>
          <w:szCs w:val="22"/>
        </w:rPr>
        <w:t>Natl Clin Pract Guidel</w:t>
      </w:r>
      <w:r w:rsidR="005827F2" w:rsidRPr="0063132D">
        <w:rPr>
          <w:rFonts w:ascii="Arial" w:hAnsi="Arial" w:cs="Arial"/>
          <w:noProof/>
          <w:sz w:val="22"/>
          <w:szCs w:val="22"/>
        </w:rPr>
        <w:t>. 72: Available at: http://publications.nice.org.uk/atte.</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 American Psychiatric Association (2013): </w:t>
      </w:r>
      <w:r w:rsidRPr="0063132D">
        <w:rPr>
          <w:rFonts w:ascii="Arial" w:hAnsi="Arial" w:cs="Arial"/>
          <w:i/>
          <w:iCs/>
          <w:noProof/>
          <w:sz w:val="22"/>
          <w:szCs w:val="22"/>
        </w:rPr>
        <w:t>Diagnostic and Statistical Manual of Mental Disorders, Diagnostic and Statistical Manual of Mental Disorders, Fifth Edition (DSM-5).</w:t>
      </w:r>
      <w:r w:rsidRPr="0063132D">
        <w:rPr>
          <w:rFonts w:ascii="Arial" w:hAnsi="Arial" w:cs="Arial"/>
          <w:noProof/>
          <w:sz w:val="22"/>
          <w:szCs w:val="22"/>
        </w:rPr>
        <w:t>, 2013th ed. American Psychiatric Publishing. doi: 10.1176/appi.books.9780890425596.744053.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 Polanczyk G, de Lima MS, Horta BL, Biederman J RL (2007): The worldwide prevalence of ADHD: a systematic review and metaregression analysis. </w:t>
      </w:r>
      <w:r w:rsidRPr="0063132D">
        <w:rPr>
          <w:rFonts w:ascii="Arial" w:hAnsi="Arial" w:cs="Arial"/>
          <w:i/>
          <w:iCs/>
          <w:noProof/>
          <w:sz w:val="22"/>
          <w:szCs w:val="22"/>
        </w:rPr>
        <w:t>Am J Psychiatry</w:t>
      </w:r>
      <w:r w:rsidRPr="0063132D">
        <w:rPr>
          <w:rFonts w:ascii="Arial" w:hAnsi="Arial" w:cs="Arial"/>
          <w:noProof/>
          <w:sz w:val="22"/>
          <w:szCs w:val="22"/>
        </w:rPr>
        <w:t>. 164: 942–948.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4. Leung AK LHK (n.d.): Attention-Deficit/ Hyperactivity Disorder. </w:t>
      </w:r>
      <w:r w:rsidRPr="0063132D">
        <w:rPr>
          <w:rFonts w:ascii="Arial" w:hAnsi="Arial" w:cs="Arial"/>
          <w:i/>
          <w:iCs/>
          <w:noProof/>
          <w:sz w:val="22"/>
          <w:szCs w:val="22"/>
        </w:rPr>
        <w:t>Adv Pediatr</w:t>
      </w:r>
      <w:r w:rsidRPr="0063132D">
        <w:rPr>
          <w:rFonts w:ascii="Arial" w:hAnsi="Arial" w:cs="Arial"/>
          <w:noProof/>
          <w:sz w:val="22"/>
          <w:szCs w:val="22"/>
        </w:rPr>
        <w:t>. 63: 255–280.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5. Faraone S V., Perlis RH, Doyle AE, Smoller JW, Goralnick JJ, Holmgren MA, Sklar P (2005): Molecular Genetics of Attention-Deficit/Hyperactivity Disorder. </w:t>
      </w:r>
      <w:r w:rsidRPr="0063132D">
        <w:rPr>
          <w:rFonts w:ascii="Arial" w:hAnsi="Arial" w:cs="Arial"/>
          <w:i/>
          <w:iCs/>
          <w:noProof/>
          <w:sz w:val="22"/>
          <w:szCs w:val="22"/>
        </w:rPr>
        <w:t>Biol Psychiatry</w:t>
      </w:r>
      <w:r w:rsidRPr="0063132D">
        <w:rPr>
          <w:rFonts w:ascii="Arial" w:hAnsi="Arial" w:cs="Arial"/>
          <w:noProof/>
          <w:sz w:val="22"/>
          <w:szCs w:val="22"/>
        </w:rPr>
        <w:t>. 57: 1313–1323.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6. Thapar A, Cooper M, Eyre O, Langley K (2013): Practitioner review: What have we learnt about the causes of ADHD? </w:t>
      </w:r>
      <w:r w:rsidRPr="0063132D">
        <w:rPr>
          <w:rFonts w:ascii="Arial" w:hAnsi="Arial" w:cs="Arial"/>
          <w:i/>
          <w:iCs/>
          <w:noProof/>
          <w:sz w:val="22"/>
          <w:szCs w:val="22"/>
        </w:rPr>
        <w:t>J Child Psychol Psychiatry Allied Discip</w:t>
      </w:r>
      <w:r w:rsidRPr="0063132D">
        <w:rPr>
          <w:rFonts w:ascii="Arial" w:hAnsi="Arial" w:cs="Arial"/>
          <w:noProof/>
          <w:sz w:val="22"/>
          <w:szCs w:val="22"/>
        </w:rPr>
        <w:t>. 54: 3–16.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7. Zayats T, Athanasiu L, Sonderby I, Djurovic S, Westlye LT, Tamnes CK, </w:t>
      </w:r>
      <w:r w:rsidRPr="0063132D">
        <w:rPr>
          <w:rFonts w:ascii="Arial" w:hAnsi="Arial" w:cs="Arial"/>
          <w:i/>
          <w:iCs/>
          <w:noProof/>
          <w:sz w:val="22"/>
          <w:szCs w:val="22"/>
        </w:rPr>
        <w:t>et al.</w:t>
      </w:r>
      <w:r w:rsidRPr="0063132D">
        <w:rPr>
          <w:rFonts w:ascii="Arial" w:hAnsi="Arial" w:cs="Arial"/>
          <w:noProof/>
          <w:sz w:val="22"/>
          <w:szCs w:val="22"/>
        </w:rPr>
        <w:t xml:space="preserve"> (2015): Genome-wide analysis of attention deficit hyperactivity disorder in Norway. </w:t>
      </w:r>
      <w:r w:rsidRPr="0063132D">
        <w:rPr>
          <w:rFonts w:ascii="Arial" w:hAnsi="Arial" w:cs="Arial"/>
          <w:i/>
          <w:iCs/>
          <w:noProof/>
          <w:sz w:val="22"/>
          <w:szCs w:val="22"/>
        </w:rPr>
        <w:t>PLoS One</w:t>
      </w:r>
      <w:r w:rsidRPr="0063132D">
        <w:rPr>
          <w:rFonts w:ascii="Arial" w:hAnsi="Arial" w:cs="Arial"/>
          <w:noProof/>
          <w:sz w:val="22"/>
          <w:szCs w:val="22"/>
        </w:rPr>
        <w:t>. 10: e0122501.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8. Cristino AS, Williams SM, Hawi Z, An J-Y, Bellgrove MA, Schwartz CE, </w:t>
      </w:r>
      <w:r w:rsidRPr="0063132D">
        <w:rPr>
          <w:rFonts w:ascii="Arial" w:hAnsi="Arial" w:cs="Arial"/>
          <w:i/>
          <w:iCs/>
          <w:noProof/>
          <w:sz w:val="22"/>
          <w:szCs w:val="22"/>
        </w:rPr>
        <w:t>et al.</w:t>
      </w:r>
      <w:r w:rsidRPr="0063132D">
        <w:rPr>
          <w:rFonts w:ascii="Arial" w:hAnsi="Arial" w:cs="Arial"/>
          <w:noProof/>
          <w:sz w:val="22"/>
          <w:szCs w:val="22"/>
        </w:rPr>
        <w:t xml:space="preserve"> (2014): Neurodevelopmental and neuropsychiatric disorders represent an interconnected molecular system. </w:t>
      </w:r>
      <w:r w:rsidRPr="0063132D">
        <w:rPr>
          <w:rFonts w:ascii="Arial" w:hAnsi="Arial" w:cs="Arial"/>
          <w:i/>
          <w:iCs/>
          <w:noProof/>
          <w:sz w:val="22"/>
          <w:szCs w:val="22"/>
        </w:rPr>
        <w:t>Mol Psychiatry</w:t>
      </w:r>
      <w:r w:rsidRPr="0063132D">
        <w:rPr>
          <w:rFonts w:ascii="Arial" w:hAnsi="Arial" w:cs="Arial"/>
          <w:noProof/>
          <w:sz w:val="22"/>
          <w:szCs w:val="22"/>
        </w:rPr>
        <w:t>. 19: 294–301.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9. Qian G, Lu L, Qiujin Q (2014): Advances in molecular genetic studies of attention deficit hyperactivity disorder in China. </w:t>
      </w:r>
      <w:r w:rsidRPr="0063132D">
        <w:rPr>
          <w:rFonts w:ascii="Arial" w:hAnsi="Arial" w:cs="Arial"/>
          <w:i/>
          <w:iCs/>
          <w:noProof/>
          <w:sz w:val="22"/>
          <w:szCs w:val="22"/>
        </w:rPr>
        <w:t>Shanghai Arch</w:t>
      </w:r>
      <w:r w:rsidRPr="0063132D">
        <w:rPr>
          <w:rFonts w:ascii="Arial" w:hAnsi="Arial" w:cs="Arial"/>
          <w:noProof/>
          <w:sz w:val="22"/>
          <w:szCs w:val="22"/>
        </w:rPr>
        <w:t>. . Retrieved from https://www.ncbi.nlm.nih.gov/pmc/articles/PMC4194002/.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10. Stranger B, Nica A, Forrest M, Dimas A, Bird C (2007): Population genomics of human gene expression. </w:t>
      </w:r>
      <w:r w:rsidRPr="0063132D">
        <w:rPr>
          <w:rFonts w:ascii="Arial" w:hAnsi="Arial" w:cs="Arial"/>
          <w:i/>
          <w:iCs/>
          <w:noProof/>
          <w:sz w:val="22"/>
          <w:szCs w:val="22"/>
        </w:rPr>
        <w:t>Nat Genet</w:t>
      </w:r>
      <w:r w:rsidRPr="0063132D">
        <w:rPr>
          <w:rFonts w:ascii="Arial" w:hAnsi="Arial" w:cs="Arial"/>
          <w:noProof/>
          <w:sz w:val="22"/>
          <w:szCs w:val="22"/>
        </w:rPr>
        <w:t>. 39: 1217–1224.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11. Mostafavi-Abdolmaleky H, Glatt SJ, Tsuang MT (2011): Epigenetics in Psychiatry. </w:t>
      </w:r>
      <w:r w:rsidRPr="0063132D">
        <w:rPr>
          <w:rFonts w:ascii="Arial" w:hAnsi="Arial" w:cs="Arial"/>
          <w:i/>
          <w:iCs/>
          <w:noProof/>
          <w:sz w:val="22"/>
          <w:szCs w:val="22"/>
        </w:rPr>
        <w:t>Epigenetic Asp Chronic Dis</w:t>
      </w:r>
      <w:r w:rsidRPr="0063132D">
        <w:rPr>
          <w:rFonts w:ascii="Arial" w:hAnsi="Arial" w:cs="Arial"/>
          <w:noProof/>
          <w:sz w:val="22"/>
          <w:szCs w:val="22"/>
        </w:rPr>
        <w:t>. London: Springer London, pp 163–174.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12. Abdolmaleky HM (2014): Horizons of psychiatric genetics and epigenetics: Where are we and where are we heading? </w:t>
      </w:r>
      <w:r w:rsidRPr="0063132D">
        <w:rPr>
          <w:rFonts w:ascii="Arial" w:hAnsi="Arial" w:cs="Arial"/>
          <w:i/>
          <w:iCs/>
          <w:noProof/>
          <w:sz w:val="22"/>
          <w:szCs w:val="22"/>
        </w:rPr>
        <w:t>Iran J Psychiatry Behav Sci</w:t>
      </w:r>
      <w:r w:rsidRPr="0063132D">
        <w:rPr>
          <w:rFonts w:ascii="Arial" w:hAnsi="Arial" w:cs="Arial"/>
          <w:noProof/>
          <w:sz w:val="22"/>
          <w:szCs w:val="22"/>
        </w:rPr>
        <w:t>. 8: 1–10.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13. Alural B, Genc S, Haggarty SJ (2017): Diagnostic and therapeutic potential of microRNAs in neuropsychiatric disorders: Past, present, and future. </w:t>
      </w:r>
      <w:r w:rsidRPr="0063132D">
        <w:rPr>
          <w:rFonts w:ascii="Arial" w:hAnsi="Arial" w:cs="Arial"/>
          <w:i/>
          <w:iCs/>
          <w:noProof/>
          <w:sz w:val="22"/>
          <w:szCs w:val="22"/>
        </w:rPr>
        <w:t>Prog Neuropsychopharmacol Biol Psychiatry</w:t>
      </w:r>
      <w:r w:rsidRPr="0063132D">
        <w:rPr>
          <w:rFonts w:ascii="Arial" w:hAnsi="Arial" w:cs="Arial"/>
          <w:noProof/>
          <w:sz w:val="22"/>
          <w:szCs w:val="22"/>
        </w:rPr>
        <w:t>. 73: 87–103.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14. Geaghan M, Cairns MJ (2015): MicroRNA and Posttranscriptional Dysregulation in Psychiatry. </w:t>
      </w:r>
      <w:r w:rsidRPr="0063132D">
        <w:rPr>
          <w:rFonts w:ascii="Arial" w:hAnsi="Arial" w:cs="Arial"/>
          <w:i/>
          <w:iCs/>
          <w:noProof/>
          <w:sz w:val="22"/>
          <w:szCs w:val="22"/>
        </w:rPr>
        <w:t>Biol Psychiatry</w:t>
      </w:r>
      <w:r w:rsidRPr="0063132D">
        <w:rPr>
          <w:rFonts w:ascii="Arial" w:hAnsi="Arial" w:cs="Arial"/>
          <w:noProof/>
          <w:sz w:val="22"/>
          <w:szCs w:val="22"/>
        </w:rPr>
        <w:t>. 78: 231–239.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15. Maffioletti E, Tardito D, Gennarelli M, Bocchio-Chiavetto L (2014): Micro spies from the brain to the periphery: new clues from studies on microRNAs in neuropsychiatric disorders. </w:t>
      </w:r>
      <w:r w:rsidRPr="0063132D">
        <w:rPr>
          <w:rFonts w:ascii="Arial" w:hAnsi="Arial" w:cs="Arial"/>
          <w:i/>
          <w:iCs/>
          <w:noProof/>
          <w:sz w:val="22"/>
          <w:szCs w:val="22"/>
        </w:rPr>
        <w:t>Front Cell Neurosci</w:t>
      </w:r>
      <w:r w:rsidRPr="0063132D">
        <w:rPr>
          <w:rFonts w:ascii="Arial" w:hAnsi="Arial" w:cs="Arial"/>
          <w:noProof/>
          <w:sz w:val="22"/>
          <w:szCs w:val="22"/>
        </w:rPr>
        <w:t>. 8. doi: 10.3389/fncel.2014.00075.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16. Sun E, Shi Y (2015): MicroRNAs: Small molecules with big roles in neurodevelopment and diseases. </w:t>
      </w:r>
      <w:r w:rsidRPr="0063132D">
        <w:rPr>
          <w:rFonts w:ascii="Arial" w:hAnsi="Arial" w:cs="Arial"/>
          <w:i/>
          <w:iCs/>
          <w:noProof/>
          <w:sz w:val="22"/>
          <w:szCs w:val="22"/>
        </w:rPr>
        <w:t>Exp Neurol</w:t>
      </w:r>
      <w:r w:rsidRPr="0063132D">
        <w:rPr>
          <w:rFonts w:ascii="Arial" w:hAnsi="Arial" w:cs="Arial"/>
          <w:noProof/>
          <w:sz w:val="22"/>
          <w:szCs w:val="22"/>
        </w:rPr>
        <w:t>. 268: 46–53.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17. Kandemir H, Erdal ME, Selek S, Ay OI, Karababa TF, Kandemir SB, </w:t>
      </w:r>
      <w:r w:rsidRPr="0063132D">
        <w:rPr>
          <w:rFonts w:ascii="Arial" w:hAnsi="Arial" w:cs="Arial"/>
          <w:i/>
          <w:iCs/>
          <w:noProof/>
          <w:sz w:val="22"/>
          <w:szCs w:val="22"/>
        </w:rPr>
        <w:t>et al.</w:t>
      </w:r>
      <w:r w:rsidRPr="0063132D">
        <w:rPr>
          <w:rFonts w:ascii="Arial" w:hAnsi="Arial" w:cs="Arial"/>
          <w:noProof/>
          <w:sz w:val="22"/>
          <w:szCs w:val="22"/>
        </w:rPr>
        <w:t xml:space="preserve"> (2014): Evaluation of several micro RNA (miRNA) levels in children and adolescents with attention deficit hyperactivity disorder. </w:t>
      </w:r>
      <w:r w:rsidRPr="0063132D">
        <w:rPr>
          <w:rFonts w:ascii="Arial" w:hAnsi="Arial" w:cs="Arial"/>
          <w:i/>
          <w:iCs/>
          <w:noProof/>
          <w:sz w:val="22"/>
          <w:szCs w:val="22"/>
        </w:rPr>
        <w:t>Neurosci Lett</w:t>
      </w:r>
      <w:r w:rsidRPr="0063132D">
        <w:rPr>
          <w:rFonts w:ascii="Arial" w:hAnsi="Arial" w:cs="Arial"/>
          <w:noProof/>
          <w:sz w:val="22"/>
          <w:szCs w:val="22"/>
        </w:rPr>
        <w:t>. 580: 158–162.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lastRenderedPageBreak/>
        <w:t xml:space="preserve">18. Wu L, Zhao Q, Zhu X, Peng M, Jia C, Wu W, </w:t>
      </w:r>
      <w:r w:rsidRPr="0063132D">
        <w:rPr>
          <w:rFonts w:ascii="Arial" w:hAnsi="Arial" w:cs="Arial"/>
          <w:i/>
          <w:iCs/>
          <w:noProof/>
          <w:sz w:val="22"/>
          <w:szCs w:val="22"/>
        </w:rPr>
        <w:t>et al.</w:t>
      </w:r>
      <w:r w:rsidRPr="0063132D">
        <w:rPr>
          <w:rFonts w:ascii="Arial" w:hAnsi="Arial" w:cs="Arial"/>
          <w:noProof/>
          <w:sz w:val="22"/>
          <w:szCs w:val="22"/>
        </w:rPr>
        <w:t xml:space="preserve"> (2010): A novel function of MicroRNA Let-7d in regulation of galectin-3 expression in attention deficit hyperactivity disorder rat brain. </w:t>
      </w:r>
      <w:r w:rsidRPr="0063132D">
        <w:rPr>
          <w:rFonts w:ascii="Arial" w:hAnsi="Arial" w:cs="Arial"/>
          <w:i/>
          <w:iCs/>
          <w:noProof/>
          <w:sz w:val="22"/>
          <w:szCs w:val="22"/>
        </w:rPr>
        <w:t>Brain Pathol</w:t>
      </w:r>
      <w:r w:rsidRPr="0063132D">
        <w:rPr>
          <w:rFonts w:ascii="Arial" w:hAnsi="Arial" w:cs="Arial"/>
          <w:noProof/>
          <w:sz w:val="22"/>
          <w:szCs w:val="22"/>
        </w:rPr>
        <w:t>. 20: 1042–1054.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19. Wu LH, Peng M, Yu M, Zhao QL, Li C, Jin YT, </w:t>
      </w:r>
      <w:r w:rsidRPr="0063132D">
        <w:rPr>
          <w:rFonts w:ascii="Arial" w:hAnsi="Arial" w:cs="Arial"/>
          <w:i/>
          <w:iCs/>
          <w:noProof/>
          <w:sz w:val="22"/>
          <w:szCs w:val="22"/>
        </w:rPr>
        <w:t>et al.</w:t>
      </w:r>
      <w:r w:rsidRPr="0063132D">
        <w:rPr>
          <w:rFonts w:ascii="Arial" w:hAnsi="Arial" w:cs="Arial"/>
          <w:noProof/>
          <w:sz w:val="22"/>
          <w:szCs w:val="22"/>
        </w:rPr>
        <w:t xml:space="preserve"> (2015): Circulating MicroRNA Let-7d in Attention-Deficit/Hyperactivity Disorder. </w:t>
      </w:r>
      <w:r w:rsidRPr="0063132D">
        <w:rPr>
          <w:rFonts w:ascii="Arial" w:hAnsi="Arial" w:cs="Arial"/>
          <w:i/>
          <w:iCs/>
          <w:noProof/>
          <w:sz w:val="22"/>
          <w:szCs w:val="22"/>
        </w:rPr>
        <w:t>NeuroMolecular Med</w:t>
      </w:r>
      <w:r w:rsidRPr="0063132D">
        <w:rPr>
          <w:rFonts w:ascii="Arial" w:hAnsi="Arial" w:cs="Arial"/>
          <w:noProof/>
          <w:sz w:val="22"/>
          <w:szCs w:val="22"/>
        </w:rPr>
        <w:t>. 17: 137–146.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20. Yang L, Hong Q, Zhang M, Liu X, Pan XQ, Guo M, </w:t>
      </w:r>
      <w:r w:rsidRPr="0063132D">
        <w:rPr>
          <w:rFonts w:ascii="Arial" w:hAnsi="Arial" w:cs="Arial"/>
          <w:i/>
          <w:iCs/>
          <w:noProof/>
          <w:sz w:val="22"/>
          <w:szCs w:val="22"/>
        </w:rPr>
        <w:t>et al.</w:t>
      </w:r>
      <w:r w:rsidRPr="0063132D">
        <w:rPr>
          <w:rFonts w:ascii="Arial" w:hAnsi="Arial" w:cs="Arial"/>
          <w:noProof/>
          <w:sz w:val="22"/>
          <w:szCs w:val="22"/>
        </w:rPr>
        <w:t xml:space="preserve"> (2013): The role of Homer 1a in increasing locomotor activity and non-selective attention, and impairing learning and memory abilities. </w:t>
      </w:r>
      <w:r w:rsidRPr="0063132D">
        <w:rPr>
          <w:rFonts w:ascii="Arial" w:hAnsi="Arial" w:cs="Arial"/>
          <w:i/>
          <w:iCs/>
          <w:noProof/>
          <w:sz w:val="22"/>
          <w:szCs w:val="22"/>
        </w:rPr>
        <w:t>Brain Res</w:t>
      </w:r>
      <w:r w:rsidRPr="0063132D">
        <w:rPr>
          <w:rFonts w:ascii="Arial" w:hAnsi="Arial" w:cs="Arial"/>
          <w:noProof/>
          <w:sz w:val="22"/>
          <w:szCs w:val="22"/>
        </w:rPr>
        <w:t>. 1515: 39–47.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21. Dweep H, Gretz N (2015): miRWalk2.0: a comprehensive atlas of microRNA-target interactions. </w:t>
      </w:r>
      <w:r w:rsidRPr="0063132D">
        <w:rPr>
          <w:rFonts w:ascii="Arial" w:hAnsi="Arial" w:cs="Arial"/>
          <w:i/>
          <w:iCs/>
          <w:noProof/>
          <w:sz w:val="22"/>
          <w:szCs w:val="22"/>
        </w:rPr>
        <w:t>Nat Methods</w:t>
      </w:r>
      <w:r w:rsidRPr="0063132D">
        <w:rPr>
          <w:rFonts w:ascii="Arial" w:hAnsi="Arial" w:cs="Arial"/>
          <w:noProof/>
          <w:sz w:val="22"/>
          <w:szCs w:val="22"/>
        </w:rPr>
        <w:t>. 12: 697–697.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22. Wong N, Wang XW (2015): miRDB: an online resource for microRNA target prediction and functional annotations. </w:t>
      </w:r>
      <w:r w:rsidRPr="0063132D">
        <w:rPr>
          <w:rFonts w:ascii="Arial" w:hAnsi="Arial" w:cs="Arial"/>
          <w:i/>
          <w:iCs/>
          <w:noProof/>
          <w:sz w:val="22"/>
          <w:szCs w:val="22"/>
        </w:rPr>
        <w:t>Nucleic Acids Res</w:t>
      </w:r>
      <w:r w:rsidRPr="0063132D">
        <w:rPr>
          <w:rFonts w:ascii="Arial" w:hAnsi="Arial" w:cs="Arial"/>
          <w:noProof/>
          <w:sz w:val="22"/>
          <w:szCs w:val="22"/>
        </w:rPr>
        <w:t>. 43: D146–D152.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23. THAPAR A, LANGLEY K, OWEN MJ, O’DONOVAN MC (2007): Advances in genetic findings on attention deficit hyperactivity disorder. </w:t>
      </w:r>
      <w:r w:rsidRPr="0063132D">
        <w:rPr>
          <w:rFonts w:ascii="Arial" w:hAnsi="Arial" w:cs="Arial"/>
          <w:i/>
          <w:iCs/>
          <w:noProof/>
          <w:sz w:val="22"/>
          <w:szCs w:val="22"/>
        </w:rPr>
        <w:t>Psychol Med</w:t>
      </w:r>
      <w:r w:rsidRPr="0063132D">
        <w:rPr>
          <w:rFonts w:ascii="Arial" w:hAnsi="Arial" w:cs="Arial"/>
          <w:noProof/>
          <w:sz w:val="22"/>
          <w:szCs w:val="22"/>
        </w:rPr>
        <w:t>. 37. doi: 10.1017/S0033291707000773.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24. Archer T, Oscar-Berman M, Blum K, Berman MO (2011): Epigenetics in developmental disorder: ADHD and endophenotypes. </w:t>
      </w:r>
      <w:r w:rsidRPr="0063132D">
        <w:rPr>
          <w:rFonts w:ascii="Arial" w:hAnsi="Arial" w:cs="Arial"/>
          <w:i/>
          <w:iCs/>
          <w:noProof/>
          <w:sz w:val="22"/>
          <w:szCs w:val="22"/>
        </w:rPr>
        <w:t>J Genet Syndr Gene Ther</w:t>
      </w:r>
      <w:r w:rsidRPr="0063132D">
        <w:rPr>
          <w:rFonts w:ascii="Arial" w:hAnsi="Arial" w:cs="Arial"/>
          <w:noProof/>
          <w:sz w:val="22"/>
          <w:szCs w:val="22"/>
        </w:rPr>
        <w:t>. 2: 1–17.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25. Davidson M a (2008): ADHD in adults: a review of the literature. </w:t>
      </w:r>
      <w:r w:rsidRPr="0063132D">
        <w:rPr>
          <w:rFonts w:ascii="Arial" w:hAnsi="Arial" w:cs="Arial"/>
          <w:i/>
          <w:iCs/>
          <w:noProof/>
          <w:sz w:val="22"/>
          <w:szCs w:val="22"/>
        </w:rPr>
        <w:t>J Atten Disord</w:t>
      </w:r>
      <w:r w:rsidRPr="0063132D">
        <w:rPr>
          <w:rFonts w:ascii="Arial" w:hAnsi="Arial" w:cs="Arial"/>
          <w:noProof/>
          <w:sz w:val="22"/>
          <w:szCs w:val="22"/>
        </w:rPr>
        <w:t>. 11: 628–41.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26. Frazier TW, Youngstrom EA, Glutting JJ, Watkins MW (2007): ADHD and Achievement: Meta-Analysis of the Child, Adolescent, and Adult Literatures and a Concomitant Study With College Students. </w:t>
      </w:r>
      <w:r w:rsidRPr="0063132D">
        <w:rPr>
          <w:rFonts w:ascii="Arial" w:hAnsi="Arial" w:cs="Arial"/>
          <w:i/>
          <w:iCs/>
          <w:noProof/>
          <w:sz w:val="22"/>
          <w:szCs w:val="22"/>
        </w:rPr>
        <w:t>J Learn Disabil</w:t>
      </w:r>
      <w:r w:rsidRPr="0063132D">
        <w:rPr>
          <w:rFonts w:ascii="Arial" w:hAnsi="Arial" w:cs="Arial"/>
          <w:noProof/>
          <w:sz w:val="22"/>
          <w:szCs w:val="22"/>
        </w:rPr>
        <w:t>. 40: 49–65.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27. T. K, J. H, H. D, J.A. R-Q, D. W, C. P (2012): The negative impact of attention-deficit/hyperactivity disorder on occupational health in adults and adolescents. </w:t>
      </w:r>
      <w:r w:rsidRPr="0063132D">
        <w:rPr>
          <w:rFonts w:ascii="Arial" w:hAnsi="Arial" w:cs="Arial"/>
          <w:i/>
          <w:iCs/>
          <w:noProof/>
          <w:sz w:val="22"/>
          <w:szCs w:val="22"/>
        </w:rPr>
        <w:t>Int Arch Occup Environ Health</w:t>
      </w:r>
      <w:r w:rsidRPr="0063132D">
        <w:rPr>
          <w:rFonts w:ascii="Arial" w:hAnsi="Arial" w:cs="Arial"/>
          <w:noProof/>
          <w:sz w:val="22"/>
          <w:szCs w:val="22"/>
        </w:rPr>
        <w:t>. 85: 837–847.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28. Mannuzza S, Klein RG, Moulton JL (2008): Lifetime criminality among boys with attention deficit hyperactivity disorder: A prospective follow-up study into adulthood using official arrest records. </w:t>
      </w:r>
      <w:r w:rsidRPr="0063132D">
        <w:rPr>
          <w:rFonts w:ascii="Arial" w:hAnsi="Arial" w:cs="Arial"/>
          <w:i/>
          <w:iCs/>
          <w:noProof/>
          <w:sz w:val="22"/>
          <w:szCs w:val="22"/>
        </w:rPr>
        <w:t>Psychiatry Res</w:t>
      </w:r>
      <w:r w:rsidRPr="0063132D">
        <w:rPr>
          <w:rFonts w:ascii="Arial" w:hAnsi="Arial" w:cs="Arial"/>
          <w:noProof/>
          <w:sz w:val="22"/>
          <w:szCs w:val="22"/>
        </w:rPr>
        <w:t>. 160: 237–246.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29. Molina BS, Pelham  W.E. J (2003): Childhood predictors of adolescent substance use in a longitudinal study of children with ADHD. </w:t>
      </w:r>
      <w:r w:rsidRPr="0063132D">
        <w:rPr>
          <w:rFonts w:ascii="Arial" w:hAnsi="Arial" w:cs="Arial"/>
          <w:i/>
          <w:iCs/>
          <w:noProof/>
          <w:sz w:val="22"/>
          <w:szCs w:val="22"/>
        </w:rPr>
        <w:t>J Abnorm Psychol</w:t>
      </w:r>
      <w:r w:rsidRPr="0063132D">
        <w:rPr>
          <w:rFonts w:ascii="Arial" w:hAnsi="Arial" w:cs="Arial"/>
          <w:noProof/>
          <w:sz w:val="22"/>
          <w:szCs w:val="22"/>
        </w:rPr>
        <w:t>. 112: 497–507.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30. Barkley RA, Murphy K, Kwasnik D (1996): Psychological adjustment and adaptive impairments in young adults with ADHD. </w:t>
      </w:r>
      <w:r w:rsidRPr="0063132D">
        <w:rPr>
          <w:rFonts w:ascii="Arial" w:hAnsi="Arial" w:cs="Arial"/>
          <w:i/>
          <w:iCs/>
          <w:noProof/>
          <w:sz w:val="22"/>
          <w:szCs w:val="22"/>
        </w:rPr>
        <w:t>J Atten Disord</w:t>
      </w:r>
      <w:r w:rsidRPr="0063132D">
        <w:rPr>
          <w:rFonts w:ascii="Arial" w:hAnsi="Arial" w:cs="Arial"/>
          <w:noProof/>
          <w:sz w:val="22"/>
          <w:szCs w:val="22"/>
        </w:rPr>
        <w:t>. 1: 41–54.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31. Biederman J, Monuteaux MC, Mick E, Spencer T, Wilens TE SJ (2006): Young adult outcome of attention-deficit hyperactivity disorder: a controlled 10-year follow-up study. </w:t>
      </w:r>
      <w:r w:rsidRPr="0063132D">
        <w:rPr>
          <w:rFonts w:ascii="Arial" w:hAnsi="Arial" w:cs="Arial"/>
          <w:i/>
          <w:iCs/>
          <w:noProof/>
          <w:sz w:val="22"/>
          <w:szCs w:val="22"/>
        </w:rPr>
        <w:t>Psychol Med</w:t>
      </w:r>
      <w:r w:rsidRPr="0063132D">
        <w:rPr>
          <w:rFonts w:ascii="Arial" w:hAnsi="Arial" w:cs="Arial"/>
          <w:noProof/>
          <w:sz w:val="22"/>
          <w:szCs w:val="22"/>
        </w:rPr>
        <w:t>. 36.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32. Ferguson JH (2000): National institutes of health consensus development conference statement: Diagnosis and treatment of attention-deficit/hyperactivity disorder (ADHD). </w:t>
      </w:r>
      <w:r w:rsidRPr="0063132D">
        <w:rPr>
          <w:rFonts w:ascii="Arial" w:hAnsi="Arial" w:cs="Arial"/>
          <w:i/>
          <w:iCs/>
          <w:noProof/>
          <w:sz w:val="22"/>
          <w:szCs w:val="22"/>
        </w:rPr>
        <w:t>J Am Acad Child Adolesc Psychiatry</w:t>
      </w:r>
      <w:r w:rsidRPr="0063132D">
        <w:rPr>
          <w:rFonts w:ascii="Arial" w:hAnsi="Arial" w:cs="Arial"/>
          <w:noProof/>
          <w:sz w:val="22"/>
          <w:szCs w:val="22"/>
        </w:rPr>
        <w:t>. 39: 182–193.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33. Lesesne C, Abramowitz A, Perou R, Brann E (2000): Attention deficit/hyperactivity disorder: A public health research agenda. . Retrieved from http://www.cdc.gov/ncbddd/ADHD/dadphra.htm.</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34. Palmer ED, Finger S (2001): An Early Description of ADHD (Inattentive Subtype): Dr Alexander Crichton and “Mental Restlessness” (1798). </w:t>
      </w:r>
      <w:r w:rsidRPr="0063132D">
        <w:rPr>
          <w:rFonts w:ascii="Arial" w:hAnsi="Arial" w:cs="Arial"/>
          <w:i/>
          <w:iCs/>
          <w:noProof/>
          <w:sz w:val="22"/>
          <w:szCs w:val="22"/>
        </w:rPr>
        <w:t>Child Psychol Psychiatry Rev</w:t>
      </w:r>
      <w:r w:rsidRPr="0063132D">
        <w:rPr>
          <w:rFonts w:ascii="Arial" w:hAnsi="Arial" w:cs="Arial"/>
          <w:noProof/>
          <w:sz w:val="22"/>
          <w:szCs w:val="22"/>
        </w:rPr>
        <w:t>. 6: 66–73.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35. Lange K, Reichl S, Lange K, Tucha L, Tucha O (2010): The history of attention deficit hyperactivity disorder. </w:t>
      </w:r>
      <w:r w:rsidRPr="0063132D">
        <w:rPr>
          <w:rFonts w:ascii="Arial" w:hAnsi="Arial" w:cs="Arial"/>
          <w:i/>
          <w:iCs/>
          <w:noProof/>
          <w:sz w:val="22"/>
          <w:szCs w:val="22"/>
        </w:rPr>
        <w:t>ADHD Atten Deficit Hyperact Disord</w:t>
      </w:r>
      <w:r w:rsidRPr="0063132D">
        <w:rPr>
          <w:rFonts w:ascii="Arial" w:hAnsi="Arial" w:cs="Arial"/>
          <w:noProof/>
          <w:sz w:val="22"/>
          <w:szCs w:val="22"/>
        </w:rPr>
        <w:t>. 2: 241–255.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36. Still GF (1902): The goulstonian lectures on some abnormal psychical conditions in children. </w:t>
      </w:r>
      <w:r w:rsidRPr="0063132D">
        <w:rPr>
          <w:rFonts w:ascii="Arial" w:hAnsi="Arial" w:cs="Arial"/>
          <w:i/>
          <w:iCs/>
          <w:noProof/>
          <w:sz w:val="22"/>
          <w:szCs w:val="22"/>
        </w:rPr>
        <w:t>Lancet</w:t>
      </w:r>
      <w:r w:rsidRPr="0063132D">
        <w:rPr>
          <w:rFonts w:ascii="Arial" w:hAnsi="Arial" w:cs="Arial"/>
          <w:noProof/>
          <w:sz w:val="22"/>
          <w:szCs w:val="22"/>
        </w:rPr>
        <w:t>. 1: 1008–1012, 1077–1082, 1163–1168.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37. Barkley RA (2006): Attention-deficit/hyperactivity disorder: a handbook for diagnosic and treatment. .</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lastRenderedPageBreak/>
        <w:t>38. Tredgold AF (1908): Mental deficiency (amentia). .</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39. V C, von Economo C, V C (1931): Encephalitis lethargica: its sequelae and treatment. </w:t>
      </w:r>
      <w:r w:rsidRPr="0063132D">
        <w:rPr>
          <w:rFonts w:ascii="Arial" w:hAnsi="Arial" w:cs="Arial"/>
          <w:i/>
          <w:iCs/>
          <w:noProof/>
          <w:sz w:val="22"/>
          <w:szCs w:val="22"/>
        </w:rPr>
        <w:t>South Med J</w:t>
      </w:r>
      <w:r w:rsidRPr="0063132D">
        <w:rPr>
          <w:rFonts w:ascii="Arial" w:hAnsi="Arial" w:cs="Arial"/>
          <w:noProof/>
          <w:sz w:val="22"/>
          <w:szCs w:val="22"/>
        </w:rPr>
        <w:t>. 24.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40. Ross  &amp; Ross, S. A. DM (1976): Hyperactivity: Research, theory, and action. .</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41. Rothenberger A, Neumärker K-J (2005): Wissenschaftsgeschichte der ADHS. . doi: 10.1007/3-7985-1553-0.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42. Kramer F PH (1932): Uber eine hyperkinetische Erkrankung im Kindesalter. Aus der Psychiatrischen und Nerven-Klinik der Charite. </w:t>
      </w:r>
      <w:r w:rsidRPr="0063132D">
        <w:rPr>
          <w:rFonts w:ascii="Arial" w:hAnsi="Arial" w:cs="Arial"/>
          <w:i/>
          <w:iCs/>
          <w:noProof/>
          <w:sz w:val="22"/>
          <w:szCs w:val="22"/>
        </w:rPr>
        <w:t>Mschr Psychiat Neurol</w:t>
      </w:r>
      <w:r w:rsidRPr="0063132D">
        <w:rPr>
          <w:rFonts w:ascii="Arial" w:hAnsi="Arial" w:cs="Arial"/>
          <w:noProof/>
          <w:sz w:val="22"/>
          <w:szCs w:val="22"/>
        </w:rPr>
        <w:t>. 82: 21–40.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43. Bradley C (1973): The Behavior of Children receiving Benzedrine. </w:t>
      </w:r>
      <w:r w:rsidRPr="0063132D">
        <w:rPr>
          <w:rFonts w:ascii="Arial" w:hAnsi="Arial" w:cs="Arial"/>
          <w:i/>
          <w:iCs/>
          <w:noProof/>
          <w:sz w:val="22"/>
          <w:szCs w:val="22"/>
        </w:rPr>
        <w:t>Am J Psychiatry</w:t>
      </w:r>
      <w:r w:rsidRPr="0063132D">
        <w:rPr>
          <w:rFonts w:ascii="Arial" w:hAnsi="Arial" w:cs="Arial"/>
          <w:noProof/>
          <w:sz w:val="22"/>
          <w:szCs w:val="22"/>
        </w:rPr>
        <w:t>. 94: 577–585.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44. Leonard BE, McCartan D, White J, King DJ (2004): Methylphenidate: A review of its neuropharmacological, neuropsychological and adverse clinical effects. </w:t>
      </w:r>
      <w:r w:rsidRPr="0063132D">
        <w:rPr>
          <w:rFonts w:ascii="Arial" w:hAnsi="Arial" w:cs="Arial"/>
          <w:i/>
          <w:iCs/>
          <w:noProof/>
          <w:sz w:val="22"/>
          <w:szCs w:val="22"/>
        </w:rPr>
        <w:t>Hum Psychopharmacol</w:t>
      </w:r>
      <w:r w:rsidRPr="0063132D">
        <w:rPr>
          <w:rFonts w:ascii="Arial" w:hAnsi="Arial" w:cs="Arial"/>
          <w:noProof/>
          <w:sz w:val="22"/>
          <w:szCs w:val="22"/>
        </w:rPr>
        <w:t>. 19: 151–180.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45. Morton WA, Stockton GG (2000): Methylphenidate Abuse and Psychiatric Side Effects. </w:t>
      </w:r>
      <w:r w:rsidRPr="0063132D">
        <w:rPr>
          <w:rFonts w:ascii="Arial" w:hAnsi="Arial" w:cs="Arial"/>
          <w:i/>
          <w:iCs/>
          <w:noProof/>
          <w:sz w:val="22"/>
          <w:szCs w:val="22"/>
        </w:rPr>
        <w:t>Prim Care Companion J Clin Psychiatry</w:t>
      </w:r>
      <w:r w:rsidRPr="0063132D">
        <w:rPr>
          <w:rFonts w:ascii="Arial" w:hAnsi="Arial" w:cs="Arial"/>
          <w:noProof/>
          <w:sz w:val="22"/>
          <w:szCs w:val="22"/>
        </w:rPr>
        <w:t>. 2: 159–164.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46. Meltzer H (1950): Psychopathology and Education of the Brain-Injured Child: Review. </w:t>
      </w:r>
      <w:r w:rsidRPr="0063132D">
        <w:rPr>
          <w:rFonts w:ascii="Arial" w:hAnsi="Arial" w:cs="Arial"/>
          <w:i/>
          <w:iCs/>
          <w:noProof/>
          <w:sz w:val="22"/>
          <w:szCs w:val="22"/>
        </w:rPr>
        <w:t>J Educ Psychol</w:t>
      </w:r>
      <w:r w:rsidRPr="0063132D">
        <w:rPr>
          <w:rFonts w:ascii="Arial" w:hAnsi="Arial" w:cs="Arial"/>
          <w:noProof/>
          <w:sz w:val="22"/>
          <w:szCs w:val="22"/>
        </w:rPr>
        <w:t>. 41: 123–124.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47. Bax M, MacKeith R (1963): Minimal cerebral dysfunction. Little Club Clinics in Developmental Medicine. .</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48. Conners C (2000): Attention-Deficit/Hyperactivity Disorder - Historical Development and Overview. </w:t>
      </w:r>
      <w:r w:rsidRPr="0063132D">
        <w:rPr>
          <w:rFonts w:ascii="Arial" w:hAnsi="Arial" w:cs="Arial"/>
          <w:i/>
          <w:iCs/>
          <w:noProof/>
          <w:sz w:val="22"/>
          <w:szCs w:val="22"/>
        </w:rPr>
        <w:t>J Atten Disord</w:t>
      </w:r>
      <w:r w:rsidRPr="0063132D">
        <w:rPr>
          <w:rFonts w:ascii="Arial" w:hAnsi="Arial" w:cs="Arial"/>
          <w:noProof/>
          <w:sz w:val="22"/>
          <w:szCs w:val="22"/>
        </w:rPr>
        <w:t>. 3: 173–191.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49. American Psychiatric Association (1968): </w:t>
      </w:r>
      <w:r w:rsidRPr="0063132D">
        <w:rPr>
          <w:rFonts w:ascii="Arial" w:hAnsi="Arial" w:cs="Arial"/>
          <w:i/>
          <w:iCs/>
          <w:noProof/>
          <w:sz w:val="22"/>
          <w:szCs w:val="22"/>
        </w:rPr>
        <w:t>Diagnostic and Statistical Manual of Mental Disorders (DSM - II)</w:t>
      </w:r>
      <w:r w:rsidRPr="0063132D">
        <w:rPr>
          <w:rFonts w:ascii="Arial" w:hAnsi="Arial" w:cs="Arial"/>
          <w:noProof/>
          <w:sz w:val="22"/>
          <w:szCs w:val="22"/>
        </w:rPr>
        <w:t>. Washington DC.</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50. Volkmar FR (2003): Changing perspectives on ADHD. </w:t>
      </w:r>
      <w:r w:rsidRPr="0063132D">
        <w:rPr>
          <w:rFonts w:ascii="Arial" w:hAnsi="Arial" w:cs="Arial"/>
          <w:i/>
          <w:iCs/>
          <w:noProof/>
          <w:sz w:val="22"/>
          <w:szCs w:val="22"/>
        </w:rPr>
        <w:t>Am J Psychiatry</w:t>
      </w:r>
      <w:r w:rsidRPr="0063132D">
        <w:rPr>
          <w:rFonts w:ascii="Arial" w:hAnsi="Arial" w:cs="Arial"/>
          <w:noProof/>
          <w:sz w:val="22"/>
          <w:szCs w:val="22"/>
        </w:rPr>
        <w:t>. 160: 1025–1027.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51. Douglas VI (1972): Stop, look and listen: The problem of sustained attention and impulse control in hyperactive and normal children. </w:t>
      </w:r>
      <w:r w:rsidRPr="0063132D">
        <w:rPr>
          <w:rFonts w:ascii="Arial" w:hAnsi="Arial" w:cs="Arial"/>
          <w:i/>
          <w:iCs/>
          <w:noProof/>
          <w:sz w:val="22"/>
          <w:szCs w:val="22"/>
        </w:rPr>
        <w:t>Can J Behav Sci Can des Sci du Comport</w:t>
      </w:r>
      <w:r w:rsidRPr="0063132D">
        <w:rPr>
          <w:rFonts w:ascii="Arial" w:hAnsi="Arial" w:cs="Arial"/>
          <w:noProof/>
          <w:sz w:val="22"/>
          <w:szCs w:val="22"/>
        </w:rPr>
        <w:t>. 4: 259–282.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52. American Psychiatric Association (1980): </w:t>
      </w:r>
      <w:r w:rsidRPr="0063132D">
        <w:rPr>
          <w:rFonts w:ascii="Arial" w:hAnsi="Arial" w:cs="Arial"/>
          <w:i/>
          <w:iCs/>
          <w:noProof/>
          <w:sz w:val="22"/>
          <w:szCs w:val="22"/>
        </w:rPr>
        <w:t>Diagnostic and Statistical Manual of Mental Disorders (DSM III)</w:t>
      </w:r>
      <w:r w:rsidRPr="0063132D">
        <w:rPr>
          <w:rFonts w:ascii="Arial" w:hAnsi="Arial" w:cs="Arial"/>
          <w:noProof/>
          <w:sz w:val="22"/>
          <w:szCs w:val="22"/>
        </w:rPr>
        <w:t xml:space="preserve">. </w:t>
      </w:r>
      <w:r w:rsidRPr="0063132D">
        <w:rPr>
          <w:rFonts w:ascii="Arial" w:hAnsi="Arial" w:cs="Arial"/>
          <w:i/>
          <w:iCs/>
          <w:noProof/>
          <w:sz w:val="22"/>
          <w:szCs w:val="22"/>
        </w:rPr>
        <w:t>Washington, DC Am Psychiatr Assoc</w:t>
      </w:r>
      <w:r w:rsidRPr="0063132D">
        <w:rPr>
          <w:rFonts w:ascii="Arial" w:hAnsi="Arial" w:cs="Arial"/>
          <w:noProof/>
          <w:sz w:val="22"/>
          <w:szCs w:val="22"/>
        </w:rPr>
        <w:t>. . doi: 10.1176/appi.books.9780890425596.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53. American Psychiatric Association (1987): </w:t>
      </w:r>
      <w:r w:rsidRPr="0063132D">
        <w:rPr>
          <w:rFonts w:ascii="Arial" w:hAnsi="Arial" w:cs="Arial"/>
          <w:i/>
          <w:iCs/>
          <w:noProof/>
          <w:sz w:val="22"/>
          <w:szCs w:val="22"/>
        </w:rPr>
        <w:t>Diagnostic and statistical manual of mental disorders : DSM-III-R</w:t>
      </w:r>
      <w:r w:rsidRPr="0063132D">
        <w:rPr>
          <w:rFonts w:ascii="Arial" w:hAnsi="Arial" w:cs="Arial"/>
          <w:noProof/>
          <w:sz w:val="22"/>
          <w:szCs w:val="22"/>
        </w:rPr>
        <w:t>, 3rd Edn Re. Washington DC.</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54. Biederman J, Faraone S V, Keenan K, Knee D, Tsuang MT (1990): Family-genetic and psychosocial risk factors in DSM-III attention deficit disorder. </w:t>
      </w:r>
      <w:r w:rsidRPr="0063132D">
        <w:rPr>
          <w:rFonts w:ascii="Arial" w:hAnsi="Arial" w:cs="Arial"/>
          <w:i/>
          <w:iCs/>
          <w:noProof/>
          <w:sz w:val="22"/>
          <w:szCs w:val="22"/>
        </w:rPr>
        <w:t>J Amer …</w:t>
      </w:r>
      <w:r w:rsidRPr="0063132D">
        <w:rPr>
          <w:rFonts w:ascii="Arial" w:hAnsi="Arial" w:cs="Arial"/>
          <w:noProof/>
          <w:sz w:val="22"/>
          <w:szCs w:val="22"/>
        </w:rPr>
        <w:t>. 29: 526–533.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55. Döpfner M, Schürmann S, Lehmkuhl G (1997): </w:t>
      </w:r>
      <w:r w:rsidRPr="0063132D">
        <w:rPr>
          <w:rFonts w:ascii="Arial" w:hAnsi="Arial" w:cs="Arial"/>
          <w:i/>
          <w:iCs/>
          <w:noProof/>
          <w:sz w:val="22"/>
          <w:szCs w:val="22"/>
        </w:rPr>
        <w:t>Hyperkinetische Störungen</w:t>
      </w:r>
      <w:r w:rsidRPr="0063132D">
        <w:rPr>
          <w:rFonts w:ascii="Arial" w:hAnsi="Arial" w:cs="Arial"/>
          <w:noProof/>
          <w:sz w:val="22"/>
          <w:szCs w:val="22"/>
        </w:rPr>
        <w:t xml:space="preserve">. </w:t>
      </w:r>
      <w:r w:rsidRPr="0063132D">
        <w:rPr>
          <w:rFonts w:ascii="Arial" w:hAnsi="Arial" w:cs="Arial"/>
          <w:i/>
          <w:iCs/>
          <w:noProof/>
          <w:sz w:val="22"/>
          <w:szCs w:val="22"/>
        </w:rPr>
        <w:t>Fallb der Klin KinderpsychologieErklärungsansätze und Interv</w:t>
      </w:r>
      <w:r w:rsidRPr="0063132D">
        <w:rPr>
          <w:rFonts w:ascii="Arial" w:hAnsi="Arial" w:cs="Arial"/>
          <w:noProof/>
          <w:sz w:val="22"/>
          <w:szCs w:val="22"/>
        </w:rPr>
        <w:t>. .</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56. BB L, B A, K M, J B, L G, GW H, </w:t>
      </w:r>
      <w:r w:rsidRPr="0063132D">
        <w:rPr>
          <w:rFonts w:ascii="Arial" w:hAnsi="Arial" w:cs="Arial"/>
          <w:i/>
          <w:iCs/>
          <w:noProof/>
          <w:sz w:val="22"/>
          <w:szCs w:val="22"/>
        </w:rPr>
        <w:t>et al.</w:t>
      </w:r>
      <w:r w:rsidRPr="0063132D">
        <w:rPr>
          <w:rFonts w:ascii="Arial" w:hAnsi="Arial" w:cs="Arial"/>
          <w:noProof/>
          <w:sz w:val="22"/>
          <w:szCs w:val="22"/>
        </w:rPr>
        <w:t xml:space="preserve"> (1994): DSM-IV field trials for attention deficit hyperactivity disorder in children and adolescents. </w:t>
      </w:r>
      <w:r w:rsidRPr="0063132D">
        <w:rPr>
          <w:rFonts w:ascii="Arial" w:hAnsi="Arial" w:cs="Arial"/>
          <w:i/>
          <w:iCs/>
          <w:noProof/>
          <w:sz w:val="22"/>
          <w:szCs w:val="22"/>
        </w:rPr>
        <w:t>Am J Psychiatry</w:t>
      </w:r>
      <w:r w:rsidRPr="0063132D">
        <w:rPr>
          <w:rFonts w:ascii="Arial" w:hAnsi="Arial" w:cs="Arial"/>
          <w:noProof/>
          <w:sz w:val="22"/>
          <w:szCs w:val="22"/>
        </w:rPr>
        <w:t>. 151: 1673–1685.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57. American Psychiatric Association (1994): </w:t>
      </w:r>
      <w:r w:rsidRPr="0063132D">
        <w:rPr>
          <w:rFonts w:ascii="Arial" w:hAnsi="Arial" w:cs="Arial"/>
          <w:i/>
          <w:iCs/>
          <w:noProof/>
          <w:sz w:val="22"/>
          <w:szCs w:val="22"/>
        </w:rPr>
        <w:t>Diagnostic and Statistical Manual of Mental Disorders (DSM-IV)</w:t>
      </w:r>
      <w:r w:rsidRPr="0063132D">
        <w:rPr>
          <w:rFonts w:ascii="Arial" w:hAnsi="Arial" w:cs="Arial"/>
          <w:noProof/>
          <w:sz w:val="22"/>
          <w:szCs w:val="22"/>
        </w:rPr>
        <w:t>. .</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58. American Psychiatric Association (2000): </w:t>
      </w:r>
      <w:r w:rsidRPr="0063132D">
        <w:rPr>
          <w:rFonts w:ascii="Arial" w:hAnsi="Arial" w:cs="Arial"/>
          <w:i/>
          <w:iCs/>
          <w:noProof/>
          <w:sz w:val="22"/>
          <w:szCs w:val="22"/>
        </w:rPr>
        <w:t>Diagnostic and Statistical Manual of Mental Disorders (DSM-IV-TR)</w:t>
      </w:r>
      <w:r w:rsidRPr="0063132D">
        <w:rPr>
          <w:rFonts w:ascii="Arial" w:hAnsi="Arial" w:cs="Arial"/>
          <w:noProof/>
          <w:sz w:val="22"/>
          <w:szCs w:val="22"/>
        </w:rPr>
        <w:t xml:space="preserve">, 4th edn Te. </w:t>
      </w:r>
      <w:r w:rsidRPr="0063132D">
        <w:rPr>
          <w:rFonts w:ascii="Arial" w:hAnsi="Arial" w:cs="Arial"/>
          <w:i/>
          <w:iCs/>
          <w:noProof/>
          <w:sz w:val="22"/>
          <w:szCs w:val="22"/>
        </w:rPr>
        <w:t>Washington, DC Am Psychiatr Assoc</w:t>
      </w:r>
      <w:r w:rsidRPr="0063132D">
        <w:rPr>
          <w:rFonts w:ascii="Arial" w:hAnsi="Arial" w:cs="Arial"/>
          <w:noProof/>
          <w:sz w:val="22"/>
          <w:szCs w:val="22"/>
        </w:rPr>
        <w:t>. Washington DC).</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59. Willcutt EG (2012): The Prevalence of DSM-IV Attention-Deficit/Hyperactivity Disorder: A Meta-Analytic Review. </w:t>
      </w:r>
      <w:r w:rsidRPr="0063132D">
        <w:rPr>
          <w:rFonts w:ascii="Arial" w:hAnsi="Arial" w:cs="Arial"/>
          <w:i/>
          <w:iCs/>
          <w:noProof/>
          <w:sz w:val="22"/>
          <w:szCs w:val="22"/>
        </w:rPr>
        <w:t>Neurotherapeutics</w:t>
      </w:r>
      <w:r w:rsidRPr="0063132D">
        <w:rPr>
          <w:rFonts w:ascii="Arial" w:hAnsi="Arial" w:cs="Arial"/>
          <w:noProof/>
          <w:sz w:val="22"/>
          <w:szCs w:val="22"/>
        </w:rPr>
        <w:t>. 9: 490–499.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60. Polanczyk G V., Willcutt EG, Salum G a., Kieling C, Rohde L a. (2014): ADHD prevalence estimates across three decades: An updated systematic review and meta-regression analysis. </w:t>
      </w:r>
      <w:r w:rsidRPr="0063132D">
        <w:rPr>
          <w:rFonts w:ascii="Arial" w:hAnsi="Arial" w:cs="Arial"/>
          <w:i/>
          <w:iCs/>
          <w:noProof/>
          <w:sz w:val="22"/>
          <w:szCs w:val="22"/>
        </w:rPr>
        <w:t>Int J Epidemiol</w:t>
      </w:r>
      <w:r w:rsidRPr="0063132D">
        <w:rPr>
          <w:rFonts w:ascii="Arial" w:hAnsi="Arial" w:cs="Arial"/>
          <w:noProof/>
          <w:sz w:val="22"/>
          <w:szCs w:val="22"/>
        </w:rPr>
        <w:t>. 43: 434–442.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61. Thapar A, Rice F, Hay D, Boivin J, Langley K, van den Bree M, </w:t>
      </w:r>
      <w:r w:rsidRPr="0063132D">
        <w:rPr>
          <w:rFonts w:ascii="Arial" w:hAnsi="Arial" w:cs="Arial"/>
          <w:i/>
          <w:iCs/>
          <w:noProof/>
          <w:sz w:val="22"/>
          <w:szCs w:val="22"/>
        </w:rPr>
        <w:t>et al.</w:t>
      </w:r>
      <w:r w:rsidRPr="0063132D">
        <w:rPr>
          <w:rFonts w:ascii="Arial" w:hAnsi="Arial" w:cs="Arial"/>
          <w:noProof/>
          <w:sz w:val="22"/>
          <w:szCs w:val="22"/>
        </w:rPr>
        <w:t xml:space="preserve"> (2009): </w:t>
      </w:r>
      <w:r w:rsidRPr="0063132D">
        <w:rPr>
          <w:rFonts w:ascii="Arial" w:hAnsi="Arial" w:cs="Arial"/>
          <w:noProof/>
          <w:sz w:val="22"/>
          <w:szCs w:val="22"/>
        </w:rPr>
        <w:lastRenderedPageBreak/>
        <w:t xml:space="preserve">Prenatal smoking might not cause attention-deficit/hyperactivity disorder: evidence from a novel design. </w:t>
      </w:r>
      <w:r w:rsidRPr="0063132D">
        <w:rPr>
          <w:rFonts w:ascii="Arial" w:hAnsi="Arial" w:cs="Arial"/>
          <w:i/>
          <w:iCs/>
          <w:noProof/>
          <w:sz w:val="22"/>
          <w:szCs w:val="22"/>
        </w:rPr>
        <w:t>Biol Psychiatry</w:t>
      </w:r>
      <w:r w:rsidRPr="0063132D">
        <w:rPr>
          <w:rFonts w:ascii="Arial" w:hAnsi="Arial" w:cs="Arial"/>
          <w:noProof/>
          <w:sz w:val="22"/>
          <w:szCs w:val="22"/>
        </w:rPr>
        <w:t>. 66: 722–727.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62. Tripp G, Wickens JR (2009): Neurobiology of ADHD. </w:t>
      </w:r>
      <w:r w:rsidRPr="0063132D">
        <w:rPr>
          <w:rFonts w:ascii="Arial" w:hAnsi="Arial" w:cs="Arial"/>
          <w:i/>
          <w:iCs/>
          <w:noProof/>
          <w:sz w:val="22"/>
          <w:szCs w:val="22"/>
        </w:rPr>
        <w:t>Neuropharmacology</w:t>
      </w:r>
      <w:r w:rsidRPr="0063132D">
        <w:rPr>
          <w:rFonts w:ascii="Arial" w:hAnsi="Arial" w:cs="Arial"/>
          <w:noProof/>
          <w:sz w:val="22"/>
          <w:szCs w:val="22"/>
        </w:rPr>
        <w:t>. 57: 579–589.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63. Rutter M (2006): </w:t>
      </w:r>
      <w:r w:rsidRPr="0063132D">
        <w:rPr>
          <w:rFonts w:ascii="Arial" w:hAnsi="Arial" w:cs="Arial"/>
          <w:i/>
          <w:iCs/>
          <w:noProof/>
          <w:sz w:val="22"/>
          <w:szCs w:val="22"/>
        </w:rPr>
        <w:t>Genes and behavior : nature--nurture interplay explained</w:t>
      </w:r>
      <w:r w:rsidRPr="0063132D">
        <w:rPr>
          <w:rFonts w:ascii="Arial" w:hAnsi="Arial" w:cs="Arial"/>
          <w:noProof/>
          <w:sz w:val="22"/>
          <w:szCs w:val="22"/>
        </w:rPr>
        <w:t>. Blackwell Pub.</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64. Nigg J, Nikolas M, Burt SA (2010): Measured gene-by-environment interaction in relation to attention-deficit/hyperactivity disorder. </w:t>
      </w:r>
      <w:r w:rsidRPr="0063132D">
        <w:rPr>
          <w:rFonts w:ascii="Arial" w:hAnsi="Arial" w:cs="Arial"/>
          <w:i/>
          <w:iCs/>
          <w:noProof/>
          <w:sz w:val="22"/>
          <w:szCs w:val="22"/>
        </w:rPr>
        <w:t>J Am Acad Child Adolesc Psychiatry</w:t>
      </w:r>
      <w:r w:rsidRPr="0063132D">
        <w:rPr>
          <w:rFonts w:ascii="Arial" w:hAnsi="Arial" w:cs="Arial"/>
          <w:noProof/>
          <w:sz w:val="22"/>
          <w:szCs w:val="22"/>
        </w:rPr>
        <w:t>. 49: 863–873.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65. Spencer TJ, Biederman J, Madras BK, Faraone S V., Dougherty DD, Bonab AA, Fischman AJ (2005): In vivo neuroreceptor imaging in attention-deficit/hyperactivity disorder: A focus on the dopamine transporter. </w:t>
      </w:r>
      <w:r w:rsidRPr="0063132D">
        <w:rPr>
          <w:rFonts w:ascii="Arial" w:hAnsi="Arial" w:cs="Arial"/>
          <w:i/>
          <w:iCs/>
          <w:noProof/>
          <w:sz w:val="22"/>
          <w:szCs w:val="22"/>
        </w:rPr>
        <w:t>Biol Psychiatry</w:t>
      </w:r>
      <w:r w:rsidRPr="0063132D">
        <w:rPr>
          <w:rFonts w:ascii="Arial" w:hAnsi="Arial" w:cs="Arial"/>
          <w:noProof/>
          <w:sz w:val="22"/>
          <w:szCs w:val="22"/>
        </w:rPr>
        <w:t>. 57: 1293–1300.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66. Gizer IR, Ficks C, Waldman ID (2009): Candidate gene studies of ADHD: a meta-analytic review. </w:t>
      </w:r>
      <w:r w:rsidRPr="0063132D">
        <w:rPr>
          <w:rFonts w:ascii="Arial" w:hAnsi="Arial" w:cs="Arial"/>
          <w:i/>
          <w:iCs/>
          <w:noProof/>
          <w:sz w:val="22"/>
          <w:szCs w:val="22"/>
        </w:rPr>
        <w:t>Hum Genet</w:t>
      </w:r>
      <w:r w:rsidRPr="0063132D">
        <w:rPr>
          <w:rFonts w:ascii="Arial" w:hAnsi="Arial" w:cs="Arial"/>
          <w:noProof/>
          <w:sz w:val="22"/>
          <w:szCs w:val="22"/>
        </w:rPr>
        <w:t>. 126: 51–90.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67. Franke B, Neale B, Faraone S (2009): Genome-wide association studies in ADHD. </w:t>
      </w:r>
      <w:r w:rsidRPr="0063132D">
        <w:rPr>
          <w:rFonts w:ascii="Arial" w:hAnsi="Arial" w:cs="Arial"/>
          <w:i/>
          <w:iCs/>
          <w:noProof/>
          <w:sz w:val="22"/>
          <w:szCs w:val="22"/>
        </w:rPr>
        <w:t>Hum Genet</w:t>
      </w:r>
      <w:r w:rsidRPr="0063132D">
        <w:rPr>
          <w:rFonts w:ascii="Arial" w:hAnsi="Arial" w:cs="Arial"/>
          <w:noProof/>
          <w:sz w:val="22"/>
          <w:szCs w:val="22"/>
        </w:rPr>
        <w:t>. 126: 13–50.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68. Tarver J, Daley D, Sayal K (2014): Attention-deficit hyperactivity disorder ( ADHD): an updated review of the essential facts. </w:t>
      </w:r>
      <w:r w:rsidRPr="0063132D">
        <w:rPr>
          <w:rFonts w:ascii="Arial" w:hAnsi="Arial" w:cs="Arial"/>
          <w:i/>
          <w:iCs/>
          <w:noProof/>
          <w:sz w:val="22"/>
          <w:szCs w:val="22"/>
        </w:rPr>
        <w:t>Child Care, Heal Dev</w:t>
      </w:r>
      <w:r w:rsidRPr="0063132D">
        <w:rPr>
          <w:rFonts w:ascii="Arial" w:hAnsi="Arial" w:cs="Arial"/>
          <w:noProof/>
          <w:sz w:val="22"/>
          <w:szCs w:val="22"/>
        </w:rPr>
        <w:t>. 40: 762–774.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69. Castellanos FX, Lee PP, Sharp W, Jeffries NO, Greenstein DK, Clasen LS, </w:t>
      </w:r>
      <w:r w:rsidRPr="0063132D">
        <w:rPr>
          <w:rFonts w:ascii="Arial" w:hAnsi="Arial" w:cs="Arial"/>
          <w:i/>
          <w:iCs/>
          <w:noProof/>
          <w:sz w:val="22"/>
          <w:szCs w:val="22"/>
        </w:rPr>
        <w:t>et al.</w:t>
      </w:r>
      <w:r w:rsidRPr="0063132D">
        <w:rPr>
          <w:rFonts w:ascii="Arial" w:hAnsi="Arial" w:cs="Arial"/>
          <w:noProof/>
          <w:sz w:val="22"/>
          <w:szCs w:val="22"/>
        </w:rPr>
        <w:t xml:space="preserve"> (2002): Developmental trajectories of brain volume abnormalities in children and adolescents with attention-deficit/hyperactivity disorder. </w:t>
      </w:r>
      <w:r w:rsidRPr="0063132D">
        <w:rPr>
          <w:rFonts w:ascii="Arial" w:hAnsi="Arial" w:cs="Arial"/>
          <w:i/>
          <w:iCs/>
          <w:noProof/>
          <w:sz w:val="22"/>
          <w:szCs w:val="22"/>
        </w:rPr>
        <w:t>JAMA</w:t>
      </w:r>
      <w:r w:rsidRPr="0063132D">
        <w:rPr>
          <w:rFonts w:ascii="Arial" w:hAnsi="Arial" w:cs="Arial"/>
          <w:noProof/>
          <w:sz w:val="22"/>
          <w:szCs w:val="22"/>
        </w:rPr>
        <w:t>. 288: 1740–8.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70. Nakao T, Radua J, Rubia K, Mataix-Cols D (2011): Gray matter volume abnormalities in ADHD: Voxel-based meta-analysis exploring the effects of age and stimulant medication. </w:t>
      </w:r>
      <w:r w:rsidRPr="0063132D">
        <w:rPr>
          <w:rFonts w:ascii="Arial" w:hAnsi="Arial" w:cs="Arial"/>
          <w:i/>
          <w:iCs/>
          <w:noProof/>
          <w:sz w:val="22"/>
          <w:szCs w:val="22"/>
        </w:rPr>
        <w:t>Am J Psychiatry</w:t>
      </w:r>
      <w:r w:rsidRPr="0063132D">
        <w:rPr>
          <w:rFonts w:ascii="Arial" w:hAnsi="Arial" w:cs="Arial"/>
          <w:noProof/>
          <w:sz w:val="22"/>
          <w:szCs w:val="22"/>
        </w:rPr>
        <w:t>. 168: 1154–1163.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71. Batty MJ, Liddle EB, Pitiot A, Toro R, Groom MJ, Scerif G, </w:t>
      </w:r>
      <w:r w:rsidRPr="0063132D">
        <w:rPr>
          <w:rFonts w:ascii="Arial" w:hAnsi="Arial" w:cs="Arial"/>
          <w:i/>
          <w:iCs/>
          <w:noProof/>
          <w:sz w:val="22"/>
          <w:szCs w:val="22"/>
        </w:rPr>
        <w:t>et al.</w:t>
      </w:r>
      <w:r w:rsidRPr="0063132D">
        <w:rPr>
          <w:rFonts w:ascii="Arial" w:hAnsi="Arial" w:cs="Arial"/>
          <w:noProof/>
          <w:sz w:val="22"/>
          <w:szCs w:val="22"/>
        </w:rPr>
        <w:t xml:space="preserve"> (2010): Cortical Gray Matter in Attention-Deficit/Hyperactivity Disorder: A Structural Magnetic Resonance Imaging Study. </w:t>
      </w:r>
      <w:r w:rsidRPr="0063132D">
        <w:rPr>
          <w:rFonts w:ascii="Arial" w:hAnsi="Arial" w:cs="Arial"/>
          <w:i/>
          <w:iCs/>
          <w:noProof/>
          <w:sz w:val="22"/>
          <w:szCs w:val="22"/>
        </w:rPr>
        <w:t>J Am Acad Child Adolesc Psychiatry</w:t>
      </w:r>
      <w:r w:rsidRPr="0063132D">
        <w:rPr>
          <w:rFonts w:ascii="Arial" w:hAnsi="Arial" w:cs="Arial"/>
          <w:noProof/>
          <w:sz w:val="22"/>
          <w:szCs w:val="22"/>
        </w:rPr>
        <w:t>. 49: 229–238.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72. Shaw P, Eckstrand K, Sharp W, Blumenthal J, Lerch JP, Greenstein D, </w:t>
      </w:r>
      <w:r w:rsidRPr="0063132D">
        <w:rPr>
          <w:rFonts w:ascii="Arial" w:hAnsi="Arial" w:cs="Arial"/>
          <w:i/>
          <w:iCs/>
          <w:noProof/>
          <w:sz w:val="22"/>
          <w:szCs w:val="22"/>
        </w:rPr>
        <w:t>et al.</w:t>
      </w:r>
      <w:r w:rsidRPr="0063132D">
        <w:rPr>
          <w:rFonts w:ascii="Arial" w:hAnsi="Arial" w:cs="Arial"/>
          <w:noProof/>
          <w:sz w:val="22"/>
          <w:szCs w:val="22"/>
        </w:rPr>
        <w:t xml:space="preserve"> (2007): Attention-deficit/hyperactivity disorder is characterized by a delay in cortical maturation. </w:t>
      </w:r>
      <w:r w:rsidRPr="0063132D">
        <w:rPr>
          <w:rFonts w:ascii="Arial" w:hAnsi="Arial" w:cs="Arial"/>
          <w:i/>
          <w:iCs/>
          <w:noProof/>
          <w:sz w:val="22"/>
          <w:szCs w:val="22"/>
        </w:rPr>
        <w:t>Proc Natl Acad Sci</w:t>
      </w:r>
      <w:r w:rsidRPr="0063132D">
        <w:rPr>
          <w:rFonts w:ascii="Arial" w:hAnsi="Arial" w:cs="Arial"/>
          <w:noProof/>
          <w:sz w:val="22"/>
          <w:szCs w:val="22"/>
        </w:rPr>
        <w:t>. 104: 19649–19654.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73. Cortese S (2012): The neurobiology and genetics of Attention-Deficit/Hyperactivity Disorder (ADHD): What every clinician should know. </w:t>
      </w:r>
      <w:r w:rsidRPr="0063132D">
        <w:rPr>
          <w:rFonts w:ascii="Arial" w:hAnsi="Arial" w:cs="Arial"/>
          <w:i/>
          <w:iCs/>
          <w:noProof/>
          <w:sz w:val="22"/>
          <w:szCs w:val="22"/>
        </w:rPr>
        <w:t>Eur J Paediatr Neurol</w:t>
      </w:r>
      <w:r w:rsidRPr="0063132D">
        <w:rPr>
          <w:rFonts w:ascii="Arial" w:hAnsi="Arial" w:cs="Arial"/>
          <w:noProof/>
          <w:sz w:val="22"/>
          <w:szCs w:val="22"/>
        </w:rPr>
        <w:t>. 16: 422–433.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74. Durston S, Pol HEH, Schnack HG, Buitelaar JK, Steenhuis MP, Minderaa RB, </w:t>
      </w:r>
      <w:r w:rsidRPr="0063132D">
        <w:rPr>
          <w:rFonts w:ascii="Arial" w:hAnsi="Arial" w:cs="Arial"/>
          <w:i/>
          <w:iCs/>
          <w:noProof/>
          <w:sz w:val="22"/>
          <w:szCs w:val="22"/>
        </w:rPr>
        <w:t>et al.</w:t>
      </w:r>
      <w:r w:rsidRPr="0063132D">
        <w:rPr>
          <w:rFonts w:ascii="Arial" w:hAnsi="Arial" w:cs="Arial"/>
          <w:noProof/>
          <w:sz w:val="22"/>
          <w:szCs w:val="22"/>
        </w:rPr>
        <w:t xml:space="preserve"> (2004): Magnetic Resonance Imaging of Boys With Attention-Deficit/Hyperactivity Disorder and Their Unaffected Siblings. </w:t>
      </w:r>
      <w:r w:rsidRPr="0063132D">
        <w:rPr>
          <w:rFonts w:ascii="Arial" w:hAnsi="Arial" w:cs="Arial"/>
          <w:i/>
          <w:iCs/>
          <w:noProof/>
          <w:sz w:val="22"/>
          <w:szCs w:val="22"/>
        </w:rPr>
        <w:t>J Am Acad Child Adolesc Psychiatry</w:t>
      </w:r>
      <w:r w:rsidRPr="0063132D">
        <w:rPr>
          <w:rFonts w:ascii="Arial" w:hAnsi="Arial" w:cs="Arial"/>
          <w:noProof/>
          <w:sz w:val="22"/>
          <w:szCs w:val="22"/>
        </w:rPr>
        <w:t>. 43: 332–340.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75. McLaughlin KA, Sheridan MA, Winter W, Fox NA, Zeanah CH, Nelson CA (2014): Widespread reductions in cortical thickness following severe early-life deprivation: A neurodevelopmental pathway to attention-deficit/hyperactivity disorder. </w:t>
      </w:r>
      <w:r w:rsidRPr="0063132D">
        <w:rPr>
          <w:rFonts w:ascii="Arial" w:hAnsi="Arial" w:cs="Arial"/>
          <w:i/>
          <w:iCs/>
          <w:noProof/>
          <w:sz w:val="22"/>
          <w:szCs w:val="22"/>
        </w:rPr>
        <w:t>Biol Psychiatry</w:t>
      </w:r>
      <w:r w:rsidRPr="0063132D">
        <w:rPr>
          <w:rFonts w:ascii="Arial" w:hAnsi="Arial" w:cs="Arial"/>
          <w:noProof/>
          <w:sz w:val="22"/>
          <w:szCs w:val="22"/>
        </w:rPr>
        <w:t>. 76: 629–638.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76. Langley K, Rice F, van den Bree MB, Thapar A (2005): Maternal smoking during pregnancy as an environmental risk factor for attention deficit hyperactivity disorder behaviour. A review. </w:t>
      </w:r>
      <w:r w:rsidRPr="0063132D">
        <w:rPr>
          <w:rFonts w:ascii="Arial" w:hAnsi="Arial" w:cs="Arial"/>
          <w:i/>
          <w:iCs/>
          <w:noProof/>
          <w:sz w:val="22"/>
          <w:szCs w:val="22"/>
        </w:rPr>
        <w:t>Minerva Pediatr</w:t>
      </w:r>
      <w:r w:rsidRPr="0063132D">
        <w:rPr>
          <w:rFonts w:ascii="Arial" w:hAnsi="Arial" w:cs="Arial"/>
          <w:noProof/>
          <w:sz w:val="22"/>
          <w:szCs w:val="22"/>
        </w:rPr>
        <w:t>. 57: 359–371.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77. Heinonen K, Räikkönen K, Pesonen A-K, Andersson S, Kajantie E, Eriksson JG, </w:t>
      </w:r>
      <w:r w:rsidRPr="0063132D">
        <w:rPr>
          <w:rFonts w:ascii="Arial" w:hAnsi="Arial" w:cs="Arial"/>
          <w:i/>
          <w:iCs/>
          <w:noProof/>
          <w:sz w:val="22"/>
          <w:szCs w:val="22"/>
        </w:rPr>
        <w:t>et al.</w:t>
      </w:r>
      <w:r w:rsidRPr="0063132D">
        <w:rPr>
          <w:rFonts w:ascii="Arial" w:hAnsi="Arial" w:cs="Arial"/>
          <w:noProof/>
          <w:sz w:val="22"/>
          <w:szCs w:val="22"/>
        </w:rPr>
        <w:t xml:space="preserve"> (2010): Behavioural symptoms of attention deficit/hyperactivity disorder in preterm and term children born small and appropriate for gestational age: a longitudinal study. </w:t>
      </w:r>
      <w:r w:rsidRPr="0063132D">
        <w:rPr>
          <w:rFonts w:ascii="Arial" w:hAnsi="Arial" w:cs="Arial"/>
          <w:i/>
          <w:iCs/>
          <w:noProof/>
          <w:sz w:val="22"/>
          <w:szCs w:val="22"/>
        </w:rPr>
        <w:t>BMC Pediatr</w:t>
      </w:r>
      <w:r w:rsidRPr="0063132D">
        <w:rPr>
          <w:rFonts w:ascii="Arial" w:hAnsi="Arial" w:cs="Arial"/>
          <w:noProof/>
          <w:sz w:val="22"/>
          <w:szCs w:val="22"/>
        </w:rPr>
        <w:t>. 10: 91.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78. Hultman CM, Torrång A, Tuvblad C, Cnattingius S, Larsson J-O, Lichtenstein P (2007): Birth weight and attention-deficit/hyperactivity symptoms in childhood </w:t>
      </w:r>
      <w:r w:rsidRPr="0063132D">
        <w:rPr>
          <w:rFonts w:ascii="Arial" w:hAnsi="Arial" w:cs="Arial"/>
          <w:noProof/>
          <w:sz w:val="22"/>
          <w:szCs w:val="22"/>
        </w:rPr>
        <w:lastRenderedPageBreak/>
        <w:t xml:space="preserve">and early adolescence: a prospective Swedish twin study. </w:t>
      </w:r>
      <w:r w:rsidRPr="0063132D">
        <w:rPr>
          <w:rFonts w:ascii="Arial" w:hAnsi="Arial" w:cs="Arial"/>
          <w:i/>
          <w:iCs/>
          <w:noProof/>
          <w:sz w:val="22"/>
          <w:szCs w:val="22"/>
        </w:rPr>
        <w:t>J Am Acad Child Adolesc Psychiatry</w:t>
      </w:r>
      <w:r w:rsidRPr="0063132D">
        <w:rPr>
          <w:rFonts w:ascii="Arial" w:hAnsi="Arial" w:cs="Arial"/>
          <w:noProof/>
          <w:sz w:val="22"/>
          <w:szCs w:val="22"/>
        </w:rPr>
        <w:t>. 46: 370–377.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79. Mallard EC, Waldvogel HJ, Williams CE, Faull RLM, Gluckman PD (1995): Repeated asphyxia causes loss of striatal projection neurons in the fetal sheep brain. </w:t>
      </w:r>
      <w:r w:rsidRPr="0063132D">
        <w:rPr>
          <w:rFonts w:ascii="Arial" w:hAnsi="Arial" w:cs="Arial"/>
          <w:i/>
          <w:iCs/>
          <w:noProof/>
          <w:sz w:val="22"/>
          <w:szCs w:val="22"/>
        </w:rPr>
        <w:t>Neuroscience</w:t>
      </w:r>
      <w:r w:rsidRPr="0063132D">
        <w:rPr>
          <w:rFonts w:ascii="Arial" w:hAnsi="Arial" w:cs="Arial"/>
          <w:noProof/>
          <w:sz w:val="22"/>
          <w:szCs w:val="22"/>
        </w:rPr>
        <w:t>. 65: 827–836.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80. Stevens LJ, Zentall SS, Deck JL, Abate ML, Watkins BA, Lipp SR, Burgess JR (1995): Essential fatty acid metabolism in boys with attention-deficit hyperactivity disorder. </w:t>
      </w:r>
      <w:r w:rsidRPr="0063132D">
        <w:rPr>
          <w:rFonts w:ascii="Arial" w:hAnsi="Arial" w:cs="Arial"/>
          <w:i/>
          <w:iCs/>
          <w:noProof/>
          <w:sz w:val="22"/>
          <w:szCs w:val="22"/>
        </w:rPr>
        <w:t>Am J Clin Nutr</w:t>
      </w:r>
      <w:r w:rsidRPr="0063132D">
        <w:rPr>
          <w:rFonts w:ascii="Arial" w:hAnsi="Arial" w:cs="Arial"/>
          <w:noProof/>
          <w:sz w:val="22"/>
          <w:szCs w:val="22"/>
        </w:rPr>
        <w:t>. 62: 761–768.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81. Arnold LE, Bozzolo H, Hollway J, Cook A, DiSilvestro R a, Bozzolo DR, </w:t>
      </w:r>
      <w:r w:rsidRPr="0063132D">
        <w:rPr>
          <w:rFonts w:ascii="Arial" w:hAnsi="Arial" w:cs="Arial"/>
          <w:i/>
          <w:iCs/>
          <w:noProof/>
          <w:sz w:val="22"/>
          <w:szCs w:val="22"/>
        </w:rPr>
        <w:t>et al.</w:t>
      </w:r>
      <w:r w:rsidRPr="0063132D">
        <w:rPr>
          <w:rFonts w:ascii="Arial" w:hAnsi="Arial" w:cs="Arial"/>
          <w:noProof/>
          <w:sz w:val="22"/>
          <w:szCs w:val="22"/>
        </w:rPr>
        <w:t xml:space="preserve"> (2005): Serum Zinc Correlates with Parent- and Teacher-Rated Inattention in Children with Attention-Deficit/Hyperactivity Disorder. </w:t>
      </w:r>
      <w:r w:rsidRPr="0063132D">
        <w:rPr>
          <w:rFonts w:ascii="Arial" w:hAnsi="Arial" w:cs="Arial"/>
          <w:i/>
          <w:iCs/>
          <w:noProof/>
          <w:sz w:val="22"/>
          <w:szCs w:val="22"/>
        </w:rPr>
        <w:t>J Child Adolesc Psychopharmacol</w:t>
      </w:r>
      <w:r w:rsidRPr="0063132D">
        <w:rPr>
          <w:rFonts w:ascii="Arial" w:hAnsi="Arial" w:cs="Arial"/>
          <w:noProof/>
          <w:sz w:val="22"/>
          <w:szCs w:val="22"/>
        </w:rPr>
        <w:t>. 15: 628–636.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82. Cortese S, Azoulay R, Castellanos FX, Chalard F, Lecendreux M, Chechin D, </w:t>
      </w:r>
      <w:r w:rsidRPr="0063132D">
        <w:rPr>
          <w:rFonts w:ascii="Arial" w:hAnsi="Arial" w:cs="Arial"/>
          <w:i/>
          <w:iCs/>
          <w:noProof/>
          <w:sz w:val="22"/>
          <w:szCs w:val="22"/>
        </w:rPr>
        <w:t>et al.</w:t>
      </w:r>
      <w:r w:rsidRPr="0063132D">
        <w:rPr>
          <w:rFonts w:ascii="Arial" w:hAnsi="Arial" w:cs="Arial"/>
          <w:noProof/>
          <w:sz w:val="22"/>
          <w:szCs w:val="22"/>
        </w:rPr>
        <w:t xml:space="preserve"> (2012): Brain iron levels in attention-deficit/hyperactivity disorder: a pilot MRI study. </w:t>
      </w:r>
      <w:r w:rsidRPr="0063132D">
        <w:rPr>
          <w:rFonts w:ascii="Arial" w:hAnsi="Arial" w:cs="Arial"/>
          <w:i/>
          <w:iCs/>
          <w:noProof/>
          <w:sz w:val="22"/>
          <w:szCs w:val="22"/>
        </w:rPr>
        <w:t>New York</w:t>
      </w:r>
      <w:r w:rsidRPr="0063132D">
        <w:rPr>
          <w:rFonts w:ascii="Arial" w:hAnsi="Arial" w:cs="Arial"/>
          <w:noProof/>
          <w:sz w:val="22"/>
          <w:szCs w:val="22"/>
        </w:rPr>
        <w:t>. 13: 223–31.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83. E. K, M. L, I. A (2004): Iron deficiency in children with attention-deficit/hyperactivity disorder. </w:t>
      </w:r>
      <w:r w:rsidRPr="0063132D">
        <w:rPr>
          <w:rFonts w:ascii="Arial" w:hAnsi="Arial" w:cs="Arial"/>
          <w:i/>
          <w:iCs/>
          <w:noProof/>
          <w:sz w:val="22"/>
          <w:szCs w:val="22"/>
        </w:rPr>
        <w:t>Arch Pediatr Adolesc Med</w:t>
      </w:r>
      <w:r w:rsidRPr="0063132D">
        <w:rPr>
          <w:rFonts w:ascii="Arial" w:hAnsi="Arial" w:cs="Arial"/>
          <w:noProof/>
          <w:sz w:val="22"/>
          <w:szCs w:val="22"/>
        </w:rPr>
        <w:t>. 158: 1113–1115.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84. Burgess JR, Stevens L, Zhang W, Peck L (2000): Long-chain polyunsaturated fatty acids in children with attention-deficit hyperactivity disorder. </w:t>
      </w:r>
      <w:r w:rsidRPr="0063132D">
        <w:rPr>
          <w:rFonts w:ascii="Arial" w:hAnsi="Arial" w:cs="Arial"/>
          <w:i/>
          <w:iCs/>
          <w:noProof/>
          <w:sz w:val="22"/>
          <w:szCs w:val="22"/>
        </w:rPr>
        <w:t>Am J Clin Nutr</w:t>
      </w:r>
      <w:r w:rsidRPr="0063132D">
        <w:rPr>
          <w:rFonts w:ascii="Arial" w:hAnsi="Arial" w:cs="Arial"/>
          <w:noProof/>
          <w:sz w:val="22"/>
          <w:szCs w:val="22"/>
        </w:rPr>
        <w:t>. 71: 327S–330.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85. Daley D (2006): Attention deficit hyperactivity disorder: a review of the essential facts. </w:t>
      </w:r>
      <w:r w:rsidRPr="0063132D">
        <w:rPr>
          <w:rFonts w:ascii="Arial" w:hAnsi="Arial" w:cs="Arial"/>
          <w:i/>
          <w:iCs/>
          <w:noProof/>
          <w:sz w:val="22"/>
          <w:szCs w:val="22"/>
        </w:rPr>
        <w:t>Child Care Health Dev</w:t>
      </w:r>
      <w:r w:rsidRPr="0063132D">
        <w:rPr>
          <w:rFonts w:ascii="Arial" w:hAnsi="Arial" w:cs="Arial"/>
          <w:noProof/>
          <w:sz w:val="22"/>
          <w:szCs w:val="22"/>
        </w:rPr>
        <w:t>. 32: 193–204.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86. McCann D, Barrett A, Cooper A, Crumpler D, Dalen L, Grimshaw K, </w:t>
      </w:r>
      <w:r w:rsidRPr="0063132D">
        <w:rPr>
          <w:rFonts w:ascii="Arial" w:hAnsi="Arial" w:cs="Arial"/>
          <w:i/>
          <w:iCs/>
          <w:noProof/>
          <w:sz w:val="22"/>
          <w:szCs w:val="22"/>
        </w:rPr>
        <w:t>et al.</w:t>
      </w:r>
      <w:r w:rsidRPr="0063132D">
        <w:rPr>
          <w:rFonts w:ascii="Arial" w:hAnsi="Arial" w:cs="Arial"/>
          <w:noProof/>
          <w:sz w:val="22"/>
          <w:szCs w:val="22"/>
        </w:rPr>
        <w:t xml:space="preserve"> (2007): Food additives and hyperactive behaviour in 3-year-old and 8/9-year-old children in the community: a randomised, double-blinded, placebo-controlled trial. </w:t>
      </w:r>
      <w:r w:rsidRPr="0063132D">
        <w:rPr>
          <w:rFonts w:ascii="Arial" w:hAnsi="Arial" w:cs="Arial"/>
          <w:i/>
          <w:iCs/>
          <w:noProof/>
          <w:sz w:val="22"/>
          <w:szCs w:val="22"/>
        </w:rPr>
        <w:t>Lancet</w:t>
      </w:r>
      <w:r w:rsidRPr="0063132D">
        <w:rPr>
          <w:rFonts w:ascii="Arial" w:hAnsi="Arial" w:cs="Arial"/>
          <w:noProof/>
          <w:sz w:val="22"/>
          <w:szCs w:val="22"/>
        </w:rPr>
        <w:t>. 370: 1560–1567.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87. Schab DW, Trinh N-HT (2004): Do artificial food colors promote hyperactivity in children with hyperactive syndromes? A meta-analysis of double-blind placebo-controlled trials. </w:t>
      </w:r>
      <w:r w:rsidRPr="0063132D">
        <w:rPr>
          <w:rFonts w:ascii="Arial" w:hAnsi="Arial" w:cs="Arial"/>
          <w:i/>
          <w:iCs/>
          <w:noProof/>
          <w:sz w:val="22"/>
          <w:szCs w:val="22"/>
        </w:rPr>
        <w:t>J Dev Behav Pediatr</w:t>
      </w:r>
      <w:r w:rsidRPr="0063132D">
        <w:rPr>
          <w:rFonts w:ascii="Arial" w:hAnsi="Arial" w:cs="Arial"/>
          <w:noProof/>
          <w:sz w:val="22"/>
          <w:szCs w:val="22"/>
        </w:rPr>
        <w:t>. 25: 423–34.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88. Sonuga-Barke EJS, Brandeis D, Cortese S, Daley D, Ferrin M, Holtmann M, </w:t>
      </w:r>
      <w:r w:rsidRPr="0063132D">
        <w:rPr>
          <w:rFonts w:ascii="Arial" w:hAnsi="Arial" w:cs="Arial"/>
          <w:i/>
          <w:iCs/>
          <w:noProof/>
          <w:sz w:val="22"/>
          <w:szCs w:val="22"/>
        </w:rPr>
        <w:t>et al.</w:t>
      </w:r>
      <w:r w:rsidRPr="0063132D">
        <w:rPr>
          <w:rFonts w:ascii="Arial" w:hAnsi="Arial" w:cs="Arial"/>
          <w:noProof/>
          <w:sz w:val="22"/>
          <w:szCs w:val="22"/>
        </w:rPr>
        <w:t xml:space="preserve"> (2013): Nonpharmacological Interventions for ADHD: Systematic Review and Meta-Analyses of Randomized Controlled Trials of Dietary and Psychological Treatments. </w:t>
      </w:r>
      <w:r w:rsidRPr="0063132D">
        <w:rPr>
          <w:rFonts w:ascii="Arial" w:hAnsi="Arial" w:cs="Arial"/>
          <w:i/>
          <w:iCs/>
          <w:noProof/>
          <w:sz w:val="22"/>
          <w:szCs w:val="22"/>
        </w:rPr>
        <w:t>Am J Psychiatry</w:t>
      </w:r>
      <w:r w:rsidRPr="0063132D">
        <w:rPr>
          <w:rFonts w:ascii="Arial" w:hAnsi="Arial" w:cs="Arial"/>
          <w:noProof/>
          <w:sz w:val="22"/>
          <w:szCs w:val="22"/>
        </w:rPr>
        <w:t>. 170: 275–289.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89. Johnston C, Mash EJ (2001): Families of Children With Attention-Deficit/Hyperactivity Disorder: Review and Recommendations for Future Research. </w:t>
      </w:r>
      <w:r w:rsidRPr="0063132D">
        <w:rPr>
          <w:rFonts w:ascii="Arial" w:hAnsi="Arial" w:cs="Arial"/>
          <w:i/>
          <w:iCs/>
          <w:noProof/>
          <w:sz w:val="22"/>
          <w:szCs w:val="22"/>
        </w:rPr>
        <w:t>Clin Child Fam Psychol Rev</w:t>
      </w:r>
      <w:r w:rsidRPr="0063132D">
        <w:rPr>
          <w:rFonts w:ascii="Arial" w:hAnsi="Arial" w:cs="Arial"/>
          <w:noProof/>
          <w:sz w:val="22"/>
          <w:szCs w:val="22"/>
        </w:rPr>
        <w:t>. 4: 183–207.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90. Hinshaw SP (2002): Preadolescent girls with attention-deficit/hyperactivity disorder: I. Background characteristics, comorbidity, cognitive and social functioning, and parenting practices. </w:t>
      </w:r>
      <w:r w:rsidRPr="0063132D">
        <w:rPr>
          <w:rFonts w:ascii="Arial" w:hAnsi="Arial" w:cs="Arial"/>
          <w:i/>
          <w:iCs/>
          <w:noProof/>
          <w:sz w:val="22"/>
          <w:szCs w:val="22"/>
        </w:rPr>
        <w:t>J Consult Clin Psychol</w:t>
      </w:r>
      <w:r w:rsidRPr="0063132D">
        <w:rPr>
          <w:rFonts w:ascii="Arial" w:hAnsi="Arial" w:cs="Arial"/>
          <w:noProof/>
          <w:sz w:val="22"/>
          <w:szCs w:val="22"/>
        </w:rPr>
        <w:t>. 70: 1086–1098.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91. Seipp CM, Johnston C (2005): Mother-son interactions in families of boys with attention-deficit/ hyperactivity disorder with and without oppositional behavior. </w:t>
      </w:r>
      <w:r w:rsidRPr="0063132D">
        <w:rPr>
          <w:rFonts w:ascii="Arial" w:hAnsi="Arial" w:cs="Arial"/>
          <w:i/>
          <w:iCs/>
          <w:noProof/>
          <w:sz w:val="22"/>
          <w:szCs w:val="22"/>
        </w:rPr>
        <w:t>J Abnorm Child Psychol</w:t>
      </w:r>
      <w:r w:rsidRPr="0063132D">
        <w:rPr>
          <w:rFonts w:ascii="Arial" w:hAnsi="Arial" w:cs="Arial"/>
          <w:noProof/>
          <w:sz w:val="22"/>
          <w:szCs w:val="22"/>
        </w:rPr>
        <w:t>. 33: 87–98.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92. Lifford KJ, Harold GT, Thapar A (2007): Parent–Child Relationships and ADHD Symptoms: A Longitudinal Analysis. . doi: 10.1007/s10802-007-9177-5.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93. Keown LJ (2012): Predictors of boys’ ADHD symptoms from early to middle childhood: The role of father-child and mother-child interactions. </w:t>
      </w:r>
      <w:r w:rsidRPr="0063132D">
        <w:rPr>
          <w:rFonts w:ascii="Arial" w:hAnsi="Arial" w:cs="Arial"/>
          <w:i/>
          <w:iCs/>
          <w:noProof/>
          <w:sz w:val="22"/>
          <w:szCs w:val="22"/>
        </w:rPr>
        <w:t>J Abnorm Child Psychol</w:t>
      </w:r>
      <w:r w:rsidRPr="0063132D">
        <w:rPr>
          <w:rFonts w:ascii="Arial" w:hAnsi="Arial" w:cs="Arial"/>
          <w:noProof/>
          <w:sz w:val="22"/>
          <w:szCs w:val="22"/>
        </w:rPr>
        <w:t>. 40: 569–581.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94. Johnston C, Jassy JS (2007): Attention-Deficit/Hyperactivity Disorder and Oppositional/Conduct problems: Links to parent-child interactions. </w:t>
      </w:r>
      <w:r w:rsidRPr="0063132D">
        <w:rPr>
          <w:rFonts w:ascii="Arial" w:hAnsi="Arial" w:cs="Arial"/>
          <w:i/>
          <w:iCs/>
          <w:noProof/>
          <w:sz w:val="22"/>
          <w:szCs w:val="22"/>
        </w:rPr>
        <w:t>J Can Acad Child Adolesc Psychiatry</w:t>
      </w:r>
      <w:r w:rsidRPr="0063132D">
        <w:rPr>
          <w:rFonts w:ascii="Arial" w:hAnsi="Arial" w:cs="Arial"/>
          <w:noProof/>
          <w:sz w:val="22"/>
          <w:szCs w:val="22"/>
        </w:rPr>
        <w:t>. 16: 74–79.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95. Sonuga-Barke EJS, Auerbach J, Campbell SB, Daley D, Thompson M (2005): Varieties of preschool hyperactivity: Multiple pathways from risk to disorder. </w:t>
      </w:r>
      <w:r w:rsidRPr="0063132D">
        <w:rPr>
          <w:rFonts w:ascii="Arial" w:hAnsi="Arial" w:cs="Arial"/>
          <w:i/>
          <w:iCs/>
          <w:noProof/>
          <w:sz w:val="22"/>
          <w:szCs w:val="22"/>
        </w:rPr>
        <w:t>Dev Sci</w:t>
      </w:r>
      <w:r w:rsidRPr="0063132D">
        <w:rPr>
          <w:rFonts w:ascii="Arial" w:hAnsi="Arial" w:cs="Arial"/>
          <w:noProof/>
          <w:sz w:val="22"/>
          <w:szCs w:val="22"/>
        </w:rPr>
        <w:t>. 8: 141–150.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lastRenderedPageBreak/>
        <w:t xml:space="preserve">96. Hughes C, Ensor R (2009): How Do Families Help or Hinder the Emergence of Early Executive Function? </w:t>
      </w:r>
      <w:r w:rsidRPr="0063132D">
        <w:rPr>
          <w:rFonts w:ascii="Arial" w:hAnsi="Arial" w:cs="Arial"/>
          <w:i/>
          <w:iCs/>
          <w:noProof/>
          <w:sz w:val="22"/>
          <w:szCs w:val="22"/>
        </w:rPr>
        <w:t>Soc Interact Dev Exec Funct</w:t>
      </w:r>
      <w:r w:rsidRPr="0063132D">
        <w:rPr>
          <w:rFonts w:ascii="Arial" w:hAnsi="Arial" w:cs="Arial"/>
          <w:noProof/>
          <w:sz w:val="22"/>
          <w:szCs w:val="22"/>
        </w:rPr>
        <w:t>. 123: 35–50.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97. Deault LC (2010): A systematic review of parenting in relation to the development of comorbidities and functional impairments in children with attention-deficit/hyperactivity disorder (ADHD). </w:t>
      </w:r>
      <w:r w:rsidRPr="0063132D">
        <w:rPr>
          <w:rFonts w:ascii="Arial" w:hAnsi="Arial" w:cs="Arial"/>
          <w:i/>
          <w:iCs/>
          <w:noProof/>
          <w:sz w:val="22"/>
          <w:szCs w:val="22"/>
        </w:rPr>
        <w:t>Child Psychiatry Hum Dev</w:t>
      </w:r>
      <w:r w:rsidRPr="0063132D">
        <w:rPr>
          <w:rFonts w:ascii="Arial" w:hAnsi="Arial" w:cs="Arial"/>
          <w:noProof/>
          <w:sz w:val="22"/>
          <w:szCs w:val="22"/>
        </w:rPr>
        <w:t>. 41: 168–92.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98. Johnston C, Mash EJ, Miller N, Ninowski JE (2012): Parenting in adults with attention-deficit/hyperactivity disorder (ADHD). </w:t>
      </w:r>
      <w:r w:rsidRPr="0063132D">
        <w:rPr>
          <w:rFonts w:ascii="Arial" w:hAnsi="Arial" w:cs="Arial"/>
          <w:i/>
          <w:iCs/>
          <w:noProof/>
          <w:sz w:val="22"/>
          <w:szCs w:val="22"/>
        </w:rPr>
        <w:t>Clin Psychol Rev</w:t>
      </w:r>
      <w:r w:rsidRPr="0063132D">
        <w:rPr>
          <w:rFonts w:ascii="Arial" w:hAnsi="Arial" w:cs="Arial"/>
          <w:noProof/>
          <w:sz w:val="22"/>
          <w:szCs w:val="22"/>
        </w:rPr>
        <w:t>. 32: 215–228.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99. Rutter ML, Kreppner JM, O’Connor TG (2001): Specificity and heterogeneity in children’s responses to profound institutional privation. </w:t>
      </w:r>
      <w:r w:rsidRPr="0063132D">
        <w:rPr>
          <w:rFonts w:ascii="Arial" w:hAnsi="Arial" w:cs="Arial"/>
          <w:i/>
          <w:iCs/>
          <w:noProof/>
          <w:sz w:val="22"/>
          <w:szCs w:val="22"/>
        </w:rPr>
        <w:t>Br J Psychiatry</w:t>
      </w:r>
      <w:r w:rsidRPr="0063132D">
        <w:rPr>
          <w:rFonts w:ascii="Arial" w:hAnsi="Arial" w:cs="Arial"/>
          <w:noProof/>
          <w:sz w:val="22"/>
          <w:szCs w:val="22"/>
        </w:rPr>
        <w:t>. 179: 97–103.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100. Rutter M, Moffitt TE, Caspi A (2006): Gene-environment interplay and psychopathology: Multiple varieties but real effects. </w:t>
      </w:r>
      <w:r w:rsidRPr="0063132D">
        <w:rPr>
          <w:rFonts w:ascii="Arial" w:hAnsi="Arial" w:cs="Arial"/>
          <w:i/>
          <w:iCs/>
          <w:noProof/>
          <w:sz w:val="22"/>
          <w:szCs w:val="22"/>
        </w:rPr>
        <w:t>J Child Psychol Psychiatry Allied Discip</w:t>
      </w:r>
      <w:r w:rsidRPr="0063132D">
        <w:rPr>
          <w:rFonts w:ascii="Arial" w:hAnsi="Arial" w:cs="Arial"/>
          <w:noProof/>
          <w:sz w:val="22"/>
          <w:szCs w:val="22"/>
        </w:rPr>
        <w:t>. 47: 226–261.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101. Wermter AK, Laucht M, Schimmelmann BG, Banaschweski T, Sonuga-Barke EJS, Rietschel M, Becker K (2010): From nature versus nurture, via nature and nurture, to gene × environment interaction in mental disorders. </w:t>
      </w:r>
      <w:r w:rsidRPr="0063132D">
        <w:rPr>
          <w:rFonts w:ascii="Arial" w:hAnsi="Arial" w:cs="Arial"/>
          <w:i/>
          <w:iCs/>
          <w:noProof/>
          <w:sz w:val="22"/>
          <w:szCs w:val="22"/>
        </w:rPr>
        <w:t>Eur Child Adolesc Psychiatry</w:t>
      </w:r>
      <w:r w:rsidRPr="0063132D">
        <w:rPr>
          <w:rFonts w:ascii="Arial" w:hAnsi="Arial" w:cs="Arial"/>
          <w:noProof/>
          <w:sz w:val="22"/>
          <w:szCs w:val="22"/>
        </w:rPr>
        <w:t>. 19: 199–210.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102. Pekcanlar Akay A, Ercan ES (2016): </w:t>
      </w:r>
      <w:r w:rsidRPr="0063132D">
        <w:rPr>
          <w:rFonts w:ascii="Arial" w:hAnsi="Arial" w:cs="Arial"/>
          <w:i/>
          <w:iCs/>
          <w:noProof/>
          <w:sz w:val="22"/>
          <w:szCs w:val="22"/>
        </w:rPr>
        <w:t>Çocuk ve Ergen Ruh Sağlığı ve Hastalıkları</w:t>
      </w:r>
      <w:r w:rsidRPr="0063132D">
        <w:rPr>
          <w:rFonts w:ascii="Arial" w:hAnsi="Arial" w:cs="Arial"/>
          <w:noProof/>
          <w:sz w:val="22"/>
          <w:szCs w:val="22"/>
        </w:rPr>
        <w:t xml:space="preserve">. </w:t>
      </w:r>
      <w:r w:rsidRPr="0063132D">
        <w:rPr>
          <w:rFonts w:ascii="Arial" w:hAnsi="Arial" w:cs="Arial"/>
          <w:i/>
          <w:iCs/>
          <w:noProof/>
          <w:sz w:val="22"/>
          <w:szCs w:val="22"/>
        </w:rPr>
        <w:t>Türkiye Çocuk ve Genç Psikiyatr Dernerği Yayın No 9</w:t>
      </w:r>
      <w:r w:rsidRPr="0063132D">
        <w:rPr>
          <w:rFonts w:ascii="Arial" w:hAnsi="Arial" w:cs="Arial"/>
          <w:noProof/>
          <w:sz w:val="22"/>
          <w:szCs w:val="22"/>
        </w:rPr>
        <w:t>. Istanbul.</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103. Ercan E, Amado S, Somer O (2001): Dikkat eksikliği ve hiperaktivite bozukluğu ve yıkıcı davranım bozuklukları için bir test bataryası geliştirme çabası. </w:t>
      </w:r>
      <w:r w:rsidRPr="0063132D">
        <w:rPr>
          <w:rFonts w:ascii="Arial" w:hAnsi="Arial" w:cs="Arial"/>
          <w:i/>
          <w:iCs/>
          <w:noProof/>
          <w:sz w:val="22"/>
          <w:szCs w:val="22"/>
        </w:rPr>
        <w:t>Çocuk ve Gençlik Ruh Sağlığı Derg</w:t>
      </w:r>
      <w:r w:rsidRPr="0063132D">
        <w:rPr>
          <w:rFonts w:ascii="Arial" w:hAnsi="Arial" w:cs="Arial"/>
          <w:noProof/>
          <w:sz w:val="22"/>
          <w:szCs w:val="22"/>
        </w:rPr>
        <w:t>. 8: 132–142.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104. Young S (2015): ADHD Child Evaluation (ACE) Türkçe Çocuklarda DEHB İçin Tanısal Görüşme. . Retrieved from www.psychology-services.uk.com.</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105. Barkley RA (1997): Behavioral inhibition, sustained attention, and executive functions: constructing a unifying theory of ADHD. </w:t>
      </w:r>
      <w:r w:rsidRPr="0063132D">
        <w:rPr>
          <w:rFonts w:ascii="Arial" w:hAnsi="Arial" w:cs="Arial"/>
          <w:i/>
          <w:iCs/>
          <w:noProof/>
          <w:sz w:val="22"/>
          <w:szCs w:val="22"/>
        </w:rPr>
        <w:t>Pb</w:t>
      </w:r>
      <w:r w:rsidRPr="0063132D">
        <w:rPr>
          <w:rFonts w:ascii="Arial" w:hAnsi="Arial" w:cs="Arial"/>
          <w:noProof/>
          <w:sz w:val="22"/>
          <w:szCs w:val="22"/>
        </w:rPr>
        <w:t>. 121: 65–94.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106. Castellanos FX, Tannock R (2002): Neuroscience of attention-deficit/hyperactivity disorder: the search for endophenotypes. </w:t>
      </w:r>
      <w:r w:rsidRPr="0063132D">
        <w:rPr>
          <w:rFonts w:ascii="Arial" w:hAnsi="Arial" w:cs="Arial"/>
          <w:i/>
          <w:iCs/>
          <w:noProof/>
          <w:sz w:val="22"/>
          <w:szCs w:val="22"/>
        </w:rPr>
        <w:t>Nat Rev Neurosci</w:t>
      </w:r>
      <w:r w:rsidRPr="0063132D">
        <w:rPr>
          <w:rFonts w:ascii="Arial" w:hAnsi="Arial" w:cs="Arial"/>
          <w:noProof/>
          <w:sz w:val="22"/>
          <w:szCs w:val="22"/>
        </w:rPr>
        <w:t>. 3: 617–628.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107. Sonuga</w:t>
      </w:r>
      <w:r w:rsidRPr="0063132D">
        <w:rPr>
          <w:rFonts w:ascii="Cambria Math" w:hAnsi="Cambria Math" w:cs="Arial"/>
          <w:noProof/>
          <w:sz w:val="22"/>
          <w:szCs w:val="22"/>
        </w:rPr>
        <w:t>‐</w:t>
      </w:r>
      <w:r w:rsidRPr="0063132D">
        <w:rPr>
          <w:rFonts w:ascii="Arial" w:hAnsi="Arial" w:cs="Arial"/>
          <w:noProof/>
          <w:sz w:val="22"/>
          <w:szCs w:val="22"/>
        </w:rPr>
        <w:t xml:space="preserve">Barke EJS, Taylor E, Sembi S, Smith J (1992): Hyperactivity and Delay Aversion—I. The Effect of Delay on Choice. </w:t>
      </w:r>
      <w:r w:rsidRPr="0063132D">
        <w:rPr>
          <w:rFonts w:ascii="Arial" w:hAnsi="Arial" w:cs="Arial"/>
          <w:i/>
          <w:iCs/>
          <w:noProof/>
          <w:sz w:val="22"/>
          <w:szCs w:val="22"/>
        </w:rPr>
        <w:t>J Child Psychol Psychiatry</w:t>
      </w:r>
      <w:r w:rsidRPr="0063132D">
        <w:rPr>
          <w:rFonts w:ascii="Arial" w:hAnsi="Arial" w:cs="Arial"/>
          <w:noProof/>
          <w:sz w:val="22"/>
          <w:szCs w:val="22"/>
        </w:rPr>
        <w:t>. 33: 387–398.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108. Sonuga-Barke E, Bitsakou P, Thompson M (2010): Beyond the Dual Pathway Model: Evidence for the Dissociation of Timing, Inhibitory, and Delay-Related Impairments in Attention-Deficit/Hyperactivity Disorder. </w:t>
      </w:r>
      <w:r w:rsidRPr="0063132D">
        <w:rPr>
          <w:rFonts w:ascii="Arial" w:hAnsi="Arial" w:cs="Arial"/>
          <w:i/>
          <w:iCs/>
          <w:noProof/>
          <w:sz w:val="22"/>
          <w:szCs w:val="22"/>
        </w:rPr>
        <w:t>J Am Acad Child Adolesc Psychiatry</w:t>
      </w:r>
      <w:r w:rsidRPr="0063132D">
        <w:rPr>
          <w:rFonts w:ascii="Arial" w:hAnsi="Arial" w:cs="Arial"/>
          <w:noProof/>
          <w:sz w:val="22"/>
          <w:szCs w:val="22"/>
        </w:rPr>
        <w:t>. 49: 345–355.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109. Seidman LJ (2006): Neuropsychological functioning in people with ADHD across the lifespan. </w:t>
      </w:r>
      <w:r w:rsidRPr="0063132D">
        <w:rPr>
          <w:rFonts w:ascii="Arial" w:hAnsi="Arial" w:cs="Arial"/>
          <w:i/>
          <w:iCs/>
          <w:noProof/>
          <w:sz w:val="22"/>
          <w:szCs w:val="22"/>
        </w:rPr>
        <w:t>Clin Psychol Rev</w:t>
      </w:r>
      <w:r w:rsidRPr="0063132D">
        <w:rPr>
          <w:rFonts w:ascii="Arial" w:hAnsi="Arial" w:cs="Arial"/>
          <w:noProof/>
          <w:sz w:val="22"/>
          <w:szCs w:val="22"/>
        </w:rPr>
        <w:t>. 26: 466–485.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110. Willcutt EG, Doyle AE, Nigg JT, Faraone… S V (2005): Validity of the executive function theory of attention-deficit/hyperactivity disorder: a meta-analytic review. </w:t>
      </w:r>
      <w:r w:rsidRPr="0063132D">
        <w:rPr>
          <w:rFonts w:ascii="Arial" w:hAnsi="Arial" w:cs="Arial"/>
          <w:i/>
          <w:iCs/>
          <w:noProof/>
          <w:sz w:val="22"/>
          <w:szCs w:val="22"/>
        </w:rPr>
        <w:t>Biol …</w:t>
      </w:r>
      <w:r w:rsidRPr="0063132D">
        <w:rPr>
          <w:rFonts w:ascii="Arial" w:hAnsi="Arial" w:cs="Arial"/>
          <w:noProof/>
          <w:sz w:val="22"/>
          <w:szCs w:val="22"/>
        </w:rPr>
        <w:t>. . Retrieved from http://linkinghub.elsevier.com/retrieve/pii/S000632230500171X.</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111. Cortese S, Kelly C, Chabernaud C, Proal E, Di Martino A, Milham MP, Castellanos FX (2012): Toward systems neuroscience of ADHD: A meta-analysis of 55 fMRI sudies. </w:t>
      </w:r>
      <w:r w:rsidRPr="0063132D">
        <w:rPr>
          <w:rFonts w:ascii="Arial" w:hAnsi="Arial" w:cs="Arial"/>
          <w:i/>
          <w:iCs/>
          <w:noProof/>
          <w:sz w:val="22"/>
          <w:szCs w:val="22"/>
        </w:rPr>
        <w:t>Am J Psychiatry</w:t>
      </w:r>
      <w:r w:rsidRPr="0063132D">
        <w:rPr>
          <w:rFonts w:ascii="Arial" w:hAnsi="Arial" w:cs="Arial"/>
          <w:noProof/>
          <w:sz w:val="22"/>
          <w:szCs w:val="22"/>
        </w:rPr>
        <w:t>. 169: 1038–1055.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112. Coghill DR, Seth S, Matthews K (2014): A comprehensive assessment of memory, delay aversion, timing, inhibition, decision making and variability in attention deficit hyperactivity disorder: advancing beyond the three-pathway models. </w:t>
      </w:r>
      <w:r w:rsidRPr="0063132D">
        <w:rPr>
          <w:rFonts w:ascii="Arial" w:hAnsi="Arial" w:cs="Arial"/>
          <w:i/>
          <w:iCs/>
          <w:noProof/>
          <w:sz w:val="22"/>
          <w:szCs w:val="22"/>
        </w:rPr>
        <w:t>Psychol Med</w:t>
      </w:r>
      <w:r w:rsidRPr="0063132D">
        <w:rPr>
          <w:rFonts w:ascii="Arial" w:hAnsi="Arial" w:cs="Arial"/>
          <w:noProof/>
          <w:sz w:val="22"/>
          <w:szCs w:val="22"/>
        </w:rPr>
        <w:t>. 44: 1989–2001.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113. Toplak ME, Dockstader C, Tannock R (2006): Temporal information processing in ADHD: Findings to date and new methods. </w:t>
      </w:r>
      <w:r w:rsidRPr="0063132D">
        <w:rPr>
          <w:rFonts w:ascii="Arial" w:hAnsi="Arial" w:cs="Arial"/>
          <w:i/>
          <w:iCs/>
          <w:noProof/>
          <w:sz w:val="22"/>
          <w:szCs w:val="22"/>
        </w:rPr>
        <w:t>J Neurosci Methods</w:t>
      </w:r>
      <w:r w:rsidRPr="0063132D">
        <w:rPr>
          <w:rFonts w:ascii="Arial" w:hAnsi="Arial" w:cs="Arial"/>
          <w:noProof/>
          <w:sz w:val="22"/>
          <w:szCs w:val="22"/>
        </w:rPr>
        <w:t>. 151: 15–29.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114. Toplak ME, Tannock R (2005): Time perception: modality and duration effects </w:t>
      </w:r>
      <w:r w:rsidRPr="0063132D">
        <w:rPr>
          <w:rFonts w:ascii="Arial" w:hAnsi="Arial" w:cs="Arial"/>
          <w:noProof/>
          <w:sz w:val="22"/>
          <w:szCs w:val="22"/>
        </w:rPr>
        <w:lastRenderedPageBreak/>
        <w:t xml:space="preserve">in attention-deficit/hyperactivity disorder (ADHD). </w:t>
      </w:r>
      <w:r w:rsidRPr="0063132D">
        <w:rPr>
          <w:rFonts w:ascii="Arial" w:hAnsi="Arial" w:cs="Arial"/>
          <w:i/>
          <w:iCs/>
          <w:noProof/>
          <w:sz w:val="22"/>
          <w:szCs w:val="22"/>
        </w:rPr>
        <w:t>J Abnorm Child Psychol</w:t>
      </w:r>
      <w:r w:rsidRPr="0063132D">
        <w:rPr>
          <w:rFonts w:ascii="Arial" w:hAnsi="Arial" w:cs="Arial"/>
          <w:noProof/>
          <w:sz w:val="22"/>
          <w:szCs w:val="22"/>
        </w:rPr>
        <w:t>. 33: 639–654.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115. Anastopoulos AD, Smith TF, Garrett ME, Morrissey-Kane E, Schatz NK, Sommer JL, </w:t>
      </w:r>
      <w:r w:rsidRPr="0063132D">
        <w:rPr>
          <w:rFonts w:ascii="Arial" w:hAnsi="Arial" w:cs="Arial"/>
          <w:i/>
          <w:iCs/>
          <w:noProof/>
          <w:sz w:val="22"/>
          <w:szCs w:val="22"/>
        </w:rPr>
        <w:t>et al.</w:t>
      </w:r>
      <w:r w:rsidRPr="0063132D">
        <w:rPr>
          <w:rFonts w:ascii="Arial" w:hAnsi="Arial" w:cs="Arial"/>
          <w:noProof/>
          <w:sz w:val="22"/>
          <w:szCs w:val="22"/>
        </w:rPr>
        <w:t xml:space="preserve"> (2012): Self-Regulation of Emotion, Functional Impairment, and Comorbidity Among Children With AD/HD. </w:t>
      </w:r>
      <w:r w:rsidRPr="0063132D">
        <w:rPr>
          <w:rFonts w:ascii="Arial" w:hAnsi="Arial" w:cs="Arial"/>
          <w:i/>
          <w:iCs/>
          <w:noProof/>
          <w:sz w:val="22"/>
          <w:szCs w:val="22"/>
        </w:rPr>
        <w:t>J Atten Disord</w:t>
      </w:r>
      <w:r w:rsidRPr="0063132D">
        <w:rPr>
          <w:rFonts w:ascii="Arial" w:hAnsi="Arial" w:cs="Arial"/>
          <w:noProof/>
          <w:sz w:val="22"/>
          <w:szCs w:val="22"/>
        </w:rPr>
        <w:t>. 15: 583–592.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116. Da Fonseca D, Seguier V, Santos A, Poinso F, Deruelle C (2009): Emotion Understanding in Children with ADHD. </w:t>
      </w:r>
      <w:r w:rsidRPr="0063132D">
        <w:rPr>
          <w:rFonts w:ascii="Arial" w:hAnsi="Arial" w:cs="Arial"/>
          <w:i/>
          <w:iCs/>
          <w:noProof/>
          <w:sz w:val="22"/>
          <w:szCs w:val="22"/>
        </w:rPr>
        <w:t>Child Psychiatry Hum Dev</w:t>
      </w:r>
      <w:r w:rsidRPr="0063132D">
        <w:rPr>
          <w:rFonts w:ascii="Arial" w:hAnsi="Arial" w:cs="Arial"/>
          <w:noProof/>
          <w:sz w:val="22"/>
          <w:szCs w:val="22"/>
        </w:rPr>
        <w:t>. 40: 111–121.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117. Sjöwall D, Roth L, Lindqvist S, Thorell LB (2013): Multiple deficits in ADHD: Executive dysfunction, delay aversion, reaction time variability, and emotional deficits. </w:t>
      </w:r>
      <w:r w:rsidRPr="0063132D">
        <w:rPr>
          <w:rFonts w:ascii="Arial" w:hAnsi="Arial" w:cs="Arial"/>
          <w:i/>
          <w:iCs/>
          <w:noProof/>
          <w:sz w:val="22"/>
          <w:szCs w:val="22"/>
        </w:rPr>
        <w:t>J Child Psychol Psychiatry Allied Discip</w:t>
      </w:r>
      <w:r w:rsidRPr="0063132D">
        <w:rPr>
          <w:rFonts w:ascii="Arial" w:hAnsi="Arial" w:cs="Arial"/>
          <w:noProof/>
          <w:sz w:val="22"/>
          <w:szCs w:val="22"/>
        </w:rPr>
        <w:t>. 54: 619–627.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118. Musser ED, Galloway-Long HS, Frick PJ, Nigg JT (2013): Emotion Regulation and Heterogeneity in Attention-Deficit/Hyperactivity Disorder. </w:t>
      </w:r>
      <w:r w:rsidRPr="0063132D">
        <w:rPr>
          <w:rFonts w:ascii="Arial" w:hAnsi="Arial" w:cs="Arial"/>
          <w:i/>
          <w:iCs/>
          <w:noProof/>
          <w:sz w:val="22"/>
          <w:szCs w:val="22"/>
        </w:rPr>
        <w:t>J Am Acad Child Adolesc Psychiatry</w:t>
      </w:r>
      <w:r w:rsidRPr="0063132D">
        <w:rPr>
          <w:rFonts w:ascii="Arial" w:hAnsi="Arial" w:cs="Arial"/>
          <w:noProof/>
          <w:sz w:val="22"/>
          <w:szCs w:val="22"/>
        </w:rPr>
        <w:t>. 52: 163–171.e2.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119. Martel MM (2009): Research review: a new perspective on attention-deficit/hyperactivity disorder: emotion dysregulation and trait models. </w:t>
      </w:r>
      <w:r w:rsidRPr="0063132D">
        <w:rPr>
          <w:rFonts w:ascii="Arial" w:hAnsi="Arial" w:cs="Arial"/>
          <w:i/>
          <w:iCs/>
          <w:noProof/>
          <w:sz w:val="22"/>
          <w:szCs w:val="22"/>
        </w:rPr>
        <w:t>J Child Psychol Psychiatry</w:t>
      </w:r>
      <w:r w:rsidRPr="0063132D">
        <w:rPr>
          <w:rFonts w:ascii="Arial" w:hAnsi="Arial" w:cs="Arial"/>
          <w:noProof/>
          <w:sz w:val="22"/>
          <w:szCs w:val="22"/>
        </w:rPr>
        <w:t>. 50: 1042–1051.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120. Barkley RA, Fischer M (2010): The Unique Contribution of Emotional Impulsiveness to Impairment in Major Life Activities in Hyperactive Children as Adults. </w:t>
      </w:r>
      <w:r w:rsidRPr="0063132D">
        <w:rPr>
          <w:rFonts w:ascii="Arial" w:hAnsi="Arial" w:cs="Arial"/>
          <w:i/>
          <w:iCs/>
          <w:noProof/>
          <w:sz w:val="22"/>
          <w:szCs w:val="22"/>
        </w:rPr>
        <w:t>J Am Acad Child Adolesc Psychiatry</w:t>
      </w:r>
      <w:r w:rsidRPr="0063132D">
        <w:rPr>
          <w:rFonts w:ascii="Arial" w:hAnsi="Arial" w:cs="Arial"/>
          <w:noProof/>
          <w:sz w:val="22"/>
          <w:szCs w:val="22"/>
        </w:rPr>
        <w:t>. 49: 503–513.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121. Hinshaw SP, Melnick SM (1995): Peer relationships in boys with attention-deficit hyperactivity disorder with and without comorbid aggression. .</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122. Hoza B (2007): Peer functioning in children with ADHD. </w:t>
      </w:r>
      <w:r w:rsidRPr="0063132D">
        <w:rPr>
          <w:rFonts w:ascii="Arial" w:hAnsi="Arial" w:cs="Arial"/>
          <w:i/>
          <w:iCs/>
          <w:noProof/>
          <w:sz w:val="22"/>
          <w:szCs w:val="22"/>
        </w:rPr>
        <w:t>JPediatrPsychol</w:t>
      </w:r>
      <w:r w:rsidRPr="0063132D">
        <w:rPr>
          <w:rFonts w:ascii="Arial" w:hAnsi="Arial" w:cs="Arial"/>
          <w:noProof/>
          <w:sz w:val="22"/>
          <w:szCs w:val="22"/>
        </w:rPr>
        <w:t>. 32: 655–663.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123. Mikami AY, Huang-Pollock CL, Pfiffner LJ, McBurnett K, Hangai D (2007): Social skills differences among Attention-Deficit/Hyperactivity Disorder types in a chat room assessment task. </w:t>
      </w:r>
      <w:r w:rsidRPr="0063132D">
        <w:rPr>
          <w:rFonts w:ascii="Arial" w:hAnsi="Arial" w:cs="Arial"/>
          <w:i/>
          <w:iCs/>
          <w:noProof/>
          <w:sz w:val="22"/>
          <w:szCs w:val="22"/>
        </w:rPr>
        <w:t>J Abnorm Child Psychol</w:t>
      </w:r>
      <w:r w:rsidRPr="0063132D">
        <w:rPr>
          <w:rFonts w:ascii="Arial" w:hAnsi="Arial" w:cs="Arial"/>
          <w:noProof/>
          <w:sz w:val="22"/>
          <w:szCs w:val="22"/>
        </w:rPr>
        <w:t>. 35: 509–521.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124. DuPaul GJ, Weyandt LL, Janusis GM (2011): ADHD in the Classroom: Effective Intervention Strategies. </w:t>
      </w:r>
      <w:r w:rsidRPr="0063132D">
        <w:rPr>
          <w:rFonts w:ascii="Arial" w:hAnsi="Arial" w:cs="Arial"/>
          <w:i/>
          <w:iCs/>
          <w:noProof/>
          <w:sz w:val="22"/>
          <w:szCs w:val="22"/>
        </w:rPr>
        <w:t>Theory Pract</w:t>
      </w:r>
      <w:r w:rsidRPr="0063132D">
        <w:rPr>
          <w:rFonts w:ascii="Arial" w:hAnsi="Arial" w:cs="Arial"/>
          <w:noProof/>
          <w:sz w:val="22"/>
          <w:szCs w:val="22"/>
        </w:rPr>
        <w:t>. 50: 35–42.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125. Barry TD, Lyman RD, Klinger LG (2002): Academic underachievement and attention-deficit / hyperactivity disorder: the negative impact of symptom severity on school performance. </w:t>
      </w:r>
      <w:r w:rsidRPr="0063132D">
        <w:rPr>
          <w:rFonts w:ascii="Arial" w:hAnsi="Arial" w:cs="Arial"/>
          <w:i/>
          <w:iCs/>
          <w:noProof/>
          <w:sz w:val="22"/>
          <w:szCs w:val="22"/>
        </w:rPr>
        <w:t>J Sch Psychol</w:t>
      </w:r>
      <w:r w:rsidRPr="0063132D">
        <w:rPr>
          <w:rFonts w:ascii="Arial" w:hAnsi="Arial" w:cs="Arial"/>
          <w:noProof/>
          <w:sz w:val="22"/>
          <w:szCs w:val="22"/>
        </w:rPr>
        <w:t>. 40: 259–283.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126. Birchwood† DD and J (2010): ADHD and academic performance: why does ADHD impact on academic performance and what can be done to support ADHD children in the classroom? </w:t>
      </w:r>
      <w:r w:rsidRPr="0063132D">
        <w:rPr>
          <w:rFonts w:ascii="Arial" w:hAnsi="Arial" w:cs="Arial"/>
          <w:i/>
          <w:iCs/>
          <w:noProof/>
          <w:sz w:val="22"/>
          <w:szCs w:val="22"/>
        </w:rPr>
        <w:t>Child care, Heal Dev Rev Artic</w:t>
      </w:r>
      <w:r w:rsidRPr="0063132D">
        <w:rPr>
          <w:rFonts w:ascii="Arial" w:hAnsi="Arial" w:cs="Arial"/>
          <w:noProof/>
          <w:sz w:val="22"/>
          <w:szCs w:val="22"/>
        </w:rPr>
        <w:t>. doi:10.111: 1365–2214.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127. Barkley RA, Fischer M, Smallish L, Fletcher K (n.d.): Young Adult Outcome of Hyperactive Children: Adaptive Functioning in Major Life Activities. </w:t>
      </w:r>
      <w:r w:rsidRPr="0063132D">
        <w:rPr>
          <w:rFonts w:ascii="Arial" w:hAnsi="Arial" w:cs="Arial"/>
          <w:i/>
          <w:iCs/>
          <w:noProof/>
          <w:sz w:val="22"/>
          <w:szCs w:val="22"/>
        </w:rPr>
        <w:t>J Am Acad Child Adolesc Psychiatry</w:t>
      </w:r>
      <w:r w:rsidRPr="0063132D">
        <w:rPr>
          <w:rFonts w:ascii="Arial" w:hAnsi="Arial" w:cs="Arial"/>
          <w:noProof/>
          <w:sz w:val="22"/>
          <w:szCs w:val="22"/>
        </w:rPr>
        <w:t>. 45: 192–202.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128. Biederman J, Newcorn J, Sprich S (1991): Comorbidity of Attention Deficit Hyperactivity Disorder. </w:t>
      </w:r>
      <w:r w:rsidRPr="0063132D">
        <w:rPr>
          <w:rFonts w:ascii="Arial" w:hAnsi="Arial" w:cs="Arial"/>
          <w:i/>
          <w:iCs/>
          <w:noProof/>
          <w:sz w:val="22"/>
          <w:szCs w:val="22"/>
        </w:rPr>
        <w:t>Am J Psychiatry</w:t>
      </w:r>
      <w:r w:rsidRPr="0063132D">
        <w:rPr>
          <w:rFonts w:ascii="Arial" w:hAnsi="Arial" w:cs="Arial"/>
          <w:noProof/>
          <w:sz w:val="22"/>
          <w:szCs w:val="22"/>
        </w:rPr>
        <w:t>. . Retrieved from http://focus.psychiatryonline.org/pdfAccess.ashx?url=/data/Journals/AJP/3554/564.pdf.</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129. Faraone S, Biederman J, Monuteaux MC (2002): Further evidence for the diagnostic continuity between child and adolescent ADHD. </w:t>
      </w:r>
      <w:r w:rsidRPr="0063132D">
        <w:rPr>
          <w:rFonts w:ascii="Arial" w:hAnsi="Arial" w:cs="Arial"/>
          <w:i/>
          <w:iCs/>
          <w:noProof/>
          <w:sz w:val="22"/>
          <w:szCs w:val="22"/>
        </w:rPr>
        <w:t>J Atten Disord</w:t>
      </w:r>
      <w:r w:rsidRPr="0063132D">
        <w:rPr>
          <w:rFonts w:ascii="Arial" w:hAnsi="Arial" w:cs="Arial"/>
          <w:noProof/>
          <w:sz w:val="22"/>
          <w:szCs w:val="22"/>
        </w:rPr>
        <w:t>. 6: 5–13.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130. Connor DF, Steeber J, McBurnett K (2010): A review of attention-deficit/hyperactivity disorder complicated by symptoms of oppositional defiant disorder or conduct disorder. </w:t>
      </w:r>
      <w:r w:rsidRPr="0063132D">
        <w:rPr>
          <w:rFonts w:ascii="Arial" w:hAnsi="Arial" w:cs="Arial"/>
          <w:i/>
          <w:iCs/>
          <w:noProof/>
          <w:sz w:val="22"/>
          <w:szCs w:val="22"/>
        </w:rPr>
        <w:t>J Dev Behav Pediatr</w:t>
      </w:r>
      <w:r w:rsidRPr="0063132D">
        <w:rPr>
          <w:rFonts w:ascii="Arial" w:hAnsi="Arial" w:cs="Arial"/>
          <w:noProof/>
          <w:sz w:val="22"/>
          <w:szCs w:val="22"/>
        </w:rPr>
        <w:t>. 31: 427–40.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131. Miguel T. Villodas, Linda J. Pfiffner KM (2012): Prevention of Serious Conduct Problems in Youth with Attention Deficit/Hyperactivity Disorde. </w:t>
      </w:r>
      <w:r w:rsidRPr="0063132D">
        <w:rPr>
          <w:rFonts w:ascii="Arial" w:hAnsi="Arial" w:cs="Arial"/>
          <w:i/>
          <w:iCs/>
          <w:noProof/>
          <w:sz w:val="22"/>
          <w:szCs w:val="22"/>
        </w:rPr>
        <w:t>Narional Inst Heal</w:t>
      </w:r>
      <w:r w:rsidRPr="0063132D">
        <w:rPr>
          <w:rFonts w:ascii="Arial" w:hAnsi="Arial" w:cs="Arial"/>
          <w:noProof/>
          <w:sz w:val="22"/>
          <w:szCs w:val="22"/>
        </w:rPr>
        <w:t>. 12: 1253/1263.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132. Wilens TE, Biederman J, Brown S, Tanguay S, Monuteaux MC, Blake C, </w:t>
      </w:r>
      <w:r w:rsidRPr="0063132D">
        <w:rPr>
          <w:rFonts w:ascii="Arial" w:hAnsi="Arial" w:cs="Arial"/>
          <w:noProof/>
          <w:sz w:val="22"/>
          <w:szCs w:val="22"/>
        </w:rPr>
        <w:lastRenderedPageBreak/>
        <w:t xml:space="preserve">Spencer TJ (2002): Psychiatric comorbidity and functioning in clinically referred preschool children and school-age youths with ADHD. </w:t>
      </w:r>
      <w:r w:rsidRPr="0063132D">
        <w:rPr>
          <w:rFonts w:ascii="Arial" w:hAnsi="Arial" w:cs="Arial"/>
          <w:i/>
          <w:iCs/>
          <w:noProof/>
          <w:sz w:val="22"/>
          <w:szCs w:val="22"/>
        </w:rPr>
        <w:t>J Am Acad Child Adolesc Psychiatry</w:t>
      </w:r>
      <w:r w:rsidRPr="0063132D">
        <w:rPr>
          <w:rFonts w:ascii="Arial" w:hAnsi="Arial" w:cs="Arial"/>
          <w:noProof/>
          <w:sz w:val="22"/>
          <w:szCs w:val="22"/>
        </w:rPr>
        <w:t>. 41: 262–8.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133. Biederman J, Monuteaux MC, Spencer T, Wilens TE, Faraone S V. (2009): Do Stimulants Protect Against Psychiatric Disorders in Youth With ADHD? A 10-Year Follow-up Study. </w:t>
      </w:r>
      <w:r w:rsidRPr="0063132D">
        <w:rPr>
          <w:rFonts w:ascii="Arial" w:hAnsi="Arial" w:cs="Arial"/>
          <w:i/>
          <w:iCs/>
          <w:noProof/>
          <w:sz w:val="22"/>
          <w:szCs w:val="22"/>
        </w:rPr>
        <w:t>Pediatrics</w:t>
      </w:r>
      <w:r w:rsidRPr="0063132D">
        <w:rPr>
          <w:rFonts w:ascii="Arial" w:hAnsi="Arial" w:cs="Arial"/>
          <w:noProof/>
          <w:sz w:val="22"/>
          <w:szCs w:val="22"/>
        </w:rPr>
        <w:t>. 124: 71–78.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134. Jensen PS, Hinshaw SP, Kraemer HC, Lenora N, Newcorn JH, Abikoff HB, </w:t>
      </w:r>
      <w:r w:rsidRPr="0063132D">
        <w:rPr>
          <w:rFonts w:ascii="Arial" w:hAnsi="Arial" w:cs="Arial"/>
          <w:i/>
          <w:iCs/>
          <w:noProof/>
          <w:sz w:val="22"/>
          <w:szCs w:val="22"/>
        </w:rPr>
        <w:t>et al.</w:t>
      </w:r>
      <w:r w:rsidRPr="0063132D">
        <w:rPr>
          <w:rFonts w:ascii="Arial" w:hAnsi="Arial" w:cs="Arial"/>
          <w:noProof/>
          <w:sz w:val="22"/>
          <w:szCs w:val="22"/>
        </w:rPr>
        <w:t xml:space="preserve"> (2001): ADHD comorbidity findings from the MTA study: comparing comorbid subgroups. </w:t>
      </w:r>
      <w:r w:rsidRPr="0063132D">
        <w:rPr>
          <w:rFonts w:ascii="Arial" w:hAnsi="Arial" w:cs="Arial"/>
          <w:i/>
          <w:iCs/>
          <w:noProof/>
          <w:sz w:val="22"/>
          <w:szCs w:val="22"/>
        </w:rPr>
        <w:t>J Am Acad Child Adolesc Psychiatry</w:t>
      </w:r>
      <w:r w:rsidRPr="0063132D">
        <w:rPr>
          <w:rFonts w:ascii="Arial" w:hAnsi="Arial" w:cs="Arial"/>
          <w:noProof/>
          <w:sz w:val="22"/>
          <w:szCs w:val="22"/>
        </w:rPr>
        <w:t>. 40: 147–58.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135. Swain JE, Scahill L, Lombroso PL, King R a, Leckman JF (2007): Tourette syndrome and tic disorders: A decade of progress. </w:t>
      </w:r>
      <w:r w:rsidRPr="0063132D">
        <w:rPr>
          <w:rFonts w:ascii="Arial" w:hAnsi="Arial" w:cs="Arial"/>
          <w:i/>
          <w:iCs/>
          <w:noProof/>
          <w:sz w:val="22"/>
          <w:szCs w:val="22"/>
        </w:rPr>
        <w:t>J Am Acad Child Adolesc Psychiatry</w:t>
      </w:r>
      <w:r w:rsidRPr="0063132D">
        <w:rPr>
          <w:rFonts w:ascii="Arial" w:hAnsi="Arial" w:cs="Arial"/>
          <w:noProof/>
          <w:sz w:val="22"/>
          <w:szCs w:val="22"/>
        </w:rPr>
        <w:t>. 46: 947–968.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136. Bloch MH, Panza KE, Landeros-Weisenberger A, Leckman J (2009): Meta-analysis : treatment of attention-Deficit/Hyperactivity Disorder in Children with comorbid tic disorders. </w:t>
      </w:r>
      <w:r w:rsidRPr="0063132D">
        <w:rPr>
          <w:rFonts w:ascii="Arial" w:hAnsi="Arial" w:cs="Arial"/>
          <w:i/>
          <w:iCs/>
          <w:noProof/>
          <w:sz w:val="22"/>
          <w:szCs w:val="22"/>
        </w:rPr>
        <w:t>J Am Acad Child Adolesc Psychiatry</w:t>
      </w:r>
      <w:r w:rsidRPr="0063132D">
        <w:rPr>
          <w:rFonts w:ascii="Arial" w:hAnsi="Arial" w:cs="Arial"/>
          <w:noProof/>
          <w:sz w:val="22"/>
          <w:szCs w:val="22"/>
        </w:rPr>
        <w:t>. 48: 884–893.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137. Debes NMMM, Hjalgrim H, Skov L (2010): The presence of attention-deficit hyperactivity disorder (ADHD) and obsessive-compulsive disorder worsen psychosocial and educational problems in Tourette syndrome. </w:t>
      </w:r>
      <w:r w:rsidRPr="0063132D">
        <w:rPr>
          <w:rFonts w:ascii="Arial" w:hAnsi="Arial" w:cs="Arial"/>
          <w:i/>
          <w:iCs/>
          <w:noProof/>
          <w:sz w:val="22"/>
          <w:szCs w:val="22"/>
        </w:rPr>
        <w:t>J Child Neurol</w:t>
      </w:r>
      <w:r w:rsidRPr="0063132D">
        <w:rPr>
          <w:rFonts w:ascii="Arial" w:hAnsi="Arial" w:cs="Arial"/>
          <w:noProof/>
          <w:sz w:val="22"/>
          <w:szCs w:val="22"/>
        </w:rPr>
        <w:t>. 25: 171–181.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138. van Emmerik-van Oortmerssen K, van de Glind G, van den Brink W, Smit F, Crunelle CL, Swets M, Schoevers RA (2012): Prevalence of attention-deficit hyperactivity disorder in substance use disorder patients: a meta-analysis and meta-regression analysis. </w:t>
      </w:r>
      <w:r w:rsidRPr="0063132D">
        <w:rPr>
          <w:rFonts w:ascii="Arial" w:hAnsi="Arial" w:cs="Arial"/>
          <w:i/>
          <w:iCs/>
          <w:noProof/>
          <w:sz w:val="22"/>
          <w:szCs w:val="22"/>
        </w:rPr>
        <w:t>Drug Alcohol Depend</w:t>
      </w:r>
      <w:r w:rsidRPr="0063132D">
        <w:rPr>
          <w:rFonts w:ascii="Arial" w:hAnsi="Arial" w:cs="Arial"/>
          <w:noProof/>
          <w:sz w:val="22"/>
          <w:szCs w:val="22"/>
        </w:rPr>
        <w:t>. 122: 11–19.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139. Lee SS, Humphreys KL, Flory K, Liu R, Glass K (2011): Prospective association of childhood attention-deficit/hyperactivity disorder (ADHD) and substance use and abuse/dependence: A meta-analytic review. </w:t>
      </w:r>
      <w:r w:rsidRPr="0063132D">
        <w:rPr>
          <w:rFonts w:ascii="Arial" w:hAnsi="Arial" w:cs="Arial"/>
          <w:i/>
          <w:iCs/>
          <w:noProof/>
          <w:sz w:val="22"/>
          <w:szCs w:val="22"/>
        </w:rPr>
        <w:t>Clin Psychol Rev</w:t>
      </w:r>
      <w:r w:rsidRPr="0063132D">
        <w:rPr>
          <w:rFonts w:ascii="Arial" w:hAnsi="Arial" w:cs="Arial"/>
          <w:noProof/>
          <w:sz w:val="22"/>
          <w:szCs w:val="22"/>
        </w:rPr>
        <w:t>. 31: 328–341.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140. Szobot CM, Rohde LA, Bukstein O, Molina BS, Martins C, Ruaro P, Pechansky F (2007): Is attention-deficit/hyperactivity disorder associated with illicit substance use disorders in male adolescents? A community-based case-control study. </w:t>
      </w:r>
      <w:r w:rsidRPr="0063132D">
        <w:rPr>
          <w:rFonts w:ascii="Arial" w:hAnsi="Arial" w:cs="Arial"/>
          <w:i/>
          <w:iCs/>
          <w:noProof/>
          <w:sz w:val="22"/>
          <w:szCs w:val="22"/>
        </w:rPr>
        <w:t>Addiction</w:t>
      </w:r>
      <w:r w:rsidRPr="0063132D">
        <w:rPr>
          <w:rFonts w:ascii="Arial" w:hAnsi="Arial" w:cs="Arial"/>
          <w:noProof/>
          <w:sz w:val="22"/>
          <w:szCs w:val="22"/>
        </w:rPr>
        <w:t>. 102: 1122–1130.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141. Wilens TE, Faraone S V., Biederman J, Gunawardene S (2003): Does Stimulant Therapy of Attention-Deficit/Hyperactivity Disorder Beget Later Substance Abuse? A Meta-analytic Review of the Literature. </w:t>
      </w:r>
      <w:r w:rsidRPr="0063132D">
        <w:rPr>
          <w:rFonts w:ascii="Arial" w:hAnsi="Arial" w:cs="Arial"/>
          <w:i/>
          <w:iCs/>
          <w:noProof/>
          <w:sz w:val="22"/>
          <w:szCs w:val="22"/>
        </w:rPr>
        <w:t>Pediatrics</w:t>
      </w:r>
      <w:r w:rsidRPr="0063132D">
        <w:rPr>
          <w:rFonts w:ascii="Arial" w:hAnsi="Arial" w:cs="Arial"/>
          <w:noProof/>
          <w:sz w:val="22"/>
          <w:szCs w:val="22"/>
        </w:rPr>
        <w:t>. 111: 179–185.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142. Buitelaar J, Medori R (2010): Treating attention-deficit/hyperactivity disorder beyond symptom control alone in children and adolescents: a review of the potential benefits of long-acting stimulants. </w:t>
      </w:r>
      <w:r w:rsidRPr="0063132D">
        <w:rPr>
          <w:rFonts w:ascii="Arial" w:hAnsi="Arial" w:cs="Arial"/>
          <w:i/>
          <w:iCs/>
          <w:noProof/>
          <w:sz w:val="22"/>
          <w:szCs w:val="22"/>
        </w:rPr>
        <w:t>Eur Child Adolesc Psychiatry</w:t>
      </w:r>
      <w:r w:rsidRPr="0063132D">
        <w:rPr>
          <w:rFonts w:ascii="Arial" w:hAnsi="Arial" w:cs="Arial"/>
          <w:noProof/>
          <w:sz w:val="22"/>
          <w:szCs w:val="22"/>
        </w:rPr>
        <w:t>. 19: 325–340.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143. Coghill D, Banaschewski T, Lecendreux M, Soutullo C, Johnson M, Zuddas A, </w:t>
      </w:r>
      <w:r w:rsidRPr="0063132D">
        <w:rPr>
          <w:rFonts w:ascii="Arial" w:hAnsi="Arial" w:cs="Arial"/>
          <w:i/>
          <w:iCs/>
          <w:noProof/>
          <w:sz w:val="22"/>
          <w:szCs w:val="22"/>
        </w:rPr>
        <w:t>et al.</w:t>
      </w:r>
      <w:r w:rsidRPr="0063132D">
        <w:rPr>
          <w:rFonts w:ascii="Arial" w:hAnsi="Arial" w:cs="Arial"/>
          <w:noProof/>
          <w:sz w:val="22"/>
          <w:szCs w:val="22"/>
        </w:rPr>
        <w:t xml:space="preserve"> (2013): European, randomized, phase 3 study of lisdexamfetamine dimesylate in children and adolescents with attention-deficit/hyperactivity disorder. </w:t>
      </w:r>
      <w:r w:rsidRPr="0063132D">
        <w:rPr>
          <w:rFonts w:ascii="Arial" w:hAnsi="Arial" w:cs="Arial"/>
          <w:i/>
          <w:iCs/>
          <w:noProof/>
          <w:sz w:val="22"/>
          <w:szCs w:val="22"/>
        </w:rPr>
        <w:t>Eur Neuropsychopharmacol</w:t>
      </w:r>
      <w:r w:rsidRPr="0063132D">
        <w:rPr>
          <w:rFonts w:ascii="Arial" w:hAnsi="Arial" w:cs="Arial"/>
          <w:noProof/>
          <w:sz w:val="22"/>
          <w:szCs w:val="22"/>
        </w:rPr>
        <w:t>. 23: 1208–1218.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144. Hanwella R, Senanayake M, de Silva V (2011): Comparative efficacy and acceptability of methylphenidate and atomoxetine in treatment of attention deficit hyperactivity disorder in children and adolescents: A meta-analysis. </w:t>
      </w:r>
      <w:r w:rsidRPr="0063132D">
        <w:rPr>
          <w:rFonts w:ascii="Arial" w:hAnsi="Arial" w:cs="Arial"/>
          <w:i/>
          <w:iCs/>
          <w:noProof/>
          <w:sz w:val="22"/>
          <w:szCs w:val="22"/>
        </w:rPr>
        <w:t>BMC Pychiatry</w:t>
      </w:r>
      <w:r w:rsidRPr="0063132D">
        <w:rPr>
          <w:rFonts w:ascii="Arial" w:hAnsi="Arial" w:cs="Arial"/>
          <w:noProof/>
          <w:sz w:val="22"/>
          <w:szCs w:val="22"/>
        </w:rPr>
        <w:t>. 11: 1–8.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145. Cortese S, Holtmann M, Banaschewski T, Buitelaar J, Coghill D, Danckaerts M, </w:t>
      </w:r>
      <w:r w:rsidRPr="0063132D">
        <w:rPr>
          <w:rFonts w:ascii="Arial" w:hAnsi="Arial" w:cs="Arial"/>
          <w:i/>
          <w:iCs/>
          <w:noProof/>
          <w:sz w:val="22"/>
          <w:szCs w:val="22"/>
        </w:rPr>
        <w:t>et al.</w:t>
      </w:r>
      <w:r w:rsidRPr="0063132D">
        <w:rPr>
          <w:rFonts w:ascii="Arial" w:hAnsi="Arial" w:cs="Arial"/>
          <w:noProof/>
          <w:sz w:val="22"/>
          <w:szCs w:val="22"/>
        </w:rPr>
        <w:t xml:space="preserve"> (2013): Practitioner review: current best practice in the management of adverse events during treatment with ADHD medications in children and adolescents. </w:t>
      </w:r>
      <w:r w:rsidRPr="0063132D">
        <w:rPr>
          <w:rFonts w:ascii="Arial" w:hAnsi="Arial" w:cs="Arial"/>
          <w:i/>
          <w:iCs/>
          <w:noProof/>
          <w:sz w:val="22"/>
          <w:szCs w:val="22"/>
        </w:rPr>
        <w:t>J Child Psychol Psychiatry</w:t>
      </w:r>
      <w:r w:rsidRPr="0063132D">
        <w:rPr>
          <w:rFonts w:ascii="Arial" w:hAnsi="Arial" w:cs="Arial"/>
          <w:noProof/>
          <w:sz w:val="22"/>
          <w:szCs w:val="22"/>
        </w:rPr>
        <w:t>. 54: 227–46.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146. Adler LD, Nierenberg AA (2010): Review of Medication Adherence in Children and Adults with ADHD. 122: 184–191.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lastRenderedPageBreak/>
        <w:t xml:space="preserve">147. Antshel KM, Hargrave TM, Simonescu M, Kaul P, Hendricks K, Faraone S V (2011): Advances in understanding and treating ADHD. </w:t>
      </w:r>
      <w:r w:rsidRPr="0063132D">
        <w:rPr>
          <w:rFonts w:ascii="Arial" w:hAnsi="Arial" w:cs="Arial"/>
          <w:i/>
          <w:iCs/>
          <w:noProof/>
          <w:sz w:val="22"/>
          <w:szCs w:val="22"/>
        </w:rPr>
        <w:t>BMC Med</w:t>
      </w:r>
      <w:r w:rsidRPr="0063132D">
        <w:rPr>
          <w:rFonts w:ascii="Arial" w:hAnsi="Arial" w:cs="Arial"/>
          <w:noProof/>
          <w:sz w:val="22"/>
          <w:szCs w:val="22"/>
        </w:rPr>
        <w:t>. 9: 72.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148. Daley D, Jones K, Hutchings J, Thompson M (2009): Attention deficit hyperactivity disorder in pre-school children: current findings, recommended interventions and future directions. </w:t>
      </w:r>
      <w:r w:rsidRPr="0063132D">
        <w:rPr>
          <w:rFonts w:ascii="Arial" w:hAnsi="Arial" w:cs="Arial"/>
          <w:i/>
          <w:iCs/>
          <w:noProof/>
          <w:sz w:val="22"/>
          <w:szCs w:val="22"/>
        </w:rPr>
        <w:t>Child Care Heal Dev</w:t>
      </w:r>
      <w:r w:rsidRPr="0063132D">
        <w:rPr>
          <w:rFonts w:ascii="Arial" w:hAnsi="Arial" w:cs="Arial"/>
          <w:noProof/>
          <w:sz w:val="22"/>
          <w:szCs w:val="22"/>
        </w:rPr>
        <w:t>. 35: 754–766.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149. Fabiano GA, Pelham WE, Coles EK, Gnagy EM, Chronis-Tuscano A, O’Connor BC (2009): A meta-analysis of behavioral treatments for attention-deficit/hyperactivity disorder. </w:t>
      </w:r>
      <w:r w:rsidRPr="0063132D">
        <w:rPr>
          <w:rFonts w:ascii="Arial" w:hAnsi="Arial" w:cs="Arial"/>
          <w:i/>
          <w:iCs/>
          <w:noProof/>
          <w:sz w:val="22"/>
          <w:szCs w:val="22"/>
        </w:rPr>
        <w:t>Clin Psychol Rev</w:t>
      </w:r>
      <w:r w:rsidRPr="0063132D">
        <w:rPr>
          <w:rFonts w:ascii="Arial" w:hAnsi="Arial" w:cs="Arial"/>
          <w:noProof/>
          <w:sz w:val="22"/>
          <w:szCs w:val="22"/>
        </w:rPr>
        <w:t>. 29: 129–140.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150. Chronis AM, Jones HA, Raggi VL (2006): Evidence-based psychosocial treatments for children and adolescents with attention-deficitlhyperactivity disorder. </w:t>
      </w:r>
      <w:r w:rsidRPr="0063132D">
        <w:rPr>
          <w:rFonts w:ascii="Arial" w:hAnsi="Arial" w:cs="Arial"/>
          <w:i/>
          <w:iCs/>
          <w:noProof/>
          <w:sz w:val="22"/>
          <w:szCs w:val="22"/>
        </w:rPr>
        <w:t>Clin Psychol Rev</w:t>
      </w:r>
      <w:r w:rsidRPr="0063132D">
        <w:rPr>
          <w:rFonts w:ascii="Arial" w:hAnsi="Arial" w:cs="Arial"/>
          <w:noProof/>
          <w:sz w:val="22"/>
          <w:szCs w:val="22"/>
        </w:rPr>
        <w:t>. 26: 486–502.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151. Toplak ME, Connors L, Shuster J, Knezevic B, Parks S (2008): Review of cognitive, cognitive-behavioral, and neural-based interventions for Attention-Deficit/Hyperactivity Disorder (ADHD). </w:t>
      </w:r>
      <w:r w:rsidRPr="0063132D">
        <w:rPr>
          <w:rFonts w:ascii="Arial" w:hAnsi="Arial" w:cs="Arial"/>
          <w:i/>
          <w:iCs/>
          <w:noProof/>
          <w:sz w:val="22"/>
          <w:szCs w:val="22"/>
        </w:rPr>
        <w:t>Clin Psychol Rev</w:t>
      </w:r>
      <w:r w:rsidRPr="0063132D">
        <w:rPr>
          <w:rFonts w:ascii="Arial" w:hAnsi="Arial" w:cs="Arial"/>
          <w:noProof/>
          <w:sz w:val="22"/>
          <w:szCs w:val="22"/>
        </w:rPr>
        <w:t>. 28: 801–823.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152. Storebø OJ, Skoog M, Damm D, Thomsen PH, Simonsen E, Gluud C (2011): Social skills training for Attention Deficit Hyperactivity Disorder (ADHD) in children aged 5 to 18 years. </w:t>
      </w:r>
      <w:r w:rsidRPr="0063132D">
        <w:rPr>
          <w:rFonts w:ascii="Arial" w:hAnsi="Arial" w:cs="Arial"/>
          <w:i/>
          <w:iCs/>
          <w:noProof/>
          <w:sz w:val="22"/>
          <w:szCs w:val="22"/>
        </w:rPr>
        <w:t>Cochrane Database Syst Rev</w:t>
      </w:r>
      <w:r w:rsidRPr="0063132D">
        <w:rPr>
          <w:rFonts w:ascii="Arial" w:hAnsi="Arial" w:cs="Arial"/>
          <w:noProof/>
          <w:sz w:val="22"/>
          <w:szCs w:val="22"/>
        </w:rPr>
        <w:t>. . Retrieved from http://search.ebscohost.com/login.aspx?direct=true&amp;db=cin20&amp;AN=2011413633&amp;lang=de&amp;site=ehost-live.</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153. Bloch MH, Qawasmi A (2011): Omega-3 fatty acid supplementation for the treatment of children with attention-deficit/hyperactivity disorder symptomatology: systematic review and meta-analysis. </w:t>
      </w:r>
      <w:r w:rsidRPr="0063132D">
        <w:rPr>
          <w:rFonts w:ascii="Arial" w:hAnsi="Arial" w:cs="Arial"/>
          <w:i/>
          <w:iCs/>
          <w:noProof/>
          <w:sz w:val="22"/>
          <w:szCs w:val="22"/>
        </w:rPr>
        <w:t>J Am Acad Child Adolesc Psychiatry</w:t>
      </w:r>
      <w:r w:rsidRPr="0063132D">
        <w:rPr>
          <w:rFonts w:ascii="Arial" w:hAnsi="Arial" w:cs="Arial"/>
          <w:noProof/>
          <w:sz w:val="22"/>
          <w:szCs w:val="22"/>
        </w:rPr>
        <w:t>. 50: 991–1000.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154. Nigg JT, Lewis K, Edinger T, Falk M (2012): Meta-analysis of attention-deficit/hyperactivity disorder or attention-deficit/hyperactivity disorder symptoms, restriction diet, and synthetic food color additives. </w:t>
      </w:r>
      <w:r w:rsidRPr="0063132D">
        <w:rPr>
          <w:rFonts w:ascii="Arial" w:hAnsi="Arial" w:cs="Arial"/>
          <w:i/>
          <w:iCs/>
          <w:noProof/>
          <w:sz w:val="22"/>
          <w:szCs w:val="22"/>
        </w:rPr>
        <w:t>J Am Acad Child Adolesc Psychiatry</w:t>
      </w:r>
      <w:r w:rsidRPr="0063132D">
        <w:rPr>
          <w:rFonts w:ascii="Arial" w:hAnsi="Arial" w:cs="Arial"/>
          <w:noProof/>
          <w:sz w:val="22"/>
          <w:szCs w:val="22"/>
        </w:rPr>
        <w:t>. 51. doi: 10.1016/j.jaac.2011.10.015.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155. Li Z, Chang S hua, Zhang L yan, Gao L, Wang J (2014): Molecular genetic studies of ADHD and its candidate genes: A review. </w:t>
      </w:r>
      <w:r w:rsidRPr="0063132D">
        <w:rPr>
          <w:rFonts w:ascii="Arial" w:hAnsi="Arial" w:cs="Arial"/>
          <w:i/>
          <w:iCs/>
          <w:noProof/>
          <w:sz w:val="22"/>
          <w:szCs w:val="22"/>
        </w:rPr>
        <w:t>Psychiatry Res</w:t>
      </w:r>
      <w:r w:rsidRPr="0063132D">
        <w:rPr>
          <w:rFonts w:ascii="Arial" w:hAnsi="Arial" w:cs="Arial"/>
          <w:noProof/>
          <w:sz w:val="22"/>
          <w:szCs w:val="22"/>
        </w:rPr>
        <w:t>. 219: 10–24.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156. Ogdie MN, Fisher SE, Yang M, Ishii J, Francks C, Loo SK, </w:t>
      </w:r>
      <w:r w:rsidRPr="0063132D">
        <w:rPr>
          <w:rFonts w:ascii="Arial" w:hAnsi="Arial" w:cs="Arial"/>
          <w:i/>
          <w:iCs/>
          <w:noProof/>
          <w:sz w:val="22"/>
          <w:szCs w:val="22"/>
        </w:rPr>
        <w:t>et al.</w:t>
      </w:r>
      <w:r w:rsidRPr="0063132D">
        <w:rPr>
          <w:rFonts w:ascii="Arial" w:hAnsi="Arial" w:cs="Arial"/>
          <w:noProof/>
          <w:sz w:val="22"/>
          <w:szCs w:val="22"/>
        </w:rPr>
        <w:t xml:space="preserve"> (2004): Attention deficit hyperactivity disorder: fine mapping supports linkage to 5p13, 6q12, 16p13, and 17p11. </w:t>
      </w:r>
      <w:r w:rsidRPr="0063132D">
        <w:rPr>
          <w:rFonts w:ascii="Arial" w:hAnsi="Arial" w:cs="Arial"/>
          <w:i/>
          <w:iCs/>
          <w:noProof/>
          <w:sz w:val="22"/>
          <w:szCs w:val="22"/>
        </w:rPr>
        <w:t>Am J Hum Genet</w:t>
      </w:r>
      <w:r w:rsidRPr="0063132D">
        <w:rPr>
          <w:rFonts w:ascii="Arial" w:hAnsi="Arial" w:cs="Arial"/>
          <w:noProof/>
          <w:sz w:val="22"/>
          <w:szCs w:val="22"/>
        </w:rPr>
        <w:t>. 75: 661–8.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157. Zhou K, Dempfle A, Arcos-Burgos M, Bakker SC, Banaschewski T, Biederman J, </w:t>
      </w:r>
      <w:r w:rsidRPr="0063132D">
        <w:rPr>
          <w:rFonts w:ascii="Arial" w:hAnsi="Arial" w:cs="Arial"/>
          <w:i/>
          <w:iCs/>
          <w:noProof/>
          <w:sz w:val="22"/>
          <w:szCs w:val="22"/>
        </w:rPr>
        <w:t>et al.</w:t>
      </w:r>
      <w:r w:rsidRPr="0063132D">
        <w:rPr>
          <w:rFonts w:ascii="Arial" w:hAnsi="Arial" w:cs="Arial"/>
          <w:noProof/>
          <w:sz w:val="22"/>
          <w:szCs w:val="22"/>
        </w:rPr>
        <w:t xml:space="preserve"> (2008): Meta-analysis of genome-wide linkage scans of attention deficit hyperactivity disorder. </w:t>
      </w:r>
      <w:r w:rsidRPr="0063132D">
        <w:rPr>
          <w:rFonts w:ascii="Arial" w:hAnsi="Arial" w:cs="Arial"/>
          <w:i/>
          <w:iCs/>
          <w:noProof/>
          <w:sz w:val="22"/>
          <w:szCs w:val="22"/>
        </w:rPr>
        <w:t>Am J Med Genet Part B Neuropsychiatr Genet</w:t>
      </w:r>
      <w:r w:rsidRPr="0063132D">
        <w:rPr>
          <w:rFonts w:ascii="Arial" w:hAnsi="Arial" w:cs="Arial"/>
          <w:noProof/>
          <w:sz w:val="22"/>
          <w:szCs w:val="22"/>
        </w:rPr>
        <w:t>. 147B: 1392–1398.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158. Faraone SV, Mick E (2010): Molecular Genetics of Attention Deficit Hyperactivity Disorder. </w:t>
      </w:r>
      <w:r w:rsidRPr="0063132D">
        <w:rPr>
          <w:rFonts w:ascii="Arial" w:hAnsi="Arial" w:cs="Arial"/>
          <w:i/>
          <w:iCs/>
          <w:noProof/>
          <w:sz w:val="22"/>
          <w:szCs w:val="22"/>
        </w:rPr>
        <w:t>Psychiatr Clin North Am</w:t>
      </w:r>
      <w:r w:rsidRPr="0063132D">
        <w:rPr>
          <w:rFonts w:ascii="Arial" w:hAnsi="Arial" w:cs="Arial"/>
          <w:noProof/>
          <w:sz w:val="22"/>
          <w:szCs w:val="22"/>
        </w:rPr>
        <w:t>. 33: 159–180.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159. Perry GML, Faraone S V. (n.d.): Molecular genetics of ADHD. In: Adler LA, Spencer TJ, Wilens TE, editors. </w:t>
      </w:r>
      <w:r w:rsidRPr="0063132D">
        <w:rPr>
          <w:rFonts w:ascii="Arial" w:hAnsi="Arial" w:cs="Arial"/>
          <w:i/>
          <w:iCs/>
          <w:noProof/>
          <w:sz w:val="22"/>
          <w:szCs w:val="22"/>
        </w:rPr>
        <w:t>Attention-Deficit Hyperact Disord Adults Child</w:t>
      </w:r>
      <w:r w:rsidRPr="0063132D">
        <w:rPr>
          <w:rFonts w:ascii="Arial" w:hAnsi="Arial" w:cs="Arial"/>
          <w:noProof/>
          <w:sz w:val="22"/>
          <w:szCs w:val="22"/>
        </w:rPr>
        <w:t>. Cambridge: Cambridge University Press, pp 174–197.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160. Li D, Sham PC, Owen MJ, He L (2006): Meta-analysis shows significant association between dopamine system genes and attention deficit hyperactivity disorder (ADHD). </w:t>
      </w:r>
      <w:r w:rsidRPr="0063132D">
        <w:rPr>
          <w:rFonts w:ascii="Arial" w:hAnsi="Arial" w:cs="Arial"/>
          <w:i/>
          <w:iCs/>
          <w:noProof/>
          <w:sz w:val="22"/>
          <w:szCs w:val="22"/>
        </w:rPr>
        <w:t>Hum Mol Genet</w:t>
      </w:r>
      <w:r w:rsidRPr="0063132D">
        <w:rPr>
          <w:rFonts w:ascii="Arial" w:hAnsi="Arial" w:cs="Arial"/>
          <w:noProof/>
          <w:sz w:val="22"/>
          <w:szCs w:val="22"/>
        </w:rPr>
        <w:t>. 15: 2276–2284.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161. Faraone S V, Doyle AE, Mick E, Biederman J (2001): Meta-analysis of the association between the 7-repeat allele of the dopamine D(4) receptor gene and attention deficit hyperactivity disorder. </w:t>
      </w:r>
      <w:r w:rsidRPr="0063132D">
        <w:rPr>
          <w:rFonts w:ascii="Arial" w:hAnsi="Arial" w:cs="Arial"/>
          <w:i/>
          <w:iCs/>
          <w:noProof/>
          <w:sz w:val="22"/>
          <w:szCs w:val="22"/>
        </w:rPr>
        <w:t>Am J Psychiatry</w:t>
      </w:r>
      <w:r w:rsidRPr="0063132D">
        <w:rPr>
          <w:rFonts w:ascii="Arial" w:hAnsi="Arial" w:cs="Arial"/>
          <w:noProof/>
          <w:sz w:val="22"/>
          <w:szCs w:val="22"/>
        </w:rPr>
        <w:t>. 158: 1052–7.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162. Lowe N, Kirley A, Hawi Z, Sham P, Wickham H, Kratochvil CJ, </w:t>
      </w:r>
      <w:r w:rsidRPr="0063132D">
        <w:rPr>
          <w:rFonts w:ascii="Arial" w:hAnsi="Arial" w:cs="Arial"/>
          <w:i/>
          <w:iCs/>
          <w:noProof/>
          <w:sz w:val="22"/>
          <w:szCs w:val="22"/>
        </w:rPr>
        <w:t>et al.</w:t>
      </w:r>
      <w:r w:rsidRPr="0063132D">
        <w:rPr>
          <w:rFonts w:ascii="Arial" w:hAnsi="Arial" w:cs="Arial"/>
          <w:noProof/>
          <w:sz w:val="22"/>
          <w:szCs w:val="22"/>
        </w:rPr>
        <w:t xml:space="preserve"> (2004): Joint analysis of the DRD5 marker concludes association with attention-deficit/hyperactivity disorder confined to the predominantly inattentive and combined subtypes. </w:t>
      </w:r>
      <w:r w:rsidRPr="0063132D">
        <w:rPr>
          <w:rFonts w:ascii="Arial" w:hAnsi="Arial" w:cs="Arial"/>
          <w:i/>
          <w:iCs/>
          <w:noProof/>
          <w:sz w:val="22"/>
          <w:szCs w:val="22"/>
        </w:rPr>
        <w:t>Am J Hum Genet</w:t>
      </w:r>
      <w:r w:rsidRPr="0063132D">
        <w:rPr>
          <w:rFonts w:ascii="Arial" w:hAnsi="Arial" w:cs="Arial"/>
          <w:noProof/>
          <w:sz w:val="22"/>
          <w:szCs w:val="22"/>
        </w:rPr>
        <w:t>. 74: 348–56.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163. Yang B, Chan RCK, Jing J, Li T, Sham P, Chen RYL (2007): A meta-analysis </w:t>
      </w:r>
      <w:r w:rsidRPr="0063132D">
        <w:rPr>
          <w:rFonts w:ascii="Arial" w:hAnsi="Arial" w:cs="Arial"/>
          <w:noProof/>
          <w:sz w:val="22"/>
          <w:szCs w:val="22"/>
        </w:rPr>
        <w:lastRenderedPageBreak/>
        <w:t xml:space="preserve">of association studies between the 10-repeat allele of a VNTR polymorphism in the 3′-UTR of dopamine transporter gene and attention deficit hyperactivity disorder. </w:t>
      </w:r>
      <w:r w:rsidRPr="0063132D">
        <w:rPr>
          <w:rFonts w:ascii="Arial" w:hAnsi="Arial" w:cs="Arial"/>
          <w:i/>
          <w:iCs/>
          <w:noProof/>
          <w:sz w:val="22"/>
          <w:szCs w:val="22"/>
        </w:rPr>
        <w:t>Am J Med Genet Part B Neuropsychiatr Genet</w:t>
      </w:r>
      <w:r w:rsidRPr="0063132D">
        <w:rPr>
          <w:rFonts w:ascii="Arial" w:hAnsi="Arial" w:cs="Arial"/>
          <w:noProof/>
          <w:sz w:val="22"/>
          <w:szCs w:val="22"/>
        </w:rPr>
        <w:t>. 144: 541–550.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164. Purper-Ouakil D, Wohl M, Mouren MC, Verpillat P, Adès J, Gorwood P (2005): Meta-analysis of family-based association studies between the dopamine transporter gene and attention deficit hyperactivity disorder. </w:t>
      </w:r>
      <w:r w:rsidRPr="0063132D">
        <w:rPr>
          <w:rFonts w:ascii="Arial" w:hAnsi="Arial" w:cs="Arial"/>
          <w:i/>
          <w:iCs/>
          <w:noProof/>
          <w:sz w:val="22"/>
          <w:szCs w:val="22"/>
        </w:rPr>
        <w:t>Psychiatr Genet</w:t>
      </w:r>
      <w:r w:rsidRPr="0063132D">
        <w:rPr>
          <w:rFonts w:ascii="Arial" w:hAnsi="Arial" w:cs="Arial"/>
          <w:noProof/>
          <w:sz w:val="22"/>
          <w:szCs w:val="22"/>
        </w:rPr>
        <w:t>. 15: 53–9.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165. Cheuk DK, Wong V (2006): Meta-analysis of association between a catechol-O-methyltransferase gene polymorphism and attention deficit hyperactivity disorder. </w:t>
      </w:r>
      <w:r w:rsidRPr="0063132D">
        <w:rPr>
          <w:rFonts w:ascii="Arial" w:hAnsi="Arial" w:cs="Arial"/>
          <w:i/>
          <w:iCs/>
          <w:noProof/>
          <w:sz w:val="22"/>
          <w:szCs w:val="22"/>
        </w:rPr>
        <w:t>BehavGenet</w:t>
      </w:r>
      <w:r w:rsidRPr="0063132D">
        <w:rPr>
          <w:rFonts w:ascii="Arial" w:hAnsi="Arial" w:cs="Arial"/>
          <w:noProof/>
          <w:sz w:val="22"/>
          <w:szCs w:val="22"/>
        </w:rPr>
        <w:t>. 36: 651–659.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166. Lanau F, Zenner MT, Civelli O, Hartman DS (1997): Epinephrine and norepinephrine act as potent agonists at the recombinant human dopamine D4 receptor. </w:t>
      </w:r>
      <w:r w:rsidRPr="0063132D">
        <w:rPr>
          <w:rFonts w:ascii="Arial" w:hAnsi="Arial" w:cs="Arial"/>
          <w:i/>
          <w:iCs/>
          <w:noProof/>
          <w:sz w:val="22"/>
          <w:szCs w:val="22"/>
        </w:rPr>
        <w:t>J Neurochem</w:t>
      </w:r>
      <w:r w:rsidRPr="0063132D">
        <w:rPr>
          <w:rFonts w:ascii="Arial" w:hAnsi="Arial" w:cs="Arial"/>
          <w:noProof/>
          <w:sz w:val="22"/>
          <w:szCs w:val="22"/>
        </w:rPr>
        <w:t>. 68: 804–812.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167. Faraone S V, Biederman J (1998): Neurobiology of attention-deficit hyperactivity disorder. </w:t>
      </w:r>
      <w:r w:rsidRPr="0063132D">
        <w:rPr>
          <w:rFonts w:ascii="Arial" w:hAnsi="Arial" w:cs="Arial"/>
          <w:i/>
          <w:iCs/>
          <w:noProof/>
          <w:sz w:val="22"/>
          <w:szCs w:val="22"/>
        </w:rPr>
        <w:t>Biol Psychiatry</w:t>
      </w:r>
      <w:r w:rsidRPr="0063132D">
        <w:rPr>
          <w:rFonts w:ascii="Arial" w:hAnsi="Arial" w:cs="Arial"/>
          <w:noProof/>
          <w:sz w:val="22"/>
          <w:szCs w:val="22"/>
        </w:rPr>
        <w:t>. 44: 951–8.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168. Van Tol HHM, Wu CM, Guan H-C, Ohara K, Bunzow JR, Civelli O, </w:t>
      </w:r>
      <w:r w:rsidRPr="0063132D">
        <w:rPr>
          <w:rFonts w:ascii="Arial" w:hAnsi="Arial" w:cs="Arial"/>
          <w:i/>
          <w:iCs/>
          <w:noProof/>
          <w:sz w:val="22"/>
          <w:szCs w:val="22"/>
        </w:rPr>
        <w:t>et al.</w:t>
      </w:r>
      <w:r w:rsidRPr="0063132D">
        <w:rPr>
          <w:rFonts w:ascii="Arial" w:hAnsi="Arial" w:cs="Arial"/>
          <w:noProof/>
          <w:sz w:val="22"/>
          <w:szCs w:val="22"/>
        </w:rPr>
        <w:t xml:space="preserve"> (1992): Multiple dopamine D4 receptor variants in the human population. </w:t>
      </w:r>
      <w:r w:rsidRPr="0063132D">
        <w:rPr>
          <w:rFonts w:ascii="Arial" w:hAnsi="Arial" w:cs="Arial"/>
          <w:i/>
          <w:iCs/>
          <w:noProof/>
          <w:sz w:val="22"/>
          <w:szCs w:val="22"/>
        </w:rPr>
        <w:t>Nature</w:t>
      </w:r>
      <w:r w:rsidRPr="0063132D">
        <w:rPr>
          <w:rFonts w:ascii="Arial" w:hAnsi="Arial" w:cs="Arial"/>
          <w:noProof/>
          <w:sz w:val="22"/>
          <w:szCs w:val="22"/>
        </w:rPr>
        <w:t>. 358.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169. Asghari V, Sanyal S, Buchwaldt S, Paterson A, Jovanovic V, Van Tol HH (1995): Modulation of Intracellular cyclic AMP levels by different human dopamine D4 receptor variants. </w:t>
      </w:r>
      <w:r w:rsidRPr="0063132D">
        <w:rPr>
          <w:rFonts w:ascii="Arial" w:hAnsi="Arial" w:cs="Arial"/>
          <w:i/>
          <w:iCs/>
          <w:noProof/>
          <w:sz w:val="22"/>
          <w:szCs w:val="22"/>
        </w:rPr>
        <w:t>J Neurochem</w:t>
      </w:r>
      <w:r w:rsidRPr="0063132D">
        <w:rPr>
          <w:rFonts w:ascii="Arial" w:hAnsi="Arial" w:cs="Arial"/>
          <w:noProof/>
          <w:sz w:val="22"/>
          <w:szCs w:val="22"/>
        </w:rPr>
        <w:t>. 65: 1157–1165.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170. Todd RD, Huang H, Smalley SL, Nelson SF, Willcutt EG, Pennington BF, </w:t>
      </w:r>
      <w:r w:rsidRPr="0063132D">
        <w:rPr>
          <w:rFonts w:ascii="Arial" w:hAnsi="Arial" w:cs="Arial"/>
          <w:i/>
          <w:iCs/>
          <w:noProof/>
          <w:sz w:val="22"/>
          <w:szCs w:val="22"/>
        </w:rPr>
        <w:t>et al.</w:t>
      </w:r>
      <w:r w:rsidRPr="0063132D">
        <w:rPr>
          <w:rFonts w:ascii="Arial" w:hAnsi="Arial" w:cs="Arial"/>
          <w:noProof/>
          <w:sz w:val="22"/>
          <w:szCs w:val="22"/>
        </w:rPr>
        <w:t xml:space="preserve"> (2005): Collaborative analysis of DRD4 and DAT genotypes in population-defined ADHD subtypes. </w:t>
      </w:r>
      <w:r w:rsidRPr="0063132D">
        <w:rPr>
          <w:rFonts w:ascii="Arial" w:hAnsi="Arial" w:cs="Arial"/>
          <w:i/>
          <w:iCs/>
          <w:noProof/>
          <w:sz w:val="22"/>
          <w:szCs w:val="22"/>
        </w:rPr>
        <w:t>J Child Psychol Psychiatry Allied Discip</w:t>
      </w:r>
      <w:r w:rsidRPr="0063132D">
        <w:rPr>
          <w:rFonts w:ascii="Arial" w:hAnsi="Arial" w:cs="Arial"/>
          <w:noProof/>
          <w:sz w:val="22"/>
          <w:szCs w:val="22"/>
        </w:rPr>
        <w:t>. 46: 1067–1073.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171. Hawi Z, Lowe N, Kirley  a, Gruenhage F, Nöthen M, Greenwood T, </w:t>
      </w:r>
      <w:r w:rsidRPr="0063132D">
        <w:rPr>
          <w:rFonts w:ascii="Arial" w:hAnsi="Arial" w:cs="Arial"/>
          <w:i/>
          <w:iCs/>
          <w:noProof/>
          <w:sz w:val="22"/>
          <w:szCs w:val="22"/>
        </w:rPr>
        <w:t>et al.</w:t>
      </w:r>
      <w:r w:rsidRPr="0063132D">
        <w:rPr>
          <w:rFonts w:ascii="Arial" w:hAnsi="Arial" w:cs="Arial"/>
          <w:noProof/>
          <w:sz w:val="22"/>
          <w:szCs w:val="22"/>
        </w:rPr>
        <w:t xml:space="preserve"> (2003): Linkage disequilibrium mapping at DAT1, DRD5 and DBH narrows the search for ADHD susceptibility alleles at these loci. </w:t>
      </w:r>
      <w:r w:rsidRPr="0063132D">
        <w:rPr>
          <w:rFonts w:ascii="Arial" w:hAnsi="Arial" w:cs="Arial"/>
          <w:i/>
          <w:iCs/>
          <w:noProof/>
          <w:sz w:val="22"/>
          <w:szCs w:val="22"/>
        </w:rPr>
        <w:t>Mol Psychiatry</w:t>
      </w:r>
      <w:r w:rsidRPr="0063132D">
        <w:rPr>
          <w:rFonts w:ascii="Arial" w:hAnsi="Arial" w:cs="Arial"/>
          <w:noProof/>
          <w:sz w:val="22"/>
          <w:szCs w:val="22"/>
        </w:rPr>
        <w:t>. 8: 299–308.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172. Spencer T, Biederman J, Wilens T (2000): Pharmacotherapy of attention deficit hyperactivity disorder. </w:t>
      </w:r>
      <w:r w:rsidRPr="0063132D">
        <w:rPr>
          <w:rFonts w:ascii="Arial" w:hAnsi="Arial" w:cs="Arial"/>
          <w:i/>
          <w:iCs/>
          <w:noProof/>
          <w:sz w:val="22"/>
          <w:szCs w:val="22"/>
        </w:rPr>
        <w:t>Child Adolesc Psychiatr Clin N Am</w:t>
      </w:r>
      <w:r w:rsidRPr="0063132D">
        <w:rPr>
          <w:rFonts w:ascii="Arial" w:hAnsi="Arial" w:cs="Arial"/>
          <w:noProof/>
          <w:sz w:val="22"/>
          <w:szCs w:val="22"/>
        </w:rPr>
        <w:t>. 9: 77–97.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173. Giros B, Jaber M, Jones SR, Wightman RM, Caron MG (1996): Hyperlocomotion and indifference to cocaine and amphetamine in mice lacking the dopamine transporter. </w:t>
      </w:r>
      <w:r w:rsidRPr="0063132D">
        <w:rPr>
          <w:rFonts w:ascii="Arial" w:hAnsi="Arial" w:cs="Arial"/>
          <w:i/>
          <w:iCs/>
          <w:noProof/>
          <w:sz w:val="22"/>
          <w:szCs w:val="22"/>
        </w:rPr>
        <w:t>Nature</w:t>
      </w:r>
      <w:r w:rsidRPr="0063132D">
        <w:rPr>
          <w:rFonts w:ascii="Arial" w:hAnsi="Arial" w:cs="Arial"/>
          <w:noProof/>
          <w:sz w:val="22"/>
          <w:szCs w:val="22"/>
        </w:rPr>
        <w:t>. 379: 606–612.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174. Gainetdinov RR, Wetsel WC, Jones SR, Levin ED, Jaber M, Caron MG (1999): Role of serotonin in the paradoxical calming effect of psychostimulants on hyperactivity. </w:t>
      </w:r>
      <w:r w:rsidRPr="0063132D">
        <w:rPr>
          <w:rFonts w:ascii="Arial" w:hAnsi="Arial" w:cs="Arial"/>
          <w:i/>
          <w:iCs/>
          <w:noProof/>
          <w:sz w:val="22"/>
          <w:szCs w:val="22"/>
        </w:rPr>
        <w:t>Science</w:t>
      </w:r>
      <w:r w:rsidRPr="0063132D">
        <w:rPr>
          <w:rFonts w:ascii="Arial" w:hAnsi="Arial" w:cs="Arial"/>
          <w:noProof/>
          <w:sz w:val="22"/>
          <w:szCs w:val="22"/>
        </w:rPr>
        <w:t>. 283: 397–401.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175. Cook EH, Stein MA, Krasowski MD, Cox NJ, Olkon DM, Kieffer JE, Leventhal BL (1995): Association of attention-deficit disorder and the dopamine transporter gene. </w:t>
      </w:r>
      <w:r w:rsidRPr="0063132D">
        <w:rPr>
          <w:rFonts w:ascii="Arial" w:hAnsi="Arial" w:cs="Arial"/>
          <w:i/>
          <w:iCs/>
          <w:noProof/>
          <w:sz w:val="22"/>
          <w:szCs w:val="22"/>
        </w:rPr>
        <w:t>Am J Hum Genet</w:t>
      </w:r>
      <w:r w:rsidRPr="0063132D">
        <w:rPr>
          <w:rFonts w:ascii="Arial" w:hAnsi="Arial" w:cs="Arial"/>
          <w:noProof/>
          <w:sz w:val="22"/>
          <w:szCs w:val="22"/>
        </w:rPr>
        <w:t>. 56: 993–8.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176. Brookes K-J, Mill J, Guindalini C, Curran S, Xu X, Knight J, </w:t>
      </w:r>
      <w:r w:rsidRPr="0063132D">
        <w:rPr>
          <w:rFonts w:ascii="Arial" w:hAnsi="Arial" w:cs="Arial"/>
          <w:i/>
          <w:iCs/>
          <w:noProof/>
          <w:sz w:val="22"/>
          <w:szCs w:val="22"/>
        </w:rPr>
        <w:t>et al.</w:t>
      </w:r>
      <w:r w:rsidRPr="0063132D">
        <w:rPr>
          <w:rFonts w:ascii="Arial" w:hAnsi="Arial" w:cs="Arial"/>
          <w:noProof/>
          <w:sz w:val="22"/>
          <w:szCs w:val="22"/>
        </w:rPr>
        <w:t xml:space="preserve"> (2006): A common haplotype of the dopamine transporter gene associated with attention-deficit/hyperactivity disorder and interacting with maternal use of alcohol during pregnancy. </w:t>
      </w:r>
      <w:r w:rsidRPr="0063132D">
        <w:rPr>
          <w:rFonts w:ascii="Arial" w:hAnsi="Arial" w:cs="Arial"/>
          <w:i/>
          <w:iCs/>
          <w:noProof/>
          <w:sz w:val="22"/>
          <w:szCs w:val="22"/>
        </w:rPr>
        <w:t>Arch Gen Psychiatry</w:t>
      </w:r>
      <w:r w:rsidRPr="0063132D">
        <w:rPr>
          <w:rFonts w:ascii="Arial" w:hAnsi="Arial" w:cs="Arial"/>
          <w:noProof/>
          <w:sz w:val="22"/>
          <w:szCs w:val="22"/>
        </w:rPr>
        <w:t>. 63: 74–81.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177. Todd RD (1992): Neural development is regulated by classical neurotransmitters: dopamine D2 receptor stimulation enhances neurite outgrowth. </w:t>
      </w:r>
      <w:r w:rsidRPr="0063132D">
        <w:rPr>
          <w:rFonts w:ascii="Arial" w:hAnsi="Arial" w:cs="Arial"/>
          <w:i/>
          <w:iCs/>
          <w:noProof/>
          <w:sz w:val="22"/>
          <w:szCs w:val="22"/>
        </w:rPr>
        <w:t>Biol Psychiatry</w:t>
      </w:r>
      <w:r w:rsidRPr="0063132D">
        <w:rPr>
          <w:rFonts w:ascii="Arial" w:hAnsi="Arial" w:cs="Arial"/>
          <w:noProof/>
          <w:sz w:val="22"/>
          <w:szCs w:val="22"/>
        </w:rPr>
        <w:t>. 31: 794–807.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178. Neuman RJ, Lobos E, Reich W, Henderson CA, Sun LW, Todd RD (2007): Prenatal Smoking Exposure and Dopaminergic Genotypes Interact to Cause a Severe ADHD Subtype. </w:t>
      </w:r>
      <w:r w:rsidRPr="0063132D">
        <w:rPr>
          <w:rFonts w:ascii="Arial" w:hAnsi="Arial" w:cs="Arial"/>
          <w:i/>
          <w:iCs/>
          <w:noProof/>
          <w:sz w:val="22"/>
          <w:szCs w:val="22"/>
        </w:rPr>
        <w:t>Biol Psychiatry</w:t>
      </w:r>
      <w:r w:rsidRPr="0063132D">
        <w:rPr>
          <w:rFonts w:ascii="Arial" w:hAnsi="Arial" w:cs="Arial"/>
          <w:noProof/>
          <w:sz w:val="22"/>
          <w:szCs w:val="22"/>
        </w:rPr>
        <w:t>. 61: 1320–1328.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179. Laucht M, Skowronek MH, Becker K, Schmidt MH, Esser G, Schulze TG, Rietschel M (2007): Interacting effects of the dopamine transporter gene and psychosocial adversity on attention-deficit/hyperactivity disorder symptoms among 15-year-olds from a high-risk community sample. </w:t>
      </w:r>
      <w:r w:rsidRPr="0063132D">
        <w:rPr>
          <w:rFonts w:ascii="Arial" w:hAnsi="Arial" w:cs="Arial"/>
          <w:i/>
          <w:iCs/>
          <w:noProof/>
          <w:sz w:val="22"/>
          <w:szCs w:val="22"/>
        </w:rPr>
        <w:t>Arch Gen Psychiatry</w:t>
      </w:r>
      <w:r w:rsidRPr="0063132D">
        <w:rPr>
          <w:rFonts w:ascii="Arial" w:hAnsi="Arial" w:cs="Arial"/>
          <w:noProof/>
          <w:sz w:val="22"/>
          <w:szCs w:val="22"/>
        </w:rPr>
        <w:t xml:space="preserve">. </w:t>
      </w:r>
      <w:r w:rsidRPr="0063132D">
        <w:rPr>
          <w:rFonts w:ascii="Arial" w:hAnsi="Arial" w:cs="Arial"/>
          <w:noProof/>
          <w:sz w:val="22"/>
          <w:szCs w:val="22"/>
        </w:rPr>
        <w:lastRenderedPageBreak/>
        <w:t>64: 585–590.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180. Smith KM, Daly M, Fischer M, Yiannoutsos CT, Bauer L, Barkley R, Navia B a (2003): Association of the dopamine beta hydroxylase gene with attention deficit hyperactivity disorder: genetic analysis of the Milwaukee longitudinal study. </w:t>
      </w:r>
      <w:r w:rsidRPr="0063132D">
        <w:rPr>
          <w:rFonts w:ascii="Arial" w:hAnsi="Arial" w:cs="Arial"/>
          <w:i/>
          <w:iCs/>
          <w:noProof/>
          <w:sz w:val="22"/>
          <w:szCs w:val="22"/>
        </w:rPr>
        <w:t>Am J Med Genet B Neuropsychiatr Genet</w:t>
      </w:r>
      <w:r w:rsidRPr="0063132D">
        <w:rPr>
          <w:rFonts w:ascii="Arial" w:hAnsi="Arial" w:cs="Arial"/>
          <w:noProof/>
          <w:sz w:val="22"/>
          <w:szCs w:val="22"/>
        </w:rPr>
        <w:t>. 119B: 77–85.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181. Daly G, Hawi Z, Fitzgerald M, Gill M (1999): Mapping susceptibility loci in attention deficit hyperactivity disorder: preferential transmission of parental alleles at DAT1, DBH and DRD5 to affected children. </w:t>
      </w:r>
      <w:r w:rsidRPr="0063132D">
        <w:rPr>
          <w:rFonts w:ascii="Arial" w:hAnsi="Arial" w:cs="Arial"/>
          <w:i/>
          <w:iCs/>
          <w:noProof/>
          <w:sz w:val="22"/>
          <w:szCs w:val="22"/>
        </w:rPr>
        <w:t>Mol Psychiatry</w:t>
      </w:r>
      <w:r w:rsidRPr="0063132D">
        <w:rPr>
          <w:rFonts w:ascii="Arial" w:hAnsi="Arial" w:cs="Arial"/>
          <w:noProof/>
          <w:sz w:val="22"/>
          <w:szCs w:val="22"/>
        </w:rPr>
        <w:t>. 4: 192–196.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182. Roman T, Schmitz M, Polanczyk G V, Eizirik M, Rohde LA, Hutz MH (2002): Further evidence for the association between attention-deficit/hyperactivity disorder and the dopamine-beta-hydroxylase gene. </w:t>
      </w:r>
      <w:r w:rsidRPr="0063132D">
        <w:rPr>
          <w:rFonts w:ascii="Arial" w:hAnsi="Arial" w:cs="Arial"/>
          <w:i/>
          <w:iCs/>
          <w:noProof/>
          <w:sz w:val="22"/>
          <w:szCs w:val="22"/>
        </w:rPr>
        <w:t>Am J Med Genet</w:t>
      </w:r>
      <w:r w:rsidRPr="0063132D">
        <w:rPr>
          <w:rFonts w:ascii="Arial" w:hAnsi="Arial" w:cs="Arial"/>
          <w:noProof/>
          <w:sz w:val="22"/>
          <w:szCs w:val="22"/>
        </w:rPr>
        <w:t>. 114: 154–158.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183. Wigg K, Zai G, Schachar R, Tannock R, Roberts W, Malone M, </w:t>
      </w:r>
      <w:r w:rsidRPr="0063132D">
        <w:rPr>
          <w:rFonts w:ascii="Arial" w:hAnsi="Arial" w:cs="Arial"/>
          <w:i/>
          <w:iCs/>
          <w:noProof/>
          <w:sz w:val="22"/>
          <w:szCs w:val="22"/>
        </w:rPr>
        <w:t>et al.</w:t>
      </w:r>
      <w:r w:rsidRPr="0063132D">
        <w:rPr>
          <w:rFonts w:ascii="Arial" w:hAnsi="Arial" w:cs="Arial"/>
          <w:noProof/>
          <w:sz w:val="22"/>
          <w:szCs w:val="22"/>
        </w:rPr>
        <w:t xml:space="preserve"> (2002): Attention deficit hyperactivity disorder and the gene for dopamine Beta-hydroxylase. </w:t>
      </w:r>
      <w:r w:rsidRPr="0063132D">
        <w:rPr>
          <w:rFonts w:ascii="Arial" w:hAnsi="Arial" w:cs="Arial"/>
          <w:i/>
          <w:iCs/>
          <w:noProof/>
          <w:sz w:val="22"/>
          <w:szCs w:val="22"/>
        </w:rPr>
        <w:t>Am J Psychiatry</w:t>
      </w:r>
      <w:r w:rsidRPr="0063132D">
        <w:rPr>
          <w:rFonts w:ascii="Arial" w:hAnsi="Arial" w:cs="Arial"/>
          <w:noProof/>
          <w:sz w:val="22"/>
          <w:szCs w:val="22"/>
        </w:rPr>
        <w:t>. 159: 1046–1048.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184. Bhaduri N, Mukhopadhyay K (2006): Lack of significant association between − 1021C → T polymorphism in the dopamine beta hydroxylase gene and attention deficit hyperactivity disorder. </w:t>
      </w:r>
      <w:r w:rsidRPr="0063132D">
        <w:rPr>
          <w:rFonts w:ascii="Arial" w:hAnsi="Arial" w:cs="Arial"/>
          <w:i/>
          <w:iCs/>
          <w:noProof/>
          <w:sz w:val="22"/>
          <w:szCs w:val="22"/>
        </w:rPr>
        <w:t>Neurosci Lett</w:t>
      </w:r>
      <w:r w:rsidRPr="0063132D">
        <w:rPr>
          <w:rFonts w:ascii="Arial" w:hAnsi="Arial" w:cs="Arial"/>
          <w:noProof/>
          <w:sz w:val="22"/>
          <w:szCs w:val="22"/>
        </w:rPr>
        <w:t>. 10–14.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185. Inkster B, Muglia P, Jain U, Kennedy JL (2004): Linkage disequilibrium analysis of the dopamine beta-hydroxylase gene in persistent attention deficit hyperactivity disorder. </w:t>
      </w:r>
      <w:r w:rsidRPr="0063132D">
        <w:rPr>
          <w:rFonts w:ascii="Arial" w:hAnsi="Arial" w:cs="Arial"/>
          <w:i/>
          <w:iCs/>
          <w:noProof/>
          <w:sz w:val="22"/>
          <w:szCs w:val="22"/>
        </w:rPr>
        <w:t>Psychiatr Genet</w:t>
      </w:r>
      <w:r w:rsidRPr="0063132D">
        <w:rPr>
          <w:rFonts w:ascii="Arial" w:hAnsi="Arial" w:cs="Arial"/>
          <w:noProof/>
          <w:sz w:val="22"/>
          <w:szCs w:val="22"/>
        </w:rPr>
        <w:t>. 14: 117–120.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186. Cases O, Lebrand C, Giros B, Vitalis T, De Maeyer E, Caron MG, </w:t>
      </w:r>
      <w:r w:rsidRPr="0063132D">
        <w:rPr>
          <w:rFonts w:ascii="Arial" w:hAnsi="Arial" w:cs="Arial"/>
          <w:i/>
          <w:iCs/>
          <w:noProof/>
          <w:sz w:val="22"/>
          <w:szCs w:val="22"/>
        </w:rPr>
        <w:t>et al.</w:t>
      </w:r>
      <w:r w:rsidRPr="0063132D">
        <w:rPr>
          <w:rFonts w:ascii="Arial" w:hAnsi="Arial" w:cs="Arial"/>
          <w:noProof/>
          <w:sz w:val="22"/>
          <w:szCs w:val="22"/>
        </w:rPr>
        <w:t xml:space="preserve"> (1998): Plasma membrane transporters of serotonin, dopamine, and norepinephrine mediate serotonin accumulation in atypical locations in the developing brain of monoamine oxidase A knock-outs. </w:t>
      </w:r>
      <w:r w:rsidRPr="0063132D">
        <w:rPr>
          <w:rFonts w:ascii="Arial" w:hAnsi="Arial" w:cs="Arial"/>
          <w:i/>
          <w:iCs/>
          <w:noProof/>
          <w:sz w:val="22"/>
          <w:szCs w:val="22"/>
        </w:rPr>
        <w:t>J Neurosci</w:t>
      </w:r>
      <w:r w:rsidRPr="0063132D">
        <w:rPr>
          <w:rFonts w:ascii="Arial" w:hAnsi="Arial" w:cs="Arial"/>
          <w:noProof/>
          <w:sz w:val="22"/>
          <w:szCs w:val="22"/>
        </w:rPr>
        <w:t>. 18: 6914–6927.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187. Manor I, Tyano S, Mel E, Eisenberg J, Bachner-Melman R, Kotler M, Ebstein RP (2002): Family-based and association studies of monoamine oxidase A and attention deficit hyperactivity disorder (ADHD): preferential transmission of the long promoter-region repeat and its association with impaired performance on a continuous performance test (T. </w:t>
      </w:r>
      <w:r w:rsidRPr="0063132D">
        <w:rPr>
          <w:rFonts w:ascii="Arial" w:hAnsi="Arial" w:cs="Arial"/>
          <w:i/>
          <w:iCs/>
          <w:noProof/>
          <w:sz w:val="22"/>
          <w:szCs w:val="22"/>
        </w:rPr>
        <w:t>Mol Psychiatry</w:t>
      </w:r>
      <w:r w:rsidRPr="0063132D">
        <w:rPr>
          <w:rFonts w:ascii="Arial" w:hAnsi="Arial" w:cs="Arial"/>
          <w:noProof/>
          <w:sz w:val="22"/>
          <w:szCs w:val="22"/>
        </w:rPr>
        <w:t>. 7: 626–632.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188. Lawson DC, Turic D, Langley K, Pay HM, Govan CF, Norton N, </w:t>
      </w:r>
      <w:r w:rsidRPr="0063132D">
        <w:rPr>
          <w:rFonts w:ascii="Arial" w:hAnsi="Arial" w:cs="Arial"/>
          <w:i/>
          <w:iCs/>
          <w:noProof/>
          <w:sz w:val="22"/>
          <w:szCs w:val="22"/>
        </w:rPr>
        <w:t>et al.</w:t>
      </w:r>
      <w:r w:rsidRPr="0063132D">
        <w:rPr>
          <w:rFonts w:ascii="Arial" w:hAnsi="Arial" w:cs="Arial"/>
          <w:noProof/>
          <w:sz w:val="22"/>
          <w:szCs w:val="22"/>
        </w:rPr>
        <w:t xml:space="preserve"> (2003): Association analysis of monoamine oxidase A and attention deficit hyperactivity disorder. </w:t>
      </w:r>
      <w:r w:rsidRPr="0063132D">
        <w:rPr>
          <w:rFonts w:ascii="Arial" w:hAnsi="Arial" w:cs="Arial"/>
          <w:i/>
          <w:iCs/>
          <w:noProof/>
          <w:sz w:val="22"/>
          <w:szCs w:val="22"/>
        </w:rPr>
        <w:t>Am J Med Genet Part B Neuropsychiatr Genet</w:t>
      </w:r>
      <w:r w:rsidRPr="0063132D">
        <w:rPr>
          <w:rFonts w:ascii="Arial" w:hAnsi="Arial" w:cs="Arial"/>
          <w:noProof/>
          <w:sz w:val="22"/>
          <w:szCs w:val="22"/>
        </w:rPr>
        <w:t>. 116B: 84–89.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189. Jiang S, Xin R, Lin S, Qian Y, Tang G, Wang D, Wu X (2001): Linkage studies between attention-deficit hyperactivity disorder and the monoamine oxidase genes. </w:t>
      </w:r>
      <w:r w:rsidRPr="0063132D">
        <w:rPr>
          <w:rFonts w:ascii="Arial" w:hAnsi="Arial" w:cs="Arial"/>
          <w:i/>
          <w:iCs/>
          <w:noProof/>
          <w:sz w:val="22"/>
          <w:szCs w:val="22"/>
        </w:rPr>
        <w:t>Am J Med Genet</w:t>
      </w:r>
      <w:r w:rsidRPr="0063132D">
        <w:rPr>
          <w:rFonts w:ascii="Arial" w:hAnsi="Arial" w:cs="Arial"/>
          <w:noProof/>
          <w:sz w:val="22"/>
          <w:szCs w:val="22"/>
        </w:rPr>
        <w:t>. 105: 783–788.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190. Payton A, Holmes J, Barrett JH, Hever T, Fitzpatrick H, Trumper AL, </w:t>
      </w:r>
      <w:r w:rsidRPr="0063132D">
        <w:rPr>
          <w:rFonts w:ascii="Arial" w:hAnsi="Arial" w:cs="Arial"/>
          <w:i/>
          <w:iCs/>
          <w:noProof/>
          <w:sz w:val="22"/>
          <w:szCs w:val="22"/>
        </w:rPr>
        <w:t>et al.</w:t>
      </w:r>
      <w:r w:rsidRPr="0063132D">
        <w:rPr>
          <w:rFonts w:ascii="Arial" w:hAnsi="Arial" w:cs="Arial"/>
          <w:noProof/>
          <w:sz w:val="22"/>
          <w:szCs w:val="22"/>
        </w:rPr>
        <w:t xml:space="preserve"> (2001): Examining for association between candidate gene polymorphisms in the dopamine pathway and attention-deficit hyperactivity disorder: A family-based study. </w:t>
      </w:r>
      <w:r w:rsidRPr="0063132D">
        <w:rPr>
          <w:rFonts w:ascii="Arial" w:hAnsi="Arial" w:cs="Arial"/>
          <w:i/>
          <w:iCs/>
          <w:noProof/>
          <w:sz w:val="22"/>
          <w:szCs w:val="22"/>
        </w:rPr>
        <w:t>Am J Med Genet - Neuropsychiatr Genet</w:t>
      </w:r>
      <w:r w:rsidRPr="0063132D">
        <w:rPr>
          <w:rFonts w:ascii="Arial" w:hAnsi="Arial" w:cs="Arial"/>
          <w:noProof/>
          <w:sz w:val="22"/>
          <w:szCs w:val="22"/>
        </w:rPr>
        <w:t>. 105: 464–470.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191. Brookes K, Xu X, Chen W, Zhou K, Neale B, Lowe N, </w:t>
      </w:r>
      <w:r w:rsidRPr="0063132D">
        <w:rPr>
          <w:rFonts w:ascii="Arial" w:hAnsi="Arial" w:cs="Arial"/>
          <w:i/>
          <w:iCs/>
          <w:noProof/>
          <w:sz w:val="22"/>
          <w:szCs w:val="22"/>
        </w:rPr>
        <w:t>et al.</w:t>
      </w:r>
      <w:r w:rsidRPr="0063132D">
        <w:rPr>
          <w:rFonts w:ascii="Arial" w:hAnsi="Arial" w:cs="Arial"/>
          <w:noProof/>
          <w:sz w:val="22"/>
          <w:szCs w:val="22"/>
        </w:rPr>
        <w:t xml:space="preserve"> (2006): The analysis of 51 genes in DSM-IV combined type attention deficit hyperactivity disorder: association signals in DRD4, DAT1 and 16 other genes. </w:t>
      </w:r>
      <w:r w:rsidRPr="0063132D">
        <w:rPr>
          <w:rFonts w:ascii="Arial" w:hAnsi="Arial" w:cs="Arial"/>
          <w:i/>
          <w:iCs/>
          <w:noProof/>
          <w:sz w:val="22"/>
          <w:szCs w:val="22"/>
        </w:rPr>
        <w:t>Mol Psychiatry</w:t>
      </w:r>
      <w:r w:rsidRPr="0063132D">
        <w:rPr>
          <w:rFonts w:ascii="Arial" w:hAnsi="Arial" w:cs="Arial"/>
          <w:noProof/>
          <w:sz w:val="22"/>
          <w:szCs w:val="22"/>
        </w:rPr>
        <w:t>. 11: 934–953.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192. Comings DE, Comings BG, Muhleman D, Dietz G, Shahbahrami B, Tast D, </w:t>
      </w:r>
      <w:r w:rsidRPr="0063132D">
        <w:rPr>
          <w:rFonts w:ascii="Arial" w:hAnsi="Arial" w:cs="Arial"/>
          <w:i/>
          <w:iCs/>
          <w:noProof/>
          <w:sz w:val="22"/>
          <w:szCs w:val="22"/>
        </w:rPr>
        <w:t>et al.</w:t>
      </w:r>
      <w:r w:rsidRPr="0063132D">
        <w:rPr>
          <w:rFonts w:ascii="Arial" w:hAnsi="Arial" w:cs="Arial"/>
          <w:noProof/>
          <w:sz w:val="22"/>
          <w:szCs w:val="22"/>
        </w:rPr>
        <w:t xml:space="preserve"> (1991): The dopamine D2 receptor locus as a modifying gene in neuropsychiatric disorders. </w:t>
      </w:r>
      <w:r w:rsidRPr="0063132D">
        <w:rPr>
          <w:rFonts w:ascii="Arial" w:hAnsi="Arial" w:cs="Arial"/>
          <w:i/>
          <w:iCs/>
          <w:noProof/>
          <w:sz w:val="22"/>
          <w:szCs w:val="22"/>
        </w:rPr>
        <w:t>Jama</w:t>
      </w:r>
      <w:r w:rsidRPr="0063132D">
        <w:rPr>
          <w:rFonts w:ascii="Arial" w:hAnsi="Arial" w:cs="Arial"/>
          <w:noProof/>
          <w:sz w:val="22"/>
          <w:szCs w:val="22"/>
        </w:rPr>
        <w:t>. 266: 1793–1800.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193. Comings DE, Muhleman D, Gysin R (1996): Dopamine D2 receptor (DRD2) gene and susceptibility to posttraumatic stress disorder: a study and replication. </w:t>
      </w:r>
      <w:r w:rsidRPr="0063132D">
        <w:rPr>
          <w:rFonts w:ascii="Arial" w:hAnsi="Arial" w:cs="Arial"/>
          <w:i/>
          <w:iCs/>
          <w:noProof/>
          <w:sz w:val="22"/>
          <w:szCs w:val="22"/>
        </w:rPr>
        <w:t>Biol Psychiatry</w:t>
      </w:r>
      <w:r w:rsidRPr="0063132D">
        <w:rPr>
          <w:rFonts w:ascii="Arial" w:hAnsi="Arial" w:cs="Arial"/>
          <w:noProof/>
          <w:sz w:val="22"/>
          <w:szCs w:val="22"/>
        </w:rPr>
        <w:t>. 40: 368–372.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194. Šerý O, Drtílkova I, Theiner P, Pitelová R, Štaif R, Znojil V, </w:t>
      </w:r>
      <w:r w:rsidRPr="0063132D">
        <w:rPr>
          <w:rFonts w:ascii="Arial" w:hAnsi="Arial" w:cs="Arial"/>
          <w:i/>
          <w:iCs/>
          <w:noProof/>
          <w:sz w:val="22"/>
          <w:szCs w:val="22"/>
        </w:rPr>
        <w:t>et al.</w:t>
      </w:r>
      <w:r w:rsidRPr="0063132D">
        <w:rPr>
          <w:rFonts w:ascii="Arial" w:hAnsi="Arial" w:cs="Arial"/>
          <w:noProof/>
          <w:sz w:val="22"/>
          <w:szCs w:val="22"/>
        </w:rPr>
        <w:t xml:space="preserve"> (2006): Polymorphism of DRD2 gene and ADHD. </w:t>
      </w:r>
      <w:r w:rsidRPr="0063132D">
        <w:rPr>
          <w:rFonts w:ascii="Arial" w:hAnsi="Arial" w:cs="Arial"/>
          <w:i/>
          <w:iCs/>
          <w:noProof/>
          <w:sz w:val="22"/>
          <w:szCs w:val="22"/>
        </w:rPr>
        <w:t>Neuroendocrinol Lett</w:t>
      </w:r>
      <w:r w:rsidRPr="0063132D">
        <w:rPr>
          <w:rFonts w:ascii="Arial" w:hAnsi="Arial" w:cs="Arial"/>
          <w:noProof/>
          <w:sz w:val="22"/>
          <w:szCs w:val="22"/>
        </w:rPr>
        <w:t>. 27: 236–240.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lastRenderedPageBreak/>
        <w:t xml:space="preserve">195. Kirley A, Hawi Z, Daly G, McCarron M, Mullins C, Millar N, </w:t>
      </w:r>
      <w:r w:rsidRPr="0063132D">
        <w:rPr>
          <w:rFonts w:ascii="Arial" w:hAnsi="Arial" w:cs="Arial"/>
          <w:i/>
          <w:iCs/>
          <w:noProof/>
          <w:sz w:val="22"/>
          <w:szCs w:val="22"/>
        </w:rPr>
        <w:t>et al.</w:t>
      </w:r>
      <w:r w:rsidRPr="0063132D">
        <w:rPr>
          <w:rFonts w:ascii="Arial" w:hAnsi="Arial" w:cs="Arial"/>
          <w:noProof/>
          <w:sz w:val="22"/>
          <w:szCs w:val="22"/>
        </w:rPr>
        <w:t xml:space="preserve"> (2002): Dopaminergic system genes in ADHD: Toward a biological hypothesis. </w:t>
      </w:r>
      <w:r w:rsidRPr="0063132D">
        <w:rPr>
          <w:rFonts w:ascii="Arial" w:hAnsi="Arial" w:cs="Arial"/>
          <w:i/>
          <w:iCs/>
          <w:noProof/>
          <w:sz w:val="22"/>
          <w:szCs w:val="22"/>
        </w:rPr>
        <w:t>Neuropsychopharmacology</w:t>
      </w:r>
      <w:r w:rsidRPr="0063132D">
        <w:rPr>
          <w:rFonts w:ascii="Arial" w:hAnsi="Arial" w:cs="Arial"/>
          <w:noProof/>
          <w:sz w:val="22"/>
          <w:szCs w:val="22"/>
        </w:rPr>
        <w:t>. 27: 607–619.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196. Rowe DC, Van den Oord EJ, Stever C, Giedinghagen LN, Gard JM, Cleveland HH, </w:t>
      </w:r>
      <w:r w:rsidRPr="0063132D">
        <w:rPr>
          <w:rFonts w:ascii="Arial" w:hAnsi="Arial" w:cs="Arial"/>
          <w:i/>
          <w:iCs/>
          <w:noProof/>
          <w:sz w:val="22"/>
          <w:szCs w:val="22"/>
        </w:rPr>
        <w:t>et al.</w:t>
      </w:r>
      <w:r w:rsidRPr="0063132D">
        <w:rPr>
          <w:rFonts w:ascii="Arial" w:hAnsi="Arial" w:cs="Arial"/>
          <w:noProof/>
          <w:sz w:val="22"/>
          <w:szCs w:val="22"/>
        </w:rPr>
        <w:t xml:space="preserve"> (1999): The DRD2 TaqI polymorphism and symptoms of attention deficit hyperactivity disorder. </w:t>
      </w:r>
      <w:r w:rsidRPr="0063132D">
        <w:rPr>
          <w:rFonts w:ascii="Arial" w:hAnsi="Arial" w:cs="Arial"/>
          <w:i/>
          <w:iCs/>
          <w:noProof/>
          <w:sz w:val="22"/>
          <w:szCs w:val="22"/>
        </w:rPr>
        <w:t>Mol Psychiatry</w:t>
      </w:r>
      <w:r w:rsidRPr="0063132D">
        <w:rPr>
          <w:rFonts w:ascii="Arial" w:hAnsi="Arial" w:cs="Arial"/>
          <w:noProof/>
          <w:sz w:val="22"/>
          <w:szCs w:val="22"/>
        </w:rPr>
        <w:t>. 4: 580–586.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197. Huang YS, Lin SK, Wu YY, Chao CC, Chen CK (2003): A family-based association study of attention-deficit hyperactivity disorder and dopamine D2 receptor TaqI A alleles. </w:t>
      </w:r>
      <w:r w:rsidRPr="0063132D">
        <w:rPr>
          <w:rFonts w:ascii="Arial" w:hAnsi="Arial" w:cs="Arial"/>
          <w:i/>
          <w:iCs/>
          <w:noProof/>
          <w:sz w:val="22"/>
          <w:szCs w:val="22"/>
        </w:rPr>
        <w:t>Chang Gung Med J</w:t>
      </w:r>
      <w:r w:rsidRPr="0063132D">
        <w:rPr>
          <w:rFonts w:ascii="Arial" w:hAnsi="Arial" w:cs="Arial"/>
          <w:noProof/>
          <w:sz w:val="22"/>
          <w:szCs w:val="22"/>
        </w:rPr>
        <w:t>. 26: 897–903.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198. Retz W, Rosler M, Supprian T, Retz-Junginger P, Thome J (2003): Dopamine D3 receptor gene polymorphism and violent behavior: relation to impulsiveness and ADHD-related psychopathology. 110: 561–572.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199. De C, R G-A, Gonzalez N, Wu S, Muhleman D, Dietz BH, </w:t>
      </w:r>
      <w:r w:rsidRPr="0063132D">
        <w:rPr>
          <w:rFonts w:ascii="Arial" w:hAnsi="Arial" w:cs="Arial"/>
          <w:i/>
          <w:iCs/>
          <w:noProof/>
          <w:sz w:val="22"/>
          <w:szCs w:val="22"/>
        </w:rPr>
        <w:t>et al.</w:t>
      </w:r>
      <w:r w:rsidRPr="0063132D">
        <w:rPr>
          <w:rFonts w:ascii="Arial" w:hAnsi="Arial" w:cs="Arial"/>
          <w:noProof/>
          <w:sz w:val="22"/>
          <w:szCs w:val="22"/>
        </w:rPr>
        <w:t xml:space="preserve"> (2000): Comparison of the role of dopamine, serotonin, and noradrenaline genes in ADHD, ODD and conduct disorder: multivariate regression analysis of 20 genes. </w:t>
      </w:r>
      <w:r w:rsidRPr="0063132D">
        <w:rPr>
          <w:rFonts w:ascii="Arial" w:hAnsi="Arial" w:cs="Arial"/>
          <w:i/>
          <w:iCs/>
          <w:noProof/>
          <w:sz w:val="22"/>
          <w:szCs w:val="22"/>
        </w:rPr>
        <w:t>Clin Genet</w:t>
      </w:r>
      <w:r w:rsidRPr="0063132D">
        <w:rPr>
          <w:rFonts w:ascii="Arial" w:hAnsi="Arial" w:cs="Arial"/>
          <w:noProof/>
          <w:sz w:val="22"/>
          <w:szCs w:val="22"/>
        </w:rPr>
        <w:t>. 57: 178–196.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200. Syvänen AC, Tilgmann C, Rinne J, Ulmanen I (1997): Genetic polymorphism of catechol-O-methyltransferase (COMT): correlation of genotype with individual variation of S-COMT activity and comparison of the allele frequencies in the normal population and parkinsonian patients in Finland. </w:t>
      </w:r>
      <w:r w:rsidRPr="0063132D">
        <w:rPr>
          <w:rFonts w:ascii="Arial" w:hAnsi="Arial" w:cs="Arial"/>
          <w:i/>
          <w:iCs/>
          <w:noProof/>
          <w:sz w:val="22"/>
          <w:szCs w:val="22"/>
        </w:rPr>
        <w:t>Pharmacogenetics</w:t>
      </w:r>
      <w:r w:rsidRPr="0063132D">
        <w:rPr>
          <w:rFonts w:ascii="Arial" w:hAnsi="Arial" w:cs="Arial"/>
          <w:noProof/>
          <w:sz w:val="22"/>
          <w:szCs w:val="22"/>
        </w:rPr>
        <w:t>. 7: 65–71.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201. Biederman J, Spencer T (2000): Non-stimulant treatments for ADHD. </w:t>
      </w:r>
      <w:r w:rsidRPr="0063132D">
        <w:rPr>
          <w:rFonts w:ascii="Arial" w:hAnsi="Arial" w:cs="Arial"/>
          <w:i/>
          <w:iCs/>
          <w:noProof/>
          <w:sz w:val="22"/>
          <w:szCs w:val="22"/>
        </w:rPr>
        <w:t>Eur Child Adolesc Psychiatry</w:t>
      </w:r>
      <w:r w:rsidRPr="0063132D">
        <w:rPr>
          <w:rFonts w:ascii="Arial" w:hAnsi="Arial" w:cs="Arial"/>
          <w:noProof/>
          <w:sz w:val="22"/>
          <w:szCs w:val="22"/>
        </w:rPr>
        <w:t>. 9 Suppl 1: I51-9.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202. Barr CL, Kroft J, Feng Y, Wigg K, Roberts W, Malone M, </w:t>
      </w:r>
      <w:r w:rsidRPr="0063132D">
        <w:rPr>
          <w:rFonts w:ascii="Arial" w:hAnsi="Arial" w:cs="Arial"/>
          <w:i/>
          <w:iCs/>
          <w:noProof/>
          <w:sz w:val="22"/>
          <w:szCs w:val="22"/>
        </w:rPr>
        <w:t>et al.</w:t>
      </w:r>
      <w:r w:rsidRPr="0063132D">
        <w:rPr>
          <w:rFonts w:ascii="Arial" w:hAnsi="Arial" w:cs="Arial"/>
          <w:noProof/>
          <w:sz w:val="22"/>
          <w:szCs w:val="22"/>
        </w:rPr>
        <w:t xml:space="preserve"> (2002): The norepinephrine transporter gene and attention-deficit hyperactivity disorder. </w:t>
      </w:r>
      <w:r w:rsidRPr="0063132D">
        <w:rPr>
          <w:rFonts w:ascii="Arial" w:hAnsi="Arial" w:cs="Arial"/>
          <w:i/>
          <w:iCs/>
          <w:noProof/>
          <w:sz w:val="22"/>
          <w:szCs w:val="22"/>
        </w:rPr>
        <w:t>Am J Med Genet</w:t>
      </w:r>
      <w:r w:rsidRPr="0063132D">
        <w:rPr>
          <w:rFonts w:ascii="Arial" w:hAnsi="Arial" w:cs="Arial"/>
          <w:noProof/>
          <w:sz w:val="22"/>
          <w:szCs w:val="22"/>
        </w:rPr>
        <w:t>. 114: 255–259.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203. Bobb AJ, Addington AM, Sidransky E, Gornick MC, Lerch JP, Greenstein DK, </w:t>
      </w:r>
      <w:r w:rsidRPr="0063132D">
        <w:rPr>
          <w:rFonts w:ascii="Arial" w:hAnsi="Arial" w:cs="Arial"/>
          <w:i/>
          <w:iCs/>
          <w:noProof/>
          <w:sz w:val="22"/>
          <w:szCs w:val="22"/>
        </w:rPr>
        <w:t>et al.</w:t>
      </w:r>
      <w:r w:rsidRPr="0063132D">
        <w:rPr>
          <w:rFonts w:ascii="Arial" w:hAnsi="Arial" w:cs="Arial"/>
          <w:noProof/>
          <w:sz w:val="22"/>
          <w:szCs w:val="22"/>
        </w:rPr>
        <w:t xml:space="preserve"> (2005): Support for association between ADHD and two candidate genes: NET1 and DRD1. </w:t>
      </w:r>
      <w:r w:rsidRPr="0063132D">
        <w:rPr>
          <w:rFonts w:ascii="Arial" w:hAnsi="Arial" w:cs="Arial"/>
          <w:i/>
          <w:iCs/>
          <w:noProof/>
          <w:sz w:val="22"/>
          <w:szCs w:val="22"/>
        </w:rPr>
        <w:t>Am J Med Genet - Neuropsychiatr Genet</w:t>
      </w:r>
      <w:r w:rsidRPr="0063132D">
        <w:rPr>
          <w:rFonts w:ascii="Arial" w:hAnsi="Arial" w:cs="Arial"/>
          <w:noProof/>
          <w:sz w:val="22"/>
          <w:szCs w:val="22"/>
        </w:rPr>
        <w:t>. 134 B: 67–72.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204. Hawi Z, Dring M, Kirley  a, Foley D, Kent L, Craddock N, </w:t>
      </w:r>
      <w:r w:rsidRPr="0063132D">
        <w:rPr>
          <w:rFonts w:ascii="Arial" w:hAnsi="Arial" w:cs="Arial"/>
          <w:i/>
          <w:iCs/>
          <w:noProof/>
          <w:sz w:val="22"/>
          <w:szCs w:val="22"/>
        </w:rPr>
        <w:t>et al.</w:t>
      </w:r>
      <w:r w:rsidRPr="0063132D">
        <w:rPr>
          <w:rFonts w:ascii="Arial" w:hAnsi="Arial" w:cs="Arial"/>
          <w:noProof/>
          <w:sz w:val="22"/>
          <w:szCs w:val="22"/>
        </w:rPr>
        <w:t xml:space="preserve"> (2002): Serotonergic system and attention deficit hyperactivity disorder (ADHD): a potential susceptibility locus at the 5-HT(1B) receptor gene in 273 nuclear families from a multi-centre sample. </w:t>
      </w:r>
      <w:r w:rsidRPr="0063132D">
        <w:rPr>
          <w:rFonts w:ascii="Arial" w:hAnsi="Arial" w:cs="Arial"/>
          <w:i/>
          <w:iCs/>
          <w:noProof/>
          <w:sz w:val="22"/>
          <w:szCs w:val="22"/>
        </w:rPr>
        <w:t>Mol Psychiatry</w:t>
      </w:r>
      <w:r w:rsidRPr="0063132D">
        <w:rPr>
          <w:rFonts w:ascii="Arial" w:hAnsi="Arial" w:cs="Arial"/>
          <w:noProof/>
          <w:sz w:val="22"/>
          <w:szCs w:val="22"/>
        </w:rPr>
        <w:t>. 7: 718–725.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205. Heiser P, Dempfle A, Friedel S, Konrad K, Hinney A, Kiefl H, </w:t>
      </w:r>
      <w:r w:rsidRPr="0063132D">
        <w:rPr>
          <w:rFonts w:ascii="Arial" w:hAnsi="Arial" w:cs="Arial"/>
          <w:i/>
          <w:iCs/>
          <w:noProof/>
          <w:sz w:val="22"/>
          <w:szCs w:val="22"/>
        </w:rPr>
        <w:t>et al.</w:t>
      </w:r>
      <w:r w:rsidRPr="0063132D">
        <w:rPr>
          <w:rFonts w:ascii="Arial" w:hAnsi="Arial" w:cs="Arial"/>
          <w:noProof/>
          <w:sz w:val="22"/>
          <w:szCs w:val="22"/>
        </w:rPr>
        <w:t xml:space="preserve"> (2007): Family-based association study of serotonergic candidate genes and attention-deficit/hyperactivity disorder in a German sample. </w:t>
      </w:r>
      <w:r w:rsidRPr="0063132D">
        <w:rPr>
          <w:rFonts w:ascii="Arial" w:hAnsi="Arial" w:cs="Arial"/>
          <w:i/>
          <w:iCs/>
          <w:noProof/>
          <w:sz w:val="22"/>
          <w:szCs w:val="22"/>
        </w:rPr>
        <w:t>J Neural Transm</w:t>
      </w:r>
      <w:r w:rsidRPr="0063132D">
        <w:rPr>
          <w:rFonts w:ascii="Arial" w:hAnsi="Arial" w:cs="Arial"/>
          <w:noProof/>
          <w:sz w:val="22"/>
          <w:szCs w:val="22"/>
        </w:rPr>
        <w:t>. 114: 513–521.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206. Anguelova M, Benkelfat C, Turecki G (2003): A systematic review of association studies investigating genes coding for serotonin receptors and the serotonin transporter: II. Suicidal behavior. </w:t>
      </w:r>
      <w:r w:rsidRPr="0063132D">
        <w:rPr>
          <w:rFonts w:ascii="Arial" w:hAnsi="Arial" w:cs="Arial"/>
          <w:i/>
          <w:iCs/>
          <w:noProof/>
          <w:sz w:val="22"/>
          <w:szCs w:val="22"/>
        </w:rPr>
        <w:t>Mol Psychiatry</w:t>
      </w:r>
      <w:r w:rsidRPr="0063132D">
        <w:rPr>
          <w:rFonts w:ascii="Arial" w:hAnsi="Arial" w:cs="Arial"/>
          <w:noProof/>
          <w:sz w:val="22"/>
          <w:szCs w:val="22"/>
        </w:rPr>
        <w:t>. 8: 646–653.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207. Anguelova M, Benkelfat C, Turecki G (n.d.): A systematic review of association studies investigating genes coding for serotonin receptors and the serotonin transporter: II. Suicidal behavior. </w:t>
      </w:r>
      <w:r w:rsidRPr="0063132D">
        <w:rPr>
          <w:rFonts w:ascii="Arial" w:hAnsi="Arial" w:cs="Arial"/>
          <w:i/>
          <w:iCs/>
          <w:noProof/>
          <w:sz w:val="22"/>
          <w:szCs w:val="22"/>
        </w:rPr>
        <w:t>Mol Psychiatry</w:t>
      </w:r>
      <w:r w:rsidRPr="0063132D">
        <w:rPr>
          <w:rFonts w:ascii="Arial" w:hAnsi="Arial" w:cs="Arial"/>
          <w:noProof/>
          <w:sz w:val="22"/>
          <w:szCs w:val="22"/>
        </w:rPr>
        <w:t>. 8: 646–653.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208. Kim SJ, Badner J, Cheon KA, Kim BN, Yoo HJ, Cook  Jr. E, </w:t>
      </w:r>
      <w:r w:rsidRPr="0063132D">
        <w:rPr>
          <w:rFonts w:ascii="Arial" w:hAnsi="Arial" w:cs="Arial"/>
          <w:i/>
          <w:iCs/>
          <w:noProof/>
          <w:sz w:val="22"/>
          <w:szCs w:val="22"/>
        </w:rPr>
        <w:t>et al.</w:t>
      </w:r>
      <w:r w:rsidRPr="0063132D">
        <w:rPr>
          <w:rFonts w:ascii="Arial" w:hAnsi="Arial" w:cs="Arial"/>
          <w:noProof/>
          <w:sz w:val="22"/>
          <w:szCs w:val="22"/>
        </w:rPr>
        <w:t xml:space="preserve"> (2005): Family-based association study of the serotonin transporter gene polymorphisms in Korean ADHD trios. </w:t>
      </w:r>
      <w:r w:rsidRPr="0063132D">
        <w:rPr>
          <w:rFonts w:ascii="Arial" w:hAnsi="Arial" w:cs="Arial"/>
          <w:i/>
          <w:iCs/>
          <w:noProof/>
          <w:sz w:val="22"/>
          <w:szCs w:val="22"/>
        </w:rPr>
        <w:t>Am J Med Genet Part B Neuropsychiatr Genet</w:t>
      </w:r>
      <w:r w:rsidRPr="0063132D">
        <w:rPr>
          <w:rFonts w:ascii="Arial" w:hAnsi="Arial" w:cs="Arial"/>
          <w:noProof/>
          <w:sz w:val="22"/>
          <w:szCs w:val="22"/>
        </w:rPr>
        <w:t>. 139: 14–18.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209. Xu X, Mill J, Chen C, Brookes K, Taylor E, Asherson P (2005): Family-Based Association Study of Serotonin Transporter Gene Polymorphisms in Attention Deficit Hyperactivity Disorder : No Evidence for Association in UK and Taiwanese Samples. 13: 11–13.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210. Xu M, Hu XT, Cooper DC, Moratalla R, Graybiel AM, White FJ, Tonegawa S (1994): Elimination of cocaine-induced hyperactivity and dopamine-mediated </w:t>
      </w:r>
      <w:r w:rsidRPr="0063132D">
        <w:rPr>
          <w:rFonts w:ascii="Arial" w:hAnsi="Arial" w:cs="Arial"/>
          <w:noProof/>
          <w:sz w:val="22"/>
          <w:szCs w:val="22"/>
        </w:rPr>
        <w:lastRenderedPageBreak/>
        <w:t xml:space="preserve">neurophysiological effects in dopamine D1 receptor mutant mice. </w:t>
      </w:r>
      <w:r w:rsidRPr="0063132D">
        <w:rPr>
          <w:rFonts w:ascii="Arial" w:hAnsi="Arial" w:cs="Arial"/>
          <w:i/>
          <w:iCs/>
          <w:noProof/>
          <w:sz w:val="22"/>
          <w:szCs w:val="22"/>
        </w:rPr>
        <w:t>Cell</w:t>
      </w:r>
      <w:r w:rsidRPr="0063132D">
        <w:rPr>
          <w:rFonts w:ascii="Arial" w:hAnsi="Arial" w:cs="Arial"/>
          <w:noProof/>
          <w:sz w:val="22"/>
          <w:szCs w:val="22"/>
        </w:rPr>
        <w:t>. 79: 945–955.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211. Wilson MC (2000): Coloboma mouse mutant as an animal model of hyperkinesis and attention deficit hyperactivity disorder. </w:t>
      </w:r>
      <w:r w:rsidRPr="0063132D">
        <w:rPr>
          <w:rFonts w:ascii="Arial" w:hAnsi="Arial" w:cs="Arial"/>
          <w:i/>
          <w:iCs/>
          <w:noProof/>
          <w:sz w:val="22"/>
          <w:szCs w:val="22"/>
        </w:rPr>
        <w:t>Biobehav Rev</w:t>
      </w:r>
      <w:r w:rsidRPr="0063132D">
        <w:rPr>
          <w:rFonts w:ascii="Arial" w:hAnsi="Arial" w:cs="Arial"/>
          <w:noProof/>
          <w:sz w:val="22"/>
          <w:szCs w:val="22"/>
        </w:rPr>
        <w:t>. 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212. Feng Y, Crosbie J, Wigg K, Pathare T, Ickowicz A, Schachar R, </w:t>
      </w:r>
      <w:r w:rsidRPr="0063132D">
        <w:rPr>
          <w:rFonts w:ascii="Arial" w:hAnsi="Arial" w:cs="Arial"/>
          <w:i/>
          <w:iCs/>
          <w:noProof/>
          <w:sz w:val="22"/>
          <w:szCs w:val="22"/>
        </w:rPr>
        <w:t>et al.</w:t>
      </w:r>
      <w:r w:rsidRPr="0063132D">
        <w:rPr>
          <w:rFonts w:ascii="Arial" w:hAnsi="Arial" w:cs="Arial"/>
          <w:noProof/>
          <w:sz w:val="22"/>
          <w:szCs w:val="22"/>
        </w:rPr>
        <w:t xml:space="preserve"> (2005): The SNAP25 gene as a susceptibility gene contributing to attention-deficit hyperactivity disorder. </w:t>
      </w:r>
      <w:r w:rsidRPr="0063132D">
        <w:rPr>
          <w:rFonts w:ascii="Arial" w:hAnsi="Arial" w:cs="Arial"/>
          <w:i/>
          <w:iCs/>
          <w:noProof/>
          <w:sz w:val="22"/>
          <w:szCs w:val="22"/>
        </w:rPr>
        <w:t>Mol Psychiatry</w:t>
      </w:r>
      <w:r w:rsidRPr="0063132D">
        <w:rPr>
          <w:rFonts w:ascii="Arial" w:hAnsi="Arial" w:cs="Arial"/>
          <w:noProof/>
          <w:sz w:val="22"/>
          <w:szCs w:val="22"/>
        </w:rPr>
        <w:t>. 10: 973,998-1005.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213. Dudley KJ, Li X, Kobor MS, Kippin TE, Bredy TW (2011): Epigenetic mechanisms mediating vulnerability and resilience to psychiatric disorders. </w:t>
      </w:r>
      <w:r w:rsidRPr="0063132D">
        <w:rPr>
          <w:rFonts w:ascii="Arial" w:hAnsi="Arial" w:cs="Arial"/>
          <w:i/>
          <w:iCs/>
          <w:noProof/>
          <w:sz w:val="22"/>
          <w:szCs w:val="22"/>
        </w:rPr>
        <w:t>Neurosci Biobehav Rev</w:t>
      </w:r>
      <w:r w:rsidRPr="0063132D">
        <w:rPr>
          <w:rFonts w:ascii="Arial" w:hAnsi="Arial" w:cs="Arial"/>
          <w:noProof/>
          <w:sz w:val="22"/>
          <w:szCs w:val="22"/>
        </w:rPr>
        <w:t>. 35: 1544–1551.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214. Lewis BP, Shih IH, Jones-Rhoades MW, Bartel DP, Burge CB (2003): Prediction of Mammalian MicroRNA Targets. </w:t>
      </w:r>
      <w:r w:rsidRPr="0063132D">
        <w:rPr>
          <w:rFonts w:ascii="Arial" w:hAnsi="Arial" w:cs="Arial"/>
          <w:i/>
          <w:iCs/>
          <w:noProof/>
          <w:sz w:val="22"/>
          <w:szCs w:val="22"/>
        </w:rPr>
        <w:t>Cell</w:t>
      </w:r>
      <w:r w:rsidRPr="0063132D">
        <w:rPr>
          <w:rFonts w:ascii="Arial" w:hAnsi="Arial" w:cs="Arial"/>
          <w:noProof/>
          <w:sz w:val="22"/>
          <w:szCs w:val="22"/>
        </w:rPr>
        <w:t>. 115: 787–798.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215. Bartel DP (2004): MicroRNAs: genomics, biogenesis, mechanism, and function. </w:t>
      </w:r>
      <w:r w:rsidRPr="0063132D">
        <w:rPr>
          <w:rFonts w:ascii="Arial" w:hAnsi="Arial" w:cs="Arial"/>
          <w:i/>
          <w:iCs/>
          <w:noProof/>
          <w:sz w:val="22"/>
          <w:szCs w:val="22"/>
        </w:rPr>
        <w:t>Cell</w:t>
      </w:r>
      <w:r w:rsidRPr="0063132D">
        <w:rPr>
          <w:rFonts w:ascii="Arial" w:hAnsi="Arial" w:cs="Arial"/>
          <w:noProof/>
          <w:sz w:val="22"/>
          <w:szCs w:val="22"/>
        </w:rPr>
        <w:t>. 116: 281–97.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216. Vasudevan S, Tong Y, Steitz JA (2007): Switching from Repression to Activation: MicroRNAs Can Up-Regulate Translation. </w:t>
      </w:r>
      <w:r w:rsidRPr="0063132D">
        <w:rPr>
          <w:rFonts w:ascii="Arial" w:hAnsi="Arial" w:cs="Arial"/>
          <w:i/>
          <w:iCs/>
          <w:noProof/>
          <w:sz w:val="22"/>
          <w:szCs w:val="22"/>
        </w:rPr>
        <w:t>Science (80- )</w:t>
      </w:r>
      <w:r w:rsidRPr="0063132D">
        <w:rPr>
          <w:rFonts w:ascii="Arial" w:hAnsi="Arial" w:cs="Arial"/>
          <w:noProof/>
          <w:sz w:val="22"/>
          <w:szCs w:val="22"/>
        </w:rPr>
        <w:t>. 318: 1931–1934.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217. Gregory RI, Yan K, Amuthan G, Chendrimada T, Doratotaj B, Cooch N, Shiekhattar R (2004): The Microprocessor complex mediates the genesis of microRNAs. </w:t>
      </w:r>
      <w:r w:rsidRPr="0063132D">
        <w:rPr>
          <w:rFonts w:ascii="Arial" w:hAnsi="Arial" w:cs="Arial"/>
          <w:i/>
          <w:iCs/>
          <w:noProof/>
          <w:sz w:val="22"/>
          <w:szCs w:val="22"/>
        </w:rPr>
        <w:t>Nature</w:t>
      </w:r>
      <w:r w:rsidRPr="0063132D">
        <w:rPr>
          <w:rFonts w:ascii="Arial" w:hAnsi="Arial" w:cs="Arial"/>
          <w:noProof/>
          <w:sz w:val="22"/>
          <w:szCs w:val="22"/>
        </w:rPr>
        <w:t>. 432: 235–240.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218. Kim VN (2005): MicroRNA biogenesis: coordinated cropping and dicing. </w:t>
      </w:r>
      <w:r w:rsidRPr="0063132D">
        <w:rPr>
          <w:rFonts w:ascii="Arial" w:hAnsi="Arial" w:cs="Arial"/>
          <w:i/>
          <w:iCs/>
          <w:noProof/>
          <w:sz w:val="22"/>
          <w:szCs w:val="22"/>
        </w:rPr>
        <w:t>Nat Rev Mol Cell Biol</w:t>
      </w:r>
      <w:r w:rsidRPr="0063132D">
        <w:rPr>
          <w:rFonts w:ascii="Arial" w:hAnsi="Arial" w:cs="Arial"/>
          <w:noProof/>
          <w:sz w:val="22"/>
          <w:szCs w:val="22"/>
        </w:rPr>
        <w:t>. 6: 376–385.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219. Kozomara A, Griffiths-Jones S (2011): MiRBase: Integrating microRNA annotation and deep-sequencing data. </w:t>
      </w:r>
      <w:r w:rsidRPr="0063132D">
        <w:rPr>
          <w:rFonts w:ascii="Arial" w:hAnsi="Arial" w:cs="Arial"/>
          <w:i/>
          <w:iCs/>
          <w:noProof/>
          <w:sz w:val="22"/>
          <w:szCs w:val="22"/>
        </w:rPr>
        <w:t>Nucleic Acids Res</w:t>
      </w:r>
      <w:r w:rsidRPr="0063132D">
        <w:rPr>
          <w:rFonts w:ascii="Arial" w:hAnsi="Arial" w:cs="Arial"/>
          <w:noProof/>
          <w:sz w:val="22"/>
          <w:szCs w:val="22"/>
        </w:rPr>
        <w:t>. 39. doi: 10.1093/nar/gkq1027.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220. Krol J, Loedige I, Filipowicz W (2010): The widespread regulation of microRNA biogenesis, function and decay. </w:t>
      </w:r>
      <w:r w:rsidRPr="0063132D">
        <w:rPr>
          <w:rFonts w:ascii="Arial" w:hAnsi="Arial" w:cs="Arial"/>
          <w:i/>
          <w:iCs/>
          <w:noProof/>
          <w:sz w:val="22"/>
          <w:szCs w:val="22"/>
        </w:rPr>
        <w:t>Nat Rev Genet</w:t>
      </w:r>
      <w:r w:rsidRPr="0063132D">
        <w:rPr>
          <w:rFonts w:ascii="Arial" w:hAnsi="Arial" w:cs="Arial"/>
          <w:noProof/>
          <w:sz w:val="22"/>
          <w:szCs w:val="22"/>
        </w:rPr>
        <w:t>. . doi: 10.1038/nrg2843.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221. Srivastav S, Walitza S, Grünblatt E (2017): Emerging role of miRNA in attention deficit hyperactivity disorder: a systematic review. </w:t>
      </w:r>
      <w:r w:rsidRPr="0063132D">
        <w:rPr>
          <w:rFonts w:ascii="Arial" w:hAnsi="Arial" w:cs="Arial"/>
          <w:i/>
          <w:iCs/>
          <w:noProof/>
          <w:sz w:val="22"/>
          <w:szCs w:val="22"/>
        </w:rPr>
        <w:t>ADHD Atten Deficit Hyperact Disord</w:t>
      </w:r>
      <w:r w:rsidRPr="0063132D">
        <w:rPr>
          <w:rFonts w:ascii="Arial" w:hAnsi="Arial" w:cs="Arial"/>
          <w:noProof/>
          <w:sz w:val="22"/>
          <w:szCs w:val="22"/>
        </w:rPr>
        <w:t>. 1–15.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222. Fineberg SK, Kosik KS, Davidson BL (2009): MicroRNAs Potentiate Neural Development. </w:t>
      </w:r>
      <w:r w:rsidRPr="0063132D">
        <w:rPr>
          <w:rFonts w:ascii="Arial" w:hAnsi="Arial" w:cs="Arial"/>
          <w:i/>
          <w:iCs/>
          <w:noProof/>
          <w:sz w:val="22"/>
          <w:szCs w:val="22"/>
        </w:rPr>
        <w:t>Neuron</w:t>
      </w:r>
      <w:r w:rsidRPr="0063132D">
        <w:rPr>
          <w:rFonts w:ascii="Arial" w:hAnsi="Arial" w:cs="Arial"/>
          <w:noProof/>
          <w:sz w:val="22"/>
          <w:szCs w:val="22"/>
        </w:rPr>
        <w:t>. 64: 303–309.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223. Tardito D, Mallei A, Popoli M (2013): Lost in translation. New unexplored avenues for neuropsychopharmacology: epigenetics and microRNAs. </w:t>
      </w:r>
      <w:r w:rsidRPr="0063132D">
        <w:rPr>
          <w:rFonts w:ascii="Arial" w:hAnsi="Arial" w:cs="Arial"/>
          <w:i/>
          <w:iCs/>
          <w:noProof/>
          <w:sz w:val="22"/>
          <w:szCs w:val="22"/>
        </w:rPr>
        <w:t>Expert Opin Investig Drugs</w:t>
      </w:r>
      <w:r w:rsidRPr="0063132D">
        <w:rPr>
          <w:rFonts w:ascii="Arial" w:hAnsi="Arial" w:cs="Arial"/>
          <w:noProof/>
          <w:sz w:val="22"/>
          <w:szCs w:val="22"/>
        </w:rPr>
        <w:t>. 22: 217–33.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224. Wright C, Gupta CN, Chen J, Patel V, Calhoun VD, Ehrlich S, </w:t>
      </w:r>
      <w:r w:rsidRPr="0063132D">
        <w:rPr>
          <w:rFonts w:ascii="Arial" w:hAnsi="Arial" w:cs="Arial"/>
          <w:i/>
          <w:iCs/>
          <w:noProof/>
          <w:sz w:val="22"/>
          <w:szCs w:val="22"/>
        </w:rPr>
        <w:t>et al.</w:t>
      </w:r>
      <w:r w:rsidRPr="0063132D">
        <w:rPr>
          <w:rFonts w:ascii="Arial" w:hAnsi="Arial" w:cs="Arial"/>
          <w:noProof/>
          <w:sz w:val="22"/>
          <w:szCs w:val="22"/>
        </w:rPr>
        <w:t xml:space="preserve"> (2016): Polymorphisms in MIR137HG and microRNA-137-regulated genes influence gray matter structure in schizophrenia. </w:t>
      </w:r>
      <w:r w:rsidRPr="0063132D">
        <w:rPr>
          <w:rFonts w:ascii="Arial" w:hAnsi="Arial" w:cs="Arial"/>
          <w:i/>
          <w:iCs/>
          <w:noProof/>
          <w:sz w:val="22"/>
          <w:szCs w:val="22"/>
        </w:rPr>
        <w:t>Transl Psychiatry</w:t>
      </w:r>
      <w:r w:rsidRPr="0063132D">
        <w:rPr>
          <w:rFonts w:ascii="Arial" w:hAnsi="Arial" w:cs="Arial"/>
          <w:noProof/>
          <w:sz w:val="22"/>
          <w:szCs w:val="22"/>
        </w:rPr>
        <w:t>. 6: e724.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225. Miller BH, Zeier Z, Xi L, Lanz TA, Deng S, Strathmann J, </w:t>
      </w:r>
      <w:r w:rsidRPr="0063132D">
        <w:rPr>
          <w:rFonts w:ascii="Arial" w:hAnsi="Arial" w:cs="Arial"/>
          <w:i/>
          <w:iCs/>
          <w:noProof/>
          <w:sz w:val="22"/>
          <w:szCs w:val="22"/>
        </w:rPr>
        <w:t>et al.</w:t>
      </w:r>
      <w:r w:rsidRPr="0063132D">
        <w:rPr>
          <w:rFonts w:ascii="Arial" w:hAnsi="Arial" w:cs="Arial"/>
          <w:noProof/>
          <w:sz w:val="22"/>
          <w:szCs w:val="22"/>
        </w:rPr>
        <w:t xml:space="preserve"> (2012): MicroRNA-132 dysregulation in schizophrenia has implications for both neurodevelopment and adult brain function. </w:t>
      </w:r>
      <w:r w:rsidRPr="0063132D">
        <w:rPr>
          <w:rFonts w:ascii="Arial" w:hAnsi="Arial" w:cs="Arial"/>
          <w:i/>
          <w:iCs/>
          <w:noProof/>
          <w:sz w:val="22"/>
          <w:szCs w:val="22"/>
        </w:rPr>
        <w:t>Proc Natl Acad Sci</w:t>
      </w:r>
      <w:r w:rsidRPr="0063132D">
        <w:rPr>
          <w:rFonts w:ascii="Arial" w:hAnsi="Arial" w:cs="Arial"/>
          <w:noProof/>
          <w:sz w:val="22"/>
          <w:szCs w:val="22"/>
        </w:rPr>
        <w:t>. 109: 3125–3130.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226. Santarelli DM, Beveridge NJ, Tooney PA, Cairns MJ (2011): Upregulation of dicer and MicroRNA expression in the dorsolateral prefrontal cortex Brodmann area 46 in schizophrenia. </w:t>
      </w:r>
      <w:r w:rsidRPr="0063132D">
        <w:rPr>
          <w:rFonts w:ascii="Arial" w:hAnsi="Arial" w:cs="Arial"/>
          <w:i/>
          <w:iCs/>
          <w:noProof/>
          <w:sz w:val="22"/>
          <w:szCs w:val="22"/>
        </w:rPr>
        <w:t>Biol Psychiatry</w:t>
      </w:r>
      <w:r w:rsidRPr="0063132D">
        <w:rPr>
          <w:rFonts w:ascii="Arial" w:hAnsi="Arial" w:cs="Arial"/>
          <w:noProof/>
          <w:sz w:val="22"/>
          <w:szCs w:val="22"/>
        </w:rPr>
        <w:t>. 69: 180–187.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227. Beveridge NJ, Gardiner E, Carroll  a P, Tooney P a, Cairns MJ (2009): Schizophrenia is associated with an increase in cortical microRNA biogenesis. </w:t>
      </w:r>
      <w:r w:rsidRPr="0063132D">
        <w:rPr>
          <w:rFonts w:ascii="Arial" w:hAnsi="Arial" w:cs="Arial"/>
          <w:i/>
          <w:iCs/>
          <w:noProof/>
          <w:sz w:val="22"/>
          <w:szCs w:val="22"/>
        </w:rPr>
        <w:t>Mol Psychiatry</w:t>
      </w:r>
      <w:r w:rsidRPr="0063132D">
        <w:rPr>
          <w:rFonts w:ascii="Arial" w:hAnsi="Arial" w:cs="Arial"/>
          <w:noProof/>
          <w:sz w:val="22"/>
          <w:szCs w:val="22"/>
        </w:rPr>
        <w:t>. 1176–1189.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228. Perkins DO, Jeffries CD, Jarskog LF, Thomson JM, Woods K, Newman MA, </w:t>
      </w:r>
      <w:r w:rsidRPr="0063132D">
        <w:rPr>
          <w:rFonts w:ascii="Arial" w:hAnsi="Arial" w:cs="Arial"/>
          <w:i/>
          <w:iCs/>
          <w:noProof/>
          <w:sz w:val="22"/>
          <w:szCs w:val="22"/>
        </w:rPr>
        <w:t>et al.</w:t>
      </w:r>
      <w:r w:rsidRPr="0063132D">
        <w:rPr>
          <w:rFonts w:ascii="Arial" w:hAnsi="Arial" w:cs="Arial"/>
          <w:noProof/>
          <w:sz w:val="22"/>
          <w:szCs w:val="22"/>
        </w:rPr>
        <w:t xml:space="preserve"> (2007): microRNA expression in the prefrontal cortex of individuals with schizophrenia and schizoaffective disorder. </w:t>
      </w:r>
      <w:r w:rsidRPr="0063132D">
        <w:rPr>
          <w:rFonts w:ascii="Arial" w:hAnsi="Arial" w:cs="Arial"/>
          <w:i/>
          <w:iCs/>
          <w:noProof/>
          <w:sz w:val="22"/>
          <w:szCs w:val="22"/>
        </w:rPr>
        <w:t>Genome Biol</w:t>
      </w:r>
      <w:r w:rsidRPr="0063132D">
        <w:rPr>
          <w:rFonts w:ascii="Arial" w:hAnsi="Arial" w:cs="Arial"/>
          <w:noProof/>
          <w:sz w:val="22"/>
          <w:szCs w:val="22"/>
        </w:rPr>
        <w:t>. 8: R27.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229. Wu YE, Parikshak NN, Belgard TG, Geschwind DH (2016): Genome-wide, integrative analysis implicates microRNA dysregulation in autism spectrum </w:t>
      </w:r>
      <w:r w:rsidRPr="0063132D">
        <w:rPr>
          <w:rFonts w:ascii="Arial" w:hAnsi="Arial" w:cs="Arial"/>
          <w:noProof/>
          <w:sz w:val="22"/>
          <w:szCs w:val="22"/>
        </w:rPr>
        <w:lastRenderedPageBreak/>
        <w:t xml:space="preserve">disorder. </w:t>
      </w:r>
      <w:r w:rsidRPr="0063132D">
        <w:rPr>
          <w:rFonts w:ascii="Arial" w:hAnsi="Arial" w:cs="Arial"/>
          <w:i/>
          <w:iCs/>
          <w:noProof/>
          <w:sz w:val="22"/>
          <w:szCs w:val="22"/>
        </w:rPr>
        <w:t>Nat Neurosci</w:t>
      </w:r>
      <w:r w:rsidRPr="0063132D">
        <w:rPr>
          <w:rFonts w:ascii="Arial" w:hAnsi="Arial" w:cs="Arial"/>
          <w:noProof/>
          <w:sz w:val="22"/>
          <w:szCs w:val="22"/>
        </w:rPr>
        <w:t>. 19: 1463–1476.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230. S.D. H (2016): A comparative review of microRNA expression patterns in autism spectrum disorder. </w:t>
      </w:r>
      <w:r w:rsidRPr="0063132D">
        <w:rPr>
          <w:rFonts w:ascii="Arial" w:hAnsi="Arial" w:cs="Arial"/>
          <w:i/>
          <w:iCs/>
          <w:noProof/>
          <w:sz w:val="22"/>
          <w:szCs w:val="22"/>
        </w:rPr>
        <w:t>Front Psychiatry</w:t>
      </w:r>
      <w:r w:rsidRPr="0063132D">
        <w:rPr>
          <w:rFonts w:ascii="Arial" w:hAnsi="Arial" w:cs="Arial"/>
          <w:noProof/>
          <w:sz w:val="22"/>
          <w:szCs w:val="22"/>
        </w:rPr>
        <w:t>. 7: no pagination.</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231. Abu-Elneel K, Liu T, Gazzaniga FS, Nishimura Y, Wall DP, Geschwind DH, </w:t>
      </w:r>
      <w:r w:rsidRPr="0063132D">
        <w:rPr>
          <w:rFonts w:ascii="Arial" w:hAnsi="Arial" w:cs="Arial"/>
          <w:i/>
          <w:iCs/>
          <w:noProof/>
          <w:sz w:val="22"/>
          <w:szCs w:val="22"/>
        </w:rPr>
        <w:t>et al.</w:t>
      </w:r>
      <w:r w:rsidRPr="0063132D">
        <w:rPr>
          <w:rFonts w:ascii="Arial" w:hAnsi="Arial" w:cs="Arial"/>
          <w:noProof/>
          <w:sz w:val="22"/>
          <w:szCs w:val="22"/>
        </w:rPr>
        <w:t xml:space="preserve"> (2008): Heterogeneous dysregulation of microRNAs across the autism spectrum. </w:t>
      </w:r>
      <w:r w:rsidRPr="0063132D">
        <w:rPr>
          <w:rFonts w:ascii="Arial" w:hAnsi="Arial" w:cs="Arial"/>
          <w:i/>
          <w:iCs/>
          <w:noProof/>
          <w:sz w:val="22"/>
          <w:szCs w:val="22"/>
        </w:rPr>
        <w:t>Neurogenetics</w:t>
      </w:r>
      <w:r w:rsidRPr="0063132D">
        <w:rPr>
          <w:rFonts w:ascii="Arial" w:hAnsi="Arial" w:cs="Arial"/>
          <w:noProof/>
          <w:sz w:val="22"/>
          <w:szCs w:val="22"/>
        </w:rPr>
        <w:t>. 9: 153–161.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232. Forstner AJ, Hofmann A, Maaser A, Sumer S, Khudayberdiev S, Mühleisen TW, </w:t>
      </w:r>
      <w:r w:rsidRPr="0063132D">
        <w:rPr>
          <w:rFonts w:ascii="Arial" w:hAnsi="Arial" w:cs="Arial"/>
          <w:i/>
          <w:iCs/>
          <w:noProof/>
          <w:sz w:val="22"/>
          <w:szCs w:val="22"/>
        </w:rPr>
        <w:t>et al.</w:t>
      </w:r>
      <w:r w:rsidRPr="0063132D">
        <w:rPr>
          <w:rFonts w:ascii="Arial" w:hAnsi="Arial" w:cs="Arial"/>
          <w:noProof/>
          <w:sz w:val="22"/>
          <w:szCs w:val="22"/>
        </w:rPr>
        <w:t xml:space="preserve"> (2015): Genome-wide analysis implicates microRNAs and their target genes in the development of bipolar disorder. </w:t>
      </w:r>
      <w:r w:rsidRPr="0063132D">
        <w:rPr>
          <w:rFonts w:ascii="Arial" w:hAnsi="Arial" w:cs="Arial"/>
          <w:i/>
          <w:iCs/>
          <w:noProof/>
          <w:sz w:val="22"/>
          <w:szCs w:val="22"/>
        </w:rPr>
        <w:t>Transl Psychiatry</w:t>
      </w:r>
      <w:r w:rsidRPr="0063132D">
        <w:rPr>
          <w:rFonts w:ascii="Arial" w:hAnsi="Arial" w:cs="Arial"/>
          <w:noProof/>
          <w:sz w:val="22"/>
          <w:szCs w:val="22"/>
        </w:rPr>
        <w:t>. 5: e678.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233. Bavamian S, Mellios N, Lalonde J, Fass DM, Wang J, Sheridan SD, </w:t>
      </w:r>
      <w:r w:rsidRPr="0063132D">
        <w:rPr>
          <w:rFonts w:ascii="Arial" w:hAnsi="Arial" w:cs="Arial"/>
          <w:i/>
          <w:iCs/>
          <w:noProof/>
          <w:sz w:val="22"/>
          <w:szCs w:val="22"/>
        </w:rPr>
        <w:t>et al.</w:t>
      </w:r>
      <w:r w:rsidRPr="0063132D">
        <w:rPr>
          <w:rFonts w:ascii="Arial" w:hAnsi="Arial" w:cs="Arial"/>
          <w:noProof/>
          <w:sz w:val="22"/>
          <w:szCs w:val="22"/>
        </w:rPr>
        <w:t xml:space="preserve"> (2015): Dysregulation of miR-34a links neuronal development to genetic risk factors for bipolar disorder. </w:t>
      </w:r>
      <w:r w:rsidRPr="0063132D">
        <w:rPr>
          <w:rFonts w:ascii="Arial" w:hAnsi="Arial" w:cs="Arial"/>
          <w:i/>
          <w:iCs/>
          <w:noProof/>
          <w:sz w:val="22"/>
          <w:szCs w:val="22"/>
        </w:rPr>
        <w:t>Nature</w:t>
      </w:r>
      <w:r w:rsidRPr="0063132D">
        <w:rPr>
          <w:rFonts w:ascii="Arial" w:hAnsi="Arial" w:cs="Arial"/>
          <w:noProof/>
          <w:sz w:val="22"/>
          <w:szCs w:val="22"/>
        </w:rPr>
        <w:t>. 1–12.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234. Gururajan A, Naughton ME, Scott KA, O’Connor RM, Moloney G, Clarke G, </w:t>
      </w:r>
      <w:r w:rsidRPr="0063132D">
        <w:rPr>
          <w:rFonts w:ascii="Arial" w:hAnsi="Arial" w:cs="Arial"/>
          <w:i/>
          <w:iCs/>
          <w:noProof/>
          <w:sz w:val="22"/>
          <w:szCs w:val="22"/>
        </w:rPr>
        <w:t>et al.</w:t>
      </w:r>
      <w:r w:rsidRPr="0063132D">
        <w:rPr>
          <w:rFonts w:ascii="Arial" w:hAnsi="Arial" w:cs="Arial"/>
          <w:noProof/>
          <w:sz w:val="22"/>
          <w:szCs w:val="22"/>
        </w:rPr>
        <w:t xml:space="preserve"> (2016): MicroRNAs as biomarkers for major depression: a role for let-7b and let-7c. </w:t>
      </w:r>
      <w:r w:rsidRPr="0063132D">
        <w:rPr>
          <w:rFonts w:ascii="Arial" w:hAnsi="Arial" w:cs="Arial"/>
          <w:i/>
          <w:iCs/>
          <w:noProof/>
          <w:sz w:val="22"/>
          <w:szCs w:val="22"/>
        </w:rPr>
        <w:t>Transl Psychiatry</w:t>
      </w:r>
      <w:r w:rsidRPr="0063132D">
        <w:rPr>
          <w:rFonts w:ascii="Arial" w:hAnsi="Arial" w:cs="Arial"/>
          <w:noProof/>
          <w:sz w:val="22"/>
          <w:szCs w:val="22"/>
        </w:rPr>
        <w:t>. 6: e862.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235. Fan HM, Sun XY, Guo W, Zhong AF, Niu W, Zhao L, </w:t>
      </w:r>
      <w:r w:rsidRPr="0063132D">
        <w:rPr>
          <w:rFonts w:ascii="Arial" w:hAnsi="Arial" w:cs="Arial"/>
          <w:i/>
          <w:iCs/>
          <w:noProof/>
          <w:sz w:val="22"/>
          <w:szCs w:val="22"/>
        </w:rPr>
        <w:t>et al.</w:t>
      </w:r>
      <w:r w:rsidRPr="0063132D">
        <w:rPr>
          <w:rFonts w:ascii="Arial" w:hAnsi="Arial" w:cs="Arial"/>
          <w:noProof/>
          <w:sz w:val="22"/>
          <w:szCs w:val="22"/>
        </w:rPr>
        <w:t xml:space="preserve"> (2014): Differential expression of microRNA in peripheral blood mononuclear cells as specific biomarker for major depressive disorder patients. </w:t>
      </w:r>
      <w:r w:rsidRPr="0063132D">
        <w:rPr>
          <w:rFonts w:ascii="Arial" w:hAnsi="Arial" w:cs="Arial"/>
          <w:i/>
          <w:iCs/>
          <w:noProof/>
          <w:sz w:val="22"/>
          <w:szCs w:val="22"/>
        </w:rPr>
        <w:t>J Psychiatr Res</w:t>
      </w:r>
      <w:r w:rsidRPr="0063132D">
        <w:rPr>
          <w:rFonts w:ascii="Arial" w:hAnsi="Arial" w:cs="Arial"/>
          <w:noProof/>
          <w:sz w:val="22"/>
          <w:szCs w:val="22"/>
        </w:rPr>
        <w:t>. 59: 45–52.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236. Kandemir H, Erdal ME, Selek S, Ay Öİ, Karababa İF, Ay ME, </w:t>
      </w:r>
      <w:r w:rsidRPr="0063132D">
        <w:rPr>
          <w:rFonts w:ascii="Arial" w:hAnsi="Arial" w:cs="Arial"/>
          <w:i/>
          <w:iCs/>
          <w:noProof/>
          <w:sz w:val="22"/>
          <w:szCs w:val="22"/>
        </w:rPr>
        <w:t>et al.</w:t>
      </w:r>
      <w:r w:rsidRPr="0063132D">
        <w:rPr>
          <w:rFonts w:ascii="Arial" w:hAnsi="Arial" w:cs="Arial"/>
          <w:noProof/>
          <w:sz w:val="22"/>
          <w:szCs w:val="22"/>
        </w:rPr>
        <w:t xml:space="preserve"> (2015): Microribonucleic acid dysregulations in children and adolescents with obsessive–compulsive disorder. </w:t>
      </w:r>
      <w:r w:rsidRPr="0063132D">
        <w:rPr>
          <w:rFonts w:ascii="Arial" w:hAnsi="Arial" w:cs="Arial"/>
          <w:i/>
          <w:iCs/>
          <w:noProof/>
          <w:sz w:val="22"/>
          <w:szCs w:val="22"/>
        </w:rPr>
        <w:t>Neuropsychiatr Dis Treat</w:t>
      </w:r>
      <w:r w:rsidRPr="0063132D">
        <w:rPr>
          <w:rFonts w:ascii="Arial" w:hAnsi="Arial" w:cs="Arial"/>
          <w:noProof/>
          <w:sz w:val="22"/>
          <w:szCs w:val="22"/>
        </w:rPr>
        <w:t>. 11: 1695–16701.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237. Ye C, Hu Z, Wu E, Yang X, Buford UJ, Guo Z, Saveanu R V. (2016): Two SNAP-25 genetic variants in the binding site of multiple microRNAs and susceptibility of ADHD: A meta-analysis. </w:t>
      </w:r>
      <w:r w:rsidRPr="0063132D">
        <w:rPr>
          <w:rFonts w:ascii="Arial" w:hAnsi="Arial" w:cs="Arial"/>
          <w:i/>
          <w:iCs/>
          <w:noProof/>
          <w:sz w:val="22"/>
          <w:szCs w:val="22"/>
        </w:rPr>
        <w:t>J Psychiatr Res</w:t>
      </w:r>
      <w:r w:rsidRPr="0063132D">
        <w:rPr>
          <w:rFonts w:ascii="Arial" w:hAnsi="Arial" w:cs="Arial"/>
          <w:noProof/>
          <w:sz w:val="22"/>
          <w:szCs w:val="22"/>
        </w:rPr>
        <w:t>. 81: 56–62.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238. Garcia-Martínez I, Sánchez-Mora C, Pagerols M, Richarte V, Corrales M, Fadeuilhe C, </w:t>
      </w:r>
      <w:r w:rsidRPr="0063132D">
        <w:rPr>
          <w:rFonts w:ascii="Arial" w:hAnsi="Arial" w:cs="Arial"/>
          <w:i/>
          <w:iCs/>
          <w:noProof/>
          <w:sz w:val="22"/>
          <w:szCs w:val="22"/>
        </w:rPr>
        <w:t>et al.</w:t>
      </w:r>
      <w:r w:rsidRPr="0063132D">
        <w:rPr>
          <w:rFonts w:ascii="Arial" w:hAnsi="Arial" w:cs="Arial"/>
          <w:noProof/>
          <w:sz w:val="22"/>
          <w:szCs w:val="22"/>
        </w:rPr>
        <w:t xml:space="preserve"> (2016): Preliminary evidence for association of genetic variants in pri-miR-34b/c and abnormal miR-34c expression with attention deficit and hyperactivity disorder. </w:t>
      </w:r>
      <w:r w:rsidRPr="0063132D">
        <w:rPr>
          <w:rFonts w:ascii="Arial" w:hAnsi="Arial" w:cs="Arial"/>
          <w:i/>
          <w:iCs/>
          <w:noProof/>
          <w:sz w:val="22"/>
          <w:szCs w:val="22"/>
        </w:rPr>
        <w:t>Transl Psychiatry</w:t>
      </w:r>
      <w:r w:rsidRPr="0063132D">
        <w:rPr>
          <w:rFonts w:ascii="Arial" w:hAnsi="Arial" w:cs="Arial"/>
          <w:noProof/>
          <w:sz w:val="22"/>
          <w:szCs w:val="22"/>
        </w:rPr>
        <w:t>. 6: e879.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239. Sánchez-Mora C, Ramos-Quiroga J-A, Garcia-Martínez I, Fernàndez-Castillo N, Bosch R, Richarte V, </w:t>
      </w:r>
      <w:r w:rsidRPr="0063132D">
        <w:rPr>
          <w:rFonts w:ascii="Arial" w:hAnsi="Arial" w:cs="Arial"/>
          <w:i/>
          <w:iCs/>
          <w:noProof/>
          <w:sz w:val="22"/>
          <w:szCs w:val="22"/>
        </w:rPr>
        <w:t>et al.</w:t>
      </w:r>
      <w:r w:rsidRPr="0063132D">
        <w:rPr>
          <w:rFonts w:ascii="Arial" w:hAnsi="Arial" w:cs="Arial"/>
          <w:noProof/>
          <w:sz w:val="22"/>
          <w:szCs w:val="22"/>
        </w:rPr>
        <w:t xml:space="preserve"> (2013): Evaluation of single nucleotide polymorphisms in the miR-183–96–182 cluster in adulthood attention-deficit and hyperactivity disorder (ADHD) and substance use disorders (SUDs). </w:t>
      </w:r>
      <w:r w:rsidRPr="0063132D">
        <w:rPr>
          <w:rFonts w:ascii="Arial" w:hAnsi="Arial" w:cs="Arial"/>
          <w:i/>
          <w:iCs/>
          <w:noProof/>
          <w:sz w:val="22"/>
          <w:szCs w:val="22"/>
        </w:rPr>
        <w:t>Eur Neuropsychopharmacol</w:t>
      </w:r>
      <w:r w:rsidRPr="0063132D">
        <w:rPr>
          <w:rFonts w:ascii="Arial" w:hAnsi="Arial" w:cs="Arial"/>
          <w:noProof/>
          <w:sz w:val="22"/>
          <w:szCs w:val="22"/>
        </w:rPr>
        <w:t>. 23: 1463–1473.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240. Németh N, Kovács-Nagy R, Székely A, Sasvári-Székely M, Rónai Z (2013): Association of Impulsivity and Polymorphic MicroRNA-641 Target Sites in the SNAP-25 Gene. (A. Reif, editor) </w:t>
      </w:r>
      <w:r w:rsidRPr="0063132D">
        <w:rPr>
          <w:rFonts w:ascii="Arial" w:hAnsi="Arial" w:cs="Arial"/>
          <w:i/>
          <w:iCs/>
          <w:noProof/>
          <w:sz w:val="22"/>
          <w:szCs w:val="22"/>
        </w:rPr>
        <w:t>PLoS One</w:t>
      </w:r>
      <w:r w:rsidRPr="0063132D">
        <w:rPr>
          <w:rFonts w:ascii="Arial" w:hAnsi="Arial" w:cs="Arial"/>
          <w:noProof/>
          <w:sz w:val="22"/>
          <w:szCs w:val="22"/>
        </w:rPr>
        <w:t>. 8: e84207.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241. Šerý O, Paclt I, Drtílková I, Theiner P, Kopečková M, Zvolský P, Balcar VJ (2015): A 40-bp VNTR polymorphism in the 3′-untranslated region of DAT1/SLC6A3 is associated with ADHD but not with alcoholism. </w:t>
      </w:r>
      <w:r w:rsidRPr="0063132D">
        <w:rPr>
          <w:rFonts w:ascii="Arial" w:hAnsi="Arial" w:cs="Arial"/>
          <w:i/>
          <w:iCs/>
          <w:noProof/>
          <w:sz w:val="22"/>
          <w:szCs w:val="22"/>
        </w:rPr>
        <w:t>Behav Brain Funct</w:t>
      </w:r>
      <w:r w:rsidRPr="0063132D">
        <w:rPr>
          <w:rFonts w:ascii="Arial" w:hAnsi="Arial" w:cs="Arial"/>
          <w:noProof/>
          <w:sz w:val="22"/>
          <w:szCs w:val="22"/>
        </w:rPr>
        <w:t>. 11: 21.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242. Wu LH, Cheng W, Yu M, He BM, Sun H, Chen Q, </w:t>
      </w:r>
      <w:r w:rsidRPr="0063132D">
        <w:rPr>
          <w:rFonts w:ascii="Arial" w:hAnsi="Arial" w:cs="Arial"/>
          <w:i/>
          <w:iCs/>
          <w:noProof/>
          <w:sz w:val="22"/>
          <w:szCs w:val="22"/>
        </w:rPr>
        <w:t>et al.</w:t>
      </w:r>
      <w:r w:rsidRPr="0063132D">
        <w:rPr>
          <w:rFonts w:ascii="Arial" w:hAnsi="Arial" w:cs="Arial"/>
          <w:noProof/>
          <w:sz w:val="22"/>
          <w:szCs w:val="22"/>
        </w:rPr>
        <w:t xml:space="preserve"> (2017): Nr3C1-Bhlhb2 Axis Dysregulation Is Involved in the Development of Attention Deficit Hyperactivity. </w:t>
      </w:r>
      <w:r w:rsidRPr="0063132D">
        <w:rPr>
          <w:rFonts w:ascii="Arial" w:hAnsi="Arial" w:cs="Arial"/>
          <w:i/>
          <w:iCs/>
          <w:noProof/>
          <w:sz w:val="22"/>
          <w:szCs w:val="22"/>
        </w:rPr>
        <w:t>Mol Neurobiol</w:t>
      </w:r>
      <w:r w:rsidRPr="0063132D">
        <w:rPr>
          <w:rFonts w:ascii="Arial" w:hAnsi="Arial" w:cs="Arial"/>
          <w:noProof/>
          <w:sz w:val="22"/>
          <w:szCs w:val="22"/>
        </w:rPr>
        <w:t>. 54: 1196–1212.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243. Nelson PT, Wang WX (2010): MiR-107 is reduced in Alzheimer’s disease brain neocortex: Validation study. </w:t>
      </w:r>
      <w:r w:rsidRPr="0063132D">
        <w:rPr>
          <w:rFonts w:ascii="Arial" w:hAnsi="Arial" w:cs="Arial"/>
          <w:i/>
          <w:iCs/>
          <w:noProof/>
          <w:sz w:val="22"/>
          <w:szCs w:val="22"/>
        </w:rPr>
        <w:t>J Alzheimer’s Dis</w:t>
      </w:r>
      <w:r w:rsidRPr="0063132D">
        <w:rPr>
          <w:rFonts w:ascii="Arial" w:hAnsi="Arial" w:cs="Arial"/>
          <w:noProof/>
          <w:sz w:val="22"/>
          <w:szCs w:val="22"/>
        </w:rPr>
        <w:t>. 21: 75–79.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244. Wang W-X, Wilfred BR, Madathil SK, Tang G, Hu Y, Dimayuga J, </w:t>
      </w:r>
      <w:r w:rsidRPr="0063132D">
        <w:rPr>
          <w:rFonts w:ascii="Arial" w:hAnsi="Arial" w:cs="Arial"/>
          <w:i/>
          <w:iCs/>
          <w:noProof/>
          <w:sz w:val="22"/>
          <w:szCs w:val="22"/>
        </w:rPr>
        <w:t>et al.</w:t>
      </w:r>
      <w:r w:rsidRPr="0063132D">
        <w:rPr>
          <w:rFonts w:ascii="Arial" w:hAnsi="Arial" w:cs="Arial"/>
          <w:noProof/>
          <w:sz w:val="22"/>
          <w:szCs w:val="22"/>
        </w:rPr>
        <w:t xml:space="preserve"> (2010): miR-107 regulates granulin/progranulin with implications for traumatic brain injury and neurodegenerative disease. </w:t>
      </w:r>
      <w:r w:rsidRPr="0063132D">
        <w:rPr>
          <w:rFonts w:ascii="Arial" w:hAnsi="Arial" w:cs="Arial"/>
          <w:i/>
          <w:iCs/>
          <w:noProof/>
          <w:sz w:val="22"/>
          <w:szCs w:val="22"/>
        </w:rPr>
        <w:t>Am J Pathol</w:t>
      </w:r>
      <w:r w:rsidRPr="0063132D">
        <w:rPr>
          <w:rFonts w:ascii="Arial" w:hAnsi="Arial" w:cs="Arial"/>
          <w:noProof/>
          <w:sz w:val="22"/>
          <w:szCs w:val="22"/>
        </w:rPr>
        <w:t>. 177: 334–345.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245. Qiu J, Hong Q, Chen RH, Tong ML, Zhang M, Fei L, </w:t>
      </w:r>
      <w:r w:rsidRPr="0063132D">
        <w:rPr>
          <w:rFonts w:ascii="Arial" w:hAnsi="Arial" w:cs="Arial"/>
          <w:i/>
          <w:iCs/>
          <w:noProof/>
          <w:sz w:val="22"/>
          <w:szCs w:val="22"/>
        </w:rPr>
        <w:t>et al.</w:t>
      </w:r>
      <w:r w:rsidRPr="0063132D">
        <w:rPr>
          <w:rFonts w:ascii="Arial" w:hAnsi="Arial" w:cs="Arial"/>
          <w:noProof/>
          <w:sz w:val="22"/>
          <w:szCs w:val="22"/>
        </w:rPr>
        <w:t xml:space="preserve"> (2010): Gene expression profiles in the prefrontal cortex of SHR rats by cDNA microarrays. </w:t>
      </w:r>
      <w:r w:rsidRPr="0063132D">
        <w:rPr>
          <w:rFonts w:ascii="Arial" w:hAnsi="Arial" w:cs="Arial"/>
          <w:i/>
          <w:iCs/>
          <w:noProof/>
          <w:sz w:val="22"/>
          <w:szCs w:val="22"/>
        </w:rPr>
        <w:t>Mol Biol Rep</w:t>
      </w:r>
      <w:r w:rsidRPr="0063132D">
        <w:rPr>
          <w:rFonts w:ascii="Arial" w:hAnsi="Arial" w:cs="Arial"/>
          <w:noProof/>
          <w:sz w:val="22"/>
          <w:szCs w:val="22"/>
        </w:rPr>
        <w:t>. 37: 1733–1740.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246. Iasevoli F, Tomasetti C, Ambesi-Impiombato A, Muscettola G, de Bartolomeis A (2009): Dopamine receptor subtypes contribution to Homer1a induction: </w:t>
      </w:r>
      <w:r w:rsidRPr="0063132D">
        <w:rPr>
          <w:rFonts w:ascii="Arial" w:hAnsi="Arial" w:cs="Arial"/>
          <w:noProof/>
          <w:sz w:val="22"/>
          <w:szCs w:val="22"/>
        </w:rPr>
        <w:lastRenderedPageBreak/>
        <w:t xml:space="preserve">Insights into antipsychotic molecular action. </w:t>
      </w:r>
      <w:r w:rsidRPr="0063132D">
        <w:rPr>
          <w:rFonts w:ascii="Arial" w:hAnsi="Arial" w:cs="Arial"/>
          <w:i/>
          <w:iCs/>
          <w:noProof/>
          <w:sz w:val="22"/>
          <w:szCs w:val="22"/>
        </w:rPr>
        <w:t>Prog Neuro-Psychopharmacology Biol Psychiatry</w:t>
      </w:r>
      <w:r w:rsidRPr="0063132D">
        <w:rPr>
          <w:rFonts w:ascii="Arial" w:hAnsi="Arial" w:cs="Arial"/>
          <w:noProof/>
          <w:sz w:val="22"/>
          <w:szCs w:val="22"/>
        </w:rPr>
        <w:t>. 33: 813–821.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247. De Bartolomeis A, Tomasetti C (2012): Calcium-dependent networks in dopamine-glutamate interaction: The role of postsynaptic scaffolding proteins. </w:t>
      </w:r>
      <w:r w:rsidRPr="0063132D">
        <w:rPr>
          <w:rFonts w:ascii="Arial" w:hAnsi="Arial" w:cs="Arial"/>
          <w:i/>
          <w:iCs/>
          <w:noProof/>
          <w:sz w:val="22"/>
          <w:szCs w:val="22"/>
        </w:rPr>
        <w:t>Mol Neurobiol</w:t>
      </w:r>
      <w:r w:rsidRPr="0063132D">
        <w:rPr>
          <w:rFonts w:ascii="Arial" w:hAnsi="Arial" w:cs="Arial"/>
          <w:noProof/>
          <w:sz w:val="22"/>
          <w:szCs w:val="22"/>
        </w:rPr>
        <w:t>. 46: 275–296.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248. Roselli F, Hutzler P, Wegerich Y, Livrea P, Almeida OFX (2009): Disassembly of shank and homer synaptic clusters is driven by soluble b-amyloid 1-40 through divergent NMDAR-dependent signalling pathways. </w:t>
      </w:r>
      <w:r w:rsidRPr="0063132D">
        <w:rPr>
          <w:rFonts w:ascii="Arial" w:hAnsi="Arial" w:cs="Arial"/>
          <w:i/>
          <w:iCs/>
          <w:noProof/>
          <w:sz w:val="22"/>
          <w:szCs w:val="22"/>
        </w:rPr>
        <w:t>PLoS One</w:t>
      </w:r>
      <w:r w:rsidRPr="0063132D">
        <w:rPr>
          <w:rFonts w:ascii="Arial" w:hAnsi="Arial" w:cs="Arial"/>
          <w:noProof/>
          <w:sz w:val="22"/>
          <w:szCs w:val="22"/>
        </w:rPr>
        <w:t>. 4. doi: 10.1371/journal.pone.0006011.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249. Szumlinski KK, Lominac KD, Kleschen MJ, Oleson EB, Dehoff MH, Schwartz MK, </w:t>
      </w:r>
      <w:r w:rsidRPr="0063132D">
        <w:rPr>
          <w:rFonts w:ascii="Arial" w:hAnsi="Arial" w:cs="Arial"/>
          <w:i/>
          <w:iCs/>
          <w:noProof/>
          <w:sz w:val="22"/>
          <w:szCs w:val="22"/>
        </w:rPr>
        <w:t>et al.</w:t>
      </w:r>
      <w:r w:rsidRPr="0063132D">
        <w:rPr>
          <w:rFonts w:ascii="Arial" w:hAnsi="Arial" w:cs="Arial"/>
          <w:noProof/>
          <w:sz w:val="22"/>
          <w:szCs w:val="22"/>
        </w:rPr>
        <w:t xml:space="preserve"> (2005): Behavioral and neurochemical phenotyping of Homer1 mutant mice: Possible relevance to schizophrenia. </w:t>
      </w:r>
      <w:r w:rsidRPr="0063132D">
        <w:rPr>
          <w:rFonts w:ascii="Arial" w:hAnsi="Arial" w:cs="Arial"/>
          <w:i/>
          <w:iCs/>
          <w:noProof/>
          <w:sz w:val="22"/>
          <w:szCs w:val="22"/>
        </w:rPr>
        <w:t>Genes, Brain Behav</w:t>
      </w:r>
      <w:r w:rsidRPr="0063132D">
        <w:rPr>
          <w:rFonts w:ascii="Arial" w:hAnsi="Arial" w:cs="Arial"/>
          <w:noProof/>
          <w:sz w:val="22"/>
          <w:szCs w:val="22"/>
        </w:rPr>
        <w:t>. 4: 273–288.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250. Jaubert PJ, Golub MS, Lo YY, Germann SL, Dehoff MH, Worley PF, </w:t>
      </w:r>
      <w:r w:rsidRPr="0063132D">
        <w:rPr>
          <w:rFonts w:ascii="Arial" w:hAnsi="Arial" w:cs="Arial"/>
          <w:i/>
          <w:iCs/>
          <w:noProof/>
          <w:sz w:val="22"/>
          <w:szCs w:val="22"/>
        </w:rPr>
        <w:t>et al.</w:t>
      </w:r>
      <w:r w:rsidRPr="0063132D">
        <w:rPr>
          <w:rFonts w:ascii="Arial" w:hAnsi="Arial" w:cs="Arial"/>
          <w:noProof/>
          <w:sz w:val="22"/>
          <w:szCs w:val="22"/>
        </w:rPr>
        <w:t xml:space="preserve"> (2007): Complex, multimodal behavioral profile of the Homer1 knockout mouse. </w:t>
      </w:r>
      <w:r w:rsidRPr="0063132D">
        <w:rPr>
          <w:rFonts w:ascii="Arial" w:hAnsi="Arial" w:cs="Arial"/>
          <w:i/>
          <w:iCs/>
          <w:noProof/>
          <w:sz w:val="22"/>
          <w:szCs w:val="22"/>
        </w:rPr>
        <w:t>Genes, Brain Behav</w:t>
      </w:r>
      <w:r w:rsidRPr="0063132D">
        <w:rPr>
          <w:rFonts w:ascii="Arial" w:hAnsi="Arial" w:cs="Arial"/>
          <w:noProof/>
          <w:sz w:val="22"/>
          <w:szCs w:val="22"/>
        </w:rPr>
        <w:t>. 6: 141–154.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251. Lominac KD, Oleson EB, Pava M, Klugmann M, Schwarz MK, Seeburg PH, </w:t>
      </w:r>
      <w:r w:rsidRPr="0063132D">
        <w:rPr>
          <w:rFonts w:ascii="Arial" w:hAnsi="Arial" w:cs="Arial"/>
          <w:i/>
          <w:iCs/>
          <w:noProof/>
          <w:sz w:val="22"/>
          <w:szCs w:val="22"/>
        </w:rPr>
        <w:t>et al.</w:t>
      </w:r>
      <w:r w:rsidRPr="0063132D">
        <w:rPr>
          <w:rFonts w:ascii="Arial" w:hAnsi="Arial" w:cs="Arial"/>
          <w:noProof/>
          <w:sz w:val="22"/>
          <w:szCs w:val="22"/>
        </w:rPr>
        <w:t xml:space="preserve"> (2005): Distinct roles for different Homer1 isoforms in behaviors and associated prefrontal cortex function. </w:t>
      </w:r>
      <w:r w:rsidRPr="0063132D">
        <w:rPr>
          <w:rFonts w:ascii="Arial" w:hAnsi="Arial" w:cs="Arial"/>
          <w:i/>
          <w:iCs/>
          <w:noProof/>
          <w:sz w:val="22"/>
          <w:szCs w:val="22"/>
        </w:rPr>
        <w:t>J Neurosci</w:t>
      </w:r>
      <w:r w:rsidRPr="0063132D">
        <w:rPr>
          <w:rFonts w:ascii="Arial" w:hAnsi="Arial" w:cs="Arial"/>
          <w:noProof/>
          <w:sz w:val="22"/>
          <w:szCs w:val="22"/>
        </w:rPr>
        <w:t>. 25: 11586–11594.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252. Leber SL, Llenos IC, Miller CL, Dulay JR, Haybaeck J, Weis S (2017): Homer1a protein expression in schizophrenia, bipolar disorder, and major depression. </w:t>
      </w:r>
      <w:r w:rsidRPr="0063132D">
        <w:rPr>
          <w:rFonts w:ascii="Arial" w:hAnsi="Arial" w:cs="Arial"/>
          <w:i/>
          <w:iCs/>
          <w:noProof/>
          <w:sz w:val="22"/>
          <w:szCs w:val="22"/>
        </w:rPr>
        <w:t>J Neural Transm</w:t>
      </w:r>
      <w:r w:rsidRPr="0063132D">
        <w:rPr>
          <w:rFonts w:ascii="Arial" w:hAnsi="Arial" w:cs="Arial"/>
          <w:noProof/>
          <w:sz w:val="22"/>
          <w:szCs w:val="22"/>
        </w:rPr>
        <w:t>. 1–13.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253. Zhou Y, Zhan C, Huang Y, Liu H (2017): Comprehensive bioinformatics analyses of Crohn’s disease. </w:t>
      </w:r>
      <w:r w:rsidRPr="0063132D">
        <w:rPr>
          <w:rFonts w:ascii="Arial" w:hAnsi="Arial" w:cs="Arial"/>
          <w:i/>
          <w:iCs/>
          <w:noProof/>
          <w:sz w:val="22"/>
          <w:szCs w:val="22"/>
        </w:rPr>
        <w:t>Mol Med Rep</w:t>
      </w:r>
      <w:r w:rsidRPr="0063132D">
        <w:rPr>
          <w:rFonts w:ascii="Arial" w:hAnsi="Arial" w:cs="Arial"/>
          <w:noProof/>
          <w:sz w:val="22"/>
          <w:szCs w:val="22"/>
        </w:rPr>
        <w:t>. 15: 2267–2272.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254. Sun Y, Chen C, Zhang P, Xie H, Hou L, Hui Z, </w:t>
      </w:r>
      <w:r w:rsidRPr="0063132D">
        <w:rPr>
          <w:rFonts w:ascii="Arial" w:hAnsi="Arial" w:cs="Arial"/>
          <w:i/>
          <w:iCs/>
          <w:noProof/>
          <w:sz w:val="22"/>
          <w:szCs w:val="22"/>
        </w:rPr>
        <w:t>et al.</w:t>
      </w:r>
      <w:r w:rsidRPr="0063132D">
        <w:rPr>
          <w:rFonts w:ascii="Arial" w:hAnsi="Arial" w:cs="Arial"/>
          <w:noProof/>
          <w:sz w:val="22"/>
          <w:szCs w:val="22"/>
        </w:rPr>
        <w:t xml:space="preserve"> (2014): Reduced miR-3127-5p expression promotes NSCLC proliferation/invasion and contributes to dasatinib sensitivity via the c-Abl/Ras/ERK pathway. </w:t>
      </w:r>
      <w:r w:rsidRPr="0063132D">
        <w:rPr>
          <w:rFonts w:ascii="Arial" w:hAnsi="Arial" w:cs="Arial"/>
          <w:i/>
          <w:iCs/>
          <w:noProof/>
          <w:sz w:val="22"/>
          <w:szCs w:val="22"/>
        </w:rPr>
        <w:t>Sci Rep</w:t>
      </w:r>
      <w:r w:rsidRPr="0063132D">
        <w:rPr>
          <w:rFonts w:ascii="Arial" w:hAnsi="Arial" w:cs="Arial"/>
          <w:noProof/>
          <w:sz w:val="22"/>
          <w:szCs w:val="22"/>
        </w:rPr>
        <w:t>. 4: 6527.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255. Villela D, Ramalho RF, Silva ART, Brentani H, Suemoto CK, Pasqualucci CA, </w:t>
      </w:r>
      <w:r w:rsidRPr="0063132D">
        <w:rPr>
          <w:rFonts w:ascii="Arial" w:hAnsi="Arial" w:cs="Arial"/>
          <w:i/>
          <w:iCs/>
          <w:noProof/>
          <w:sz w:val="22"/>
          <w:szCs w:val="22"/>
        </w:rPr>
        <w:t>et al.</w:t>
      </w:r>
      <w:r w:rsidRPr="0063132D">
        <w:rPr>
          <w:rFonts w:ascii="Arial" w:hAnsi="Arial" w:cs="Arial"/>
          <w:noProof/>
          <w:sz w:val="22"/>
          <w:szCs w:val="22"/>
        </w:rPr>
        <w:t xml:space="preserve"> (2016): Differential DNA Methylation of MicroRNA Genes in Temporal Cortex from Alzheimer’s Disease Individuals. </w:t>
      </w:r>
      <w:r w:rsidRPr="0063132D">
        <w:rPr>
          <w:rFonts w:ascii="Arial" w:hAnsi="Arial" w:cs="Arial"/>
          <w:i/>
          <w:iCs/>
          <w:noProof/>
          <w:sz w:val="22"/>
          <w:szCs w:val="22"/>
        </w:rPr>
        <w:t>Neural Plast</w:t>
      </w:r>
      <w:r w:rsidRPr="0063132D">
        <w:rPr>
          <w:rFonts w:ascii="Arial" w:hAnsi="Arial" w:cs="Arial"/>
          <w:noProof/>
          <w:sz w:val="22"/>
          <w:szCs w:val="22"/>
        </w:rPr>
        <w:t>. 2016: 1–10.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256. Hernandez-Rapp J, Rainone S, Hébert SS (2017): MicroRNAs underlying memory deficits in neurodegenerative disorders. </w:t>
      </w:r>
      <w:r w:rsidRPr="0063132D">
        <w:rPr>
          <w:rFonts w:ascii="Arial" w:hAnsi="Arial" w:cs="Arial"/>
          <w:i/>
          <w:iCs/>
          <w:noProof/>
          <w:sz w:val="22"/>
          <w:szCs w:val="22"/>
        </w:rPr>
        <w:t>Prog Neuro-Psychopharmacology Biol Psychiatry</w:t>
      </w:r>
      <w:r w:rsidRPr="0063132D">
        <w:rPr>
          <w:rFonts w:ascii="Arial" w:hAnsi="Arial" w:cs="Arial"/>
          <w:noProof/>
          <w:sz w:val="22"/>
          <w:szCs w:val="22"/>
        </w:rPr>
        <w:t>. 73: 79–86.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257. Gascon E, Lynch K, Ruan H, Almeida S, Verheyden JM, Seeley WW, </w:t>
      </w:r>
      <w:r w:rsidRPr="0063132D">
        <w:rPr>
          <w:rFonts w:ascii="Arial" w:hAnsi="Arial" w:cs="Arial"/>
          <w:i/>
          <w:iCs/>
          <w:noProof/>
          <w:sz w:val="22"/>
          <w:szCs w:val="22"/>
        </w:rPr>
        <w:t>et al.</w:t>
      </w:r>
      <w:r w:rsidRPr="0063132D">
        <w:rPr>
          <w:rFonts w:ascii="Arial" w:hAnsi="Arial" w:cs="Arial"/>
          <w:noProof/>
          <w:sz w:val="22"/>
          <w:szCs w:val="22"/>
        </w:rPr>
        <w:t xml:space="preserve"> (2014): Alterations in microRNA-124 and AMPA receptors contribute to social behavioral deficits in frontotemporal dementia. </w:t>
      </w:r>
      <w:r w:rsidRPr="0063132D">
        <w:rPr>
          <w:rFonts w:ascii="Arial" w:hAnsi="Arial" w:cs="Arial"/>
          <w:i/>
          <w:iCs/>
          <w:noProof/>
          <w:sz w:val="22"/>
          <w:szCs w:val="22"/>
        </w:rPr>
        <w:t>Nat Med</w:t>
      </w:r>
      <w:r w:rsidRPr="0063132D">
        <w:rPr>
          <w:rFonts w:ascii="Arial" w:hAnsi="Arial" w:cs="Arial"/>
          <w:noProof/>
          <w:sz w:val="22"/>
          <w:szCs w:val="22"/>
        </w:rPr>
        <w:t>. 20: 1444–51.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258. He S, Liu X, Jiang K, Peng D, Hong W, Fang Y, </w:t>
      </w:r>
      <w:r w:rsidRPr="0063132D">
        <w:rPr>
          <w:rFonts w:ascii="Arial" w:hAnsi="Arial" w:cs="Arial"/>
          <w:i/>
          <w:iCs/>
          <w:noProof/>
          <w:sz w:val="22"/>
          <w:szCs w:val="22"/>
        </w:rPr>
        <w:t>et al.</w:t>
      </w:r>
      <w:r w:rsidRPr="0063132D">
        <w:rPr>
          <w:rFonts w:ascii="Arial" w:hAnsi="Arial" w:cs="Arial"/>
          <w:noProof/>
          <w:sz w:val="22"/>
          <w:szCs w:val="22"/>
        </w:rPr>
        <w:t xml:space="preserve"> (2016): Alterations of microRNA-124 expression in peripheral blood mononuclear cells in pre- and post-treatment patients with major depressive disorder. </w:t>
      </w:r>
      <w:r w:rsidRPr="0063132D">
        <w:rPr>
          <w:rFonts w:ascii="Arial" w:hAnsi="Arial" w:cs="Arial"/>
          <w:i/>
          <w:iCs/>
          <w:noProof/>
          <w:sz w:val="22"/>
          <w:szCs w:val="22"/>
        </w:rPr>
        <w:t>J Psychiatr Res</w:t>
      </w:r>
      <w:r w:rsidRPr="0063132D">
        <w:rPr>
          <w:rFonts w:ascii="Arial" w:hAnsi="Arial" w:cs="Arial"/>
          <w:noProof/>
          <w:sz w:val="22"/>
          <w:szCs w:val="22"/>
        </w:rPr>
        <w:t>. 78: 65–71.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259. Xu Y, Yue W, Shugart YY, Li S, Cai L, Li Q, </w:t>
      </w:r>
      <w:r w:rsidRPr="0063132D">
        <w:rPr>
          <w:rFonts w:ascii="Arial" w:hAnsi="Arial" w:cs="Arial"/>
          <w:i/>
          <w:iCs/>
          <w:noProof/>
          <w:sz w:val="22"/>
          <w:szCs w:val="22"/>
        </w:rPr>
        <w:t>et al.</w:t>
      </w:r>
      <w:r w:rsidRPr="0063132D">
        <w:rPr>
          <w:rFonts w:ascii="Arial" w:hAnsi="Arial" w:cs="Arial"/>
          <w:noProof/>
          <w:sz w:val="22"/>
          <w:szCs w:val="22"/>
        </w:rPr>
        <w:t xml:space="preserve"> (2016): Exploring transcription factors-microRNAs co-regulation networks in schizophrenia. </w:t>
      </w:r>
      <w:r w:rsidRPr="0063132D">
        <w:rPr>
          <w:rFonts w:ascii="Arial" w:hAnsi="Arial" w:cs="Arial"/>
          <w:i/>
          <w:iCs/>
          <w:noProof/>
          <w:sz w:val="22"/>
          <w:szCs w:val="22"/>
        </w:rPr>
        <w:t>Schizophr Bull</w:t>
      </w:r>
      <w:r w:rsidRPr="0063132D">
        <w:rPr>
          <w:rFonts w:ascii="Arial" w:hAnsi="Arial" w:cs="Arial"/>
          <w:noProof/>
          <w:sz w:val="22"/>
          <w:szCs w:val="22"/>
        </w:rPr>
        <w:t>. 42: 1037–1045.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260. Wang S-S, Mu R-H, Li C-F, Dong S-Q, Geng D, Liu Q, Yi L-T (2017): microRNA-124 targets glucocorticoid receptor and is involved in depression- like behaviors. . doi: 10.1016/j.pnpbp.2017.07.024.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261. Dwivedi Y (2017): microRNA-124: a putative therapeutic target and biomarker for major depression. </w:t>
      </w:r>
      <w:r w:rsidRPr="0063132D">
        <w:rPr>
          <w:rFonts w:ascii="Arial" w:hAnsi="Arial" w:cs="Arial"/>
          <w:i/>
          <w:iCs/>
          <w:noProof/>
          <w:sz w:val="22"/>
          <w:szCs w:val="22"/>
        </w:rPr>
        <w:t>Expert Opin Ther Targets</w:t>
      </w:r>
      <w:r w:rsidRPr="0063132D">
        <w:rPr>
          <w:rFonts w:ascii="Arial" w:hAnsi="Arial" w:cs="Arial"/>
          <w:noProof/>
          <w:sz w:val="22"/>
          <w:szCs w:val="22"/>
        </w:rPr>
        <w:t>. 21: 653–656.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262. Gonzalez-Giraldo Y, Camargo A, Lopez-Leon S, Adan A, Forero DA (2015): A functional SNP in MIR124-1, a brain expressed miRNA gene, is associated with aggressiveness in a Colombian sample. </w:t>
      </w:r>
      <w:r w:rsidRPr="0063132D">
        <w:rPr>
          <w:rFonts w:ascii="Arial" w:hAnsi="Arial" w:cs="Arial"/>
          <w:i/>
          <w:iCs/>
          <w:noProof/>
          <w:sz w:val="22"/>
          <w:szCs w:val="22"/>
        </w:rPr>
        <w:t>Eur Psychiatry</w:t>
      </w:r>
      <w:r w:rsidRPr="0063132D">
        <w:rPr>
          <w:rFonts w:ascii="Arial" w:hAnsi="Arial" w:cs="Arial"/>
          <w:noProof/>
          <w:sz w:val="22"/>
          <w:szCs w:val="22"/>
        </w:rPr>
        <w:t>. 30: 499–503.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263. Turgay A (1995): Çocuk ve Ergenlerde Davranım Bozuklukları için DSM-IV’e Dayalı Tarama ve Değerlendirme Ölçeği. </w:t>
      </w:r>
      <w:r w:rsidRPr="0063132D">
        <w:rPr>
          <w:rFonts w:ascii="Arial" w:hAnsi="Arial" w:cs="Arial"/>
          <w:i/>
          <w:iCs/>
          <w:noProof/>
          <w:sz w:val="22"/>
          <w:szCs w:val="22"/>
        </w:rPr>
        <w:t>Integr Ther Inst Toronto, Kanada</w:t>
      </w:r>
      <w:r w:rsidRPr="0063132D">
        <w:rPr>
          <w:rFonts w:ascii="Arial" w:hAnsi="Arial" w:cs="Arial"/>
          <w:noProof/>
          <w:sz w:val="22"/>
          <w:szCs w:val="22"/>
        </w:rPr>
        <w:t>. .</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lastRenderedPageBreak/>
        <w:t xml:space="preserve">264. Thome J, Ehlis A-C, Fallgatter AJ, Krauel K, Lange KW, Riederer P, </w:t>
      </w:r>
      <w:r w:rsidRPr="0063132D">
        <w:rPr>
          <w:rFonts w:ascii="Arial" w:hAnsi="Arial" w:cs="Arial"/>
          <w:i/>
          <w:iCs/>
          <w:noProof/>
          <w:sz w:val="22"/>
          <w:szCs w:val="22"/>
        </w:rPr>
        <w:t>et al.</w:t>
      </w:r>
      <w:r w:rsidRPr="0063132D">
        <w:rPr>
          <w:rFonts w:ascii="Arial" w:hAnsi="Arial" w:cs="Arial"/>
          <w:noProof/>
          <w:sz w:val="22"/>
          <w:szCs w:val="22"/>
        </w:rPr>
        <w:t xml:space="preserve"> (2012): Biomarkers for attention-deficit/hyperactivity disorder (ADHD). A consensus report of the WFSBP task force on biological markers and the World Federation of ADHD. </w:t>
      </w:r>
      <w:r w:rsidRPr="0063132D">
        <w:rPr>
          <w:rFonts w:ascii="Arial" w:hAnsi="Arial" w:cs="Arial"/>
          <w:i/>
          <w:iCs/>
          <w:noProof/>
          <w:sz w:val="22"/>
          <w:szCs w:val="22"/>
        </w:rPr>
        <w:t>World J Biol Psychiatry</w:t>
      </w:r>
      <w:r w:rsidRPr="0063132D">
        <w:rPr>
          <w:rFonts w:ascii="Arial" w:hAnsi="Arial" w:cs="Arial"/>
          <w:noProof/>
          <w:sz w:val="22"/>
          <w:szCs w:val="22"/>
        </w:rPr>
        <w:t>. 13: 379–400.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265. Barbato C, Ruberti F, Cogoni C (2009): Searching for MIND: MicroRNAs in neurodegenerative diseases. </w:t>
      </w:r>
      <w:r w:rsidRPr="0063132D">
        <w:rPr>
          <w:rFonts w:ascii="Arial" w:hAnsi="Arial" w:cs="Arial"/>
          <w:i/>
          <w:iCs/>
          <w:noProof/>
          <w:sz w:val="22"/>
          <w:szCs w:val="22"/>
        </w:rPr>
        <w:t>J Biomed Biotechnol</w:t>
      </w:r>
      <w:r w:rsidRPr="0063132D">
        <w:rPr>
          <w:rFonts w:ascii="Arial" w:hAnsi="Arial" w:cs="Arial"/>
          <w:noProof/>
          <w:sz w:val="22"/>
          <w:szCs w:val="22"/>
        </w:rPr>
        <w:t>. 2009. doi: 10.1155/2009/871313.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266. Fan HM, Sun XY, Niu W, Zhao L, Zhang QL, Li WS, </w:t>
      </w:r>
      <w:r w:rsidRPr="0063132D">
        <w:rPr>
          <w:rFonts w:ascii="Arial" w:hAnsi="Arial" w:cs="Arial"/>
          <w:i/>
          <w:iCs/>
          <w:noProof/>
          <w:sz w:val="22"/>
          <w:szCs w:val="22"/>
        </w:rPr>
        <w:t>et al.</w:t>
      </w:r>
      <w:r w:rsidRPr="0063132D">
        <w:rPr>
          <w:rFonts w:ascii="Arial" w:hAnsi="Arial" w:cs="Arial"/>
          <w:noProof/>
          <w:sz w:val="22"/>
          <w:szCs w:val="22"/>
        </w:rPr>
        <w:t xml:space="preserve"> (2015): Altered microRNA Expression in Peripheral Blood Mononuclear Cells from Young Patients with Schizophrenia. </w:t>
      </w:r>
      <w:r w:rsidRPr="0063132D">
        <w:rPr>
          <w:rFonts w:ascii="Arial" w:hAnsi="Arial" w:cs="Arial"/>
          <w:i/>
          <w:iCs/>
          <w:noProof/>
          <w:sz w:val="22"/>
          <w:szCs w:val="22"/>
        </w:rPr>
        <w:t>J Mol Neurosci</w:t>
      </w:r>
      <w:r w:rsidRPr="0063132D">
        <w:rPr>
          <w:rFonts w:ascii="Arial" w:hAnsi="Arial" w:cs="Arial"/>
          <w:noProof/>
          <w:sz w:val="22"/>
          <w:szCs w:val="22"/>
        </w:rPr>
        <w:t>. . doi: 10.1007/s12031-015-0503-z.</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267. Fisar Z, Raboch J (2008): Depression, antidepressants, and peripheral blood components. </w:t>
      </w:r>
      <w:r w:rsidRPr="0063132D">
        <w:rPr>
          <w:rFonts w:ascii="Arial" w:hAnsi="Arial" w:cs="Arial"/>
          <w:i/>
          <w:iCs/>
          <w:noProof/>
          <w:sz w:val="22"/>
          <w:szCs w:val="22"/>
        </w:rPr>
        <w:t>Neuro Endocrinol Lett</w:t>
      </w:r>
      <w:r w:rsidRPr="0063132D">
        <w:rPr>
          <w:rFonts w:ascii="Arial" w:hAnsi="Arial" w:cs="Arial"/>
          <w:noProof/>
          <w:sz w:val="22"/>
          <w:szCs w:val="22"/>
        </w:rPr>
        <w:t>. 29: 17–28.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268. Mitchell PS, Parkin RK, Kroh EM, Fritz BR, Wyman SK, Pogosova-Agadjanyan EL, </w:t>
      </w:r>
      <w:r w:rsidRPr="0063132D">
        <w:rPr>
          <w:rFonts w:ascii="Arial" w:hAnsi="Arial" w:cs="Arial"/>
          <w:i/>
          <w:iCs/>
          <w:noProof/>
          <w:sz w:val="22"/>
          <w:szCs w:val="22"/>
        </w:rPr>
        <w:t>et al.</w:t>
      </w:r>
      <w:r w:rsidRPr="0063132D">
        <w:rPr>
          <w:rFonts w:ascii="Arial" w:hAnsi="Arial" w:cs="Arial"/>
          <w:noProof/>
          <w:sz w:val="22"/>
          <w:szCs w:val="22"/>
        </w:rPr>
        <w:t xml:space="preserve"> (2008): Circulating microRNAs as stable blood-based markers for cancer detection. </w:t>
      </w:r>
      <w:r w:rsidRPr="0063132D">
        <w:rPr>
          <w:rFonts w:ascii="Arial" w:hAnsi="Arial" w:cs="Arial"/>
          <w:i/>
          <w:iCs/>
          <w:noProof/>
          <w:sz w:val="22"/>
          <w:szCs w:val="22"/>
        </w:rPr>
        <w:t>Proc Natl Acad Sci</w:t>
      </w:r>
      <w:r w:rsidRPr="0063132D">
        <w:rPr>
          <w:rFonts w:ascii="Arial" w:hAnsi="Arial" w:cs="Arial"/>
          <w:noProof/>
          <w:sz w:val="22"/>
          <w:szCs w:val="22"/>
        </w:rPr>
        <w:t>. 105: 10513–10518.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269. Xu Y, Liu H, Li F, Sun N, Ren Y, Liu Z, </w:t>
      </w:r>
      <w:r w:rsidRPr="0063132D">
        <w:rPr>
          <w:rFonts w:ascii="Arial" w:hAnsi="Arial" w:cs="Arial"/>
          <w:i/>
          <w:iCs/>
          <w:noProof/>
          <w:sz w:val="22"/>
          <w:szCs w:val="22"/>
        </w:rPr>
        <w:t>et al.</w:t>
      </w:r>
      <w:r w:rsidRPr="0063132D">
        <w:rPr>
          <w:rFonts w:ascii="Arial" w:hAnsi="Arial" w:cs="Arial"/>
          <w:noProof/>
          <w:sz w:val="22"/>
          <w:szCs w:val="22"/>
        </w:rPr>
        <w:t xml:space="preserve"> (2010): A polymorphism in the microRNA-30e precursor associated with major depressive disorder risk and P300 waveform. </w:t>
      </w:r>
      <w:r w:rsidRPr="0063132D">
        <w:rPr>
          <w:rFonts w:ascii="Arial" w:hAnsi="Arial" w:cs="Arial"/>
          <w:i/>
          <w:iCs/>
          <w:noProof/>
          <w:sz w:val="22"/>
          <w:szCs w:val="22"/>
        </w:rPr>
        <w:t>J Affect Disord</w:t>
      </w:r>
      <w:r w:rsidRPr="0063132D">
        <w:rPr>
          <w:rFonts w:ascii="Arial" w:hAnsi="Arial" w:cs="Arial"/>
          <w:noProof/>
          <w:sz w:val="22"/>
          <w:szCs w:val="22"/>
        </w:rPr>
        <w:t>. 127: 332–336.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270. Liang Y, Zhao G, Sun R, Mao Y, Li G, Chen X, </w:t>
      </w:r>
      <w:r w:rsidRPr="0063132D">
        <w:rPr>
          <w:rFonts w:ascii="Arial" w:hAnsi="Arial" w:cs="Arial"/>
          <w:i/>
          <w:iCs/>
          <w:noProof/>
          <w:sz w:val="22"/>
          <w:szCs w:val="22"/>
        </w:rPr>
        <w:t>et al.</w:t>
      </w:r>
      <w:r w:rsidRPr="0063132D">
        <w:rPr>
          <w:rFonts w:ascii="Arial" w:hAnsi="Arial" w:cs="Arial"/>
          <w:noProof/>
          <w:sz w:val="22"/>
          <w:szCs w:val="22"/>
        </w:rPr>
        <w:t xml:space="preserve"> (2015): Genetic variants in the promoters of let-7 family are associated with an increased risk of major depressive disorder. 183: 295–299.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271. Whalley HC, Papmeyer M, Romaniuk L, Sprooten E, Johnstone EC, Hall J, </w:t>
      </w:r>
      <w:r w:rsidRPr="0063132D">
        <w:rPr>
          <w:rFonts w:ascii="Arial" w:hAnsi="Arial" w:cs="Arial"/>
          <w:i/>
          <w:iCs/>
          <w:noProof/>
          <w:sz w:val="22"/>
          <w:szCs w:val="22"/>
        </w:rPr>
        <w:t>et al.</w:t>
      </w:r>
      <w:r w:rsidRPr="0063132D">
        <w:rPr>
          <w:rFonts w:ascii="Arial" w:hAnsi="Arial" w:cs="Arial"/>
          <w:noProof/>
          <w:sz w:val="22"/>
          <w:szCs w:val="22"/>
        </w:rPr>
        <w:t xml:space="preserve"> (2012): Impact of a microRNA MIR137 susceptibility variant on brain function in people at high genetic risk of schizophrenia or bipolar disorder. </w:t>
      </w:r>
      <w:r w:rsidRPr="0063132D">
        <w:rPr>
          <w:rFonts w:ascii="Arial" w:hAnsi="Arial" w:cs="Arial"/>
          <w:i/>
          <w:iCs/>
          <w:noProof/>
          <w:sz w:val="22"/>
          <w:szCs w:val="22"/>
        </w:rPr>
        <w:t>Neuropsychopharmacology</w:t>
      </w:r>
      <w:r w:rsidRPr="0063132D">
        <w:rPr>
          <w:rFonts w:ascii="Arial" w:hAnsi="Arial" w:cs="Arial"/>
          <w:noProof/>
          <w:sz w:val="22"/>
          <w:szCs w:val="22"/>
        </w:rPr>
        <w:t>. 37: 2720–9.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272. Maffioletti E, Cattaneo A, Rosso G, Maina G, Maj C, Gennarelli M, </w:t>
      </w:r>
      <w:r w:rsidRPr="0063132D">
        <w:rPr>
          <w:rFonts w:ascii="Arial" w:hAnsi="Arial" w:cs="Arial"/>
          <w:i/>
          <w:iCs/>
          <w:noProof/>
          <w:sz w:val="22"/>
          <w:szCs w:val="22"/>
        </w:rPr>
        <w:t>et al.</w:t>
      </w:r>
      <w:r w:rsidRPr="0063132D">
        <w:rPr>
          <w:rFonts w:ascii="Arial" w:hAnsi="Arial" w:cs="Arial"/>
          <w:noProof/>
          <w:sz w:val="22"/>
          <w:szCs w:val="22"/>
        </w:rPr>
        <w:t xml:space="preserve"> (2016): Peripheral whole blood microRNA alterations in major depression and bipolar disorder. </w:t>
      </w:r>
      <w:r w:rsidRPr="0063132D">
        <w:rPr>
          <w:rFonts w:ascii="Arial" w:hAnsi="Arial" w:cs="Arial"/>
          <w:i/>
          <w:iCs/>
          <w:noProof/>
          <w:sz w:val="22"/>
          <w:szCs w:val="22"/>
        </w:rPr>
        <w:t>J Affect Disord</w:t>
      </w:r>
      <w:r w:rsidRPr="0063132D">
        <w:rPr>
          <w:rFonts w:ascii="Arial" w:hAnsi="Arial" w:cs="Arial"/>
          <w:noProof/>
          <w:sz w:val="22"/>
          <w:szCs w:val="22"/>
        </w:rPr>
        <w:t>. 200. doi: 10.1016/j.jad.2016.04.021.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273. Haramati S, Navon I, Issler O, Ezra-Nevo G, Gil S, Zwang R, </w:t>
      </w:r>
      <w:r w:rsidRPr="0063132D">
        <w:rPr>
          <w:rFonts w:ascii="Arial" w:hAnsi="Arial" w:cs="Arial"/>
          <w:i/>
          <w:iCs/>
          <w:noProof/>
          <w:sz w:val="22"/>
          <w:szCs w:val="22"/>
        </w:rPr>
        <w:t>et al.</w:t>
      </w:r>
      <w:r w:rsidRPr="0063132D">
        <w:rPr>
          <w:rFonts w:ascii="Arial" w:hAnsi="Arial" w:cs="Arial"/>
          <w:noProof/>
          <w:sz w:val="22"/>
          <w:szCs w:val="22"/>
        </w:rPr>
        <w:t xml:space="preserve"> (2011): microRNA as Repressors of Stress-Induced Anxiety: The Case of Amygdalar miR-34. </w:t>
      </w:r>
      <w:r w:rsidRPr="0063132D">
        <w:rPr>
          <w:rFonts w:ascii="Arial" w:hAnsi="Arial" w:cs="Arial"/>
          <w:i/>
          <w:iCs/>
          <w:noProof/>
          <w:sz w:val="22"/>
          <w:szCs w:val="22"/>
        </w:rPr>
        <w:t>J Neurosci</w:t>
      </w:r>
      <w:r w:rsidRPr="0063132D">
        <w:rPr>
          <w:rFonts w:ascii="Arial" w:hAnsi="Arial" w:cs="Arial"/>
          <w:noProof/>
          <w:sz w:val="22"/>
          <w:szCs w:val="22"/>
        </w:rPr>
        <w:t>. 31: 14191–14203.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274. Jensen KP, Kranzler HR, Stein MB, Gelernter J (2014): The effects of a MAP2K5 microRNA target site SNP on risk for anxiety and depressive disorders. </w:t>
      </w:r>
      <w:r w:rsidRPr="0063132D">
        <w:rPr>
          <w:rFonts w:ascii="Arial" w:hAnsi="Arial" w:cs="Arial"/>
          <w:i/>
          <w:iCs/>
          <w:noProof/>
          <w:sz w:val="22"/>
          <w:szCs w:val="22"/>
        </w:rPr>
        <w:t>Am J Med Genet Part B Neuropsychiatr Genet</w:t>
      </w:r>
      <w:r w:rsidRPr="0063132D">
        <w:rPr>
          <w:rFonts w:ascii="Arial" w:hAnsi="Arial" w:cs="Arial"/>
          <w:noProof/>
          <w:sz w:val="22"/>
          <w:szCs w:val="22"/>
        </w:rPr>
        <w:t>. 165: 175–183.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275. Song H tao, Sun X yang, Zhang L, Zhao L, Guo Z min, Fan H min, </w:t>
      </w:r>
      <w:r w:rsidRPr="0063132D">
        <w:rPr>
          <w:rFonts w:ascii="Arial" w:hAnsi="Arial" w:cs="Arial"/>
          <w:i/>
          <w:iCs/>
          <w:noProof/>
          <w:sz w:val="22"/>
          <w:szCs w:val="22"/>
        </w:rPr>
        <w:t>et al.</w:t>
      </w:r>
      <w:r w:rsidRPr="0063132D">
        <w:rPr>
          <w:rFonts w:ascii="Arial" w:hAnsi="Arial" w:cs="Arial"/>
          <w:noProof/>
          <w:sz w:val="22"/>
          <w:szCs w:val="22"/>
        </w:rPr>
        <w:t xml:space="preserve"> (2014): A preliminary analysis of association between the down-regulation of microRNA-181b expression and symptomatology improvement in schizophrenia patients before and after antipsychotic treatment. </w:t>
      </w:r>
      <w:r w:rsidRPr="0063132D">
        <w:rPr>
          <w:rFonts w:ascii="Arial" w:hAnsi="Arial" w:cs="Arial"/>
          <w:i/>
          <w:iCs/>
          <w:noProof/>
          <w:sz w:val="22"/>
          <w:szCs w:val="22"/>
        </w:rPr>
        <w:t>J Psychiatr Res</w:t>
      </w:r>
      <w:r w:rsidRPr="0063132D">
        <w:rPr>
          <w:rFonts w:ascii="Arial" w:hAnsi="Arial" w:cs="Arial"/>
          <w:noProof/>
          <w:sz w:val="22"/>
          <w:szCs w:val="22"/>
        </w:rPr>
        <w:t>. 54: 134–140.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276. Beveridge NJ, Tooney PA, Carroll AP, Gardiner E, Bowden N, Scott RJ, </w:t>
      </w:r>
      <w:r w:rsidRPr="0063132D">
        <w:rPr>
          <w:rFonts w:ascii="Arial" w:hAnsi="Arial" w:cs="Arial"/>
          <w:i/>
          <w:iCs/>
          <w:noProof/>
          <w:sz w:val="22"/>
          <w:szCs w:val="22"/>
        </w:rPr>
        <w:t>et al.</w:t>
      </w:r>
      <w:r w:rsidRPr="0063132D">
        <w:rPr>
          <w:rFonts w:ascii="Arial" w:hAnsi="Arial" w:cs="Arial"/>
          <w:noProof/>
          <w:sz w:val="22"/>
          <w:szCs w:val="22"/>
        </w:rPr>
        <w:t xml:space="preserve"> (2008): Dysregulation of miRNA 181b in the temporal cortex in schizophrenia. </w:t>
      </w:r>
      <w:r w:rsidRPr="0063132D">
        <w:rPr>
          <w:rFonts w:ascii="Arial" w:hAnsi="Arial" w:cs="Arial"/>
          <w:i/>
          <w:iCs/>
          <w:noProof/>
          <w:sz w:val="22"/>
          <w:szCs w:val="22"/>
        </w:rPr>
        <w:t>Hum Mol Genet</w:t>
      </w:r>
      <w:r w:rsidRPr="0063132D">
        <w:rPr>
          <w:rFonts w:ascii="Arial" w:hAnsi="Arial" w:cs="Arial"/>
          <w:noProof/>
          <w:sz w:val="22"/>
          <w:szCs w:val="22"/>
        </w:rPr>
        <w:t>. 17: 1156–1168.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277. Wingo AP, Almli LM, Stevens JS, Klengel T, Uddin M, Li Y, </w:t>
      </w:r>
      <w:r w:rsidRPr="0063132D">
        <w:rPr>
          <w:rFonts w:ascii="Arial" w:hAnsi="Arial" w:cs="Arial"/>
          <w:i/>
          <w:iCs/>
          <w:noProof/>
          <w:sz w:val="22"/>
          <w:szCs w:val="22"/>
        </w:rPr>
        <w:t>et al.</w:t>
      </w:r>
      <w:r w:rsidRPr="0063132D">
        <w:rPr>
          <w:rFonts w:ascii="Arial" w:hAnsi="Arial" w:cs="Arial"/>
          <w:noProof/>
          <w:sz w:val="22"/>
          <w:szCs w:val="22"/>
        </w:rPr>
        <w:t xml:space="preserve"> (2015): DICER1 and microRNA regulation in post-traumatic stress disorder with comorbid depression. </w:t>
      </w:r>
      <w:r w:rsidRPr="0063132D">
        <w:rPr>
          <w:rFonts w:ascii="Arial" w:hAnsi="Arial" w:cs="Arial"/>
          <w:i/>
          <w:iCs/>
          <w:noProof/>
          <w:sz w:val="22"/>
          <w:szCs w:val="22"/>
        </w:rPr>
        <w:t>Nat Commun</w:t>
      </w:r>
      <w:r w:rsidRPr="0063132D">
        <w:rPr>
          <w:rFonts w:ascii="Arial" w:hAnsi="Arial" w:cs="Arial"/>
          <w:noProof/>
          <w:sz w:val="22"/>
          <w:szCs w:val="22"/>
        </w:rPr>
        <w:t>. 6: 10106.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278. Zaits MN, Rennert OM (2014): Identification of differentially expressed microRNAs across the developing human brain. </w:t>
      </w:r>
      <w:r w:rsidRPr="0063132D">
        <w:rPr>
          <w:rFonts w:ascii="Arial" w:hAnsi="Arial" w:cs="Arial"/>
          <w:i/>
          <w:iCs/>
          <w:noProof/>
          <w:sz w:val="22"/>
          <w:szCs w:val="22"/>
        </w:rPr>
        <w:t>Mol Psychiatry</w:t>
      </w:r>
      <w:r w:rsidRPr="0063132D">
        <w:rPr>
          <w:rFonts w:ascii="Arial" w:hAnsi="Arial" w:cs="Arial"/>
          <w:noProof/>
          <w:sz w:val="22"/>
          <w:szCs w:val="22"/>
        </w:rPr>
        <w:t>. 19: 848–852.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279. Wu Q, Yang Z, Shi Y, Fan D (2014): MiRNAs in human cancers: the diagnostic and therapeutic implications. </w:t>
      </w:r>
      <w:r w:rsidRPr="0063132D">
        <w:rPr>
          <w:rFonts w:ascii="Arial" w:hAnsi="Arial" w:cs="Arial"/>
          <w:i/>
          <w:iCs/>
          <w:noProof/>
          <w:sz w:val="22"/>
          <w:szCs w:val="22"/>
        </w:rPr>
        <w:t>Curr Pharm Des</w:t>
      </w:r>
      <w:r w:rsidRPr="0063132D">
        <w:rPr>
          <w:rFonts w:ascii="Arial" w:hAnsi="Arial" w:cs="Arial"/>
          <w:noProof/>
          <w:sz w:val="22"/>
          <w:szCs w:val="22"/>
        </w:rPr>
        <w:t>. 20: 5336–5347.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280. Jimenez-Mateos EM, Henshall DC (2013): Epilepsy and microRNA. </w:t>
      </w:r>
      <w:r w:rsidRPr="0063132D">
        <w:rPr>
          <w:rFonts w:ascii="Arial" w:hAnsi="Arial" w:cs="Arial"/>
          <w:i/>
          <w:iCs/>
          <w:noProof/>
          <w:sz w:val="22"/>
          <w:szCs w:val="22"/>
        </w:rPr>
        <w:t>Neuroscience</w:t>
      </w:r>
      <w:r w:rsidRPr="0063132D">
        <w:rPr>
          <w:rFonts w:ascii="Arial" w:hAnsi="Arial" w:cs="Arial"/>
          <w:noProof/>
          <w:sz w:val="22"/>
          <w:szCs w:val="22"/>
        </w:rPr>
        <w:t>. 238: 218–229.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281. Chistiakov DA, Orekhov AN, Bobryshev Y V. (2016): Cardiac-specific miRNA in </w:t>
      </w:r>
      <w:r w:rsidRPr="0063132D">
        <w:rPr>
          <w:rFonts w:ascii="Arial" w:hAnsi="Arial" w:cs="Arial"/>
          <w:noProof/>
          <w:sz w:val="22"/>
          <w:szCs w:val="22"/>
        </w:rPr>
        <w:lastRenderedPageBreak/>
        <w:t xml:space="preserve">cardiogenesis, heart function, and cardiac pathology (with focus on myocardial infarction). </w:t>
      </w:r>
      <w:r w:rsidRPr="0063132D">
        <w:rPr>
          <w:rFonts w:ascii="Arial" w:hAnsi="Arial" w:cs="Arial"/>
          <w:i/>
          <w:iCs/>
          <w:noProof/>
          <w:sz w:val="22"/>
          <w:szCs w:val="22"/>
        </w:rPr>
        <w:t>J Mol Cell Cardiol</w:t>
      </w:r>
      <w:r w:rsidRPr="0063132D">
        <w:rPr>
          <w:rFonts w:ascii="Arial" w:hAnsi="Arial" w:cs="Arial"/>
          <w:noProof/>
          <w:sz w:val="22"/>
          <w:szCs w:val="22"/>
        </w:rPr>
        <w:t>. 94: 107–121.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282. Rupani H, Sanchez-Elsner T, Howarth P (2013): MicroRNAs and respiratory diseases. </w:t>
      </w:r>
      <w:r w:rsidRPr="0063132D">
        <w:rPr>
          <w:rFonts w:ascii="Arial" w:hAnsi="Arial" w:cs="Arial"/>
          <w:i/>
          <w:iCs/>
          <w:noProof/>
          <w:sz w:val="22"/>
          <w:szCs w:val="22"/>
        </w:rPr>
        <w:t>Eur Respir J</w:t>
      </w:r>
      <w:r w:rsidRPr="0063132D">
        <w:rPr>
          <w:rFonts w:ascii="Arial" w:hAnsi="Arial" w:cs="Arial"/>
          <w:noProof/>
          <w:sz w:val="22"/>
          <w:szCs w:val="22"/>
        </w:rPr>
        <w:t>. 41: 695–705.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283. Konta T, Ichikawa K, Suzuki K, Kudo K, Satoh H, Kamei K, </w:t>
      </w:r>
      <w:r w:rsidRPr="0063132D">
        <w:rPr>
          <w:rFonts w:ascii="Arial" w:hAnsi="Arial" w:cs="Arial"/>
          <w:i/>
          <w:iCs/>
          <w:noProof/>
          <w:sz w:val="22"/>
          <w:szCs w:val="22"/>
        </w:rPr>
        <w:t>et al.</w:t>
      </w:r>
      <w:r w:rsidRPr="0063132D">
        <w:rPr>
          <w:rFonts w:ascii="Arial" w:hAnsi="Arial" w:cs="Arial"/>
          <w:noProof/>
          <w:sz w:val="22"/>
          <w:szCs w:val="22"/>
        </w:rPr>
        <w:t xml:space="preserve"> (2014): A microarray analysis of urinary microRNAs in renal diseases. </w:t>
      </w:r>
      <w:r w:rsidRPr="0063132D">
        <w:rPr>
          <w:rFonts w:ascii="Arial" w:hAnsi="Arial" w:cs="Arial"/>
          <w:i/>
          <w:iCs/>
          <w:noProof/>
          <w:sz w:val="22"/>
          <w:szCs w:val="22"/>
        </w:rPr>
        <w:t>Clin Exp Nephrol</w:t>
      </w:r>
      <w:r w:rsidRPr="0063132D">
        <w:rPr>
          <w:rFonts w:ascii="Arial" w:hAnsi="Arial" w:cs="Arial"/>
          <w:noProof/>
          <w:sz w:val="22"/>
          <w:szCs w:val="22"/>
        </w:rPr>
        <w:t>. 18: 711–717.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284. Zhou J, Zheng Q, Xu T, Liao D, Zhang Y, Yang S, Hu J (2014): Associations between physical activity-related miRNAs and metabolic syndrome. </w:t>
      </w:r>
      <w:r w:rsidRPr="0063132D">
        <w:rPr>
          <w:rFonts w:ascii="Arial" w:hAnsi="Arial" w:cs="Arial"/>
          <w:i/>
          <w:iCs/>
          <w:noProof/>
          <w:sz w:val="22"/>
          <w:szCs w:val="22"/>
        </w:rPr>
        <w:t>Horm Metab Res</w:t>
      </w:r>
      <w:r w:rsidRPr="0063132D">
        <w:rPr>
          <w:rFonts w:ascii="Arial" w:hAnsi="Arial" w:cs="Arial"/>
          <w:noProof/>
          <w:sz w:val="22"/>
          <w:szCs w:val="22"/>
        </w:rPr>
        <w:t>. 46: 201–205.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285. Butz H, Kinga N, Racz K, Patocs A (2016): Circulating miRNAs as biomarkers for endocrine disorders. </w:t>
      </w:r>
      <w:r w:rsidRPr="0063132D">
        <w:rPr>
          <w:rFonts w:ascii="Arial" w:hAnsi="Arial" w:cs="Arial"/>
          <w:i/>
          <w:iCs/>
          <w:noProof/>
          <w:sz w:val="22"/>
          <w:szCs w:val="22"/>
        </w:rPr>
        <w:t>J Endocrinol Invest</w:t>
      </w:r>
      <w:r w:rsidRPr="0063132D">
        <w:rPr>
          <w:rFonts w:ascii="Arial" w:hAnsi="Arial" w:cs="Arial"/>
          <w:noProof/>
          <w:sz w:val="22"/>
          <w:szCs w:val="22"/>
        </w:rPr>
        <w:t>. 39: 1–10.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286. Seo MS, Scarr E, Lai C-Y, Dean B (2014): Potential molecular and cellular mechanism of psychotropic drugs. </w:t>
      </w:r>
      <w:r w:rsidRPr="0063132D">
        <w:rPr>
          <w:rFonts w:ascii="Arial" w:hAnsi="Arial" w:cs="Arial"/>
          <w:i/>
          <w:iCs/>
          <w:noProof/>
          <w:sz w:val="22"/>
          <w:szCs w:val="22"/>
        </w:rPr>
        <w:t>Clin Psychopharmacol Neurosci</w:t>
      </w:r>
      <w:r w:rsidRPr="0063132D">
        <w:rPr>
          <w:rFonts w:ascii="Arial" w:hAnsi="Arial" w:cs="Arial"/>
          <w:noProof/>
          <w:sz w:val="22"/>
          <w:szCs w:val="22"/>
        </w:rPr>
        <w:t>. 12: 94–110.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287. Centers for Disease Control and Prevention (CDC) (2005): Mental health in the United States. Prevalence of diagnosis and medication treatment for attention-deficit/hyperactivity disorder--United States, 2003. </w:t>
      </w:r>
      <w:r w:rsidRPr="0063132D">
        <w:rPr>
          <w:rFonts w:ascii="Arial" w:hAnsi="Arial" w:cs="Arial"/>
          <w:i/>
          <w:iCs/>
          <w:noProof/>
          <w:sz w:val="22"/>
          <w:szCs w:val="22"/>
        </w:rPr>
        <w:t>MMWR Morb Mortal Wkly Rep</w:t>
      </w:r>
      <w:r w:rsidRPr="0063132D">
        <w:rPr>
          <w:rFonts w:ascii="Arial" w:hAnsi="Arial" w:cs="Arial"/>
          <w:noProof/>
          <w:sz w:val="22"/>
          <w:szCs w:val="22"/>
        </w:rPr>
        <w:t>. 54: 842–7.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288. Durukan I, Karaman D, Kara K, Türker T, Tufan AE, Yalçin Ö, Karabekiroǧlu K (2011): Diagnoses of patients referring to a child and adolescent psychiatry outpatient clinic. </w:t>
      </w:r>
      <w:r w:rsidRPr="0063132D">
        <w:rPr>
          <w:rFonts w:ascii="Arial" w:hAnsi="Arial" w:cs="Arial"/>
          <w:i/>
          <w:iCs/>
          <w:noProof/>
          <w:sz w:val="22"/>
          <w:szCs w:val="22"/>
        </w:rPr>
        <w:t>Dusunen Adam</w:t>
      </w:r>
      <w:r w:rsidRPr="0063132D">
        <w:rPr>
          <w:rFonts w:ascii="Arial" w:hAnsi="Arial" w:cs="Arial"/>
          <w:noProof/>
          <w:sz w:val="22"/>
          <w:szCs w:val="22"/>
        </w:rPr>
        <w:t>. 24: 113–120.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289. Russell AE, Ford T, Williams R, Russell G (2016): The Association Between Socioeconomic Disadvantage and Attention Deficit/Hyperactivity Disorder (ADHD): A Systematic Review. </w:t>
      </w:r>
      <w:r w:rsidRPr="0063132D">
        <w:rPr>
          <w:rFonts w:ascii="Arial" w:hAnsi="Arial" w:cs="Arial"/>
          <w:i/>
          <w:iCs/>
          <w:noProof/>
          <w:sz w:val="22"/>
          <w:szCs w:val="22"/>
        </w:rPr>
        <w:t>Child Psychiatry Hum Dev</w:t>
      </w:r>
      <w:r w:rsidRPr="0063132D">
        <w:rPr>
          <w:rFonts w:ascii="Arial" w:hAnsi="Arial" w:cs="Arial"/>
          <w:noProof/>
          <w:sz w:val="22"/>
          <w:szCs w:val="22"/>
        </w:rPr>
        <w:t>. 47: 440–458.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290. Russell AE, Ford T, Russell G (2015): Socioeconomic associations with ADHD: Findings from a mediation analysis. </w:t>
      </w:r>
      <w:r w:rsidRPr="0063132D">
        <w:rPr>
          <w:rFonts w:ascii="Arial" w:hAnsi="Arial" w:cs="Arial"/>
          <w:i/>
          <w:iCs/>
          <w:noProof/>
          <w:sz w:val="22"/>
          <w:szCs w:val="22"/>
        </w:rPr>
        <w:t>PLoS One</w:t>
      </w:r>
      <w:r w:rsidRPr="0063132D">
        <w:rPr>
          <w:rFonts w:ascii="Arial" w:hAnsi="Arial" w:cs="Arial"/>
          <w:noProof/>
          <w:sz w:val="22"/>
          <w:szCs w:val="22"/>
        </w:rPr>
        <w:t>. 10. doi: 10.1371/journal.pone.0128248.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291. Erhart M, Döpfner M, Ravens-Sieberer U (2008): Psychometric properties of two ADHD questionnaires: Comparing the conners’ scale and the FBB-HKS in the general population of german children and adolescents - Results of the BELLA study. </w:t>
      </w:r>
      <w:r w:rsidRPr="0063132D">
        <w:rPr>
          <w:rFonts w:ascii="Arial" w:hAnsi="Arial" w:cs="Arial"/>
          <w:i/>
          <w:iCs/>
          <w:noProof/>
          <w:sz w:val="22"/>
          <w:szCs w:val="22"/>
        </w:rPr>
        <w:t>Eur Child Adolesc Psychiatry</w:t>
      </w:r>
      <w:r w:rsidRPr="0063132D">
        <w:rPr>
          <w:rFonts w:ascii="Arial" w:hAnsi="Arial" w:cs="Arial"/>
          <w:noProof/>
          <w:sz w:val="22"/>
          <w:szCs w:val="22"/>
        </w:rPr>
        <w:t>. 17: 106–115.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292. Çak HT, Gökler B (2013): Erken doğan çocuklarda dikkat eksikliği hiperaktivite bozukluğu ve ilişkili doğum öncesi risk etkenleri. </w:t>
      </w:r>
      <w:r w:rsidRPr="0063132D">
        <w:rPr>
          <w:rFonts w:ascii="Arial" w:hAnsi="Arial" w:cs="Arial"/>
          <w:i/>
          <w:iCs/>
          <w:noProof/>
          <w:sz w:val="22"/>
          <w:szCs w:val="22"/>
        </w:rPr>
        <w:t>Türk Pediatr Arşivi</w:t>
      </w:r>
      <w:r w:rsidRPr="0063132D">
        <w:rPr>
          <w:rFonts w:ascii="Arial" w:hAnsi="Arial" w:cs="Arial"/>
          <w:noProof/>
          <w:sz w:val="22"/>
          <w:szCs w:val="22"/>
        </w:rPr>
        <w:t>. 48. doi: 10.4274/TPA.682.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293. Perales F, Johnson SEE, Baxter J, Lawrence D, Zubrick SRR (2017): Family structure and childhood mental disorders: new findings from Australia. </w:t>
      </w:r>
      <w:r w:rsidRPr="0063132D">
        <w:rPr>
          <w:rFonts w:ascii="Arial" w:hAnsi="Arial" w:cs="Arial"/>
          <w:i/>
          <w:iCs/>
          <w:noProof/>
          <w:sz w:val="22"/>
          <w:szCs w:val="22"/>
        </w:rPr>
        <w:t>Soc Psychiatry Psychiatr Epidemiol</w:t>
      </w:r>
      <w:r w:rsidRPr="0063132D">
        <w:rPr>
          <w:rFonts w:ascii="Arial" w:hAnsi="Arial" w:cs="Arial"/>
          <w:noProof/>
          <w:sz w:val="22"/>
          <w:szCs w:val="22"/>
        </w:rPr>
        <w:t>. 52: 423–433.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294. Middeldorp CM, Wesseldijk LW, Hudziak JJ, Verhulst FC, Lindauer RJL, Dieleman GC (2016): Parents of children with psychopathology: psychiatric problems and the association with their child’s problems. </w:t>
      </w:r>
      <w:r w:rsidRPr="0063132D">
        <w:rPr>
          <w:rFonts w:ascii="Arial" w:hAnsi="Arial" w:cs="Arial"/>
          <w:i/>
          <w:iCs/>
          <w:noProof/>
          <w:sz w:val="22"/>
          <w:szCs w:val="22"/>
        </w:rPr>
        <w:t>Eur Child Adolesc Psychiatry</w:t>
      </w:r>
      <w:r w:rsidRPr="0063132D">
        <w:rPr>
          <w:rFonts w:ascii="Arial" w:hAnsi="Arial" w:cs="Arial"/>
          <w:noProof/>
          <w:sz w:val="22"/>
          <w:szCs w:val="22"/>
        </w:rPr>
        <w:t>. 25: 919–927.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295. Choi W-J, Kwon H-J, Lim MH, Lim J-A, Ha M (2016): Blood lead, parental marital status and the risk of attention-deficit/hyperactivity disorder in elementary school children: A longitudinal study. </w:t>
      </w:r>
      <w:r w:rsidRPr="0063132D">
        <w:rPr>
          <w:rFonts w:ascii="Arial" w:hAnsi="Arial" w:cs="Arial"/>
          <w:i/>
          <w:iCs/>
          <w:noProof/>
          <w:sz w:val="22"/>
          <w:szCs w:val="22"/>
        </w:rPr>
        <w:t>Psychiatry Res</w:t>
      </w:r>
      <w:r w:rsidRPr="0063132D">
        <w:rPr>
          <w:rFonts w:ascii="Arial" w:hAnsi="Arial" w:cs="Arial"/>
          <w:noProof/>
          <w:sz w:val="22"/>
          <w:szCs w:val="22"/>
        </w:rPr>
        <w:t>. 236: 42–46.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296. Canals J, Morales-Hidalgo P, Jané MC, Domènech E (2016): ADHD Prevalence in Spanish Preschoolers: Comorbidity, Socio-Demographic Factors, and Functional Consequences. </w:t>
      </w:r>
      <w:r w:rsidRPr="0063132D">
        <w:rPr>
          <w:rFonts w:ascii="Arial" w:hAnsi="Arial" w:cs="Arial"/>
          <w:i/>
          <w:iCs/>
          <w:noProof/>
          <w:sz w:val="22"/>
          <w:szCs w:val="22"/>
        </w:rPr>
        <w:t>J Atten Disord</w:t>
      </w:r>
      <w:r w:rsidRPr="0063132D">
        <w:rPr>
          <w:rFonts w:ascii="Arial" w:hAnsi="Arial" w:cs="Arial"/>
          <w:noProof/>
          <w:sz w:val="22"/>
          <w:szCs w:val="22"/>
        </w:rPr>
        <w:t>. . doi: 10.1177/1087054716638511.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297. Talge NM, Allswede DM, Holzman C (2016): Gestational Age at Term, Delivery Circumstance, and Their Association with Childhood Attention Deficit Hyperactivity Disorder Symptoms. </w:t>
      </w:r>
      <w:r w:rsidRPr="0063132D">
        <w:rPr>
          <w:rFonts w:ascii="Arial" w:hAnsi="Arial" w:cs="Arial"/>
          <w:i/>
          <w:iCs/>
          <w:noProof/>
          <w:sz w:val="22"/>
          <w:szCs w:val="22"/>
        </w:rPr>
        <w:t>Paediatr Perinat Epidemiol</w:t>
      </w:r>
      <w:r w:rsidRPr="0063132D">
        <w:rPr>
          <w:rFonts w:ascii="Arial" w:hAnsi="Arial" w:cs="Arial"/>
          <w:noProof/>
          <w:sz w:val="22"/>
          <w:szCs w:val="22"/>
        </w:rPr>
        <w:t>. 30: 171–180.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298. Curran EA, Khashan AS, Dalman C, Kenny LC, Cryan JF, Dinan TG, Kearney </w:t>
      </w:r>
      <w:r w:rsidRPr="0063132D">
        <w:rPr>
          <w:rFonts w:ascii="Arial" w:hAnsi="Arial" w:cs="Arial"/>
          <w:noProof/>
          <w:sz w:val="22"/>
          <w:szCs w:val="22"/>
        </w:rPr>
        <w:lastRenderedPageBreak/>
        <w:t xml:space="preserve">PM (2016): Obstetric mode of delivery and attention-deficit/hyperactivity disorder: A sibling-matched study. </w:t>
      </w:r>
      <w:r w:rsidRPr="0063132D">
        <w:rPr>
          <w:rFonts w:ascii="Arial" w:hAnsi="Arial" w:cs="Arial"/>
          <w:i/>
          <w:iCs/>
          <w:noProof/>
          <w:sz w:val="22"/>
          <w:szCs w:val="22"/>
        </w:rPr>
        <w:t>Int J Epidemiol</w:t>
      </w:r>
      <w:r w:rsidRPr="0063132D">
        <w:rPr>
          <w:rFonts w:ascii="Arial" w:hAnsi="Arial" w:cs="Arial"/>
          <w:noProof/>
          <w:sz w:val="22"/>
          <w:szCs w:val="22"/>
        </w:rPr>
        <w:t>. 45: 532–542.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299. Jaekel J, Wolke D, Bartmann P (2013): Poor attention rather than hyperactivity/impulsivity predicts academic achievement in very preterm and full-term adolescents. </w:t>
      </w:r>
      <w:r w:rsidRPr="0063132D">
        <w:rPr>
          <w:rFonts w:ascii="Arial" w:hAnsi="Arial" w:cs="Arial"/>
          <w:i/>
          <w:iCs/>
          <w:noProof/>
          <w:sz w:val="22"/>
          <w:szCs w:val="22"/>
        </w:rPr>
        <w:t>Psychol Med</w:t>
      </w:r>
      <w:r w:rsidRPr="0063132D">
        <w:rPr>
          <w:rFonts w:ascii="Arial" w:hAnsi="Arial" w:cs="Arial"/>
          <w:noProof/>
          <w:sz w:val="22"/>
          <w:szCs w:val="22"/>
        </w:rPr>
        <w:t>. 43: 183–196.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300. Päkkilä F, Männistö T, Pouta A, Hartikainen AL, Ruokonen A, Surcel HM, </w:t>
      </w:r>
      <w:r w:rsidRPr="0063132D">
        <w:rPr>
          <w:rFonts w:ascii="Arial" w:hAnsi="Arial" w:cs="Arial"/>
          <w:i/>
          <w:iCs/>
          <w:noProof/>
          <w:sz w:val="22"/>
          <w:szCs w:val="22"/>
        </w:rPr>
        <w:t>et al.</w:t>
      </w:r>
      <w:r w:rsidRPr="0063132D">
        <w:rPr>
          <w:rFonts w:ascii="Arial" w:hAnsi="Arial" w:cs="Arial"/>
          <w:noProof/>
          <w:sz w:val="22"/>
          <w:szCs w:val="22"/>
        </w:rPr>
        <w:t xml:space="preserve"> (2014): The impact of gestational thyroid hormone concentrations on ADHD symptoms of the child. </w:t>
      </w:r>
      <w:r w:rsidRPr="0063132D">
        <w:rPr>
          <w:rFonts w:ascii="Arial" w:hAnsi="Arial" w:cs="Arial"/>
          <w:i/>
          <w:iCs/>
          <w:noProof/>
          <w:sz w:val="22"/>
          <w:szCs w:val="22"/>
        </w:rPr>
        <w:t>J Clin Endocrinol Metab</w:t>
      </w:r>
      <w:r w:rsidRPr="0063132D">
        <w:rPr>
          <w:rFonts w:ascii="Arial" w:hAnsi="Arial" w:cs="Arial"/>
          <w:noProof/>
          <w:sz w:val="22"/>
          <w:szCs w:val="22"/>
        </w:rPr>
        <w:t>. 99. doi: 10.1210/jc.2013-2943.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301. Park S, Cho S-C, Kim J-W, Shin M-S, Yoo H-J, Oh SM, </w:t>
      </w:r>
      <w:r w:rsidRPr="0063132D">
        <w:rPr>
          <w:rFonts w:ascii="Arial" w:hAnsi="Arial" w:cs="Arial"/>
          <w:i/>
          <w:iCs/>
          <w:noProof/>
          <w:sz w:val="22"/>
          <w:szCs w:val="22"/>
        </w:rPr>
        <w:t>et al.</w:t>
      </w:r>
      <w:r w:rsidRPr="0063132D">
        <w:rPr>
          <w:rFonts w:ascii="Arial" w:hAnsi="Arial" w:cs="Arial"/>
          <w:noProof/>
          <w:sz w:val="22"/>
          <w:szCs w:val="22"/>
        </w:rPr>
        <w:t xml:space="preserve"> (2014): Differential perinatal risk factors in children with attention-deficit/hyperactivity disorder by subtype. </w:t>
      </w:r>
      <w:r w:rsidRPr="0063132D">
        <w:rPr>
          <w:rFonts w:ascii="Arial" w:hAnsi="Arial" w:cs="Arial"/>
          <w:i/>
          <w:iCs/>
          <w:noProof/>
          <w:sz w:val="22"/>
          <w:szCs w:val="22"/>
        </w:rPr>
        <w:t>Psychiatry Res</w:t>
      </w:r>
      <w:r w:rsidRPr="0063132D">
        <w:rPr>
          <w:rFonts w:ascii="Arial" w:hAnsi="Arial" w:cs="Arial"/>
          <w:noProof/>
          <w:sz w:val="22"/>
          <w:szCs w:val="22"/>
        </w:rPr>
        <w:t>. 219: 609–616.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302. Efron D, Sciberras E, Anderson V, Hazell P, Ukoumunne OC, Jongeling B, </w:t>
      </w:r>
      <w:r w:rsidRPr="0063132D">
        <w:rPr>
          <w:rFonts w:ascii="Arial" w:hAnsi="Arial" w:cs="Arial"/>
          <w:i/>
          <w:iCs/>
          <w:noProof/>
          <w:sz w:val="22"/>
          <w:szCs w:val="22"/>
        </w:rPr>
        <w:t>et al.</w:t>
      </w:r>
      <w:r w:rsidRPr="0063132D">
        <w:rPr>
          <w:rFonts w:ascii="Arial" w:hAnsi="Arial" w:cs="Arial"/>
          <w:noProof/>
          <w:sz w:val="22"/>
          <w:szCs w:val="22"/>
        </w:rPr>
        <w:t xml:space="preserve"> (2014): Functional Status in Children With ADHD at Age 6-8: A Controlled Community Study. </w:t>
      </w:r>
      <w:r w:rsidRPr="0063132D">
        <w:rPr>
          <w:rFonts w:ascii="Arial" w:hAnsi="Arial" w:cs="Arial"/>
          <w:i/>
          <w:iCs/>
          <w:noProof/>
          <w:sz w:val="22"/>
          <w:szCs w:val="22"/>
        </w:rPr>
        <w:t>Pediatrics</w:t>
      </w:r>
      <w:r w:rsidRPr="0063132D">
        <w:rPr>
          <w:rFonts w:ascii="Arial" w:hAnsi="Arial" w:cs="Arial"/>
          <w:noProof/>
          <w:sz w:val="22"/>
          <w:szCs w:val="22"/>
        </w:rPr>
        <w:t>. 134: e992–e1000.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303. Power TJ, Werba BE, Watkins MW, Angelucci JG, Eiraldi RB (2006): Patterns of parent-reported homework problems among ADHD-referred and non-referred children. </w:t>
      </w:r>
      <w:r w:rsidRPr="0063132D">
        <w:rPr>
          <w:rFonts w:ascii="Arial" w:hAnsi="Arial" w:cs="Arial"/>
          <w:i/>
          <w:iCs/>
          <w:noProof/>
          <w:sz w:val="22"/>
          <w:szCs w:val="22"/>
        </w:rPr>
        <w:t>Sch Psychol Q</w:t>
      </w:r>
      <w:r w:rsidRPr="0063132D">
        <w:rPr>
          <w:rFonts w:ascii="Arial" w:hAnsi="Arial" w:cs="Arial"/>
          <w:noProof/>
          <w:sz w:val="22"/>
          <w:szCs w:val="22"/>
        </w:rPr>
        <w:t>. 21: 13–33.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304. Little CW, Hart SA, Schatschneider C, Taylor J (2016): Examining Associations Among ADHD, Homework Behavior, and Reading Comprehension. </w:t>
      </w:r>
      <w:r w:rsidRPr="0063132D">
        <w:rPr>
          <w:rFonts w:ascii="Arial" w:hAnsi="Arial" w:cs="Arial"/>
          <w:i/>
          <w:iCs/>
          <w:noProof/>
          <w:sz w:val="22"/>
          <w:szCs w:val="22"/>
        </w:rPr>
        <w:t>J Learn Disabil</w:t>
      </w:r>
      <w:r w:rsidRPr="0063132D">
        <w:rPr>
          <w:rFonts w:ascii="Arial" w:hAnsi="Arial" w:cs="Arial"/>
          <w:noProof/>
          <w:sz w:val="22"/>
          <w:szCs w:val="22"/>
        </w:rPr>
        <w:t>. 49: 410–423.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305. Mikami AY, Pfiffner LJ (2008): Sibling relationships among children with ADHD. </w:t>
      </w:r>
      <w:r w:rsidRPr="0063132D">
        <w:rPr>
          <w:rFonts w:ascii="Arial" w:hAnsi="Arial" w:cs="Arial"/>
          <w:i/>
          <w:iCs/>
          <w:noProof/>
          <w:sz w:val="22"/>
          <w:szCs w:val="22"/>
        </w:rPr>
        <w:t>J AttenDisord</w:t>
      </w:r>
      <w:r w:rsidRPr="0063132D">
        <w:rPr>
          <w:rFonts w:ascii="Arial" w:hAnsi="Arial" w:cs="Arial"/>
          <w:noProof/>
          <w:sz w:val="22"/>
          <w:szCs w:val="22"/>
        </w:rPr>
        <w:t>. 11: 482–492.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306. Tu JC, Xiao B, Naisbitt S, Yuan JP, Petralia RS, Brakeman P, </w:t>
      </w:r>
      <w:r w:rsidRPr="0063132D">
        <w:rPr>
          <w:rFonts w:ascii="Arial" w:hAnsi="Arial" w:cs="Arial"/>
          <w:i/>
          <w:iCs/>
          <w:noProof/>
          <w:sz w:val="22"/>
          <w:szCs w:val="22"/>
        </w:rPr>
        <w:t>et al.</w:t>
      </w:r>
      <w:r w:rsidRPr="0063132D">
        <w:rPr>
          <w:rFonts w:ascii="Arial" w:hAnsi="Arial" w:cs="Arial"/>
          <w:noProof/>
          <w:sz w:val="22"/>
          <w:szCs w:val="22"/>
        </w:rPr>
        <w:t xml:space="preserve"> (1999): Coupling of mGluR/Homer and PSD-95 complexes by the Shank family of postsynaptic density proteins. </w:t>
      </w:r>
      <w:r w:rsidRPr="0063132D">
        <w:rPr>
          <w:rFonts w:ascii="Arial" w:hAnsi="Arial" w:cs="Arial"/>
          <w:i/>
          <w:iCs/>
          <w:noProof/>
          <w:sz w:val="22"/>
          <w:szCs w:val="22"/>
        </w:rPr>
        <w:t>Neuron</w:t>
      </w:r>
      <w:r w:rsidRPr="0063132D">
        <w:rPr>
          <w:rFonts w:ascii="Arial" w:hAnsi="Arial" w:cs="Arial"/>
          <w:noProof/>
          <w:sz w:val="22"/>
          <w:szCs w:val="22"/>
        </w:rPr>
        <w:t>. 23: 583–592.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307. De Bartolomeis A, Latte G, Tomasetti C, Iasevoli F (2014): Glutamatergic postsynaptic density protein dysfunctions in synaptic plasticity and dendritic spines morphology: Relevance to schizophrenia and other behavioral disorders pathophysiology, and implications for novel therapeutic approaches. </w:t>
      </w:r>
      <w:r w:rsidRPr="0063132D">
        <w:rPr>
          <w:rFonts w:ascii="Arial" w:hAnsi="Arial" w:cs="Arial"/>
          <w:i/>
          <w:iCs/>
          <w:noProof/>
          <w:sz w:val="22"/>
          <w:szCs w:val="22"/>
        </w:rPr>
        <w:t>Mol Neurobiol</w:t>
      </w:r>
      <w:r w:rsidRPr="0063132D">
        <w:rPr>
          <w:rFonts w:ascii="Arial" w:hAnsi="Arial" w:cs="Arial"/>
          <w:noProof/>
          <w:sz w:val="22"/>
          <w:szCs w:val="22"/>
        </w:rPr>
        <w:t>. 49: 484–511.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308. Hong Q, Wang YP, Zhang M, Pan XQ, Guo M, Li F, </w:t>
      </w:r>
      <w:r w:rsidRPr="0063132D">
        <w:rPr>
          <w:rFonts w:ascii="Arial" w:hAnsi="Arial" w:cs="Arial"/>
          <w:i/>
          <w:iCs/>
          <w:noProof/>
          <w:sz w:val="22"/>
          <w:szCs w:val="22"/>
        </w:rPr>
        <w:t>et al.</w:t>
      </w:r>
      <w:r w:rsidRPr="0063132D">
        <w:rPr>
          <w:rFonts w:ascii="Arial" w:hAnsi="Arial" w:cs="Arial"/>
          <w:noProof/>
          <w:sz w:val="22"/>
          <w:szCs w:val="22"/>
        </w:rPr>
        <w:t xml:space="preserve"> (2011): Homer expression in the hippocampus of an animal model of attention-deficit/hyperactivity disorder. </w:t>
      </w:r>
      <w:r w:rsidRPr="0063132D">
        <w:rPr>
          <w:rFonts w:ascii="Arial" w:hAnsi="Arial" w:cs="Arial"/>
          <w:i/>
          <w:iCs/>
          <w:noProof/>
          <w:sz w:val="22"/>
          <w:szCs w:val="22"/>
        </w:rPr>
        <w:t>Mol Med Rep</w:t>
      </w:r>
      <w:r w:rsidRPr="0063132D">
        <w:rPr>
          <w:rFonts w:ascii="Arial" w:hAnsi="Arial" w:cs="Arial"/>
          <w:noProof/>
          <w:sz w:val="22"/>
          <w:szCs w:val="22"/>
        </w:rPr>
        <w:t>. 4: 705–712.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309. Hong Q, Zhang M, Pan X qin, Guo M, Li F, Tong M ling, </w:t>
      </w:r>
      <w:r w:rsidRPr="0063132D">
        <w:rPr>
          <w:rFonts w:ascii="Arial" w:hAnsi="Arial" w:cs="Arial"/>
          <w:i/>
          <w:iCs/>
          <w:noProof/>
          <w:sz w:val="22"/>
          <w:szCs w:val="22"/>
        </w:rPr>
        <w:t>et al.</w:t>
      </w:r>
      <w:r w:rsidRPr="0063132D">
        <w:rPr>
          <w:rFonts w:ascii="Arial" w:hAnsi="Arial" w:cs="Arial"/>
          <w:noProof/>
          <w:sz w:val="22"/>
          <w:szCs w:val="22"/>
        </w:rPr>
        <w:t xml:space="preserve"> (2009): Prefrontal cortex Homer expression in an animal model of attention-deficit/hyperactivity disorder. </w:t>
      </w:r>
      <w:r w:rsidRPr="0063132D">
        <w:rPr>
          <w:rFonts w:ascii="Arial" w:hAnsi="Arial" w:cs="Arial"/>
          <w:i/>
          <w:iCs/>
          <w:noProof/>
          <w:sz w:val="22"/>
          <w:szCs w:val="22"/>
        </w:rPr>
        <w:t>J Neurol Sci</w:t>
      </w:r>
      <w:r w:rsidRPr="0063132D">
        <w:rPr>
          <w:rFonts w:ascii="Arial" w:hAnsi="Arial" w:cs="Arial"/>
          <w:noProof/>
          <w:sz w:val="22"/>
          <w:szCs w:val="22"/>
        </w:rPr>
        <w:t>. 287: 205–211.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310. Inoue Y, Udo H, Inokuchi K, Sugiyama H (2007): Homer1a regulates the activity-induced remodeling of synaptic structures in cultured hippocampal neurons. </w:t>
      </w:r>
      <w:r w:rsidRPr="0063132D">
        <w:rPr>
          <w:rFonts w:ascii="Arial" w:hAnsi="Arial" w:cs="Arial"/>
          <w:i/>
          <w:iCs/>
          <w:noProof/>
          <w:sz w:val="22"/>
          <w:szCs w:val="22"/>
        </w:rPr>
        <w:t>Neuroscience</w:t>
      </w:r>
      <w:r w:rsidRPr="0063132D">
        <w:rPr>
          <w:rFonts w:ascii="Arial" w:hAnsi="Arial" w:cs="Arial"/>
          <w:noProof/>
          <w:sz w:val="22"/>
          <w:szCs w:val="22"/>
        </w:rPr>
        <w:t>. 150: 841–52.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311. Walhovd KB, Tamnes CK, ??stby Y, Due-T??nnessen P, Fjell AM (2012): Normal variation in behavioral adjustment relates to regional differences in cortical thickness in children. </w:t>
      </w:r>
      <w:r w:rsidRPr="0063132D">
        <w:rPr>
          <w:rFonts w:ascii="Arial" w:hAnsi="Arial" w:cs="Arial"/>
          <w:i/>
          <w:iCs/>
          <w:noProof/>
          <w:sz w:val="22"/>
          <w:szCs w:val="22"/>
        </w:rPr>
        <w:t>Eur Child Adolesc Psychiatry</w:t>
      </w:r>
      <w:r w:rsidRPr="0063132D">
        <w:rPr>
          <w:rFonts w:ascii="Arial" w:hAnsi="Arial" w:cs="Arial"/>
          <w:noProof/>
          <w:sz w:val="22"/>
          <w:szCs w:val="22"/>
        </w:rPr>
        <w:t>. 21: 133–140.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312. Liston C, Cohen MM, Teslovich T, Levenson D, Casey BJ (2011): Atypical prefrontal connectivity in attention-deficit/hyperactivity disorder: Pathway to disease or pathological end point? </w:t>
      </w:r>
      <w:r w:rsidRPr="0063132D">
        <w:rPr>
          <w:rFonts w:ascii="Arial" w:hAnsi="Arial" w:cs="Arial"/>
          <w:i/>
          <w:iCs/>
          <w:noProof/>
          <w:sz w:val="22"/>
          <w:szCs w:val="22"/>
        </w:rPr>
        <w:t>Biol Psychiatry</w:t>
      </w:r>
      <w:r w:rsidRPr="0063132D">
        <w:rPr>
          <w:rFonts w:ascii="Arial" w:hAnsi="Arial" w:cs="Arial"/>
          <w:noProof/>
          <w:sz w:val="22"/>
          <w:szCs w:val="22"/>
        </w:rPr>
        <w:t>. 69: 1168–1177.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313. Lou HC, Henriksen L, Bruhn P, Børner H, Nielsen JB (1989): Striatal dysfunction in attention deficit and hyperkinetic disorder. </w:t>
      </w:r>
      <w:r w:rsidRPr="0063132D">
        <w:rPr>
          <w:rFonts w:ascii="Arial" w:hAnsi="Arial" w:cs="Arial"/>
          <w:i/>
          <w:iCs/>
          <w:noProof/>
          <w:sz w:val="22"/>
          <w:szCs w:val="22"/>
        </w:rPr>
        <w:t>Arch Neurol</w:t>
      </w:r>
      <w:r w:rsidRPr="0063132D">
        <w:rPr>
          <w:rFonts w:ascii="Arial" w:hAnsi="Arial" w:cs="Arial"/>
          <w:noProof/>
          <w:sz w:val="22"/>
          <w:szCs w:val="22"/>
        </w:rPr>
        <w:t>. 46: 48–52.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314. Plessen KJ, Bansal R, Zhu H, Whiteman R, Amat J, Quackenbush GA, </w:t>
      </w:r>
      <w:r w:rsidRPr="0063132D">
        <w:rPr>
          <w:rFonts w:ascii="Arial" w:hAnsi="Arial" w:cs="Arial"/>
          <w:i/>
          <w:iCs/>
          <w:noProof/>
          <w:sz w:val="22"/>
          <w:szCs w:val="22"/>
        </w:rPr>
        <w:t>et al.</w:t>
      </w:r>
      <w:r w:rsidRPr="0063132D">
        <w:rPr>
          <w:rFonts w:ascii="Arial" w:hAnsi="Arial" w:cs="Arial"/>
          <w:noProof/>
          <w:sz w:val="22"/>
          <w:szCs w:val="22"/>
        </w:rPr>
        <w:t xml:space="preserve"> (2006): Hippocampus and amygdala morphology in attention-deficit/hyperactivity disorder. </w:t>
      </w:r>
      <w:r w:rsidRPr="0063132D">
        <w:rPr>
          <w:rFonts w:ascii="Arial" w:hAnsi="Arial" w:cs="Arial"/>
          <w:i/>
          <w:iCs/>
          <w:noProof/>
          <w:sz w:val="22"/>
          <w:szCs w:val="22"/>
        </w:rPr>
        <w:t>Arch Gen Psychiatry</w:t>
      </w:r>
      <w:r w:rsidRPr="0063132D">
        <w:rPr>
          <w:rFonts w:ascii="Arial" w:hAnsi="Arial" w:cs="Arial"/>
          <w:noProof/>
          <w:sz w:val="22"/>
          <w:szCs w:val="22"/>
        </w:rPr>
        <w:t>. 63: 795–807.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315. Karchemskiy A, Garrett A, Howe M, Adleman N, Simeonova DI, Alegria D, </w:t>
      </w:r>
      <w:r w:rsidRPr="0063132D">
        <w:rPr>
          <w:rFonts w:ascii="Arial" w:hAnsi="Arial" w:cs="Arial"/>
          <w:i/>
          <w:iCs/>
          <w:noProof/>
          <w:sz w:val="22"/>
          <w:szCs w:val="22"/>
        </w:rPr>
        <w:t>et al.</w:t>
      </w:r>
      <w:r w:rsidRPr="0063132D">
        <w:rPr>
          <w:rFonts w:ascii="Arial" w:hAnsi="Arial" w:cs="Arial"/>
          <w:noProof/>
          <w:sz w:val="22"/>
          <w:szCs w:val="22"/>
        </w:rPr>
        <w:t xml:space="preserve"> (2011): Amygdalar, hippocampal, and thalamic volumes in youth at high risk </w:t>
      </w:r>
      <w:r w:rsidRPr="0063132D">
        <w:rPr>
          <w:rFonts w:ascii="Arial" w:hAnsi="Arial" w:cs="Arial"/>
          <w:noProof/>
          <w:sz w:val="22"/>
          <w:szCs w:val="22"/>
        </w:rPr>
        <w:lastRenderedPageBreak/>
        <w:t xml:space="preserve">for development of bipolar disorder. </w:t>
      </w:r>
      <w:r w:rsidRPr="0063132D">
        <w:rPr>
          <w:rFonts w:ascii="Arial" w:hAnsi="Arial" w:cs="Arial"/>
          <w:i/>
          <w:iCs/>
          <w:noProof/>
          <w:sz w:val="22"/>
          <w:szCs w:val="22"/>
        </w:rPr>
        <w:t>Psychiatry Res - Neuroimaging</w:t>
      </w:r>
      <w:r w:rsidRPr="0063132D">
        <w:rPr>
          <w:rFonts w:ascii="Arial" w:hAnsi="Arial" w:cs="Arial"/>
          <w:noProof/>
          <w:sz w:val="22"/>
          <w:szCs w:val="22"/>
        </w:rPr>
        <w:t>. 194: 319–325.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316. Zhang G-C, Mao L-M, Liu X-Y, Parelkar NK, Arora A, Yang L, </w:t>
      </w:r>
      <w:r w:rsidRPr="0063132D">
        <w:rPr>
          <w:rFonts w:ascii="Arial" w:hAnsi="Arial" w:cs="Arial"/>
          <w:i/>
          <w:iCs/>
          <w:noProof/>
          <w:sz w:val="22"/>
          <w:szCs w:val="22"/>
        </w:rPr>
        <w:t>et al.</w:t>
      </w:r>
      <w:r w:rsidRPr="0063132D">
        <w:rPr>
          <w:rFonts w:ascii="Arial" w:hAnsi="Arial" w:cs="Arial"/>
          <w:noProof/>
          <w:sz w:val="22"/>
          <w:szCs w:val="22"/>
        </w:rPr>
        <w:t xml:space="preserve"> (2007): In vivo regulation of Homer1a expression in the striatum by cocaine. </w:t>
      </w:r>
      <w:r w:rsidRPr="0063132D">
        <w:rPr>
          <w:rFonts w:ascii="Arial" w:hAnsi="Arial" w:cs="Arial"/>
          <w:i/>
          <w:iCs/>
          <w:noProof/>
          <w:sz w:val="22"/>
          <w:szCs w:val="22"/>
        </w:rPr>
        <w:t>Mol Pharmacol</w:t>
      </w:r>
      <w:r w:rsidRPr="0063132D">
        <w:rPr>
          <w:rFonts w:ascii="Arial" w:hAnsi="Arial" w:cs="Arial"/>
          <w:noProof/>
          <w:sz w:val="22"/>
          <w:szCs w:val="22"/>
        </w:rPr>
        <w:t>. 71: 1148–1158.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317. Yano M, Steiner H (2005): Methylphenidate (Ritalin) induces Homer 1a and zif 268 expression in specific corticostriatal circuits. </w:t>
      </w:r>
      <w:r w:rsidRPr="0063132D">
        <w:rPr>
          <w:rFonts w:ascii="Arial" w:hAnsi="Arial" w:cs="Arial"/>
          <w:i/>
          <w:iCs/>
          <w:noProof/>
          <w:sz w:val="22"/>
          <w:szCs w:val="22"/>
        </w:rPr>
        <w:t>Neuroscience</w:t>
      </w:r>
      <w:r w:rsidRPr="0063132D">
        <w:rPr>
          <w:rFonts w:ascii="Arial" w:hAnsi="Arial" w:cs="Arial"/>
          <w:noProof/>
          <w:sz w:val="22"/>
          <w:szCs w:val="22"/>
        </w:rPr>
        <w:t>. 132: 855–865.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318. WESTERINK BHC, DE BOER P, TIMMERMAN W, DE VRIES JB (1990): In Vivo Evidence for the Existence of Autoreceptors on Dopaminergic, Serotonergic, and Cholinergic Neurons in the Brain. </w:t>
      </w:r>
      <w:r w:rsidRPr="0063132D">
        <w:rPr>
          <w:rFonts w:ascii="Arial" w:hAnsi="Arial" w:cs="Arial"/>
          <w:i/>
          <w:iCs/>
          <w:noProof/>
          <w:sz w:val="22"/>
          <w:szCs w:val="22"/>
        </w:rPr>
        <w:t>Ann N Y Acad Sci</w:t>
      </w:r>
      <w:r w:rsidRPr="0063132D">
        <w:rPr>
          <w:rFonts w:ascii="Arial" w:hAnsi="Arial" w:cs="Arial"/>
          <w:noProof/>
          <w:sz w:val="22"/>
          <w:szCs w:val="22"/>
        </w:rPr>
        <w:t>. 604: 492–504.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319. Surmeier DJ, Ding J, Day M, Wang Z, Shen W (2007): D1 and D2 dopamine-receptor modulation of striatal glutamatergic signaling in striatal medium spiny neurons. </w:t>
      </w:r>
      <w:r w:rsidRPr="0063132D">
        <w:rPr>
          <w:rFonts w:ascii="Arial" w:hAnsi="Arial" w:cs="Arial"/>
          <w:i/>
          <w:iCs/>
          <w:noProof/>
          <w:sz w:val="22"/>
          <w:szCs w:val="22"/>
        </w:rPr>
        <w:t>Trends Neurosci</w:t>
      </w:r>
      <w:r w:rsidRPr="0063132D">
        <w:rPr>
          <w:rFonts w:ascii="Arial" w:hAnsi="Arial" w:cs="Arial"/>
          <w:noProof/>
          <w:sz w:val="22"/>
          <w:szCs w:val="22"/>
        </w:rPr>
        <w:t>. 30: 228–235.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320. Szumlinski KK, Dehoff MH, Kang SH, Frys KA, Lominac KD, Klugmann M, </w:t>
      </w:r>
      <w:r w:rsidRPr="0063132D">
        <w:rPr>
          <w:rFonts w:ascii="Arial" w:hAnsi="Arial" w:cs="Arial"/>
          <w:i/>
          <w:iCs/>
          <w:noProof/>
          <w:sz w:val="22"/>
          <w:szCs w:val="22"/>
        </w:rPr>
        <w:t>et al.</w:t>
      </w:r>
      <w:r w:rsidRPr="0063132D">
        <w:rPr>
          <w:rFonts w:ascii="Arial" w:hAnsi="Arial" w:cs="Arial"/>
          <w:noProof/>
          <w:sz w:val="22"/>
          <w:szCs w:val="22"/>
        </w:rPr>
        <w:t xml:space="preserve"> (2004): Homer proteins regulate sensitivity to cocaine. </w:t>
      </w:r>
      <w:r w:rsidRPr="0063132D">
        <w:rPr>
          <w:rFonts w:ascii="Arial" w:hAnsi="Arial" w:cs="Arial"/>
          <w:i/>
          <w:iCs/>
          <w:noProof/>
          <w:sz w:val="22"/>
          <w:szCs w:val="22"/>
        </w:rPr>
        <w:t>Neuron</w:t>
      </w:r>
      <w:r w:rsidRPr="0063132D">
        <w:rPr>
          <w:rFonts w:ascii="Arial" w:hAnsi="Arial" w:cs="Arial"/>
          <w:noProof/>
          <w:sz w:val="22"/>
          <w:szCs w:val="22"/>
        </w:rPr>
        <w:t>. 43: 401–413.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321. Büssing I, Slack FJ, Gro\sshans H (2008): let-7 microRNAs in development, stem cells and cancer. </w:t>
      </w:r>
      <w:r w:rsidRPr="0063132D">
        <w:rPr>
          <w:rFonts w:ascii="Arial" w:hAnsi="Arial" w:cs="Arial"/>
          <w:i/>
          <w:iCs/>
          <w:noProof/>
          <w:sz w:val="22"/>
          <w:szCs w:val="22"/>
        </w:rPr>
        <w:t>Trends Mol Med</w:t>
      </w:r>
      <w:r w:rsidRPr="0063132D">
        <w:rPr>
          <w:rFonts w:ascii="Arial" w:hAnsi="Arial" w:cs="Arial"/>
          <w:noProof/>
          <w:sz w:val="22"/>
          <w:szCs w:val="22"/>
        </w:rPr>
        <w:t>. 14: 400–409.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322. Pasquinelli AE, Ruvkun G (2002): Control of Developmental Timing by MicroRNAs and Their Targets. </w:t>
      </w:r>
      <w:r w:rsidRPr="0063132D">
        <w:rPr>
          <w:rFonts w:ascii="Arial" w:hAnsi="Arial" w:cs="Arial"/>
          <w:i/>
          <w:iCs/>
          <w:noProof/>
          <w:sz w:val="22"/>
          <w:szCs w:val="22"/>
        </w:rPr>
        <w:t>Annu Rev Cell Dev Biol</w:t>
      </w:r>
      <w:r w:rsidRPr="0063132D">
        <w:rPr>
          <w:rFonts w:ascii="Arial" w:hAnsi="Arial" w:cs="Arial"/>
          <w:noProof/>
          <w:sz w:val="22"/>
          <w:szCs w:val="22"/>
        </w:rPr>
        <w:t>. 18: 495–513.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323. Rougvie A (2001): Control of developmental timing in animals. </w:t>
      </w:r>
      <w:r w:rsidRPr="0063132D">
        <w:rPr>
          <w:rFonts w:ascii="Arial" w:hAnsi="Arial" w:cs="Arial"/>
          <w:i/>
          <w:iCs/>
          <w:noProof/>
          <w:sz w:val="22"/>
          <w:szCs w:val="22"/>
        </w:rPr>
        <w:t>Nat Rev Genet</w:t>
      </w:r>
      <w:r w:rsidRPr="0063132D">
        <w:rPr>
          <w:rFonts w:ascii="Arial" w:hAnsi="Arial" w:cs="Arial"/>
          <w:noProof/>
          <w:sz w:val="22"/>
          <w:szCs w:val="22"/>
        </w:rPr>
        <w:t>. 2: 690–701.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324. Wulczyn FG, Smirnova L, Rybak A, Brandt C, Kwidzinski E, Ninnemann O, </w:t>
      </w:r>
      <w:r w:rsidRPr="0063132D">
        <w:rPr>
          <w:rFonts w:ascii="Arial" w:hAnsi="Arial" w:cs="Arial"/>
          <w:i/>
          <w:iCs/>
          <w:noProof/>
          <w:sz w:val="22"/>
          <w:szCs w:val="22"/>
        </w:rPr>
        <w:t>et al.</w:t>
      </w:r>
      <w:r w:rsidRPr="0063132D">
        <w:rPr>
          <w:rFonts w:ascii="Arial" w:hAnsi="Arial" w:cs="Arial"/>
          <w:noProof/>
          <w:sz w:val="22"/>
          <w:szCs w:val="22"/>
        </w:rPr>
        <w:t xml:space="preserve"> (2007): Post-transcriptional regulation of the let-7 microRNA during neural cell specification. </w:t>
      </w:r>
      <w:r w:rsidRPr="0063132D">
        <w:rPr>
          <w:rFonts w:ascii="Arial" w:hAnsi="Arial" w:cs="Arial"/>
          <w:i/>
          <w:iCs/>
          <w:noProof/>
          <w:sz w:val="22"/>
          <w:szCs w:val="22"/>
        </w:rPr>
        <w:t>FASEB J</w:t>
      </w:r>
      <w:r w:rsidRPr="0063132D">
        <w:rPr>
          <w:rFonts w:ascii="Arial" w:hAnsi="Arial" w:cs="Arial"/>
          <w:noProof/>
          <w:sz w:val="22"/>
          <w:szCs w:val="22"/>
        </w:rPr>
        <w:t>. 21: 415–426.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325. Zhao C, Sun G, Ye P, Li S, Shi Y (2013): MicroRNA let-7d regulates the TLX/microRNA-9 cascade to control neural cell fate and neurogenesis. </w:t>
      </w:r>
      <w:r w:rsidRPr="0063132D">
        <w:rPr>
          <w:rFonts w:ascii="Arial" w:hAnsi="Arial" w:cs="Arial"/>
          <w:i/>
          <w:iCs/>
          <w:noProof/>
          <w:sz w:val="22"/>
          <w:szCs w:val="22"/>
        </w:rPr>
        <w:t>Sci Rep</w:t>
      </w:r>
      <w:r w:rsidRPr="0063132D">
        <w:rPr>
          <w:rFonts w:ascii="Arial" w:hAnsi="Arial" w:cs="Arial"/>
          <w:noProof/>
          <w:sz w:val="22"/>
          <w:szCs w:val="22"/>
        </w:rPr>
        <w:t>. 3: 1329.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326. Gao W, Wang H, Snyder M, Li Y (2012): The unique properties of the prefrontal cortex and mental illness. </w:t>
      </w:r>
      <w:r w:rsidRPr="0063132D">
        <w:rPr>
          <w:rFonts w:ascii="Arial" w:hAnsi="Arial" w:cs="Arial"/>
          <w:i/>
          <w:iCs/>
          <w:noProof/>
          <w:sz w:val="22"/>
          <w:szCs w:val="22"/>
        </w:rPr>
        <w:t>When Things Go Wrong - Dis Disord Hum Brain</w:t>
      </w:r>
      <w:r w:rsidRPr="0063132D">
        <w:rPr>
          <w:rFonts w:ascii="Arial" w:hAnsi="Arial" w:cs="Arial"/>
          <w:noProof/>
          <w:sz w:val="22"/>
          <w:szCs w:val="22"/>
        </w:rPr>
        <w:t>. 2–26.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327. Geidd JN (2004): Structural magnetic resonance imaging of the adolescent brain. 1021: 77–85.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328. Huttenlocher PR, Dabholkar AS (1997): Regional differences in synaptogenesis in human cerebral cortex. </w:t>
      </w:r>
      <w:r w:rsidRPr="0063132D">
        <w:rPr>
          <w:rFonts w:ascii="Arial" w:hAnsi="Arial" w:cs="Arial"/>
          <w:i/>
          <w:iCs/>
          <w:noProof/>
          <w:sz w:val="22"/>
          <w:szCs w:val="22"/>
        </w:rPr>
        <w:t>J Comp Neurol</w:t>
      </w:r>
      <w:r w:rsidRPr="0063132D">
        <w:rPr>
          <w:rFonts w:ascii="Arial" w:hAnsi="Arial" w:cs="Arial"/>
          <w:noProof/>
          <w:sz w:val="22"/>
          <w:szCs w:val="22"/>
        </w:rPr>
        <w:t>. 387: 167–178.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329. Stahl SM (n.d.): </w:t>
      </w:r>
      <w:r w:rsidRPr="0063132D">
        <w:rPr>
          <w:rFonts w:ascii="Arial" w:hAnsi="Arial" w:cs="Arial"/>
          <w:i/>
          <w:iCs/>
          <w:noProof/>
          <w:sz w:val="22"/>
          <w:szCs w:val="22"/>
        </w:rPr>
        <w:t>Stahl’s essential psychopharmacology : neuroscientific basis and practical application</w:t>
      </w:r>
      <w:r w:rsidRPr="0063132D">
        <w:rPr>
          <w:rFonts w:ascii="Arial" w:hAnsi="Arial" w:cs="Arial"/>
          <w:noProof/>
          <w:sz w:val="22"/>
          <w:szCs w:val="22"/>
        </w:rPr>
        <w:t>. . Retrieved September 23, 2017, from http://www.cambridge.org/tr/academic/subjects/medicine/mental-health-psychiatry-and-clinical-psychology/stahls-essential-psychopharmacology-neuroscientific-basis-and-practical-applications-4th-edition?format=HB&amp;isbn=9781107025981#pkdFx1RsUQRx0zw3.97.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330. Teicher M. (2001): Neuropsychiatric disorders of childhood and adolescence. </w:t>
      </w:r>
      <w:r w:rsidRPr="0063132D">
        <w:rPr>
          <w:rFonts w:ascii="Arial" w:hAnsi="Arial" w:cs="Arial"/>
          <w:i/>
          <w:iCs/>
          <w:noProof/>
          <w:sz w:val="22"/>
          <w:szCs w:val="22"/>
        </w:rPr>
        <w:t>Am Psychiatr Press Textb Neuropsychiatry</w:t>
      </w:r>
      <w:r w:rsidRPr="0063132D">
        <w:rPr>
          <w:rFonts w:ascii="Arial" w:hAnsi="Arial" w:cs="Arial"/>
          <w:noProof/>
          <w:sz w:val="22"/>
          <w:szCs w:val="22"/>
        </w:rPr>
        <w:t>, 4th ed. American Psychiatric Pub, pp 1069–1119.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331. Sowell ER, Thompson PM, Welcome SE, Henkenius AL, Toga AW, Peterson BS (2003): Cortical abnormalities in children and adolescents with attention-deficit hyperactivity disorder. </w:t>
      </w:r>
      <w:r w:rsidRPr="0063132D">
        <w:rPr>
          <w:rFonts w:ascii="Arial" w:hAnsi="Arial" w:cs="Arial"/>
          <w:i/>
          <w:iCs/>
          <w:noProof/>
          <w:sz w:val="22"/>
          <w:szCs w:val="22"/>
        </w:rPr>
        <w:t>Lance</w:t>
      </w:r>
      <w:r w:rsidRPr="0063132D">
        <w:rPr>
          <w:rFonts w:ascii="Arial" w:hAnsi="Arial" w:cs="Arial"/>
          <w:noProof/>
          <w:sz w:val="22"/>
          <w:szCs w:val="22"/>
        </w:rPr>
        <w:t>. 362: 1699–1707.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332. Andersen SL (2003): Trajectories of brain development: Point of vulnerability or window of opportunity? </w:t>
      </w:r>
      <w:r w:rsidRPr="0063132D">
        <w:rPr>
          <w:rFonts w:ascii="Arial" w:hAnsi="Arial" w:cs="Arial"/>
          <w:i/>
          <w:iCs/>
          <w:noProof/>
          <w:sz w:val="22"/>
          <w:szCs w:val="22"/>
        </w:rPr>
        <w:t>Neurosci Biobehav Rev</w:t>
      </w:r>
      <w:r w:rsidRPr="0063132D">
        <w:rPr>
          <w:rFonts w:ascii="Arial" w:hAnsi="Arial" w:cs="Arial"/>
          <w:noProof/>
          <w:sz w:val="22"/>
          <w:szCs w:val="22"/>
        </w:rPr>
        <w:t>. 27: 3–18.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333. Rabinovich G a (1999): Galectins: an evolutionarily conserved family of animal lectins with multifunctional properties; a trip from the gene to clinical therapy. </w:t>
      </w:r>
      <w:r w:rsidRPr="0063132D">
        <w:rPr>
          <w:rFonts w:ascii="Arial" w:hAnsi="Arial" w:cs="Arial"/>
          <w:i/>
          <w:iCs/>
          <w:noProof/>
          <w:sz w:val="22"/>
          <w:szCs w:val="22"/>
        </w:rPr>
        <w:t>Cell Death Differ</w:t>
      </w:r>
      <w:r w:rsidRPr="0063132D">
        <w:rPr>
          <w:rFonts w:ascii="Arial" w:hAnsi="Arial" w:cs="Arial"/>
          <w:noProof/>
          <w:sz w:val="22"/>
          <w:szCs w:val="22"/>
        </w:rPr>
        <w:t>. 6: 711–721.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lastRenderedPageBreak/>
        <w:t xml:space="preserve">334. Kuklinski S, Vladimirova V, Waha A, Kamata H, Pesheva P, Probstmeier R (2003): Expression of galectin-3 in neuronally differentiating PC12 cells is regulated both via Ras/MAPK-dependent and -independent signalling pathways. </w:t>
      </w:r>
      <w:r w:rsidRPr="0063132D">
        <w:rPr>
          <w:rFonts w:ascii="Arial" w:hAnsi="Arial" w:cs="Arial"/>
          <w:i/>
          <w:iCs/>
          <w:noProof/>
          <w:sz w:val="22"/>
          <w:szCs w:val="22"/>
        </w:rPr>
        <w:t>J Neurochem</w:t>
      </w:r>
      <w:r w:rsidRPr="0063132D">
        <w:rPr>
          <w:rFonts w:ascii="Arial" w:hAnsi="Arial" w:cs="Arial"/>
          <w:noProof/>
          <w:sz w:val="22"/>
          <w:szCs w:val="22"/>
        </w:rPr>
        <w:t>. 87: 1112–1124.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335. Papa L, Akinyi L, Liu MC, Pineda JA, Tepas JJ, Oli MW, </w:t>
      </w:r>
      <w:r w:rsidRPr="0063132D">
        <w:rPr>
          <w:rFonts w:ascii="Arial" w:hAnsi="Arial" w:cs="Arial"/>
          <w:i/>
          <w:iCs/>
          <w:noProof/>
          <w:sz w:val="22"/>
          <w:szCs w:val="22"/>
        </w:rPr>
        <w:t>et al.</w:t>
      </w:r>
      <w:r w:rsidRPr="0063132D">
        <w:rPr>
          <w:rFonts w:ascii="Arial" w:hAnsi="Arial" w:cs="Arial"/>
          <w:noProof/>
          <w:sz w:val="22"/>
          <w:szCs w:val="22"/>
        </w:rPr>
        <w:t xml:space="preserve"> (2010): Ubiquitin C-terminal hydrolase is a novel biomarker in humans for severe traumatic brain injury*. </w:t>
      </w:r>
      <w:r w:rsidRPr="0063132D">
        <w:rPr>
          <w:rFonts w:ascii="Arial" w:hAnsi="Arial" w:cs="Arial"/>
          <w:i/>
          <w:iCs/>
          <w:noProof/>
          <w:sz w:val="22"/>
          <w:szCs w:val="22"/>
        </w:rPr>
        <w:t>Crit Care Med</w:t>
      </w:r>
      <w:r w:rsidRPr="0063132D">
        <w:rPr>
          <w:rFonts w:ascii="Arial" w:hAnsi="Arial" w:cs="Arial"/>
          <w:noProof/>
          <w:sz w:val="22"/>
          <w:szCs w:val="22"/>
        </w:rPr>
        <w:t>. 38: 138–144.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336. Balakathiresan N, Bhomia M, Chandran R, Chavko M, McCarron RM, Maheshwari RK (2012): MicroRNA Let-7i Is a Promising Serum Biomarker for Blast-Induced Traumatic Brain Injury. </w:t>
      </w:r>
      <w:r w:rsidRPr="0063132D">
        <w:rPr>
          <w:rFonts w:ascii="Arial" w:hAnsi="Arial" w:cs="Arial"/>
          <w:i/>
          <w:iCs/>
          <w:noProof/>
          <w:sz w:val="22"/>
          <w:szCs w:val="22"/>
        </w:rPr>
        <w:t>J Neurotrauma</w:t>
      </w:r>
      <w:r w:rsidRPr="0063132D">
        <w:rPr>
          <w:rFonts w:ascii="Arial" w:hAnsi="Arial" w:cs="Arial"/>
          <w:noProof/>
          <w:sz w:val="22"/>
          <w:szCs w:val="22"/>
        </w:rPr>
        <w:t>. 29: 1379–1387.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337. Lagos-Quintana M, Rauhut R, Yalcin A, Meyer J, Lendeckel W, Tuschl T (2002): Identification of tissue-specific microRNAs from mouse. </w:t>
      </w:r>
      <w:r w:rsidRPr="0063132D">
        <w:rPr>
          <w:rFonts w:ascii="Arial" w:hAnsi="Arial" w:cs="Arial"/>
          <w:i/>
          <w:iCs/>
          <w:noProof/>
          <w:sz w:val="22"/>
          <w:szCs w:val="22"/>
        </w:rPr>
        <w:t>Curr Biol</w:t>
      </w:r>
      <w:r w:rsidRPr="0063132D">
        <w:rPr>
          <w:rFonts w:ascii="Arial" w:hAnsi="Arial" w:cs="Arial"/>
          <w:noProof/>
          <w:sz w:val="22"/>
          <w:szCs w:val="22"/>
        </w:rPr>
        <w:t>. 12: 735–9.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338. Krichevsky AM, Sonntag K-C, Isacson O, Kosik KS (2006): Specific MicroRNAs Modulate Embryonic Stem Cell-Derived Neurogenesis. </w:t>
      </w:r>
      <w:r w:rsidRPr="0063132D">
        <w:rPr>
          <w:rFonts w:ascii="Arial" w:hAnsi="Arial" w:cs="Arial"/>
          <w:i/>
          <w:iCs/>
          <w:noProof/>
          <w:sz w:val="22"/>
          <w:szCs w:val="22"/>
        </w:rPr>
        <w:t>Stem Cells</w:t>
      </w:r>
      <w:r w:rsidRPr="0063132D">
        <w:rPr>
          <w:rFonts w:ascii="Arial" w:hAnsi="Arial" w:cs="Arial"/>
          <w:noProof/>
          <w:sz w:val="22"/>
          <w:szCs w:val="22"/>
        </w:rPr>
        <w:t>. 24: 857–864.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339. Krichevsky AM, King KS, Donahue CP, Khrapko K, Kosik KS (2003): A microRNA array reveals extensive regulation of microRNAs during brain development. </w:t>
      </w:r>
      <w:r w:rsidRPr="0063132D">
        <w:rPr>
          <w:rFonts w:ascii="Arial" w:hAnsi="Arial" w:cs="Arial"/>
          <w:i/>
          <w:iCs/>
          <w:noProof/>
          <w:sz w:val="22"/>
          <w:szCs w:val="22"/>
        </w:rPr>
        <w:t>RNA</w:t>
      </w:r>
      <w:r w:rsidRPr="0063132D">
        <w:rPr>
          <w:rFonts w:ascii="Arial" w:hAnsi="Arial" w:cs="Arial"/>
          <w:noProof/>
          <w:sz w:val="22"/>
          <w:szCs w:val="22"/>
        </w:rPr>
        <w:t>. 9: 1274–81.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340. Cao X, Pfaff SL, Gage FH (2007): A functional study of miR-124 in the developing neural tube. </w:t>
      </w:r>
      <w:r w:rsidRPr="0063132D">
        <w:rPr>
          <w:rFonts w:ascii="Arial" w:hAnsi="Arial" w:cs="Arial"/>
          <w:i/>
          <w:iCs/>
          <w:noProof/>
          <w:sz w:val="22"/>
          <w:szCs w:val="22"/>
        </w:rPr>
        <w:t>Genes Dev</w:t>
      </w:r>
      <w:r w:rsidRPr="0063132D">
        <w:rPr>
          <w:rFonts w:ascii="Arial" w:hAnsi="Arial" w:cs="Arial"/>
          <w:noProof/>
          <w:sz w:val="22"/>
          <w:szCs w:val="22"/>
        </w:rPr>
        <w:t>. 21: 531–536.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341. Cheng L-C, Pastrana E, Tavazoie M, Doetsch F (2009): miR-124 regulates adult neurogenesis in the SVZ stem cell niche. </w:t>
      </w:r>
      <w:r w:rsidRPr="0063132D">
        <w:rPr>
          <w:rFonts w:ascii="Arial" w:hAnsi="Arial" w:cs="Arial"/>
          <w:i/>
          <w:iCs/>
          <w:noProof/>
          <w:sz w:val="22"/>
          <w:szCs w:val="22"/>
        </w:rPr>
        <w:t>Nat Neurosci</w:t>
      </w:r>
      <w:r w:rsidRPr="0063132D">
        <w:rPr>
          <w:rFonts w:ascii="Arial" w:hAnsi="Arial" w:cs="Arial"/>
          <w:noProof/>
          <w:sz w:val="22"/>
          <w:szCs w:val="22"/>
        </w:rPr>
        <w:t>. 12: 399–408.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342. Visvanathan J, Lee S, Lee B, Lee JW, Lee SK (2007): The microRNA miR-124 antagonizes the anti-neural REST/SCP1 pathway during embryonic CNS development. </w:t>
      </w:r>
      <w:r w:rsidRPr="0063132D">
        <w:rPr>
          <w:rFonts w:ascii="Arial" w:hAnsi="Arial" w:cs="Arial"/>
          <w:i/>
          <w:iCs/>
          <w:noProof/>
          <w:sz w:val="22"/>
          <w:szCs w:val="22"/>
        </w:rPr>
        <w:t>Genes Dev</w:t>
      </w:r>
      <w:r w:rsidRPr="0063132D">
        <w:rPr>
          <w:rFonts w:ascii="Arial" w:hAnsi="Arial" w:cs="Arial"/>
          <w:noProof/>
          <w:sz w:val="22"/>
          <w:szCs w:val="22"/>
        </w:rPr>
        <w:t>. 21: 744–749.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343. Conaco C, Otto S, Han J-J, Mandel G (2006): Reciprocal actions of REST and a microRNA promote neuronal identity. </w:t>
      </w:r>
      <w:r w:rsidRPr="0063132D">
        <w:rPr>
          <w:rFonts w:ascii="Arial" w:hAnsi="Arial" w:cs="Arial"/>
          <w:i/>
          <w:iCs/>
          <w:noProof/>
          <w:sz w:val="22"/>
          <w:szCs w:val="22"/>
        </w:rPr>
        <w:t>Proc Natl Acad Sci</w:t>
      </w:r>
      <w:r w:rsidRPr="0063132D">
        <w:rPr>
          <w:rFonts w:ascii="Arial" w:hAnsi="Arial" w:cs="Arial"/>
          <w:noProof/>
          <w:sz w:val="22"/>
          <w:szCs w:val="22"/>
        </w:rPr>
        <w:t>. 103: 2422–2427.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344. Chandrasekar V, Dreyer JL (2009): microRNAs miR-124, let-7d and miR-181a regulate Cocaine-induced Plasticity. </w:t>
      </w:r>
      <w:r w:rsidRPr="0063132D">
        <w:rPr>
          <w:rFonts w:ascii="Arial" w:hAnsi="Arial" w:cs="Arial"/>
          <w:i/>
          <w:iCs/>
          <w:noProof/>
          <w:sz w:val="22"/>
          <w:szCs w:val="22"/>
        </w:rPr>
        <w:t>Mol Cell Neurosci</w:t>
      </w:r>
      <w:r w:rsidRPr="0063132D">
        <w:rPr>
          <w:rFonts w:ascii="Arial" w:hAnsi="Arial" w:cs="Arial"/>
          <w:noProof/>
          <w:sz w:val="22"/>
          <w:szCs w:val="22"/>
        </w:rPr>
        <w:t>. 42: 350–362.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345. Forero DA, van der Ven K, Callaerts P, Del-Favero J (2010): miRNA genes and the brain: implications for psychiatric disorders. </w:t>
      </w:r>
      <w:r w:rsidRPr="0063132D">
        <w:rPr>
          <w:rFonts w:ascii="Arial" w:hAnsi="Arial" w:cs="Arial"/>
          <w:i/>
          <w:iCs/>
          <w:noProof/>
          <w:sz w:val="22"/>
          <w:szCs w:val="22"/>
        </w:rPr>
        <w:t>Hum Mutat</w:t>
      </w:r>
      <w:r w:rsidRPr="0063132D">
        <w:rPr>
          <w:rFonts w:ascii="Arial" w:hAnsi="Arial" w:cs="Arial"/>
          <w:noProof/>
          <w:sz w:val="22"/>
          <w:szCs w:val="22"/>
        </w:rPr>
        <w:t>. 31: 1195–1204.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346. Oak JN, Oldenhof J, Van Tol HHM (2000): The dopamine D4 receptor: one decade of research. </w:t>
      </w:r>
      <w:r w:rsidRPr="0063132D">
        <w:rPr>
          <w:rFonts w:ascii="Arial" w:hAnsi="Arial" w:cs="Arial"/>
          <w:i/>
          <w:iCs/>
          <w:noProof/>
          <w:sz w:val="22"/>
          <w:szCs w:val="22"/>
        </w:rPr>
        <w:t>Eur J Pharmacol</w:t>
      </w:r>
      <w:r w:rsidRPr="0063132D">
        <w:rPr>
          <w:rFonts w:ascii="Arial" w:hAnsi="Arial" w:cs="Arial"/>
          <w:noProof/>
          <w:sz w:val="22"/>
          <w:szCs w:val="22"/>
        </w:rPr>
        <w:t>. 405: 303–327.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347. Brown K (2003): NEUROSCIENCE: New Attention to ADHD Genes. </w:t>
      </w:r>
      <w:r w:rsidRPr="0063132D">
        <w:rPr>
          <w:rFonts w:ascii="Arial" w:hAnsi="Arial" w:cs="Arial"/>
          <w:i/>
          <w:iCs/>
          <w:noProof/>
          <w:sz w:val="22"/>
          <w:szCs w:val="22"/>
        </w:rPr>
        <w:t>Science (80- )</w:t>
      </w:r>
      <w:r w:rsidRPr="0063132D">
        <w:rPr>
          <w:rFonts w:ascii="Arial" w:hAnsi="Arial" w:cs="Arial"/>
          <w:noProof/>
          <w:sz w:val="22"/>
          <w:szCs w:val="22"/>
        </w:rPr>
        <w:t>. 301: 160–161.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348. Knüsel B, Winslow JW, Rosenthal A, Burton LE, Seid DP, Nikolics K, Hefti F (1991): Promotion of central cholinergic and dopaminergic neuron differentiation by brain-derived neurotrophic factor but not neurotrophin 3. </w:t>
      </w:r>
      <w:r w:rsidRPr="0063132D">
        <w:rPr>
          <w:rFonts w:ascii="Arial" w:hAnsi="Arial" w:cs="Arial"/>
          <w:i/>
          <w:iCs/>
          <w:noProof/>
          <w:sz w:val="22"/>
          <w:szCs w:val="22"/>
        </w:rPr>
        <w:t>Proc Natl Acad Sci U S A</w:t>
      </w:r>
      <w:r w:rsidRPr="0063132D">
        <w:rPr>
          <w:rFonts w:ascii="Arial" w:hAnsi="Arial" w:cs="Arial"/>
          <w:noProof/>
          <w:sz w:val="22"/>
          <w:szCs w:val="22"/>
        </w:rPr>
        <w:t>. 88: 961–5.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349. Liu DY, Shen XM, Yuan FF, Guo OY, Zhong Y, Chen JG, </w:t>
      </w:r>
      <w:r w:rsidRPr="0063132D">
        <w:rPr>
          <w:rFonts w:ascii="Arial" w:hAnsi="Arial" w:cs="Arial"/>
          <w:i/>
          <w:iCs/>
          <w:noProof/>
          <w:sz w:val="22"/>
          <w:szCs w:val="22"/>
        </w:rPr>
        <w:t>et al.</w:t>
      </w:r>
      <w:r w:rsidRPr="0063132D">
        <w:rPr>
          <w:rFonts w:ascii="Arial" w:hAnsi="Arial" w:cs="Arial"/>
          <w:noProof/>
          <w:sz w:val="22"/>
          <w:szCs w:val="22"/>
        </w:rPr>
        <w:t xml:space="preserve"> (2015): The Physiology of BDNF and Its Relationship with ADHD. </w:t>
      </w:r>
      <w:r w:rsidRPr="0063132D">
        <w:rPr>
          <w:rFonts w:ascii="Arial" w:hAnsi="Arial" w:cs="Arial"/>
          <w:i/>
          <w:iCs/>
          <w:noProof/>
          <w:sz w:val="22"/>
          <w:szCs w:val="22"/>
        </w:rPr>
        <w:t>Mol Neurobiol</w:t>
      </w:r>
      <w:r w:rsidRPr="0063132D">
        <w:rPr>
          <w:rFonts w:ascii="Arial" w:hAnsi="Arial" w:cs="Arial"/>
          <w:noProof/>
          <w:sz w:val="22"/>
          <w:szCs w:val="22"/>
        </w:rPr>
        <w:t>. 52: 1467–1476.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350. Tsai SJ (2007): Attention-deficit hyperactivity disorder may be associated with decreased central brain-derived neurotrophic factor activity: Clinical and therapeutic implications. </w:t>
      </w:r>
      <w:r w:rsidRPr="0063132D">
        <w:rPr>
          <w:rFonts w:ascii="Arial" w:hAnsi="Arial" w:cs="Arial"/>
          <w:i/>
          <w:iCs/>
          <w:noProof/>
          <w:sz w:val="22"/>
          <w:szCs w:val="22"/>
        </w:rPr>
        <w:t>Med Hypotheses</w:t>
      </w:r>
      <w:r w:rsidRPr="0063132D">
        <w:rPr>
          <w:rFonts w:ascii="Arial" w:hAnsi="Arial" w:cs="Arial"/>
          <w:noProof/>
          <w:sz w:val="22"/>
          <w:szCs w:val="22"/>
        </w:rPr>
        <w:t>. 68: 896–899.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351. Bahi A, Chandrasekar V, Dreyer JL (2014): Selective lentiviral-mediated suppression of microRNA124a in the hippocampus evokes antidepressants-like effects in rats. </w:t>
      </w:r>
      <w:r w:rsidRPr="0063132D">
        <w:rPr>
          <w:rFonts w:ascii="Arial" w:hAnsi="Arial" w:cs="Arial"/>
          <w:i/>
          <w:iCs/>
          <w:noProof/>
          <w:sz w:val="22"/>
          <w:szCs w:val="22"/>
        </w:rPr>
        <w:t>Psychoneuroendocrinology</w:t>
      </w:r>
      <w:r w:rsidRPr="0063132D">
        <w:rPr>
          <w:rFonts w:ascii="Arial" w:hAnsi="Arial" w:cs="Arial"/>
          <w:noProof/>
          <w:sz w:val="22"/>
          <w:szCs w:val="22"/>
        </w:rPr>
        <w:t>. 46: 78–87.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352. O’Connor RM, Grenham S, Dinan TG, Cryan JF (2013): microRNAs as novel antidepressant targets: converging effects of ketamine and electroconvulsive shock therapy in the rat hippocampus. </w:t>
      </w:r>
      <w:r w:rsidRPr="0063132D">
        <w:rPr>
          <w:rFonts w:ascii="Arial" w:hAnsi="Arial" w:cs="Arial"/>
          <w:i/>
          <w:iCs/>
          <w:noProof/>
          <w:sz w:val="22"/>
          <w:szCs w:val="22"/>
        </w:rPr>
        <w:t>Int J Neuropsychopharmacol</w:t>
      </w:r>
      <w:r w:rsidRPr="0063132D">
        <w:rPr>
          <w:rFonts w:ascii="Arial" w:hAnsi="Arial" w:cs="Arial"/>
          <w:noProof/>
          <w:sz w:val="22"/>
          <w:szCs w:val="22"/>
        </w:rPr>
        <w:t>. 16: 1885–1892.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lastRenderedPageBreak/>
        <w:t xml:space="preserve">353. Gong Y, Wu CN, Xu J, Feng G, Xing QH, Fu W, </w:t>
      </w:r>
      <w:r w:rsidRPr="0063132D">
        <w:rPr>
          <w:rFonts w:ascii="Arial" w:hAnsi="Arial" w:cs="Arial"/>
          <w:i/>
          <w:iCs/>
          <w:noProof/>
          <w:sz w:val="22"/>
          <w:szCs w:val="22"/>
        </w:rPr>
        <w:t>et al.</w:t>
      </w:r>
      <w:r w:rsidRPr="0063132D">
        <w:rPr>
          <w:rFonts w:ascii="Arial" w:hAnsi="Arial" w:cs="Arial"/>
          <w:noProof/>
          <w:sz w:val="22"/>
          <w:szCs w:val="22"/>
        </w:rPr>
        <w:t xml:space="preserve"> (2013): Polymorphisms in microRNA target sites influence susceptibility to schizophrenia by altering the binding of miRNAs to their targets. </w:t>
      </w:r>
      <w:r w:rsidRPr="0063132D">
        <w:rPr>
          <w:rFonts w:ascii="Arial" w:hAnsi="Arial" w:cs="Arial"/>
          <w:i/>
          <w:iCs/>
          <w:noProof/>
          <w:sz w:val="22"/>
          <w:szCs w:val="22"/>
        </w:rPr>
        <w:t>Eur Neuropsychopharmacol</w:t>
      </w:r>
      <w:r w:rsidRPr="0063132D">
        <w:rPr>
          <w:rFonts w:ascii="Arial" w:hAnsi="Arial" w:cs="Arial"/>
          <w:noProof/>
          <w:sz w:val="22"/>
          <w:szCs w:val="22"/>
        </w:rPr>
        <w:t>. 23: 1182–1189.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354. So HC, Chen RYL, Chen EYH, Cheung EFC, Li T, Sham PC (2008): An association study of RGS4 polymorphisms with clinical phenotypes of schizophrenia in a Chinese population. </w:t>
      </w:r>
      <w:r w:rsidRPr="0063132D">
        <w:rPr>
          <w:rFonts w:ascii="Arial" w:hAnsi="Arial" w:cs="Arial"/>
          <w:i/>
          <w:iCs/>
          <w:noProof/>
          <w:sz w:val="22"/>
          <w:szCs w:val="22"/>
        </w:rPr>
        <w:t>Am J Med Genet Part B Neuropsychiatr Genet</w:t>
      </w:r>
      <w:r w:rsidRPr="0063132D">
        <w:rPr>
          <w:rFonts w:ascii="Arial" w:hAnsi="Arial" w:cs="Arial"/>
          <w:noProof/>
          <w:sz w:val="22"/>
          <w:szCs w:val="22"/>
        </w:rPr>
        <w:t>. 147: 77–85.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355. Christakou A, Murphy C, Chantiluke K, Cubillo A, Smith A, Giampietro V, </w:t>
      </w:r>
      <w:r w:rsidRPr="0063132D">
        <w:rPr>
          <w:rFonts w:ascii="Arial" w:hAnsi="Arial" w:cs="Arial"/>
          <w:i/>
          <w:iCs/>
          <w:noProof/>
          <w:sz w:val="22"/>
          <w:szCs w:val="22"/>
        </w:rPr>
        <w:t>et al.</w:t>
      </w:r>
      <w:r w:rsidRPr="0063132D">
        <w:rPr>
          <w:rFonts w:ascii="Arial" w:hAnsi="Arial" w:cs="Arial"/>
          <w:noProof/>
          <w:sz w:val="22"/>
          <w:szCs w:val="22"/>
        </w:rPr>
        <w:t xml:space="preserve"> (2012): Disorder-specific functional abnormalities during sustained attention in youth with Attention Deficit Hyperactivity Disorder (ADHD) and with Autism. </w:t>
      </w:r>
      <w:r w:rsidRPr="0063132D">
        <w:rPr>
          <w:rFonts w:ascii="Arial" w:hAnsi="Arial" w:cs="Arial"/>
          <w:i/>
          <w:iCs/>
          <w:noProof/>
          <w:sz w:val="22"/>
          <w:szCs w:val="22"/>
        </w:rPr>
        <w:t>Mol Psychiatry</w:t>
      </w:r>
      <w:r w:rsidRPr="0063132D">
        <w:rPr>
          <w:rFonts w:ascii="Arial" w:hAnsi="Arial" w:cs="Arial"/>
          <w:noProof/>
          <w:sz w:val="22"/>
          <w:szCs w:val="22"/>
        </w:rPr>
        <w:t>. 1–9.</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356. Yang L, Zhang R, Li M, Wu X, Wang J, Huang L, </w:t>
      </w:r>
      <w:r w:rsidRPr="0063132D">
        <w:rPr>
          <w:rFonts w:ascii="Arial" w:hAnsi="Arial" w:cs="Arial"/>
          <w:i/>
          <w:iCs/>
          <w:noProof/>
          <w:sz w:val="22"/>
          <w:szCs w:val="22"/>
        </w:rPr>
        <w:t>et al.</w:t>
      </w:r>
      <w:r w:rsidRPr="0063132D">
        <w:rPr>
          <w:rFonts w:ascii="Arial" w:hAnsi="Arial" w:cs="Arial"/>
          <w:noProof/>
          <w:sz w:val="22"/>
          <w:szCs w:val="22"/>
        </w:rPr>
        <w:t xml:space="preserve"> (2014): A functional MiR-124 binding-site polymorphism in IQGAP1 affects human cognitive performance. </w:t>
      </w:r>
      <w:r w:rsidRPr="0063132D">
        <w:rPr>
          <w:rFonts w:ascii="Arial" w:hAnsi="Arial" w:cs="Arial"/>
          <w:i/>
          <w:iCs/>
          <w:noProof/>
          <w:sz w:val="22"/>
          <w:szCs w:val="22"/>
        </w:rPr>
        <w:t>PLoS One</w:t>
      </w:r>
      <w:r w:rsidRPr="0063132D">
        <w:rPr>
          <w:rFonts w:ascii="Arial" w:hAnsi="Arial" w:cs="Arial"/>
          <w:noProof/>
          <w:sz w:val="22"/>
          <w:szCs w:val="22"/>
        </w:rPr>
        <w:t>. 9. doi: 10.1371/journal.pone.0107065.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357. Lim LP, Lau NC, Garrett-Engele P, Grimson A, Schelter JM, Castle J, </w:t>
      </w:r>
      <w:r w:rsidRPr="0063132D">
        <w:rPr>
          <w:rFonts w:ascii="Arial" w:hAnsi="Arial" w:cs="Arial"/>
          <w:i/>
          <w:iCs/>
          <w:noProof/>
          <w:sz w:val="22"/>
          <w:szCs w:val="22"/>
        </w:rPr>
        <w:t>et al.</w:t>
      </w:r>
      <w:r w:rsidRPr="0063132D">
        <w:rPr>
          <w:rFonts w:ascii="Arial" w:hAnsi="Arial" w:cs="Arial"/>
          <w:noProof/>
          <w:sz w:val="22"/>
          <w:szCs w:val="22"/>
        </w:rPr>
        <w:t xml:space="preserve"> (2005): Microarray analysis shows that some microRNAs downregulate large numbers of target mRNAs. </w:t>
      </w:r>
      <w:r w:rsidRPr="0063132D">
        <w:rPr>
          <w:rFonts w:ascii="Arial" w:hAnsi="Arial" w:cs="Arial"/>
          <w:i/>
          <w:iCs/>
          <w:noProof/>
          <w:sz w:val="22"/>
          <w:szCs w:val="22"/>
        </w:rPr>
        <w:t>Nature</w:t>
      </w:r>
      <w:r w:rsidRPr="0063132D">
        <w:rPr>
          <w:rFonts w:ascii="Arial" w:hAnsi="Arial" w:cs="Arial"/>
          <w:noProof/>
          <w:sz w:val="22"/>
          <w:szCs w:val="22"/>
        </w:rPr>
        <w:t>. 433: 769–773.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358. Noritake J, Watanabe T, Sato K, Wang S, Kaibuchi K (2005): IQGAP1: a key regulator of adhesion and migration. </w:t>
      </w:r>
      <w:r w:rsidRPr="0063132D">
        <w:rPr>
          <w:rFonts w:ascii="Arial" w:hAnsi="Arial" w:cs="Arial"/>
          <w:i/>
          <w:iCs/>
          <w:noProof/>
          <w:sz w:val="22"/>
          <w:szCs w:val="22"/>
        </w:rPr>
        <w:t>J Cell Sci</w:t>
      </w:r>
      <w:r w:rsidRPr="0063132D">
        <w:rPr>
          <w:rFonts w:ascii="Arial" w:hAnsi="Arial" w:cs="Arial"/>
          <w:noProof/>
          <w:sz w:val="22"/>
          <w:szCs w:val="22"/>
        </w:rPr>
        <w:t>. 118: 2085–2092.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359. Balenci L, Saoudi Y, Grunwald D, Deloulme JC, Bouron A, Bernards A, Baudier J (2007): IQGAP1 Regulates Adult Neural Progenitors In Vivo and Vascular Endothelial Growth Factor-Triggered Neural Progenitor Migration In Vitro. </w:t>
      </w:r>
      <w:r w:rsidRPr="0063132D">
        <w:rPr>
          <w:rFonts w:ascii="Arial" w:hAnsi="Arial" w:cs="Arial"/>
          <w:i/>
          <w:iCs/>
          <w:noProof/>
          <w:sz w:val="22"/>
          <w:szCs w:val="22"/>
        </w:rPr>
        <w:t>J Neurosci</w:t>
      </w:r>
      <w:r w:rsidRPr="0063132D">
        <w:rPr>
          <w:rFonts w:ascii="Arial" w:hAnsi="Arial" w:cs="Arial"/>
          <w:noProof/>
          <w:sz w:val="22"/>
          <w:szCs w:val="22"/>
        </w:rPr>
        <w:t>. 27: 4716–4724.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360. Schrick C, Fischer A, Srivastava DP, Tronson NC, Penzes P, Radulovic J (2007): N-Cadherin Regulates Cytoskeletally Associated IQGAP1/ERK Signaling and Memory Formation. </w:t>
      </w:r>
      <w:r w:rsidRPr="0063132D">
        <w:rPr>
          <w:rFonts w:ascii="Arial" w:hAnsi="Arial" w:cs="Arial"/>
          <w:i/>
          <w:iCs/>
          <w:noProof/>
          <w:sz w:val="22"/>
          <w:szCs w:val="22"/>
        </w:rPr>
        <w:t>Neuron</w:t>
      </w:r>
      <w:r w:rsidRPr="0063132D">
        <w:rPr>
          <w:rFonts w:ascii="Arial" w:hAnsi="Arial" w:cs="Arial"/>
          <w:noProof/>
          <w:sz w:val="22"/>
          <w:szCs w:val="22"/>
        </w:rPr>
        <w:t>. 55: 786–798.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361. Gao C, Frausto SF, Guedea AL, Tronson NC, Jovasevic V, Leaderbrand K, </w:t>
      </w:r>
      <w:r w:rsidRPr="0063132D">
        <w:rPr>
          <w:rFonts w:ascii="Arial" w:hAnsi="Arial" w:cs="Arial"/>
          <w:i/>
          <w:iCs/>
          <w:noProof/>
          <w:sz w:val="22"/>
          <w:szCs w:val="22"/>
        </w:rPr>
        <w:t>et al.</w:t>
      </w:r>
      <w:r w:rsidRPr="0063132D">
        <w:rPr>
          <w:rFonts w:ascii="Arial" w:hAnsi="Arial" w:cs="Arial"/>
          <w:noProof/>
          <w:sz w:val="22"/>
          <w:szCs w:val="22"/>
        </w:rPr>
        <w:t xml:space="preserve"> (2011): IQGAP1 regulates NR2A signaling, spine density, and cognitive processes. </w:t>
      </w:r>
      <w:r w:rsidRPr="0063132D">
        <w:rPr>
          <w:rFonts w:ascii="Arial" w:hAnsi="Arial" w:cs="Arial"/>
          <w:i/>
          <w:iCs/>
          <w:noProof/>
          <w:sz w:val="22"/>
          <w:szCs w:val="22"/>
        </w:rPr>
        <w:t>J Neurosci</w:t>
      </w:r>
      <w:r w:rsidRPr="0063132D">
        <w:rPr>
          <w:rFonts w:ascii="Arial" w:hAnsi="Arial" w:cs="Arial"/>
          <w:noProof/>
          <w:sz w:val="22"/>
          <w:szCs w:val="22"/>
        </w:rPr>
        <w:t>. 31: 8533–42.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362. Konopka W, Kiryk A, Novak M, Herwerth M, Parkitna JR, Wawrzyniak M, </w:t>
      </w:r>
      <w:r w:rsidRPr="0063132D">
        <w:rPr>
          <w:rFonts w:ascii="Arial" w:hAnsi="Arial" w:cs="Arial"/>
          <w:i/>
          <w:iCs/>
          <w:noProof/>
          <w:sz w:val="22"/>
          <w:szCs w:val="22"/>
        </w:rPr>
        <w:t>et al.</w:t>
      </w:r>
      <w:r w:rsidRPr="0063132D">
        <w:rPr>
          <w:rFonts w:ascii="Arial" w:hAnsi="Arial" w:cs="Arial"/>
          <w:noProof/>
          <w:sz w:val="22"/>
          <w:szCs w:val="22"/>
        </w:rPr>
        <w:t xml:space="preserve"> (2010): MicroRNA Loss Enhances Learning and Memory in Mice. </w:t>
      </w:r>
      <w:r w:rsidRPr="0063132D">
        <w:rPr>
          <w:rFonts w:ascii="Arial" w:hAnsi="Arial" w:cs="Arial"/>
          <w:i/>
          <w:iCs/>
          <w:noProof/>
          <w:sz w:val="22"/>
          <w:szCs w:val="22"/>
        </w:rPr>
        <w:t>J Neurosci</w:t>
      </w:r>
      <w:r w:rsidRPr="0063132D">
        <w:rPr>
          <w:rFonts w:ascii="Arial" w:hAnsi="Arial" w:cs="Arial"/>
          <w:noProof/>
          <w:sz w:val="22"/>
          <w:szCs w:val="22"/>
        </w:rPr>
        <w:t>. 30: 14835–14842.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363. Rajasethupathy P, Fiumara F, Sheridan R, Betel D, Puthanveettil S V., Russo JJ, </w:t>
      </w:r>
      <w:r w:rsidRPr="0063132D">
        <w:rPr>
          <w:rFonts w:ascii="Arial" w:hAnsi="Arial" w:cs="Arial"/>
          <w:i/>
          <w:iCs/>
          <w:noProof/>
          <w:sz w:val="22"/>
          <w:szCs w:val="22"/>
        </w:rPr>
        <w:t>et al.</w:t>
      </w:r>
      <w:r w:rsidRPr="0063132D">
        <w:rPr>
          <w:rFonts w:ascii="Arial" w:hAnsi="Arial" w:cs="Arial"/>
          <w:noProof/>
          <w:sz w:val="22"/>
          <w:szCs w:val="22"/>
        </w:rPr>
        <w:t xml:space="preserve"> (2009): Characterization of Small RNAs in Aplysia Reveals a Role for miR-124 in Constraining Synaptic Plasticity through CREB. </w:t>
      </w:r>
      <w:r w:rsidRPr="0063132D">
        <w:rPr>
          <w:rFonts w:ascii="Arial" w:hAnsi="Arial" w:cs="Arial"/>
          <w:i/>
          <w:iCs/>
          <w:noProof/>
          <w:sz w:val="22"/>
          <w:szCs w:val="22"/>
        </w:rPr>
        <w:t>Neuron</w:t>
      </w:r>
      <w:r w:rsidRPr="0063132D">
        <w:rPr>
          <w:rFonts w:ascii="Arial" w:hAnsi="Arial" w:cs="Arial"/>
          <w:noProof/>
          <w:sz w:val="22"/>
          <w:szCs w:val="22"/>
        </w:rPr>
        <w:t>. 63: 803–817.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364. Roy B, Dunbar M, Shelton RC, Dwivedi Y (2017): Identification of MicroRNA-124-3p as a Putative Epigenetic Signature of Major Depressive Disorder. </w:t>
      </w:r>
      <w:r w:rsidRPr="0063132D">
        <w:rPr>
          <w:rFonts w:ascii="Arial" w:hAnsi="Arial" w:cs="Arial"/>
          <w:i/>
          <w:iCs/>
          <w:noProof/>
          <w:sz w:val="22"/>
          <w:szCs w:val="22"/>
        </w:rPr>
        <w:t>Neuropsychopharmacology</w:t>
      </w:r>
      <w:r w:rsidRPr="0063132D">
        <w:rPr>
          <w:rFonts w:ascii="Arial" w:hAnsi="Arial" w:cs="Arial"/>
          <w:noProof/>
          <w:sz w:val="22"/>
          <w:szCs w:val="22"/>
        </w:rPr>
        <w:t>. 42: 864–875.</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365. Vreugdenhil E, Verissimo CSL, Mariman R, Kamphorst JT, Barbosa JS, Zweers T, </w:t>
      </w:r>
      <w:r w:rsidRPr="0063132D">
        <w:rPr>
          <w:rFonts w:ascii="Arial" w:hAnsi="Arial" w:cs="Arial"/>
          <w:i/>
          <w:iCs/>
          <w:noProof/>
          <w:sz w:val="22"/>
          <w:szCs w:val="22"/>
        </w:rPr>
        <w:t>et al.</w:t>
      </w:r>
      <w:r w:rsidRPr="0063132D">
        <w:rPr>
          <w:rFonts w:ascii="Arial" w:hAnsi="Arial" w:cs="Arial"/>
          <w:noProof/>
          <w:sz w:val="22"/>
          <w:szCs w:val="22"/>
        </w:rPr>
        <w:t xml:space="preserve"> (2009): MicroRNA 18 and 124a down-regulate the glucocorticoid receptor: Implications for glucocorticoid responsiveness in the brain. </w:t>
      </w:r>
      <w:r w:rsidRPr="0063132D">
        <w:rPr>
          <w:rFonts w:ascii="Arial" w:hAnsi="Arial" w:cs="Arial"/>
          <w:i/>
          <w:iCs/>
          <w:noProof/>
          <w:sz w:val="22"/>
          <w:szCs w:val="22"/>
        </w:rPr>
        <w:t>Endocrinology</w:t>
      </w:r>
      <w:r w:rsidRPr="0063132D">
        <w:rPr>
          <w:rFonts w:ascii="Arial" w:hAnsi="Arial" w:cs="Arial"/>
          <w:noProof/>
          <w:sz w:val="22"/>
          <w:szCs w:val="22"/>
        </w:rPr>
        <w:t>. 150: 2220–2228.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366. Fortier ME, Sengupta SM, Grizenko N, Choudhry Z, Thakur G, Joober R (2013): Genetic evidence for the association of the hypothalamic-pituitary-adrenal (HPA) axis with ADHD and methylphenidate treatment response. </w:t>
      </w:r>
      <w:r w:rsidRPr="0063132D">
        <w:rPr>
          <w:rFonts w:ascii="Arial" w:hAnsi="Arial" w:cs="Arial"/>
          <w:i/>
          <w:iCs/>
          <w:noProof/>
          <w:sz w:val="22"/>
          <w:szCs w:val="22"/>
        </w:rPr>
        <w:t>Neuromolecular Med</w:t>
      </w:r>
      <w:r w:rsidRPr="0063132D">
        <w:rPr>
          <w:rFonts w:ascii="Arial" w:hAnsi="Arial" w:cs="Arial"/>
          <w:noProof/>
          <w:sz w:val="22"/>
          <w:szCs w:val="22"/>
        </w:rPr>
        <w:t>. 15: 122–132.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367. Yin F, Banerjee R, Thomas B, Zhou P, Qian L, Jia T, </w:t>
      </w:r>
      <w:r w:rsidRPr="0063132D">
        <w:rPr>
          <w:rFonts w:ascii="Arial" w:hAnsi="Arial" w:cs="Arial"/>
          <w:i/>
          <w:iCs/>
          <w:noProof/>
          <w:sz w:val="22"/>
          <w:szCs w:val="22"/>
        </w:rPr>
        <w:t>et al.</w:t>
      </w:r>
      <w:r w:rsidRPr="0063132D">
        <w:rPr>
          <w:rFonts w:ascii="Arial" w:hAnsi="Arial" w:cs="Arial"/>
          <w:noProof/>
          <w:sz w:val="22"/>
          <w:szCs w:val="22"/>
        </w:rPr>
        <w:t xml:space="preserve"> (2010): Exaggerated inflammation, impaired host defense, and neuropathology in progranulin-deficient mice. </w:t>
      </w:r>
      <w:r w:rsidRPr="0063132D">
        <w:rPr>
          <w:rFonts w:ascii="Arial" w:hAnsi="Arial" w:cs="Arial"/>
          <w:i/>
          <w:iCs/>
          <w:noProof/>
          <w:sz w:val="22"/>
          <w:szCs w:val="22"/>
        </w:rPr>
        <w:t>J Exp Med</w:t>
      </w:r>
      <w:r w:rsidRPr="0063132D">
        <w:rPr>
          <w:rFonts w:ascii="Arial" w:hAnsi="Arial" w:cs="Arial"/>
          <w:noProof/>
          <w:sz w:val="22"/>
          <w:szCs w:val="22"/>
        </w:rPr>
        <w:t>. 207: 117–128.</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368. Cenik B, Sephton CF, Cenik BK, Herz J, Yu G (2012): Progranulin: A proteolytically processed protein at the crossroads of inflammation and </w:t>
      </w:r>
      <w:r w:rsidRPr="0063132D">
        <w:rPr>
          <w:rFonts w:ascii="Arial" w:hAnsi="Arial" w:cs="Arial"/>
          <w:noProof/>
          <w:sz w:val="22"/>
          <w:szCs w:val="22"/>
        </w:rPr>
        <w:lastRenderedPageBreak/>
        <w:t xml:space="preserve">neurodegeneration. </w:t>
      </w:r>
      <w:r w:rsidRPr="0063132D">
        <w:rPr>
          <w:rFonts w:ascii="Arial" w:hAnsi="Arial" w:cs="Arial"/>
          <w:i/>
          <w:iCs/>
          <w:noProof/>
          <w:sz w:val="22"/>
          <w:szCs w:val="22"/>
        </w:rPr>
        <w:t>J Biol Chem</w:t>
      </w:r>
      <w:r w:rsidRPr="0063132D">
        <w:rPr>
          <w:rFonts w:ascii="Arial" w:hAnsi="Arial" w:cs="Arial"/>
          <w:noProof/>
          <w:sz w:val="22"/>
          <w:szCs w:val="22"/>
        </w:rPr>
        <w:t>. 287: 32298–32306.</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369. Buske-Kirschbaum A, Schmitt J, Plessow F, Romanos M, Weidinger S, Roessner V (2013): Psychoendocrine and psychoneuroimmunological mechanisms in the comorbidity of atopic eczema and attention deficit/hyperactivity disorder. </w:t>
      </w:r>
      <w:r w:rsidRPr="0063132D">
        <w:rPr>
          <w:rFonts w:ascii="Arial" w:hAnsi="Arial" w:cs="Arial"/>
          <w:i/>
          <w:iCs/>
          <w:noProof/>
          <w:sz w:val="22"/>
          <w:szCs w:val="22"/>
        </w:rPr>
        <w:t>Psychoneuroendocrinology</w:t>
      </w:r>
      <w:r w:rsidRPr="0063132D">
        <w:rPr>
          <w:rFonts w:ascii="Arial" w:hAnsi="Arial" w:cs="Arial"/>
          <w:noProof/>
          <w:sz w:val="22"/>
          <w:szCs w:val="22"/>
        </w:rPr>
        <w:t>. 38: 12–23.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370. Gao X, Joselin AP, Wang L, Kar A, Ray P, Bateman A, </w:t>
      </w:r>
      <w:r w:rsidRPr="0063132D">
        <w:rPr>
          <w:rFonts w:ascii="Arial" w:hAnsi="Arial" w:cs="Arial"/>
          <w:i/>
          <w:iCs/>
          <w:noProof/>
          <w:sz w:val="22"/>
          <w:szCs w:val="22"/>
        </w:rPr>
        <w:t>et al.</w:t>
      </w:r>
      <w:r w:rsidRPr="0063132D">
        <w:rPr>
          <w:rFonts w:ascii="Arial" w:hAnsi="Arial" w:cs="Arial"/>
          <w:noProof/>
          <w:sz w:val="22"/>
          <w:szCs w:val="22"/>
        </w:rPr>
        <w:t xml:space="preserve"> (2010): Progranulin promotes neurite outgrowth and neuronal differentiation by regulating GSK-3?? </w:t>
      </w:r>
      <w:r w:rsidRPr="0063132D">
        <w:rPr>
          <w:rFonts w:ascii="Arial" w:hAnsi="Arial" w:cs="Arial"/>
          <w:i/>
          <w:iCs/>
          <w:noProof/>
          <w:sz w:val="22"/>
          <w:szCs w:val="22"/>
        </w:rPr>
        <w:t>Protein Cell</w:t>
      </w:r>
      <w:r w:rsidRPr="0063132D">
        <w:rPr>
          <w:rFonts w:ascii="Arial" w:hAnsi="Arial" w:cs="Arial"/>
          <w:noProof/>
          <w:sz w:val="22"/>
          <w:szCs w:val="22"/>
        </w:rPr>
        <w:t>. 1: 552–562.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371. Petkau TL, Neal SJ, Milnerwood A, Mew A, Hill AM, Orban P, </w:t>
      </w:r>
      <w:r w:rsidRPr="0063132D">
        <w:rPr>
          <w:rFonts w:ascii="Arial" w:hAnsi="Arial" w:cs="Arial"/>
          <w:i/>
          <w:iCs/>
          <w:noProof/>
          <w:sz w:val="22"/>
          <w:szCs w:val="22"/>
        </w:rPr>
        <w:t>et al.</w:t>
      </w:r>
      <w:r w:rsidRPr="0063132D">
        <w:rPr>
          <w:rFonts w:ascii="Arial" w:hAnsi="Arial" w:cs="Arial"/>
          <w:noProof/>
          <w:sz w:val="22"/>
          <w:szCs w:val="22"/>
        </w:rPr>
        <w:t xml:space="preserve"> (2012): Synaptic dysfunction in progranulin-deficient mice. </w:t>
      </w:r>
      <w:r w:rsidRPr="0063132D">
        <w:rPr>
          <w:rFonts w:ascii="Arial" w:hAnsi="Arial" w:cs="Arial"/>
          <w:i/>
          <w:iCs/>
          <w:noProof/>
          <w:sz w:val="22"/>
          <w:szCs w:val="22"/>
        </w:rPr>
        <w:t>Neurobiol Dis</w:t>
      </w:r>
      <w:r w:rsidRPr="0063132D">
        <w:rPr>
          <w:rFonts w:ascii="Arial" w:hAnsi="Arial" w:cs="Arial"/>
          <w:noProof/>
          <w:sz w:val="22"/>
          <w:szCs w:val="22"/>
        </w:rPr>
        <w:t>. 45: 711–722.</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372. Penzes P, Cahill ME, Jones KA, VanLeeuwen J-E, Woolfrey KM (2011): Dendritic spine pathology in neuropsychiatric disorders. </w:t>
      </w:r>
      <w:r w:rsidRPr="0063132D">
        <w:rPr>
          <w:rFonts w:ascii="Arial" w:hAnsi="Arial" w:cs="Arial"/>
          <w:i/>
          <w:iCs/>
          <w:noProof/>
          <w:sz w:val="22"/>
          <w:szCs w:val="22"/>
        </w:rPr>
        <w:t>Nat Neurosci</w:t>
      </w:r>
      <w:r w:rsidRPr="0063132D">
        <w:rPr>
          <w:rFonts w:ascii="Arial" w:hAnsi="Arial" w:cs="Arial"/>
          <w:noProof/>
          <w:sz w:val="22"/>
          <w:szCs w:val="22"/>
        </w:rPr>
        <w:t>. 14: 285–293.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373. Kim Y, Teylan MA, Baron M, Sands A, Nairn AC, Greengard P (2009): Methylphenidate-induced dendritic spine formation and ΔFosB expression in nucleus accumbens. </w:t>
      </w:r>
      <w:r w:rsidRPr="0063132D">
        <w:rPr>
          <w:rFonts w:ascii="Arial" w:hAnsi="Arial" w:cs="Arial"/>
          <w:i/>
          <w:iCs/>
          <w:noProof/>
          <w:sz w:val="22"/>
          <w:szCs w:val="22"/>
        </w:rPr>
        <w:t>Proc Natl Acad Sci</w:t>
      </w:r>
      <w:r w:rsidRPr="0063132D">
        <w:rPr>
          <w:rFonts w:ascii="Arial" w:hAnsi="Arial" w:cs="Arial"/>
          <w:noProof/>
          <w:sz w:val="22"/>
          <w:szCs w:val="22"/>
        </w:rPr>
        <w:t>. 106: 2915–2920.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374. Yin F, Dumont M, Banerjee R, Ma Y, Li H, Lin MT, </w:t>
      </w:r>
      <w:r w:rsidRPr="0063132D">
        <w:rPr>
          <w:rFonts w:ascii="Arial" w:hAnsi="Arial" w:cs="Arial"/>
          <w:i/>
          <w:iCs/>
          <w:noProof/>
          <w:sz w:val="22"/>
          <w:szCs w:val="22"/>
        </w:rPr>
        <w:t>et al.</w:t>
      </w:r>
      <w:r w:rsidRPr="0063132D">
        <w:rPr>
          <w:rFonts w:ascii="Arial" w:hAnsi="Arial" w:cs="Arial"/>
          <w:noProof/>
          <w:sz w:val="22"/>
          <w:szCs w:val="22"/>
        </w:rPr>
        <w:t xml:space="preserve"> (2010): Behavioral deficits and progressive neuropathology in progranulin-deficient mice: a mouse model of frontotemporal dementia. </w:t>
      </w:r>
      <w:r w:rsidRPr="0063132D">
        <w:rPr>
          <w:rFonts w:ascii="Arial" w:hAnsi="Arial" w:cs="Arial"/>
          <w:i/>
          <w:iCs/>
          <w:noProof/>
          <w:sz w:val="22"/>
          <w:szCs w:val="22"/>
        </w:rPr>
        <w:t>FASEB J</w:t>
      </w:r>
      <w:r w:rsidRPr="0063132D">
        <w:rPr>
          <w:rFonts w:ascii="Arial" w:hAnsi="Arial" w:cs="Arial"/>
          <w:noProof/>
          <w:sz w:val="22"/>
          <w:szCs w:val="22"/>
        </w:rPr>
        <w:t>. 24: 4639–4647.</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375. Loeber R, Burke JD, Lahey BB, Winters A, Zera M (2000): Oppositional defiant and conduct disorder: A review of the past 10 years, part I. </w:t>
      </w:r>
      <w:r w:rsidRPr="0063132D">
        <w:rPr>
          <w:rFonts w:ascii="Arial" w:hAnsi="Arial" w:cs="Arial"/>
          <w:i/>
          <w:iCs/>
          <w:noProof/>
          <w:sz w:val="22"/>
          <w:szCs w:val="22"/>
        </w:rPr>
        <w:t>J Am Acad Child Psychiatry</w:t>
      </w:r>
      <w:r w:rsidRPr="0063132D">
        <w:rPr>
          <w:rFonts w:ascii="Arial" w:hAnsi="Arial" w:cs="Arial"/>
          <w:noProof/>
          <w:sz w:val="22"/>
          <w:szCs w:val="22"/>
        </w:rPr>
        <w:t>. 39: 1468–1484.</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376. Sarkar S, Craig MC, Catani M, Dell’Acqua F, Fahy T, Deeley Q, Murphy DGM (2013): Frontotemporal white-matter microstructural abnormalities in adolescents with conduct disorder: a diffusion tensor imaging study. </w:t>
      </w:r>
      <w:r w:rsidRPr="0063132D">
        <w:rPr>
          <w:rFonts w:ascii="Arial" w:hAnsi="Arial" w:cs="Arial"/>
          <w:i/>
          <w:iCs/>
          <w:noProof/>
          <w:sz w:val="22"/>
          <w:szCs w:val="22"/>
        </w:rPr>
        <w:t>Psychol Med</w:t>
      </w:r>
      <w:r w:rsidRPr="0063132D">
        <w:rPr>
          <w:rFonts w:ascii="Arial" w:hAnsi="Arial" w:cs="Arial"/>
          <w:noProof/>
          <w:sz w:val="22"/>
          <w:szCs w:val="22"/>
        </w:rPr>
        <w:t>. 43: 401–411.</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377. Noren Hooten N, Fitzpatrick M, Wood WH, De S, Ejiogu N, Zhang Y, </w:t>
      </w:r>
      <w:r w:rsidRPr="0063132D">
        <w:rPr>
          <w:rFonts w:ascii="Arial" w:hAnsi="Arial" w:cs="Arial"/>
          <w:i/>
          <w:iCs/>
          <w:noProof/>
          <w:sz w:val="22"/>
          <w:szCs w:val="22"/>
        </w:rPr>
        <w:t>et al.</w:t>
      </w:r>
      <w:r w:rsidRPr="0063132D">
        <w:rPr>
          <w:rFonts w:ascii="Arial" w:hAnsi="Arial" w:cs="Arial"/>
          <w:noProof/>
          <w:sz w:val="22"/>
          <w:szCs w:val="22"/>
        </w:rPr>
        <w:t xml:space="preserve"> (2013): Age-related changes in microRNA levels in serum. </w:t>
      </w:r>
      <w:r w:rsidRPr="0063132D">
        <w:rPr>
          <w:rFonts w:ascii="Arial" w:hAnsi="Arial" w:cs="Arial"/>
          <w:i/>
          <w:iCs/>
          <w:noProof/>
          <w:sz w:val="22"/>
          <w:szCs w:val="22"/>
        </w:rPr>
        <w:t>Aging (Albany NY)</w:t>
      </w:r>
      <w:r w:rsidRPr="0063132D">
        <w:rPr>
          <w:rFonts w:ascii="Arial" w:hAnsi="Arial" w:cs="Arial"/>
          <w:noProof/>
          <w:sz w:val="22"/>
          <w:szCs w:val="22"/>
        </w:rPr>
        <w:t>. 5: 725–740.</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378. Gatt JM, Burton KLO, Williams LM, Schofield PR (2015): Specific and common genes implicated across major mental disorders: A review of meta-analysis studies. </w:t>
      </w:r>
      <w:r w:rsidRPr="0063132D">
        <w:rPr>
          <w:rFonts w:ascii="Arial" w:hAnsi="Arial" w:cs="Arial"/>
          <w:i/>
          <w:iCs/>
          <w:noProof/>
          <w:sz w:val="22"/>
          <w:szCs w:val="22"/>
        </w:rPr>
        <w:t>J Psychiatr Res</w:t>
      </w:r>
      <w:r w:rsidRPr="0063132D">
        <w:rPr>
          <w:rFonts w:ascii="Arial" w:hAnsi="Arial" w:cs="Arial"/>
          <w:noProof/>
          <w:sz w:val="22"/>
          <w:szCs w:val="22"/>
        </w:rPr>
        <w:t>. 60: 1–13.</w:t>
      </w:r>
    </w:p>
    <w:p w:rsidR="005827F2" w:rsidRPr="0063132D" w:rsidRDefault="005827F2" w:rsidP="005827F2">
      <w:pPr>
        <w:widowControl w:val="0"/>
        <w:autoSpaceDE w:val="0"/>
        <w:autoSpaceDN w:val="0"/>
        <w:adjustRightInd w:val="0"/>
        <w:ind w:left="480" w:hanging="480"/>
        <w:rPr>
          <w:rFonts w:ascii="Arial" w:hAnsi="Arial" w:cs="Arial"/>
          <w:noProof/>
          <w:sz w:val="22"/>
          <w:szCs w:val="22"/>
        </w:rPr>
      </w:pPr>
      <w:r w:rsidRPr="0063132D">
        <w:rPr>
          <w:rFonts w:ascii="Arial" w:hAnsi="Arial" w:cs="Arial"/>
          <w:noProof/>
          <w:sz w:val="22"/>
          <w:szCs w:val="22"/>
        </w:rPr>
        <w:t xml:space="preserve">379. Brown AB, Biederman J, Valera EM, Doyle AE, Bush G, Spencer T, </w:t>
      </w:r>
      <w:r w:rsidRPr="0063132D">
        <w:rPr>
          <w:rFonts w:ascii="Arial" w:hAnsi="Arial" w:cs="Arial"/>
          <w:i/>
          <w:iCs/>
          <w:noProof/>
          <w:sz w:val="22"/>
          <w:szCs w:val="22"/>
        </w:rPr>
        <w:t>et al.</w:t>
      </w:r>
      <w:r w:rsidRPr="0063132D">
        <w:rPr>
          <w:rFonts w:ascii="Arial" w:hAnsi="Arial" w:cs="Arial"/>
          <w:noProof/>
          <w:sz w:val="22"/>
          <w:szCs w:val="22"/>
        </w:rPr>
        <w:t xml:space="preserve"> (2010): Effect of dopamine transporter gene (SLC6A3) variation on dorsal anterior cingulate function in attention-deficit/hyperactivity disorder. </w:t>
      </w:r>
      <w:r w:rsidRPr="0063132D">
        <w:rPr>
          <w:rFonts w:ascii="Arial" w:hAnsi="Arial" w:cs="Arial"/>
          <w:i/>
          <w:iCs/>
          <w:noProof/>
          <w:sz w:val="22"/>
          <w:szCs w:val="22"/>
        </w:rPr>
        <w:t>Am J Med Genet Part B Neuropsychiatr Genet</w:t>
      </w:r>
      <w:r w:rsidRPr="0063132D">
        <w:rPr>
          <w:rFonts w:ascii="Arial" w:hAnsi="Arial" w:cs="Arial"/>
          <w:noProof/>
          <w:sz w:val="22"/>
          <w:szCs w:val="22"/>
        </w:rPr>
        <w:t>. 153: 365–375.</w:t>
      </w:r>
    </w:p>
    <w:p w:rsidR="003F449F" w:rsidRDefault="00BC3BBB" w:rsidP="005827F2">
      <w:pPr>
        <w:widowControl w:val="0"/>
        <w:autoSpaceDE w:val="0"/>
        <w:autoSpaceDN w:val="0"/>
        <w:adjustRightInd w:val="0"/>
        <w:ind w:left="480" w:hanging="480"/>
        <w:rPr>
          <w:rFonts w:ascii="Arial" w:hAnsi="Arial" w:cs="Arial"/>
          <w:b/>
        </w:rPr>
      </w:pPr>
      <w:r w:rsidRPr="0063132D">
        <w:rPr>
          <w:rFonts w:ascii="Arial" w:hAnsi="Arial" w:cs="Arial"/>
          <w:b/>
          <w:sz w:val="22"/>
          <w:szCs w:val="22"/>
        </w:rPr>
        <w:fldChar w:fldCharType="end"/>
      </w:r>
    </w:p>
    <w:p w:rsidR="000E0F5C" w:rsidRDefault="000E0F5C" w:rsidP="00C60153">
      <w:pPr>
        <w:widowControl w:val="0"/>
        <w:autoSpaceDE w:val="0"/>
        <w:autoSpaceDN w:val="0"/>
        <w:adjustRightInd w:val="0"/>
        <w:spacing w:after="200" w:line="360" w:lineRule="auto"/>
        <w:ind w:left="480" w:hanging="480"/>
        <w:rPr>
          <w:rFonts w:ascii="Arial" w:hAnsi="Arial" w:cs="Arial"/>
          <w:b/>
        </w:rPr>
      </w:pPr>
    </w:p>
    <w:p w:rsidR="000E0F5C" w:rsidRDefault="000E0F5C" w:rsidP="00C60153">
      <w:pPr>
        <w:widowControl w:val="0"/>
        <w:autoSpaceDE w:val="0"/>
        <w:autoSpaceDN w:val="0"/>
        <w:adjustRightInd w:val="0"/>
        <w:spacing w:after="200" w:line="360" w:lineRule="auto"/>
        <w:ind w:left="480" w:hanging="480"/>
        <w:rPr>
          <w:rFonts w:ascii="Arial" w:hAnsi="Arial" w:cs="Arial"/>
          <w:b/>
        </w:rPr>
      </w:pPr>
    </w:p>
    <w:p w:rsidR="0063132D" w:rsidRDefault="0063132D" w:rsidP="00C60153">
      <w:pPr>
        <w:widowControl w:val="0"/>
        <w:autoSpaceDE w:val="0"/>
        <w:autoSpaceDN w:val="0"/>
        <w:adjustRightInd w:val="0"/>
        <w:spacing w:after="200" w:line="360" w:lineRule="auto"/>
        <w:ind w:left="480" w:hanging="480"/>
        <w:rPr>
          <w:rFonts w:ascii="Arial" w:hAnsi="Arial" w:cs="Arial"/>
          <w:b/>
        </w:rPr>
      </w:pPr>
    </w:p>
    <w:p w:rsidR="0063132D" w:rsidRDefault="0063132D" w:rsidP="00C60153">
      <w:pPr>
        <w:widowControl w:val="0"/>
        <w:autoSpaceDE w:val="0"/>
        <w:autoSpaceDN w:val="0"/>
        <w:adjustRightInd w:val="0"/>
        <w:spacing w:after="200" w:line="360" w:lineRule="auto"/>
        <w:ind w:left="480" w:hanging="480"/>
        <w:rPr>
          <w:rFonts w:ascii="Arial" w:hAnsi="Arial" w:cs="Arial"/>
          <w:b/>
        </w:rPr>
      </w:pPr>
    </w:p>
    <w:p w:rsidR="0063132D" w:rsidRDefault="0063132D" w:rsidP="00C60153">
      <w:pPr>
        <w:widowControl w:val="0"/>
        <w:autoSpaceDE w:val="0"/>
        <w:autoSpaceDN w:val="0"/>
        <w:adjustRightInd w:val="0"/>
        <w:spacing w:after="200" w:line="360" w:lineRule="auto"/>
        <w:ind w:left="480" w:hanging="480"/>
        <w:rPr>
          <w:rFonts w:ascii="Arial" w:hAnsi="Arial" w:cs="Arial"/>
          <w:b/>
        </w:rPr>
      </w:pPr>
    </w:p>
    <w:p w:rsidR="0063132D" w:rsidRDefault="0063132D" w:rsidP="00C60153">
      <w:pPr>
        <w:widowControl w:val="0"/>
        <w:autoSpaceDE w:val="0"/>
        <w:autoSpaceDN w:val="0"/>
        <w:adjustRightInd w:val="0"/>
        <w:spacing w:after="200" w:line="360" w:lineRule="auto"/>
        <w:ind w:left="480" w:hanging="480"/>
        <w:rPr>
          <w:rFonts w:ascii="Arial" w:hAnsi="Arial" w:cs="Arial"/>
          <w:b/>
        </w:rPr>
      </w:pPr>
    </w:p>
    <w:p w:rsidR="0063132D" w:rsidRDefault="0063132D" w:rsidP="00C60153">
      <w:pPr>
        <w:widowControl w:val="0"/>
        <w:autoSpaceDE w:val="0"/>
        <w:autoSpaceDN w:val="0"/>
        <w:adjustRightInd w:val="0"/>
        <w:spacing w:after="200" w:line="360" w:lineRule="auto"/>
        <w:ind w:left="480" w:hanging="480"/>
        <w:rPr>
          <w:rFonts w:ascii="Arial" w:hAnsi="Arial" w:cs="Arial"/>
          <w:b/>
        </w:rPr>
      </w:pPr>
    </w:p>
    <w:p w:rsidR="000E0F5C" w:rsidRDefault="000E0F5C" w:rsidP="000E0F5C">
      <w:pPr>
        <w:numPr>
          <w:ilvl w:val="1"/>
          <w:numId w:val="0"/>
        </w:numPr>
        <w:tabs>
          <w:tab w:val="num" w:pos="576"/>
          <w:tab w:val="left" w:pos="3420"/>
        </w:tabs>
        <w:suppressAutoHyphens/>
        <w:spacing w:line="360" w:lineRule="auto"/>
        <w:jc w:val="both"/>
        <w:outlineLvl w:val="1"/>
        <w:rPr>
          <w:rFonts w:ascii="Arial" w:hAnsi="Arial" w:cs="Arial"/>
          <w:b/>
          <w:bCs/>
          <w:sz w:val="22"/>
          <w:szCs w:val="22"/>
          <w:lang w:eastAsia="ar-SA"/>
        </w:rPr>
      </w:pPr>
      <w:r>
        <w:rPr>
          <w:rFonts w:ascii="Arial" w:hAnsi="Arial" w:cs="Arial"/>
          <w:b/>
          <w:bCs/>
          <w:sz w:val="22"/>
          <w:szCs w:val="22"/>
          <w:lang w:eastAsia="ar-SA"/>
        </w:rPr>
        <w:lastRenderedPageBreak/>
        <w:t xml:space="preserve">EK </w:t>
      </w:r>
    </w:p>
    <w:p w:rsidR="000E0F5C" w:rsidRPr="000E0F5C" w:rsidRDefault="000E0F5C" w:rsidP="000E0F5C">
      <w:pPr>
        <w:numPr>
          <w:ilvl w:val="1"/>
          <w:numId w:val="0"/>
        </w:numPr>
        <w:tabs>
          <w:tab w:val="num" w:pos="576"/>
          <w:tab w:val="left" w:pos="3420"/>
        </w:tabs>
        <w:suppressAutoHyphens/>
        <w:spacing w:line="360" w:lineRule="auto"/>
        <w:jc w:val="both"/>
        <w:outlineLvl w:val="1"/>
        <w:rPr>
          <w:rFonts w:ascii="Arial" w:hAnsi="Arial" w:cs="Arial"/>
          <w:b/>
          <w:bCs/>
          <w:sz w:val="22"/>
          <w:szCs w:val="22"/>
          <w:lang w:eastAsia="ar-SA"/>
        </w:rPr>
      </w:pPr>
      <w:r w:rsidRPr="000E0F5C">
        <w:rPr>
          <w:rFonts w:ascii="Arial" w:hAnsi="Arial" w:cs="Arial"/>
          <w:b/>
          <w:bCs/>
          <w:sz w:val="22"/>
          <w:szCs w:val="22"/>
          <w:lang w:eastAsia="ar-SA"/>
        </w:rPr>
        <w:t>Ek 1 – Sosyodemografik Veri Formu</w:t>
      </w:r>
    </w:p>
    <w:p w:rsidR="000E0F5C" w:rsidRPr="000E0F5C" w:rsidRDefault="000E0F5C" w:rsidP="000E0F5C">
      <w:pPr>
        <w:numPr>
          <w:ilvl w:val="1"/>
          <w:numId w:val="0"/>
        </w:numPr>
        <w:tabs>
          <w:tab w:val="num" w:pos="576"/>
          <w:tab w:val="left" w:pos="3420"/>
        </w:tabs>
        <w:suppressAutoHyphens/>
        <w:jc w:val="both"/>
        <w:outlineLvl w:val="1"/>
        <w:rPr>
          <w:rFonts w:ascii="Arial" w:hAnsi="Arial" w:cs="Arial"/>
          <w:b/>
          <w:bCs/>
          <w:sz w:val="22"/>
          <w:szCs w:val="22"/>
          <w:lang w:eastAsia="ar-SA"/>
        </w:rPr>
      </w:pPr>
      <w:r w:rsidRPr="000E0F5C">
        <w:rPr>
          <w:rFonts w:ascii="Arial" w:hAnsi="Arial" w:cs="Arial"/>
          <w:b/>
          <w:bCs/>
          <w:sz w:val="22"/>
          <w:szCs w:val="22"/>
          <w:lang w:eastAsia="ar-SA"/>
        </w:rPr>
        <w:tab/>
      </w:r>
    </w:p>
    <w:tbl>
      <w:tblPr>
        <w:tblStyle w:val="TabloKlavuzu"/>
        <w:tblW w:w="0" w:type="auto"/>
        <w:tblLook w:val="04A0" w:firstRow="1" w:lastRow="0" w:firstColumn="1" w:lastColumn="0" w:noHBand="0" w:noVBand="1"/>
      </w:tblPr>
      <w:tblGrid>
        <w:gridCol w:w="8436"/>
      </w:tblGrid>
      <w:tr w:rsidR="000E0F5C" w:rsidRPr="000E0F5C" w:rsidTr="006A23DA">
        <w:tc>
          <w:tcPr>
            <w:tcW w:w="9212" w:type="dxa"/>
          </w:tcPr>
          <w:p w:rsidR="000E0F5C" w:rsidRPr="000E0F5C" w:rsidRDefault="000E0F5C" w:rsidP="006A23DA">
            <w:pPr>
              <w:numPr>
                <w:ilvl w:val="1"/>
                <w:numId w:val="0"/>
              </w:numPr>
              <w:tabs>
                <w:tab w:val="num" w:pos="576"/>
                <w:tab w:val="left" w:pos="3420"/>
              </w:tabs>
              <w:suppressAutoHyphens/>
              <w:jc w:val="both"/>
              <w:outlineLvl w:val="1"/>
              <w:rPr>
                <w:rFonts w:ascii="Arial" w:hAnsi="Arial" w:cs="Arial"/>
                <w:b/>
                <w:bCs/>
                <w:lang w:eastAsia="ar-SA"/>
              </w:rPr>
            </w:pPr>
            <w:r w:rsidRPr="000E0F5C">
              <w:rPr>
                <w:rFonts w:ascii="Arial" w:hAnsi="Arial" w:cs="Arial"/>
                <w:b/>
                <w:bCs/>
                <w:lang w:eastAsia="ar-SA"/>
              </w:rPr>
              <w:t xml:space="preserve">                                  SOSYODEMOGRAFİK VERİ FORMU</w:t>
            </w:r>
          </w:p>
        </w:tc>
      </w:tr>
      <w:tr w:rsidR="000E0F5C" w:rsidRPr="000E0F5C" w:rsidTr="006A23DA">
        <w:tc>
          <w:tcPr>
            <w:tcW w:w="9212" w:type="dxa"/>
          </w:tcPr>
          <w:p w:rsidR="000E0F5C" w:rsidRPr="000E0F5C" w:rsidRDefault="000E0F5C" w:rsidP="006A23DA">
            <w:pPr>
              <w:suppressAutoHyphens/>
              <w:rPr>
                <w:rFonts w:ascii="Arial" w:hAnsi="Arial" w:cs="Arial"/>
                <w:b/>
                <w:lang w:eastAsia="ar-SA"/>
              </w:rPr>
            </w:pPr>
            <w:r w:rsidRPr="000E0F5C">
              <w:rPr>
                <w:rFonts w:ascii="Arial" w:hAnsi="Arial" w:cs="Arial"/>
                <w:b/>
                <w:lang w:eastAsia="ar-SA"/>
              </w:rPr>
              <w:t>Çocuğun adı soyadı:</w:t>
            </w:r>
          </w:p>
        </w:tc>
      </w:tr>
      <w:tr w:rsidR="000E0F5C" w:rsidRPr="000E0F5C" w:rsidTr="006A23DA">
        <w:trPr>
          <w:trHeight w:val="847"/>
        </w:trPr>
        <w:tc>
          <w:tcPr>
            <w:tcW w:w="9212" w:type="dxa"/>
          </w:tcPr>
          <w:p w:rsidR="000E0F5C" w:rsidRPr="000E0F5C" w:rsidRDefault="000E0F5C" w:rsidP="006A23DA">
            <w:pPr>
              <w:suppressAutoHyphens/>
              <w:rPr>
                <w:rFonts w:ascii="Arial" w:hAnsi="Arial" w:cs="Arial"/>
                <w:lang w:eastAsia="ar-SA"/>
              </w:rPr>
            </w:pPr>
            <w:r w:rsidRPr="000E0F5C">
              <w:rPr>
                <w:rFonts w:ascii="Arial" w:hAnsi="Arial" w:cs="Arial"/>
                <w:b/>
                <w:lang w:eastAsia="ar-SA"/>
              </w:rPr>
              <w:t xml:space="preserve">Ailenizin yapısı nasıl?: </w:t>
            </w:r>
            <w:r w:rsidRPr="000E0F5C">
              <w:rPr>
                <w:rFonts w:ascii="Arial" w:hAnsi="Arial" w:cs="Arial"/>
                <w:lang w:eastAsia="ar-SA"/>
              </w:rPr>
              <w:t>1- çekirdek aile (sadece anne-baba-çocuklar)</w:t>
            </w:r>
          </w:p>
          <w:p w:rsidR="000E0F5C" w:rsidRPr="000E0F5C" w:rsidRDefault="000E0F5C" w:rsidP="006A23DA">
            <w:pPr>
              <w:suppressAutoHyphens/>
              <w:rPr>
                <w:rFonts w:ascii="Arial" w:hAnsi="Arial" w:cs="Arial"/>
                <w:lang w:eastAsia="ar-SA"/>
              </w:rPr>
            </w:pPr>
            <w:r w:rsidRPr="000E0F5C">
              <w:rPr>
                <w:rFonts w:ascii="Arial" w:hAnsi="Arial" w:cs="Arial"/>
                <w:lang w:eastAsia="ar-SA"/>
              </w:rPr>
              <w:t xml:space="preserve">2- geniş aile (anne, baba çocuk dışında anneanne, babaanne veya dede vb)      </w:t>
            </w:r>
          </w:p>
          <w:p w:rsidR="000E0F5C" w:rsidRPr="000E0F5C" w:rsidRDefault="000E0F5C" w:rsidP="006A23DA">
            <w:pPr>
              <w:suppressAutoHyphens/>
              <w:rPr>
                <w:rFonts w:ascii="Arial" w:hAnsi="Arial" w:cs="Arial"/>
                <w:lang w:eastAsia="ar-SA"/>
              </w:rPr>
            </w:pPr>
            <w:r w:rsidRPr="000E0F5C">
              <w:rPr>
                <w:rFonts w:ascii="Arial" w:hAnsi="Arial" w:cs="Arial"/>
                <w:lang w:eastAsia="ar-SA"/>
              </w:rPr>
              <w:t xml:space="preserve">3- eşler boşanmış/ayrı yaşıyor       4-anne babadan birisi ya da ikisi ölmüş                                                                       </w:t>
            </w:r>
          </w:p>
        </w:tc>
      </w:tr>
      <w:tr w:rsidR="000E0F5C" w:rsidRPr="000E0F5C" w:rsidTr="006A23DA">
        <w:tc>
          <w:tcPr>
            <w:tcW w:w="9212" w:type="dxa"/>
          </w:tcPr>
          <w:p w:rsidR="000E0F5C" w:rsidRPr="000E0F5C" w:rsidRDefault="000E0F5C" w:rsidP="006A23DA">
            <w:pPr>
              <w:suppressAutoHyphens/>
              <w:rPr>
                <w:rFonts w:ascii="Arial" w:hAnsi="Arial" w:cs="Arial"/>
                <w:lang w:eastAsia="ar-SA"/>
              </w:rPr>
            </w:pPr>
            <w:r w:rsidRPr="000E0F5C">
              <w:rPr>
                <w:rFonts w:ascii="Arial" w:hAnsi="Arial" w:cs="Arial"/>
                <w:b/>
                <w:lang w:eastAsia="ar-SA"/>
              </w:rPr>
              <w:t>Kaç çocuğunuz var :</w:t>
            </w:r>
            <w:r w:rsidRPr="000E0F5C">
              <w:rPr>
                <w:rFonts w:ascii="Arial" w:hAnsi="Arial" w:cs="Arial"/>
                <w:b/>
                <w:lang w:eastAsia="ar-SA"/>
              </w:rPr>
              <w:tab/>
            </w:r>
            <w:r w:rsidRPr="000E0F5C">
              <w:rPr>
                <w:rFonts w:ascii="Arial" w:hAnsi="Arial" w:cs="Arial"/>
                <w:b/>
                <w:lang w:eastAsia="ar-SA"/>
              </w:rPr>
              <w:tab/>
            </w:r>
            <w:r w:rsidRPr="000E0F5C">
              <w:rPr>
                <w:rFonts w:ascii="Arial" w:hAnsi="Arial" w:cs="Arial"/>
                <w:lang w:eastAsia="ar-SA"/>
              </w:rPr>
              <w:t xml:space="preserve"> </w:t>
            </w:r>
          </w:p>
        </w:tc>
      </w:tr>
      <w:tr w:rsidR="000E0F5C" w:rsidRPr="000E0F5C" w:rsidTr="006A23DA">
        <w:tc>
          <w:tcPr>
            <w:tcW w:w="9212" w:type="dxa"/>
          </w:tcPr>
          <w:p w:rsidR="000E0F5C" w:rsidRPr="000E0F5C" w:rsidRDefault="000E0F5C" w:rsidP="006A23DA">
            <w:pPr>
              <w:suppressAutoHyphens/>
              <w:rPr>
                <w:rFonts w:ascii="Arial" w:hAnsi="Arial" w:cs="Arial"/>
                <w:lang w:eastAsia="ar-SA"/>
              </w:rPr>
            </w:pPr>
            <w:r w:rsidRPr="000E0F5C">
              <w:rPr>
                <w:rFonts w:ascii="Arial" w:hAnsi="Arial" w:cs="Arial"/>
                <w:b/>
                <w:lang w:eastAsia="ar-SA"/>
              </w:rPr>
              <w:t xml:space="preserve">Çocuğunuz ailenin kaçıncı çocuğu : </w:t>
            </w:r>
            <w:r w:rsidRPr="000E0F5C">
              <w:rPr>
                <w:rFonts w:ascii="Arial" w:hAnsi="Arial" w:cs="Arial"/>
                <w:b/>
                <w:lang w:eastAsia="ar-SA"/>
              </w:rPr>
              <w:tab/>
            </w:r>
          </w:p>
        </w:tc>
      </w:tr>
      <w:tr w:rsidR="000E0F5C" w:rsidRPr="000E0F5C" w:rsidTr="006A23DA">
        <w:tc>
          <w:tcPr>
            <w:tcW w:w="9212" w:type="dxa"/>
          </w:tcPr>
          <w:p w:rsidR="000E0F5C" w:rsidRPr="000E0F5C" w:rsidRDefault="000E0F5C" w:rsidP="006A23DA">
            <w:pPr>
              <w:keepNext/>
              <w:keepLines/>
              <w:suppressAutoHyphens/>
              <w:outlineLvl w:val="0"/>
              <w:rPr>
                <w:rFonts w:ascii="Arial" w:hAnsi="Arial" w:cs="Arial"/>
                <w:lang w:eastAsia="ar-SA"/>
              </w:rPr>
            </w:pPr>
            <w:r w:rsidRPr="000E0F5C">
              <w:rPr>
                <w:rFonts w:ascii="Arial" w:hAnsi="Arial" w:cs="Arial"/>
                <w:b/>
                <w:bCs/>
                <w:lang w:eastAsia="ar-SA"/>
              </w:rPr>
              <w:t>Çocuğun annesinin öğrenim durumu:</w:t>
            </w:r>
            <w:r w:rsidRPr="000E0F5C">
              <w:rPr>
                <w:rFonts w:ascii="Arial" w:hAnsi="Arial" w:cs="Arial"/>
                <w:b/>
                <w:bCs/>
                <w:lang w:eastAsia="ar-SA"/>
              </w:rPr>
              <w:tab/>
            </w:r>
          </w:p>
        </w:tc>
      </w:tr>
      <w:tr w:rsidR="000E0F5C" w:rsidRPr="000E0F5C" w:rsidTr="006A23DA">
        <w:tc>
          <w:tcPr>
            <w:tcW w:w="9212" w:type="dxa"/>
          </w:tcPr>
          <w:p w:rsidR="000E0F5C" w:rsidRPr="000E0F5C" w:rsidRDefault="000E0F5C" w:rsidP="006A23DA">
            <w:pPr>
              <w:suppressAutoHyphens/>
              <w:rPr>
                <w:rFonts w:ascii="Arial" w:hAnsi="Arial" w:cs="Arial"/>
                <w:lang w:eastAsia="ar-SA"/>
              </w:rPr>
            </w:pPr>
            <w:r w:rsidRPr="000E0F5C">
              <w:rPr>
                <w:rFonts w:ascii="Arial" w:hAnsi="Arial" w:cs="Arial"/>
                <w:b/>
                <w:lang w:eastAsia="ar-SA"/>
              </w:rPr>
              <w:t xml:space="preserve">Annesinin mesleği : </w:t>
            </w:r>
            <w:r w:rsidRPr="000E0F5C">
              <w:rPr>
                <w:rFonts w:ascii="Arial" w:hAnsi="Arial" w:cs="Arial"/>
                <w:b/>
                <w:lang w:eastAsia="ar-SA"/>
              </w:rPr>
              <w:tab/>
            </w:r>
            <w:r w:rsidRPr="000E0F5C">
              <w:rPr>
                <w:rFonts w:ascii="Arial" w:hAnsi="Arial" w:cs="Arial"/>
                <w:b/>
                <w:lang w:eastAsia="ar-SA"/>
              </w:rPr>
              <w:tab/>
            </w:r>
            <w:r w:rsidRPr="000E0F5C">
              <w:rPr>
                <w:rFonts w:ascii="Arial" w:hAnsi="Arial" w:cs="Arial"/>
                <w:b/>
                <w:lang w:eastAsia="ar-SA"/>
              </w:rPr>
              <w:tab/>
            </w:r>
            <w:r w:rsidRPr="000E0F5C">
              <w:rPr>
                <w:rFonts w:ascii="Arial" w:hAnsi="Arial" w:cs="Arial"/>
                <w:lang w:eastAsia="ar-SA"/>
              </w:rPr>
              <w:t xml:space="preserve"> </w:t>
            </w:r>
          </w:p>
        </w:tc>
      </w:tr>
      <w:tr w:rsidR="000E0F5C" w:rsidRPr="000E0F5C" w:rsidTr="006A23DA">
        <w:tc>
          <w:tcPr>
            <w:tcW w:w="9212" w:type="dxa"/>
          </w:tcPr>
          <w:p w:rsidR="000E0F5C" w:rsidRPr="000E0F5C" w:rsidRDefault="000E0F5C" w:rsidP="006A23DA">
            <w:pPr>
              <w:keepNext/>
              <w:keepLines/>
              <w:suppressAutoHyphens/>
              <w:outlineLvl w:val="0"/>
              <w:rPr>
                <w:rFonts w:ascii="Arial" w:hAnsi="Arial" w:cs="Arial"/>
                <w:lang w:eastAsia="ar-SA"/>
              </w:rPr>
            </w:pPr>
            <w:r w:rsidRPr="000E0F5C">
              <w:rPr>
                <w:rFonts w:ascii="Arial" w:hAnsi="Arial" w:cs="Arial"/>
                <w:b/>
                <w:bCs/>
                <w:lang w:eastAsia="ar-SA"/>
              </w:rPr>
              <w:t>Çocuğun babasının öğrenim durumu</w:t>
            </w:r>
            <w:r w:rsidRPr="000E0F5C">
              <w:rPr>
                <w:rFonts w:ascii="Arial" w:hAnsi="Arial" w:cs="Arial"/>
                <w:bCs/>
                <w:lang w:eastAsia="ar-SA"/>
              </w:rPr>
              <w:t xml:space="preserve">: </w:t>
            </w:r>
          </w:p>
        </w:tc>
      </w:tr>
      <w:tr w:rsidR="000E0F5C" w:rsidRPr="000E0F5C" w:rsidTr="006A23DA">
        <w:tc>
          <w:tcPr>
            <w:tcW w:w="9212" w:type="dxa"/>
          </w:tcPr>
          <w:p w:rsidR="000E0F5C" w:rsidRPr="000E0F5C" w:rsidRDefault="000E0F5C" w:rsidP="006A23DA">
            <w:pPr>
              <w:suppressAutoHyphens/>
              <w:rPr>
                <w:rFonts w:ascii="Arial" w:hAnsi="Arial" w:cs="Arial"/>
                <w:lang w:eastAsia="ar-SA"/>
              </w:rPr>
            </w:pPr>
            <w:r w:rsidRPr="000E0F5C">
              <w:rPr>
                <w:rFonts w:ascii="Arial" w:hAnsi="Arial" w:cs="Arial"/>
                <w:b/>
                <w:lang w:eastAsia="ar-SA"/>
              </w:rPr>
              <w:t>Babasının mesleği :</w:t>
            </w:r>
            <w:r w:rsidRPr="000E0F5C">
              <w:rPr>
                <w:rFonts w:ascii="Arial" w:hAnsi="Arial" w:cs="Arial"/>
                <w:b/>
                <w:lang w:eastAsia="ar-SA"/>
              </w:rPr>
              <w:tab/>
            </w:r>
            <w:r w:rsidRPr="000E0F5C">
              <w:rPr>
                <w:rFonts w:ascii="Arial" w:hAnsi="Arial" w:cs="Arial"/>
                <w:b/>
                <w:lang w:eastAsia="ar-SA"/>
              </w:rPr>
              <w:tab/>
            </w:r>
            <w:r w:rsidRPr="000E0F5C">
              <w:rPr>
                <w:rFonts w:ascii="Arial" w:hAnsi="Arial" w:cs="Arial"/>
                <w:b/>
                <w:lang w:eastAsia="ar-SA"/>
              </w:rPr>
              <w:tab/>
            </w:r>
            <w:r w:rsidRPr="000E0F5C">
              <w:rPr>
                <w:rFonts w:ascii="Arial" w:hAnsi="Arial" w:cs="Arial"/>
                <w:lang w:eastAsia="ar-SA"/>
              </w:rPr>
              <w:t xml:space="preserve"> </w:t>
            </w:r>
          </w:p>
        </w:tc>
      </w:tr>
      <w:tr w:rsidR="000E0F5C" w:rsidRPr="000E0F5C" w:rsidTr="006A23DA">
        <w:trPr>
          <w:trHeight w:val="529"/>
        </w:trPr>
        <w:tc>
          <w:tcPr>
            <w:tcW w:w="9212" w:type="dxa"/>
          </w:tcPr>
          <w:p w:rsidR="000E0F5C" w:rsidRPr="000E0F5C" w:rsidRDefault="000E0F5C" w:rsidP="006A23DA">
            <w:pPr>
              <w:suppressAutoHyphens/>
              <w:rPr>
                <w:rFonts w:ascii="Arial" w:hAnsi="Arial" w:cs="Arial"/>
                <w:lang w:eastAsia="ar-SA"/>
              </w:rPr>
            </w:pPr>
            <w:r w:rsidRPr="000E0F5C">
              <w:rPr>
                <w:rFonts w:ascii="Arial" w:hAnsi="Arial" w:cs="Arial"/>
                <w:b/>
                <w:lang w:eastAsia="ar-SA"/>
              </w:rPr>
              <w:t>Ailenizin gelir durumu</w:t>
            </w:r>
            <w:r w:rsidRPr="000E0F5C">
              <w:rPr>
                <w:rFonts w:ascii="Arial" w:hAnsi="Arial" w:cs="Arial"/>
                <w:lang w:eastAsia="ar-SA"/>
              </w:rPr>
              <w:t>:</w:t>
            </w:r>
            <w:r w:rsidRPr="000E0F5C">
              <w:rPr>
                <w:rFonts w:ascii="Arial" w:hAnsi="Arial" w:cs="Arial"/>
                <w:lang w:eastAsia="ar-SA"/>
              </w:rPr>
              <w:tab/>
              <w:t>1-1000 TL’den az                  3-3000-5000 TL</w:t>
            </w:r>
          </w:p>
          <w:p w:rsidR="000E0F5C" w:rsidRPr="000E0F5C" w:rsidRDefault="000E0F5C" w:rsidP="006A23DA">
            <w:pPr>
              <w:suppressAutoHyphens/>
              <w:rPr>
                <w:rFonts w:ascii="Arial" w:hAnsi="Arial" w:cs="Arial"/>
                <w:lang w:eastAsia="ar-SA"/>
              </w:rPr>
            </w:pPr>
            <w:r w:rsidRPr="000E0F5C">
              <w:rPr>
                <w:rFonts w:ascii="Arial" w:hAnsi="Arial" w:cs="Arial"/>
                <w:lang w:eastAsia="ar-SA"/>
              </w:rPr>
              <w:t xml:space="preserve">                                               2-1000-3000 TL                     4-5000 ve üstü TL</w:t>
            </w:r>
          </w:p>
        </w:tc>
      </w:tr>
      <w:tr w:rsidR="000E0F5C" w:rsidRPr="000E0F5C" w:rsidTr="006A23DA">
        <w:trPr>
          <w:trHeight w:val="298"/>
        </w:trPr>
        <w:tc>
          <w:tcPr>
            <w:tcW w:w="9212" w:type="dxa"/>
          </w:tcPr>
          <w:p w:rsidR="000E0F5C" w:rsidRPr="000E0F5C" w:rsidRDefault="000E0F5C" w:rsidP="006A23DA">
            <w:pPr>
              <w:suppressAutoHyphens/>
              <w:rPr>
                <w:rFonts w:ascii="Arial" w:hAnsi="Arial" w:cs="Arial"/>
                <w:b/>
                <w:lang w:eastAsia="ar-SA"/>
              </w:rPr>
            </w:pPr>
            <w:r w:rsidRPr="000E0F5C">
              <w:rPr>
                <w:rFonts w:ascii="Arial" w:hAnsi="Arial" w:cs="Arial"/>
                <w:b/>
                <w:lang w:eastAsia="ar-SA"/>
              </w:rPr>
              <w:t xml:space="preserve">Çocuğunuzun doğum şekli?    </w:t>
            </w:r>
            <w:r w:rsidRPr="000E0F5C">
              <w:rPr>
                <w:rFonts w:ascii="Arial" w:hAnsi="Arial" w:cs="Arial"/>
                <w:lang w:eastAsia="ar-SA"/>
              </w:rPr>
              <w:t>(  ) normal doğum   (   ) sezeryan</w:t>
            </w:r>
          </w:p>
        </w:tc>
      </w:tr>
      <w:tr w:rsidR="000E0F5C" w:rsidRPr="000E0F5C" w:rsidTr="006A23DA">
        <w:trPr>
          <w:trHeight w:val="298"/>
        </w:trPr>
        <w:tc>
          <w:tcPr>
            <w:tcW w:w="9212" w:type="dxa"/>
          </w:tcPr>
          <w:p w:rsidR="000E0F5C" w:rsidRPr="000E0F5C" w:rsidRDefault="000E0F5C" w:rsidP="006A23DA">
            <w:pPr>
              <w:suppressAutoHyphens/>
              <w:rPr>
                <w:rFonts w:ascii="Arial" w:hAnsi="Arial" w:cs="Arial"/>
                <w:b/>
                <w:lang w:eastAsia="ar-SA"/>
              </w:rPr>
            </w:pPr>
            <w:r w:rsidRPr="000E0F5C">
              <w:rPr>
                <w:rFonts w:ascii="Arial" w:hAnsi="Arial" w:cs="Arial"/>
                <w:b/>
                <w:lang w:eastAsia="ar-SA"/>
              </w:rPr>
              <w:t>Bu çocuğunuzun doğumdaki kilosu nedir?</w:t>
            </w:r>
          </w:p>
        </w:tc>
      </w:tr>
      <w:tr w:rsidR="000E0F5C" w:rsidRPr="000E0F5C" w:rsidTr="006A23DA">
        <w:trPr>
          <w:trHeight w:val="658"/>
        </w:trPr>
        <w:tc>
          <w:tcPr>
            <w:tcW w:w="9212" w:type="dxa"/>
          </w:tcPr>
          <w:p w:rsidR="000E0F5C" w:rsidRPr="000E0F5C" w:rsidRDefault="000E0F5C" w:rsidP="006A23DA">
            <w:pPr>
              <w:suppressAutoHyphens/>
              <w:rPr>
                <w:rFonts w:ascii="Arial" w:hAnsi="Arial" w:cs="Arial"/>
                <w:b/>
                <w:lang w:eastAsia="ar-SA"/>
              </w:rPr>
            </w:pPr>
            <w:r w:rsidRPr="000E0F5C">
              <w:rPr>
                <w:rFonts w:ascii="Arial" w:hAnsi="Arial" w:cs="Arial"/>
                <w:b/>
                <w:lang w:eastAsia="ar-SA"/>
              </w:rPr>
              <w:t xml:space="preserve">Çocuğunuz beklenen süreden daha önce mi doğdu?   </w:t>
            </w:r>
            <w:r w:rsidRPr="000E0F5C">
              <w:rPr>
                <w:rFonts w:ascii="Arial" w:hAnsi="Arial" w:cs="Arial"/>
                <w:lang w:eastAsia="ar-SA"/>
              </w:rPr>
              <w:t>(   ) evet</w:t>
            </w:r>
            <w:r w:rsidRPr="000E0F5C">
              <w:rPr>
                <w:rFonts w:ascii="Arial" w:hAnsi="Arial" w:cs="Arial"/>
                <w:lang w:eastAsia="ar-SA"/>
              </w:rPr>
              <w:tab/>
            </w:r>
            <w:r w:rsidRPr="000E0F5C">
              <w:rPr>
                <w:rFonts w:ascii="Arial" w:hAnsi="Arial" w:cs="Arial"/>
                <w:lang w:eastAsia="ar-SA"/>
              </w:rPr>
              <w:tab/>
              <w:t>(   ) hayır</w:t>
            </w:r>
          </w:p>
          <w:p w:rsidR="000E0F5C" w:rsidRPr="000E0F5C" w:rsidRDefault="000E0F5C" w:rsidP="006A23DA">
            <w:pPr>
              <w:suppressAutoHyphens/>
              <w:rPr>
                <w:rFonts w:ascii="Arial" w:hAnsi="Arial" w:cs="Arial"/>
                <w:b/>
                <w:lang w:eastAsia="ar-SA"/>
              </w:rPr>
            </w:pPr>
            <w:r w:rsidRPr="000E0F5C">
              <w:rPr>
                <w:rFonts w:ascii="Arial" w:hAnsi="Arial" w:cs="Arial"/>
                <w:lang w:eastAsia="ar-SA"/>
              </w:rPr>
              <w:t>(evet cevabı verenler için) kaç haftalıkken doğum yaptınız?</w:t>
            </w:r>
          </w:p>
        </w:tc>
      </w:tr>
      <w:tr w:rsidR="000E0F5C" w:rsidRPr="000E0F5C" w:rsidTr="006A23DA">
        <w:trPr>
          <w:trHeight w:val="658"/>
        </w:trPr>
        <w:tc>
          <w:tcPr>
            <w:tcW w:w="9212" w:type="dxa"/>
          </w:tcPr>
          <w:p w:rsidR="000E0F5C" w:rsidRPr="000E0F5C" w:rsidRDefault="000E0F5C" w:rsidP="006A23DA">
            <w:pPr>
              <w:suppressAutoHyphens/>
              <w:rPr>
                <w:rFonts w:ascii="Arial" w:hAnsi="Arial" w:cs="Arial"/>
                <w:b/>
                <w:lang w:eastAsia="ar-SA"/>
              </w:rPr>
            </w:pPr>
            <w:r w:rsidRPr="000E0F5C">
              <w:rPr>
                <w:rFonts w:ascii="Arial" w:hAnsi="Arial" w:cs="Arial"/>
                <w:b/>
                <w:lang w:eastAsia="ar-SA"/>
              </w:rPr>
              <w:t>Bu çocuğa hamileyken annesi sigara içti mi, sigara dumanına maruz kaldı mı?</w:t>
            </w:r>
          </w:p>
          <w:p w:rsidR="000E0F5C" w:rsidRPr="000E0F5C" w:rsidRDefault="000E0F5C" w:rsidP="006A23DA">
            <w:pPr>
              <w:suppressAutoHyphens/>
              <w:rPr>
                <w:rFonts w:ascii="Arial" w:hAnsi="Arial" w:cs="Arial"/>
                <w:lang w:eastAsia="ar-SA"/>
              </w:rPr>
            </w:pPr>
            <w:r w:rsidRPr="000E0F5C">
              <w:rPr>
                <w:rFonts w:ascii="Arial" w:hAnsi="Arial" w:cs="Arial"/>
                <w:lang w:eastAsia="ar-SA"/>
              </w:rPr>
              <w:t>1-İçmedi</w:t>
            </w:r>
          </w:p>
          <w:p w:rsidR="000E0F5C" w:rsidRPr="000E0F5C" w:rsidRDefault="000E0F5C" w:rsidP="006A23DA">
            <w:pPr>
              <w:suppressAutoHyphens/>
              <w:rPr>
                <w:rFonts w:ascii="Arial" w:hAnsi="Arial" w:cs="Arial"/>
                <w:lang w:eastAsia="ar-SA"/>
              </w:rPr>
            </w:pPr>
            <w:r w:rsidRPr="000E0F5C">
              <w:rPr>
                <w:rFonts w:ascii="Arial" w:hAnsi="Arial" w:cs="Arial"/>
                <w:lang w:eastAsia="ar-SA"/>
              </w:rPr>
              <w:t>2-İçmedi ancak sıklıkla evde sigara dumanına maruz kaldı</w:t>
            </w:r>
          </w:p>
          <w:p w:rsidR="000E0F5C" w:rsidRPr="000E0F5C" w:rsidRDefault="000E0F5C" w:rsidP="006A23DA">
            <w:pPr>
              <w:suppressAutoHyphens/>
              <w:rPr>
                <w:rFonts w:ascii="Arial" w:hAnsi="Arial" w:cs="Arial"/>
                <w:lang w:eastAsia="ar-SA"/>
              </w:rPr>
            </w:pPr>
            <w:r w:rsidRPr="000E0F5C">
              <w:rPr>
                <w:rFonts w:ascii="Arial" w:hAnsi="Arial" w:cs="Arial"/>
                <w:lang w:eastAsia="ar-SA"/>
              </w:rPr>
              <w:t>3-İçti (günde 1-5 tane)</w:t>
            </w:r>
          </w:p>
          <w:p w:rsidR="000E0F5C" w:rsidRPr="000E0F5C" w:rsidRDefault="000E0F5C" w:rsidP="006A23DA">
            <w:pPr>
              <w:suppressAutoHyphens/>
              <w:rPr>
                <w:rFonts w:ascii="Arial" w:hAnsi="Arial" w:cs="Arial"/>
                <w:b/>
                <w:lang w:eastAsia="ar-SA"/>
              </w:rPr>
            </w:pPr>
            <w:r w:rsidRPr="000E0F5C">
              <w:rPr>
                <w:rFonts w:ascii="Arial" w:hAnsi="Arial" w:cs="Arial"/>
                <w:lang w:eastAsia="ar-SA"/>
              </w:rPr>
              <w:t>4-İçti (günde 5 taneden fazla)</w:t>
            </w:r>
          </w:p>
        </w:tc>
      </w:tr>
      <w:tr w:rsidR="000E0F5C" w:rsidRPr="000E0F5C" w:rsidTr="006A23DA">
        <w:trPr>
          <w:trHeight w:val="658"/>
        </w:trPr>
        <w:tc>
          <w:tcPr>
            <w:tcW w:w="9212" w:type="dxa"/>
          </w:tcPr>
          <w:p w:rsidR="000E0F5C" w:rsidRPr="000E0F5C" w:rsidRDefault="000E0F5C" w:rsidP="006A23DA">
            <w:pPr>
              <w:suppressAutoHyphens/>
              <w:rPr>
                <w:rFonts w:ascii="Arial" w:hAnsi="Arial" w:cs="Arial"/>
                <w:b/>
                <w:lang w:eastAsia="ar-SA"/>
              </w:rPr>
            </w:pPr>
            <w:r w:rsidRPr="000E0F5C">
              <w:rPr>
                <w:rFonts w:ascii="Arial" w:hAnsi="Arial" w:cs="Arial"/>
                <w:b/>
                <w:lang w:eastAsia="ar-SA"/>
              </w:rPr>
              <w:t xml:space="preserve">Bu çocuğun gebeliği sırasında annenin herhangi bir hastalığın oldu mu? </w:t>
            </w:r>
          </w:p>
          <w:p w:rsidR="000E0F5C" w:rsidRPr="000E0F5C" w:rsidRDefault="000E0F5C" w:rsidP="006A23DA">
            <w:pPr>
              <w:suppressAutoHyphens/>
              <w:rPr>
                <w:rFonts w:ascii="Arial" w:hAnsi="Arial" w:cs="Arial"/>
                <w:lang w:eastAsia="ar-SA"/>
              </w:rPr>
            </w:pPr>
            <w:r w:rsidRPr="000E0F5C">
              <w:rPr>
                <w:rFonts w:ascii="Arial" w:hAnsi="Arial" w:cs="Arial"/>
                <w:lang w:eastAsia="ar-SA"/>
              </w:rPr>
              <w:t xml:space="preserve">(   ) evet (   ) hayır </w:t>
            </w:r>
          </w:p>
          <w:p w:rsidR="000E0F5C" w:rsidRPr="000E0F5C" w:rsidRDefault="000E0F5C" w:rsidP="006A23DA">
            <w:pPr>
              <w:suppressAutoHyphens/>
              <w:rPr>
                <w:rFonts w:ascii="Arial" w:hAnsi="Arial" w:cs="Arial"/>
                <w:b/>
                <w:lang w:eastAsia="ar-SA"/>
              </w:rPr>
            </w:pPr>
            <w:r w:rsidRPr="000E0F5C">
              <w:rPr>
                <w:rFonts w:ascii="Arial" w:hAnsi="Arial" w:cs="Arial"/>
                <w:lang w:eastAsia="ar-SA"/>
              </w:rPr>
              <w:t>(evet cevabı verenler için) ne rahatsızlığınız oldu?</w:t>
            </w:r>
          </w:p>
        </w:tc>
      </w:tr>
      <w:tr w:rsidR="000E0F5C" w:rsidRPr="000E0F5C" w:rsidTr="006A23DA">
        <w:trPr>
          <w:trHeight w:val="1124"/>
        </w:trPr>
        <w:tc>
          <w:tcPr>
            <w:tcW w:w="9212" w:type="dxa"/>
          </w:tcPr>
          <w:p w:rsidR="000E0F5C" w:rsidRPr="000E0F5C" w:rsidRDefault="000E0F5C" w:rsidP="006A23DA">
            <w:pPr>
              <w:suppressAutoHyphens/>
              <w:rPr>
                <w:rFonts w:ascii="Arial" w:hAnsi="Arial" w:cs="Arial"/>
                <w:b/>
                <w:lang w:eastAsia="ar-SA"/>
              </w:rPr>
            </w:pPr>
            <w:r w:rsidRPr="000E0F5C">
              <w:rPr>
                <w:rFonts w:ascii="Arial" w:hAnsi="Arial" w:cs="Arial"/>
                <w:b/>
                <w:lang w:eastAsia="ar-SA"/>
              </w:rPr>
              <w:t xml:space="preserve">Bu çocuğun anne baba veya kardeşinde herhangi bir sürekli/kronik hastalık var mı? </w:t>
            </w:r>
          </w:p>
          <w:p w:rsidR="000E0F5C" w:rsidRPr="000E0F5C" w:rsidRDefault="000E0F5C" w:rsidP="006A23DA">
            <w:pPr>
              <w:suppressAutoHyphens/>
              <w:rPr>
                <w:rFonts w:ascii="Arial" w:hAnsi="Arial" w:cs="Arial"/>
                <w:b/>
                <w:lang w:eastAsia="ar-SA"/>
              </w:rPr>
            </w:pPr>
            <w:r w:rsidRPr="000E0F5C">
              <w:rPr>
                <w:rFonts w:ascii="Arial" w:hAnsi="Arial" w:cs="Arial"/>
                <w:lang w:eastAsia="ar-SA"/>
              </w:rPr>
              <w:t>1-yok</w:t>
            </w:r>
          </w:p>
          <w:p w:rsidR="000E0F5C" w:rsidRPr="000E0F5C" w:rsidRDefault="000E0F5C" w:rsidP="006A23DA">
            <w:pPr>
              <w:suppressAutoHyphens/>
              <w:rPr>
                <w:rFonts w:ascii="Arial" w:hAnsi="Arial" w:cs="Arial"/>
                <w:b/>
                <w:lang w:eastAsia="ar-SA"/>
              </w:rPr>
            </w:pPr>
            <w:r w:rsidRPr="000E0F5C">
              <w:rPr>
                <w:rFonts w:ascii="Arial" w:hAnsi="Arial" w:cs="Arial"/>
                <w:lang w:eastAsia="ar-SA"/>
              </w:rPr>
              <w:t>2- var (varsa kimde ve nasıl bir hastalık yazınız)………..</w:t>
            </w:r>
          </w:p>
        </w:tc>
      </w:tr>
      <w:tr w:rsidR="000E0F5C" w:rsidRPr="000E0F5C" w:rsidTr="006A23DA">
        <w:trPr>
          <w:trHeight w:val="1124"/>
        </w:trPr>
        <w:tc>
          <w:tcPr>
            <w:tcW w:w="9212" w:type="dxa"/>
          </w:tcPr>
          <w:p w:rsidR="000E0F5C" w:rsidRPr="000E0F5C" w:rsidRDefault="000E0F5C" w:rsidP="006A23DA">
            <w:pPr>
              <w:suppressAutoHyphens/>
              <w:rPr>
                <w:rFonts w:ascii="Arial" w:hAnsi="Arial" w:cs="Arial"/>
                <w:b/>
                <w:lang w:eastAsia="ar-SA"/>
              </w:rPr>
            </w:pPr>
            <w:r w:rsidRPr="000E0F5C">
              <w:rPr>
                <w:rFonts w:ascii="Arial" w:hAnsi="Arial" w:cs="Arial"/>
                <w:b/>
                <w:lang w:eastAsia="ar-SA"/>
              </w:rPr>
              <w:t>Çocuğun ruhsal hastalık tanısı veya psikiyatrik ilaç kullanımı var mı?</w:t>
            </w:r>
          </w:p>
          <w:p w:rsidR="000E0F5C" w:rsidRPr="000E0F5C" w:rsidRDefault="000E0F5C" w:rsidP="006A23DA">
            <w:pPr>
              <w:suppressAutoHyphens/>
              <w:rPr>
                <w:rFonts w:ascii="Arial" w:hAnsi="Arial" w:cs="Arial"/>
                <w:lang w:eastAsia="ar-SA"/>
              </w:rPr>
            </w:pPr>
            <w:r w:rsidRPr="000E0F5C">
              <w:rPr>
                <w:rFonts w:ascii="Arial" w:hAnsi="Arial" w:cs="Arial"/>
                <w:lang w:eastAsia="ar-SA"/>
              </w:rPr>
              <w:t xml:space="preserve">1-yok </w:t>
            </w:r>
          </w:p>
          <w:p w:rsidR="000E0F5C" w:rsidRPr="000E0F5C" w:rsidRDefault="000E0F5C" w:rsidP="006A23DA">
            <w:pPr>
              <w:suppressAutoHyphens/>
              <w:rPr>
                <w:rFonts w:ascii="Arial" w:hAnsi="Arial" w:cs="Arial"/>
                <w:b/>
                <w:lang w:eastAsia="ar-SA"/>
              </w:rPr>
            </w:pPr>
            <w:r w:rsidRPr="000E0F5C">
              <w:rPr>
                <w:rFonts w:ascii="Arial" w:hAnsi="Arial" w:cs="Arial"/>
                <w:lang w:eastAsia="ar-SA"/>
              </w:rPr>
              <w:t>2-var (varsa kimde ve nasıl bir hastalık yazınız)………</w:t>
            </w:r>
          </w:p>
        </w:tc>
      </w:tr>
      <w:tr w:rsidR="000E0F5C" w:rsidRPr="000E0F5C" w:rsidTr="006A23DA">
        <w:trPr>
          <w:trHeight w:val="889"/>
        </w:trPr>
        <w:tc>
          <w:tcPr>
            <w:tcW w:w="9212" w:type="dxa"/>
          </w:tcPr>
          <w:p w:rsidR="000E0F5C" w:rsidRPr="000E0F5C" w:rsidRDefault="000E0F5C" w:rsidP="006A23DA">
            <w:pPr>
              <w:suppressAutoHyphens/>
              <w:rPr>
                <w:rFonts w:ascii="Arial" w:hAnsi="Arial" w:cs="Arial"/>
                <w:b/>
                <w:lang w:eastAsia="ar-SA"/>
              </w:rPr>
            </w:pPr>
            <w:r w:rsidRPr="000E0F5C">
              <w:rPr>
                <w:rFonts w:ascii="Arial" w:hAnsi="Arial" w:cs="Arial"/>
                <w:b/>
                <w:lang w:eastAsia="ar-SA"/>
              </w:rPr>
              <w:t>Çocuğun anne baba veya kardeşinde ruhsal hastalık (psikiyatrik ilaç kullanan) var mı?</w:t>
            </w:r>
          </w:p>
          <w:p w:rsidR="000E0F5C" w:rsidRPr="000E0F5C" w:rsidRDefault="000E0F5C" w:rsidP="006A23DA">
            <w:pPr>
              <w:suppressAutoHyphens/>
              <w:rPr>
                <w:rFonts w:ascii="Arial" w:hAnsi="Arial" w:cs="Arial"/>
                <w:lang w:eastAsia="ar-SA"/>
              </w:rPr>
            </w:pPr>
            <w:r w:rsidRPr="000E0F5C">
              <w:rPr>
                <w:rFonts w:ascii="Arial" w:hAnsi="Arial" w:cs="Arial"/>
                <w:lang w:eastAsia="ar-SA"/>
              </w:rPr>
              <w:t xml:space="preserve">1-yok </w:t>
            </w:r>
          </w:p>
          <w:p w:rsidR="000E0F5C" w:rsidRPr="000E0F5C" w:rsidRDefault="000E0F5C" w:rsidP="006A23DA">
            <w:pPr>
              <w:suppressAutoHyphens/>
              <w:rPr>
                <w:rFonts w:ascii="Arial" w:hAnsi="Arial" w:cs="Arial"/>
                <w:lang w:eastAsia="ar-SA"/>
              </w:rPr>
            </w:pPr>
            <w:r w:rsidRPr="000E0F5C">
              <w:rPr>
                <w:rFonts w:ascii="Arial" w:hAnsi="Arial" w:cs="Arial"/>
                <w:lang w:eastAsia="ar-SA"/>
              </w:rPr>
              <w:t>2-var (varsa kimde ve nasıl bir hastalık yazınız)………</w:t>
            </w:r>
          </w:p>
        </w:tc>
      </w:tr>
      <w:tr w:rsidR="000E0F5C" w:rsidRPr="000E0F5C" w:rsidTr="006A23DA">
        <w:trPr>
          <w:trHeight w:val="848"/>
        </w:trPr>
        <w:tc>
          <w:tcPr>
            <w:tcW w:w="9212" w:type="dxa"/>
          </w:tcPr>
          <w:p w:rsidR="000E0F5C" w:rsidRPr="000E0F5C" w:rsidRDefault="000E0F5C" w:rsidP="006A23DA">
            <w:pPr>
              <w:suppressAutoHyphens/>
              <w:rPr>
                <w:rFonts w:ascii="Arial" w:hAnsi="Arial" w:cs="Arial"/>
                <w:b/>
                <w:lang w:eastAsia="ar-SA"/>
              </w:rPr>
            </w:pPr>
            <w:r w:rsidRPr="000E0F5C">
              <w:rPr>
                <w:rFonts w:ascii="Arial" w:hAnsi="Arial" w:cs="Arial"/>
                <w:b/>
                <w:lang w:eastAsia="ar-SA"/>
              </w:rPr>
              <w:t>Çocuğun anne baba veya kardeşinde sürekli ilaç kullanan biri var mı?</w:t>
            </w:r>
          </w:p>
          <w:p w:rsidR="000E0F5C" w:rsidRPr="000E0F5C" w:rsidRDefault="000E0F5C" w:rsidP="006A23DA">
            <w:pPr>
              <w:suppressAutoHyphens/>
              <w:rPr>
                <w:rFonts w:ascii="Arial" w:hAnsi="Arial" w:cs="Arial"/>
                <w:lang w:eastAsia="ar-SA"/>
              </w:rPr>
            </w:pPr>
            <w:r w:rsidRPr="000E0F5C">
              <w:rPr>
                <w:rFonts w:ascii="Arial" w:hAnsi="Arial" w:cs="Arial"/>
                <w:lang w:eastAsia="ar-SA"/>
              </w:rPr>
              <w:t>1- yok</w:t>
            </w:r>
            <w:r w:rsidRPr="000E0F5C">
              <w:rPr>
                <w:rFonts w:ascii="Arial" w:hAnsi="Arial" w:cs="Arial"/>
                <w:lang w:eastAsia="ar-SA"/>
              </w:rPr>
              <w:tab/>
            </w:r>
            <w:r w:rsidRPr="000E0F5C">
              <w:rPr>
                <w:rFonts w:ascii="Arial" w:hAnsi="Arial" w:cs="Arial"/>
                <w:lang w:eastAsia="ar-SA"/>
              </w:rPr>
              <w:tab/>
            </w:r>
          </w:p>
          <w:p w:rsidR="000E0F5C" w:rsidRPr="000E0F5C" w:rsidRDefault="000E0F5C" w:rsidP="006A23DA">
            <w:pPr>
              <w:suppressAutoHyphens/>
              <w:rPr>
                <w:rFonts w:ascii="Arial" w:hAnsi="Arial" w:cs="Arial"/>
                <w:lang w:eastAsia="ar-SA"/>
              </w:rPr>
            </w:pPr>
            <w:r w:rsidRPr="000E0F5C">
              <w:rPr>
                <w:rFonts w:ascii="Arial" w:hAnsi="Arial" w:cs="Arial"/>
                <w:lang w:eastAsia="ar-SA"/>
              </w:rPr>
              <w:t>2- var(varsa kim kullanıyor, ilacın adını ve hangi hastalık için kullandığını yazınız)</w:t>
            </w:r>
          </w:p>
          <w:p w:rsidR="000E0F5C" w:rsidRPr="000E0F5C" w:rsidRDefault="000E0F5C" w:rsidP="006A23DA">
            <w:pPr>
              <w:suppressAutoHyphens/>
              <w:rPr>
                <w:rFonts w:ascii="Arial" w:hAnsi="Arial" w:cs="Arial"/>
                <w:b/>
                <w:lang w:eastAsia="ar-SA"/>
              </w:rPr>
            </w:pPr>
            <w:r w:rsidRPr="000E0F5C">
              <w:rPr>
                <w:rFonts w:ascii="Arial" w:hAnsi="Arial" w:cs="Arial"/>
                <w:lang w:eastAsia="ar-SA"/>
              </w:rPr>
              <w:t>………</w:t>
            </w:r>
          </w:p>
        </w:tc>
      </w:tr>
      <w:tr w:rsidR="000E0F5C" w:rsidRPr="000E0F5C" w:rsidTr="006A23DA">
        <w:trPr>
          <w:trHeight w:val="653"/>
        </w:trPr>
        <w:tc>
          <w:tcPr>
            <w:tcW w:w="9212" w:type="dxa"/>
          </w:tcPr>
          <w:p w:rsidR="000E0F5C" w:rsidRPr="000E0F5C" w:rsidRDefault="000E0F5C" w:rsidP="006A23DA">
            <w:pPr>
              <w:suppressAutoHyphens/>
              <w:rPr>
                <w:rFonts w:ascii="Arial" w:hAnsi="Arial" w:cs="Arial"/>
                <w:lang w:eastAsia="ar-SA"/>
              </w:rPr>
            </w:pPr>
            <w:r w:rsidRPr="000E0F5C">
              <w:rPr>
                <w:rFonts w:ascii="Arial" w:hAnsi="Arial" w:cs="Arial"/>
                <w:b/>
                <w:lang w:eastAsia="ar-SA"/>
              </w:rPr>
              <w:t>Çocuğun okul başarısı nasıl?</w:t>
            </w:r>
            <w:r w:rsidRPr="000E0F5C">
              <w:rPr>
                <w:rFonts w:ascii="Arial" w:hAnsi="Arial" w:cs="Arial"/>
                <w:lang w:eastAsia="ar-SA"/>
              </w:rPr>
              <w:t xml:space="preserve"> ( karnedeki son dönem)       </w:t>
            </w:r>
          </w:p>
          <w:p w:rsidR="000E0F5C" w:rsidRPr="000E0F5C" w:rsidRDefault="000E0F5C" w:rsidP="006A23DA">
            <w:pPr>
              <w:suppressAutoHyphens/>
              <w:rPr>
                <w:rFonts w:ascii="Arial" w:hAnsi="Arial" w:cs="Arial"/>
                <w:lang w:eastAsia="ar-SA"/>
              </w:rPr>
            </w:pPr>
            <w:r w:rsidRPr="000E0F5C">
              <w:rPr>
                <w:rFonts w:ascii="Arial" w:hAnsi="Arial" w:cs="Arial"/>
                <w:lang w:eastAsia="ar-SA"/>
              </w:rPr>
              <w:t xml:space="preserve">1- pekiyi      2- iyi       3- orta           4-ortanın altı            5-zayıf                                          </w:t>
            </w:r>
          </w:p>
        </w:tc>
      </w:tr>
      <w:tr w:rsidR="000E0F5C" w:rsidRPr="000E0F5C" w:rsidTr="006A23DA">
        <w:trPr>
          <w:trHeight w:val="629"/>
        </w:trPr>
        <w:tc>
          <w:tcPr>
            <w:tcW w:w="9212" w:type="dxa"/>
          </w:tcPr>
          <w:p w:rsidR="000E0F5C" w:rsidRPr="000E0F5C" w:rsidRDefault="000E0F5C" w:rsidP="006A23DA">
            <w:pPr>
              <w:suppressAutoHyphens/>
              <w:rPr>
                <w:rFonts w:ascii="Arial" w:hAnsi="Arial" w:cs="Arial"/>
                <w:lang w:eastAsia="ar-SA"/>
              </w:rPr>
            </w:pPr>
            <w:r w:rsidRPr="000E0F5C">
              <w:rPr>
                <w:rFonts w:ascii="Arial" w:hAnsi="Arial" w:cs="Arial"/>
                <w:b/>
                <w:lang w:eastAsia="ar-SA"/>
              </w:rPr>
              <w:lastRenderedPageBreak/>
              <w:t>Size göre çocuğun akran ilişkisi nasıl?</w:t>
            </w:r>
            <w:r w:rsidRPr="000E0F5C">
              <w:rPr>
                <w:rFonts w:ascii="Arial" w:hAnsi="Arial" w:cs="Arial"/>
                <w:b/>
                <w:lang w:eastAsia="ar-SA"/>
              </w:rPr>
              <w:tab/>
              <w:t xml:space="preserve"> </w:t>
            </w:r>
          </w:p>
          <w:p w:rsidR="000E0F5C" w:rsidRPr="000E0F5C" w:rsidRDefault="000E0F5C" w:rsidP="006A23DA">
            <w:pPr>
              <w:suppressAutoHyphens/>
              <w:rPr>
                <w:rFonts w:ascii="Arial" w:hAnsi="Arial" w:cs="Arial"/>
                <w:lang w:eastAsia="ar-SA"/>
              </w:rPr>
            </w:pPr>
            <w:r w:rsidRPr="000E0F5C">
              <w:rPr>
                <w:rFonts w:ascii="Arial" w:hAnsi="Arial" w:cs="Arial"/>
                <w:lang w:eastAsia="ar-SA"/>
              </w:rPr>
              <w:t>1-çok iyi   2-iyi        3-orta       4-sorunlu     5-çok sorunlu</w:t>
            </w:r>
          </w:p>
        </w:tc>
      </w:tr>
      <w:tr w:rsidR="000E0F5C" w:rsidRPr="000E0F5C" w:rsidTr="006A23DA">
        <w:trPr>
          <w:trHeight w:val="408"/>
        </w:trPr>
        <w:tc>
          <w:tcPr>
            <w:tcW w:w="9212" w:type="dxa"/>
          </w:tcPr>
          <w:p w:rsidR="000E0F5C" w:rsidRPr="000E0F5C" w:rsidRDefault="000E0F5C" w:rsidP="006A23DA">
            <w:pPr>
              <w:suppressAutoHyphens/>
              <w:rPr>
                <w:rFonts w:ascii="Arial" w:hAnsi="Arial" w:cs="Arial"/>
                <w:lang w:eastAsia="ar-SA"/>
              </w:rPr>
            </w:pPr>
            <w:r w:rsidRPr="000E0F5C">
              <w:rPr>
                <w:rFonts w:ascii="Arial" w:hAnsi="Arial" w:cs="Arial"/>
                <w:b/>
                <w:lang w:eastAsia="ar-SA"/>
              </w:rPr>
              <w:t>Size göre çocuğun okul ödevlerini yapabilme yeteneği</w:t>
            </w:r>
            <w:r w:rsidRPr="000E0F5C">
              <w:rPr>
                <w:rFonts w:ascii="Arial" w:hAnsi="Arial" w:cs="Arial"/>
                <w:lang w:eastAsia="ar-SA"/>
              </w:rPr>
              <w:t xml:space="preserve"> </w:t>
            </w:r>
            <w:r w:rsidRPr="000E0F5C">
              <w:rPr>
                <w:rFonts w:ascii="Arial" w:hAnsi="Arial" w:cs="Arial"/>
                <w:b/>
                <w:lang w:eastAsia="ar-SA"/>
              </w:rPr>
              <w:t>nasıl?</w:t>
            </w:r>
            <w:r w:rsidRPr="000E0F5C">
              <w:rPr>
                <w:rFonts w:ascii="Arial" w:hAnsi="Arial" w:cs="Arial"/>
                <w:lang w:eastAsia="ar-SA"/>
              </w:rPr>
              <w:t xml:space="preserve">  </w:t>
            </w:r>
            <w:r w:rsidRPr="000E0F5C">
              <w:rPr>
                <w:rFonts w:ascii="Arial" w:hAnsi="Arial" w:cs="Arial"/>
                <w:lang w:eastAsia="ar-SA"/>
              </w:rPr>
              <w:tab/>
              <w:t xml:space="preserve"> </w:t>
            </w:r>
          </w:p>
          <w:p w:rsidR="000E0F5C" w:rsidRPr="000E0F5C" w:rsidRDefault="000E0F5C" w:rsidP="006A23DA">
            <w:pPr>
              <w:suppressAutoHyphens/>
              <w:rPr>
                <w:rFonts w:ascii="Arial" w:hAnsi="Arial" w:cs="Arial"/>
                <w:lang w:eastAsia="ar-SA"/>
              </w:rPr>
            </w:pPr>
            <w:r w:rsidRPr="000E0F5C">
              <w:rPr>
                <w:rFonts w:ascii="Arial" w:hAnsi="Arial" w:cs="Arial"/>
                <w:lang w:eastAsia="ar-SA"/>
              </w:rPr>
              <w:t>1-çok iyi   2-iyi        3-orta       4-sorunlu     5-çok sorunlu</w:t>
            </w:r>
            <w:r w:rsidRPr="000E0F5C">
              <w:rPr>
                <w:rFonts w:ascii="Arial" w:hAnsi="Arial" w:cs="Arial"/>
                <w:lang w:eastAsia="ar-SA"/>
              </w:rPr>
              <w:tab/>
            </w:r>
            <w:r w:rsidRPr="000E0F5C">
              <w:rPr>
                <w:rFonts w:ascii="Arial" w:hAnsi="Arial" w:cs="Arial"/>
                <w:lang w:eastAsia="ar-SA"/>
              </w:rPr>
              <w:tab/>
            </w:r>
            <w:r w:rsidRPr="000E0F5C">
              <w:rPr>
                <w:rFonts w:ascii="Arial" w:hAnsi="Arial" w:cs="Arial"/>
                <w:lang w:eastAsia="ar-SA"/>
              </w:rPr>
              <w:tab/>
            </w:r>
            <w:r w:rsidRPr="000E0F5C">
              <w:rPr>
                <w:rFonts w:ascii="Arial" w:hAnsi="Arial" w:cs="Arial"/>
                <w:lang w:eastAsia="ar-SA"/>
              </w:rPr>
              <w:tab/>
            </w:r>
            <w:r w:rsidRPr="000E0F5C">
              <w:rPr>
                <w:rFonts w:ascii="Arial" w:hAnsi="Arial" w:cs="Arial"/>
                <w:lang w:eastAsia="ar-SA"/>
              </w:rPr>
              <w:tab/>
              <w:t xml:space="preserve">   </w:t>
            </w:r>
          </w:p>
        </w:tc>
      </w:tr>
      <w:tr w:rsidR="000E0F5C" w:rsidRPr="000E0F5C" w:rsidTr="006A23DA">
        <w:trPr>
          <w:trHeight w:val="558"/>
        </w:trPr>
        <w:tc>
          <w:tcPr>
            <w:tcW w:w="9212" w:type="dxa"/>
          </w:tcPr>
          <w:p w:rsidR="000E0F5C" w:rsidRPr="000E0F5C" w:rsidRDefault="000E0F5C" w:rsidP="006A23DA">
            <w:pPr>
              <w:suppressAutoHyphens/>
              <w:rPr>
                <w:rFonts w:ascii="Arial" w:hAnsi="Arial" w:cs="Arial"/>
                <w:lang w:eastAsia="ar-SA"/>
              </w:rPr>
            </w:pPr>
            <w:r w:rsidRPr="000E0F5C">
              <w:rPr>
                <w:rFonts w:ascii="Arial" w:hAnsi="Arial" w:cs="Arial"/>
                <w:b/>
                <w:lang w:eastAsia="ar-SA"/>
              </w:rPr>
              <w:t>Size göre çocuğun kardeşleri ile olan ilişkisi</w:t>
            </w:r>
            <w:r w:rsidRPr="000E0F5C">
              <w:rPr>
                <w:rFonts w:ascii="Arial" w:hAnsi="Arial" w:cs="Arial"/>
                <w:lang w:eastAsia="ar-SA"/>
              </w:rPr>
              <w:t xml:space="preserve"> </w:t>
            </w:r>
            <w:r w:rsidRPr="000E0F5C">
              <w:rPr>
                <w:rFonts w:ascii="Arial" w:hAnsi="Arial" w:cs="Arial"/>
                <w:b/>
                <w:lang w:eastAsia="ar-SA"/>
              </w:rPr>
              <w:t>nasıl?</w:t>
            </w:r>
            <w:r w:rsidRPr="000E0F5C">
              <w:rPr>
                <w:rFonts w:ascii="Arial" w:hAnsi="Arial" w:cs="Arial"/>
                <w:lang w:eastAsia="ar-SA"/>
              </w:rPr>
              <w:t xml:space="preserve">                    </w:t>
            </w:r>
            <w:r w:rsidRPr="000E0F5C">
              <w:rPr>
                <w:rFonts w:ascii="Arial" w:hAnsi="Arial" w:cs="Arial"/>
                <w:lang w:eastAsia="ar-SA"/>
              </w:rPr>
              <w:tab/>
            </w:r>
          </w:p>
          <w:p w:rsidR="000E0F5C" w:rsidRPr="000E0F5C" w:rsidRDefault="000E0F5C" w:rsidP="006A23DA">
            <w:pPr>
              <w:suppressAutoHyphens/>
              <w:rPr>
                <w:rFonts w:ascii="Arial" w:hAnsi="Arial" w:cs="Arial"/>
                <w:lang w:eastAsia="ar-SA"/>
              </w:rPr>
            </w:pPr>
            <w:r w:rsidRPr="000E0F5C">
              <w:rPr>
                <w:rFonts w:ascii="Arial" w:hAnsi="Arial" w:cs="Arial"/>
                <w:lang w:eastAsia="ar-SA"/>
              </w:rPr>
              <w:t>1-çok iyi   2-iyi        3-orta       4-sorunlu     5-çok sorunlu</w:t>
            </w:r>
            <w:r w:rsidRPr="000E0F5C">
              <w:rPr>
                <w:rFonts w:ascii="Arial" w:hAnsi="Arial" w:cs="Arial"/>
                <w:lang w:eastAsia="ar-SA"/>
              </w:rPr>
              <w:tab/>
            </w:r>
            <w:r w:rsidRPr="000E0F5C">
              <w:rPr>
                <w:rFonts w:ascii="Arial" w:hAnsi="Arial" w:cs="Arial"/>
                <w:lang w:eastAsia="ar-SA"/>
              </w:rPr>
              <w:tab/>
            </w:r>
            <w:r w:rsidRPr="000E0F5C">
              <w:rPr>
                <w:rFonts w:ascii="Arial" w:hAnsi="Arial" w:cs="Arial"/>
                <w:lang w:eastAsia="ar-SA"/>
              </w:rPr>
              <w:tab/>
            </w:r>
          </w:p>
        </w:tc>
      </w:tr>
      <w:tr w:rsidR="000E0F5C" w:rsidRPr="000E0F5C" w:rsidTr="006A23DA">
        <w:trPr>
          <w:trHeight w:val="562"/>
        </w:trPr>
        <w:tc>
          <w:tcPr>
            <w:tcW w:w="9212" w:type="dxa"/>
          </w:tcPr>
          <w:p w:rsidR="000E0F5C" w:rsidRPr="000E0F5C" w:rsidRDefault="000E0F5C" w:rsidP="006A23DA">
            <w:pPr>
              <w:suppressAutoHyphens/>
              <w:rPr>
                <w:rFonts w:ascii="Arial" w:hAnsi="Arial" w:cs="Arial"/>
                <w:b/>
                <w:lang w:eastAsia="ar-SA"/>
              </w:rPr>
            </w:pPr>
            <w:r w:rsidRPr="000E0F5C">
              <w:rPr>
                <w:rFonts w:ascii="Arial" w:hAnsi="Arial" w:cs="Arial"/>
                <w:b/>
                <w:lang w:eastAsia="ar-SA"/>
              </w:rPr>
              <w:t>Size göre çocuğun evdeki genel uyumu nasıl?</w:t>
            </w:r>
          </w:p>
          <w:p w:rsidR="000E0F5C" w:rsidRPr="000E0F5C" w:rsidRDefault="000E0F5C" w:rsidP="006A23DA">
            <w:pPr>
              <w:suppressAutoHyphens/>
              <w:rPr>
                <w:rFonts w:ascii="Arial" w:hAnsi="Arial" w:cs="Arial"/>
                <w:lang w:eastAsia="ar-SA"/>
              </w:rPr>
            </w:pPr>
            <w:r w:rsidRPr="000E0F5C">
              <w:rPr>
                <w:rFonts w:ascii="Arial" w:hAnsi="Arial" w:cs="Arial"/>
                <w:lang w:eastAsia="ar-SA"/>
              </w:rPr>
              <w:t xml:space="preserve">1-çok iyi   2-iyi        3-orta       4-sorunlu     5-çok sorunlu                      </w:t>
            </w:r>
          </w:p>
        </w:tc>
      </w:tr>
    </w:tbl>
    <w:p w:rsidR="000E0F5C" w:rsidRPr="00424AAF" w:rsidRDefault="000E0F5C" w:rsidP="000E0F5C">
      <w:pPr>
        <w:rPr>
          <w:rFonts w:asciiTheme="minorHAnsi" w:hAnsiTheme="minorHAnsi"/>
        </w:rPr>
      </w:pPr>
    </w:p>
    <w:p w:rsidR="000E0F5C" w:rsidRPr="00CB6BF8" w:rsidRDefault="000E0F5C" w:rsidP="00C60153">
      <w:pPr>
        <w:widowControl w:val="0"/>
        <w:autoSpaceDE w:val="0"/>
        <w:autoSpaceDN w:val="0"/>
        <w:adjustRightInd w:val="0"/>
        <w:spacing w:after="200" w:line="360" w:lineRule="auto"/>
        <w:ind w:left="480" w:hanging="480"/>
      </w:pPr>
    </w:p>
    <w:sectPr w:rsidR="000E0F5C" w:rsidRPr="00CB6BF8" w:rsidSect="00B97C5E">
      <w:pgSz w:w="11906" w:h="16838"/>
      <w:pgMar w:top="1701" w:right="1418"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535C" w:rsidRDefault="00B2535C" w:rsidP="00810B60">
      <w:r>
        <w:separator/>
      </w:r>
    </w:p>
  </w:endnote>
  <w:endnote w:type="continuationSeparator" w:id="0">
    <w:p w:rsidR="00B2535C" w:rsidRDefault="00B2535C" w:rsidP="00810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D5B" w:rsidRDefault="00E97D5B">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E97D5B" w:rsidRDefault="00E97D5B">
    <w:pPr>
      <w:pStyle w:val="AltBilgi"/>
      <w:ind w:right="360"/>
    </w:pPr>
  </w:p>
  <w:p w:rsidR="00E97D5B" w:rsidRDefault="00E97D5B"/>
  <w:p w:rsidR="00E97D5B" w:rsidRPr="007010A9" w:rsidRDefault="00E97D5B">
    <w:pPr>
      <w:rPr>
        <w:sz w:val="23"/>
        <w:szCs w:val="23"/>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100345"/>
      <w:docPartObj>
        <w:docPartGallery w:val="Page Numbers (Bottom of Page)"/>
        <w:docPartUnique/>
      </w:docPartObj>
    </w:sdtPr>
    <w:sdtEndPr/>
    <w:sdtContent>
      <w:p w:rsidR="00E97D5B" w:rsidRDefault="00AB3CA1">
        <w:pPr>
          <w:pStyle w:val="AltBilgi"/>
          <w:jc w:val="center"/>
        </w:pPr>
        <w:r>
          <w:fldChar w:fldCharType="begin"/>
        </w:r>
        <w:r>
          <w:instrText xml:space="preserve"> PAGE   \* MERGEFORMAT </w:instrText>
        </w:r>
        <w:r>
          <w:fldChar w:fldCharType="separate"/>
        </w:r>
        <w:r w:rsidR="00B9025E">
          <w:rPr>
            <w:noProof/>
          </w:rPr>
          <w:t>VII</w:t>
        </w:r>
        <w:r>
          <w:rPr>
            <w:noProof/>
          </w:rPr>
          <w:fldChar w:fldCharType="end"/>
        </w:r>
      </w:p>
    </w:sdtContent>
  </w:sdt>
  <w:p w:rsidR="00E97D5B" w:rsidRDefault="00E97D5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535C" w:rsidRDefault="00B2535C" w:rsidP="00810B60">
      <w:r>
        <w:separator/>
      </w:r>
    </w:p>
  </w:footnote>
  <w:footnote w:type="continuationSeparator" w:id="0">
    <w:p w:rsidR="00B2535C" w:rsidRDefault="00B2535C" w:rsidP="00810B6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E40E0"/>
    <w:multiLevelType w:val="multilevel"/>
    <w:tmpl w:val="2AD23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B2DA4"/>
    <w:multiLevelType w:val="hybridMultilevel"/>
    <w:tmpl w:val="A498DA10"/>
    <w:lvl w:ilvl="0" w:tplc="54DA8FD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 w15:restartNumberingAfterBreak="0">
    <w:nsid w:val="0F94544A"/>
    <w:multiLevelType w:val="hybridMultilevel"/>
    <w:tmpl w:val="E7B8113C"/>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124F22AC"/>
    <w:multiLevelType w:val="hybridMultilevel"/>
    <w:tmpl w:val="A5B8364E"/>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15:restartNumberingAfterBreak="0">
    <w:nsid w:val="16E808E9"/>
    <w:multiLevelType w:val="multilevel"/>
    <w:tmpl w:val="FD68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0C4DCE"/>
    <w:multiLevelType w:val="hybridMultilevel"/>
    <w:tmpl w:val="5B9CDE0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17C93BC2"/>
    <w:multiLevelType w:val="hybridMultilevel"/>
    <w:tmpl w:val="D3B0A2F8"/>
    <w:lvl w:ilvl="0" w:tplc="CC82204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15:restartNumberingAfterBreak="0">
    <w:nsid w:val="1A317EE8"/>
    <w:multiLevelType w:val="hybridMultilevel"/>
    <w:tmpl w:val="B30EBC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C19307E"/>
    <w:multiLevelType w:val="hybridMultilevel"/>
    <w:tmpl w:val="D22A305C"/>
    <w:lvl w:ilvl="0" w:tplc="EBAEF70A">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15:restartNumberingAfterBreak="0">
    <w:nsid w:val="1CB17989"/>
    <w:multiLevelType w:val="hybridMultilevel"/>
    <w:tmpl w:val="FDA411F6"/>
    <w:lvl w:ilvl="0" w:tplc="041F000F">
      <w:start w:val="1"/>
      <w:numFmt w:val="decimal"/>
      <w:lvlText w:val="%1."/>
      <w:lvlJc w:val="left"/>
      <w:pPr>
        <w:ind w:left="1778"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CE36316"/>
    <w:multiLevelType w:val="hybridMultilevel"/>
    <w:tmpl w:val="BE207396"/>
    <w:lvl w:ilvl="0" w:tplc="15CA386E">
      <w:start w:val="1"/>
      <w:numFmt w:val="decimal"/>
      <w:lvlText w:val="%1."/>
      <w:lvlJc w:val="left"/>
      <w:pPr>
        <w:ind w:left="720" w:hanging="360"/>
      </w:pPr>
      <w:rPr>
        <w:rFonts w:asciiTheme="minorHAnsi" w:eastAsiaTheme="minorHAnsi" w:hAnsiTheme="minorHAnsi" w:cstheme="minorBidi"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F035CC5"/>
    <w:multiLevelType w:val="multilevel"/>
    <w:tmpl w:val="9B2C6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547A93"/>
    <w:multiLevelType w:val="hybridMultilevel"/>
    <w:tmpl w:val="F77AA324"/>
    <w:lvl w:ilvl="0" w:tplc="4A284B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EC3D8F"/>
    <w:multiLevelType w:val="multilevel"/>
    <w:tmpl w:val="92C41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173337"/>
    <w:multiLevelType w:val="hybridMultilevel"/>
    <w:tmpl w:val="137486F6"/>
    <w:lvl w:ilvl="0" w:tplc="CDC21668">
      <w:start w:val="1"/>
      <w:numFmt w:val="lowerLetter"/>
      <w:lvlText w:val="%1."/>
      <w:lvlJc w:val="left"/>
      <w:pPr>
        <w:ind w:left="2496" w:hanging="360"/>
      </w:pPr>
      <w:rPr>
        <w:rFonts w:hint="default"/>
      </w:rPr>
    </w:lvl>
    <w:lvl w:ilvl="1" w:tplc="041F0019" w:tentative="1">
      <w:start w:val="1"/>
      <w:numFmt w:val="lowerLetter"/>
      <w:lvlText w:val="%2."/>
      <w:lvlJc w:val="left"/>
      <w:pPr>
        <w:ind w:left="3216" w:hanging="360"/>
      </w:pPr>
    </w:lvl>
    <w:lvl w:ilvl="2" w:tplc="041F001B" w:tentative="1">
      <w:start w:val="1"/>
      <w:numFmt w:val="lowerRoman"/>
      <w:lvlText w:val="%3."/>
      <w:lvlJc w:val="right"/>
      <w:pPr>
        <w:ind w:left="3936" w:hanging="180"/>
      </w:pPr>
    </w:lvl>
    <w:lvl w:ilvl="3" w:tplc="041F000F" w:tentative="1">
      <w:start w:val="1"/>
      <w:numFmt w:val="decimal"/>
      <w:lvlText w:val="%4."/>
      <w:lvlJc w:val="left"/>
      <w:pPr>
        <w:ind w:left="4656" w:hanging="360"/>
      </w:pPr>
    </w:lvl>
    <w:lvl w:ilvl="4" w:tplc="041F0019" w:tentative="1">
      <w:start w:val="1"/>
      <w:numFmt w:val="lowerLetter"/>
      <w:lvlText w:val="%5."/>
      <w:lvlJc w:val="left"/>
      <w:pPr>
        <w:ind w:left="5376" w:hanging="360"/>
      </w:pPr>
    </w:lvl>
    <w:lvl w:ilvl="5" w:tplc="041F001B" w:tentative="1">
      <w:start w:val="1"/>
      <w:numFmt w:val="lowerRoman"/>
      <w:lvlText w:val="%6."/>
      <w:lvlJc w:val="right"/>
      <w:pPr>
        <w:ind w:left="6096" w:hanging="180"/>
      </w:pPr>
    </w:lvl>
    <w:lvl w:ilvl="6" w:tplc="041F000F" w:tentative="1">
      <w:start w:val="1"/>
      <w:numFmt w:val="decimal"/>
      <w:lvlText w:val="%7."/>
      <w:lvlJc w:val="left"/>
      <w:pPr>
        <w:ind w:left="6816" w:hanging="360"/>
      </w:pPr>
    </w:lvl>
    <w:lvl w:ilvl="7" w:tplc="041F0019" w:tentative="1">
      <w:start w:val="1"/>
      <w:numFmt w:val="lowerLetter"/>
      <w:lvlText w:val="%8."/>
      <w:lvlJc w:val="left"/>
      <w:pPr>
        <w:ind w:left="7536" w:hanging="360"/>
      </w:pPr>
    </w:lvl>
    <w:lvl w:ilvl="8" w:tplc="041F001B" w:tentative="1">
      <w:start w:val="1"/>
      <w:numFmt w:val="lowerRoman"/>
      <w:lvlText w:val="%9."/>
      <w:lvlJc w:val="right"/>
      <w:pPr>
        <w:ind w:left="8256" w:hanging="180"/>
      </w:pPr>
    </w:lvl>
  </w:abstractNum>
  <w:abstractNum w:abstractNumId="15" w15:restartNumberingAfterBreak="0">
    <w:nsid w:val="25B96577"/>
    <w:multiLevelType w:val="hybridMultilevel"/>
    <w:tmpl w:val="8266E6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68C0312"/>
    <w:multiLevelType w:val="hybridMultilevel"/>
    <w:tmpl w:val="EF90F496"/>
    <w:lvl w:ilvl="0" w:tplc="4A284B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BF0ED4"/>
    <w:multiLevelType w:val="multilevel"/>
    <w:tmpl w:val="2D100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1E1F67"/>
    <w:multiLevelType w:val="hybridMultilevel"/>
    <w:tmpl w:val="81948C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B5400BF"/>
    <w:multiLevelType w:val="hybridMultilevel"/>
    <w:tmpl w:val="C8448CEE"/>
    <w:lvl w:ilvl="0" w:tplc="C78851C0">
      <w:start w:val="1"/>
      <w:numFmt w:val="decimal"/>
      <w:suff w:val="space"/>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DA13CA7"/>
    <w:multiLevelType w:val="hybridMultilevel"/>
    <w:tmpl w:val="2862B692"/>
    <w:lvl w:ilvl="0" w:tplc="F7622DD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1" w15:restartNumberingAfterBreak="0">
    <w:nsid w:val="2DC34038"/>
    <w:multiLevelType w:val="hybridMultilevel"/>
    <w:tmpl w:val="CD62B4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F366F5C"/>
    <w:multiLevelType w:val="hybridMultilevel"/>
    <w:tmpl w:val="D5B2CA96"/>
    <w:lvl w:ilvl="0" w:tplc="041F000D">
      <w:start w:val="1"/>
      <w:numFmt w:val="bullet"/>
      <w:lvlText w:val=""/>
      <w:lvlJc w:val="left"/>
      <w:pPr>
        <w:ind w:left="1015" w:hanging="360"/>
      </w:pPr>
      <w:rPr>
        <w:rFonts w:ascii="Wingdings" w:hAnsi="Wingdings" w:hint="default"/>
        <w:w w:val="100"/>
        <w:sz w:val="24"/>
        <w:szCs w:val="24"/>
      </w:rPr>
    </w:lvl>
    <w:lvl w:ilvl="1" w:tplc="A5A64210">
      <w:numFmt w:val="bullet"/>
      <w:lvlText w:val="•"/>
      <w:lvlJc w:val="left"/>
      <w:pPr>
        <w:ind w:left="1810" w:hanging="360"/>
      </w:pPr>
      <w:rPr>
        <w:rFonts w:hint="default"/>
      </w:rPr>
    </w:lvl>
    <w:lvl w:ilvl="2" w:tplc="B1C2E916">
      <w:numFmt w:val="bullet"/>
      <w:lvlText w:val="•"/>
      <w:lvlJc w:val="left"/>
      <w:pPr>
        <w:ind w:left="2601" w:hanging="360"/>
      </w:pPr>
      <w:rPr>
        <w:rFonts w:hint="default"/>
      </w:rPr>
    </w:lvl>
    <w:lvl w:ilvl="3" w:tplc="89D2B4D2">
      <w:numFmt w:val="bullet"/>
      <w:lvlText w:val="•"/>
      <w:lvlJc w:val="left"/>
      <w:pPr>
        <w:ind w:left="3391" w:hanging="360"/>
      </w:pPr>
      <w:rPr>
        <w:rFonts w:hint="default"/>
      </w:rPr>
    </w:lvl>
    <w:lvl w:ilvl="4" w:tplc="84925E42">
      <w:numFmt w:val="bullet"/>
      <w:lvlText w:val="•"/>
      <w:lvlJc w:val="left"/>
      <w:pPr>
        <w:ind w:left="4182" w:hanging="360"/>
      </w:pPr>
      <w:rPr>
        <w:rFonts w:hint="default"/>
      </w:rPr>
    </w:lvl>
    <w:lvl w:ilvl="5" w:tplc="9BDEFE34">
      <w:numFmt w:val="bullet"/>
      <w:lvlText w:val="•"/>
      <w:lvlJc w:val="left"/>
      <w:pPr>
        <w:ind w:left="4973" w:hanging="360"/>
      </w:pPr>
      <w:rPr>
        <w:rFonts w:hint="default"/>
      </w:rPr>
    </w:lvl>
    <w:lvl w:ilvl="6" w:tplc="ADB43FB4">
      <w:numFmt w:val="bullet"/>
      <w:lvlText w:val="•"/>
      <w:lvlJc w:val="left"/>
      <w:pPr>
        <w:ind w:left="5763" w:hanging="360"/>
      </w:pPr>
      <w:rPr>
        <w:rFonts w:hint="default"/>
      </w:rPr>
    </w:lvl>
    <w:lvl w:ilvl="7" w:tplc="65C229F8">
      <w:numFmt w:val="bullet"/>
      <w:lvlText w:val="•"/>
      <w:lvlJc w:val="left"/>
      <w:pPr>
        <w:ind w:left="6554" w:hanging="360"/>
      </w:pPr>
      <w:rPr>
        <w:rFonts w:hint="default"/>
      </w:rPr>
    </w:lvl>
    <w:lvl w:ilvl="8" w:tplc="913AFAC4">
      <w:numFmt w:val="bullet"/>
      <w:lvlText w:val="•"/>
      <w:lvlJc w:val="left"/>
      <w:pPr>
        <w:ind w:left="7345" w:hanging="360"/>
      </w:pPr>
      <w:rPr>
        <w:rFonts w:hint="default"/>
      </w:rPr>
    </w:lvl>
  </w:abstractNum>
  <w:abstractNum w:abstractNumId="23" w15:restartNumberingAfterBreak="0">
    <w:nsid w:val="319C6E64"/>
    <w:multiLevelType w:val="hybridMultilevel"/>
    <w:tmpl w:val="45D679F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6412B06"/>
    <w:multiLevelType w:val="hybridMultilevel"/>
    <w:tmpl w:val="782A6FEE"/>
    <w:lvl w:ilvl="0" w:tplc="EEBC337C">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5" w15:restartNumberingAfterBreak="0">
    <w:nsid w:val="3C735702"/>
    <w:multiLevelType w:val="hybridMultilevel"/>
    <w:tmpl w:val="ECF4E96E"/>
    <w:lvl w:ilvl="0" w:tplc="836C551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6" w15:restartNumberingAfterBreak="0">
    <w:nsid w:val="3D0F1FB1"/>
    <w:multiLevelType w:val="hybridMultilevel"/>
    <w:tmpl w:val="39328C82"/>
    <w:lvl w:ilvl="0" w:tplc="F432A69E">
      <w:start w:val="1"/>
      <w:numFmt w:val="decimal"/>
      <w:lvlText w:val="%1-"/>
      <w:lvlJc w:val="left"/>
      <w:pPr>
        <w:ind w:left="786"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DE116D4"/>
    <w:multiLevelType w:val="hybridMultilevel"/>
    <w:tmpl w:val="122A25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03B462A"/>
    <w:multiLevelType w:val="hybridMultilevel"/>
    <w:tmpl w:val="FA764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9D1C6F"/>
    <w:multiLevelType w:val="hybridMultilevel"/>
    <w:tmpl w:val="1B029944"/>
    <w:lvl w:ilvl="0" w:tplc="9FE21AA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0" w15:restartNumberingAfterBreak="0">
    <w:nsid w:val="48A92E67"/>
    <w:multiLevelType w:val="hybridMultilevel"/>
    <w:tmpl w:val="EF10DD3A"/>
    <w:lvl w:ilvl="0" w:tplc="4FC24030">
      <w:start w:val="1"/>
      <w:numFmt w:val="lowerLetter"/>
      <w:lvlText w:val="%1."/>
      <w:lvlJc w:val="left"/>
      <w:pPr>
        <w:ind w:left="2496" w:hanging="360"/>
      </w:pPr>
      <w:rPr>
        <w:rFonts w:hint="default"/>
      </w:rPr>
    </w:lvl>
    <w:lvl w:ilvl="1" w:tplc="041F0019" w:tentative="1">
      <w:start w:val="1"/>
      <w:numFmt w:val="lowerLetter"/>
      <w:lvlText w:val="%2."/>
      <w:lvlJc w:val="left"/>
      <w:pPr>
        <w:ind w:left="3216" w:hanging="360"/>
      </w:pPr>
    </w:lvl>
    <w:lvl w:ilvl="2" w:tplc="041F001B" w:tentative="1">
      <w:start w:val="1"/>
      <w:numFmt w:val="lowerRoman"/>
      <w:lvlText w:val="%3."/>
      <w:lvlJc w:val="right"/>
      <w:pPr>
        <w:ind w:left="3936" w:hanging="180"/>
      </w:pPr>
    </w:lvl>
    <w:lvl w:ilvl="3" w:tplc="041F000F" w:tentative="1">
      <w:start w:val="1"/>
      <w:numFmt w:val="decimal"/>
      <w:lvlText w:val="%4."/>
      <w:lvlJc w:val="left"/>
      <w:pPr>
        <w:ind w:left="4656" w:hanging="360"/>
      </w:pPr>
    </w:lvl>
    <w:lvl w:ilvl="4" w:tplc="041F0019" w:tentative="1">
      <w:start w:val="1"/>
      <w:numFmt w:val="lowerLetter"/>
      <w:lvlText w:val="%5."/>
      <w:lvlJc w:val="left"/>
      <w:pPr>
        <w:ind w:left="5376" w:hanging="360"/>
      </w:pPr>
    </w:lvl>
    <w:lvl w:ilvl="5" w:tplc="041F001B" w:tentative="1">
      <w:start w:val="1"/>
      <w:numFmt w:val="lowerRoman"/>
      <w:lvlText w:val="%6."/>
      <w:lvlJc w:val="right"/>
      <w:pPr>
        <w:ind w:left="6096" w:hanging="180"/>
      </w:pPr>
    </w:lvl>
    <w:lvl w:ilvl="6" w:tplc="041F000F" w:tentative="1">
      <w:start w:val="1"/>
      <w:numFmt w:val="decimal"/>
      <w:lvlText w:val="%7."/>
      <w:lvlJc w:val="left"/>
      <w:pPr>
        <w:ind w:left="6816" w:hanging="360"/>
      </w:pPr>
    </w:lvl>
    <w:lvl w:ilvl="7" w:tplc="041F0019" w:tentative="1">
      <w:start w:val="1"/>
      <w:numFmt w:val="lowerLetter"/>
      <w:lvlText w:val="%8."/>
      <w:lvlJc w:val="left"/>
      <w:pPr>
        <w:ind w:left="7536" w:hanging="360"/>
      </w:pPr>
    </w:lvl>
    <w:lvl w:ilvl="8" w:tplc="041F001B" w:tentative="1">
      <w:start w:val="1"/>
      <w:numFmt w:val="lowerRoman"/>
      <w:lvlText w:val="%9."/>
      <w:lvlJc w:val="right"/>
      <w:pPr>
        <w:ind w:left="8256" w:hanging="180"/>
      </w:pPr>
    </w:lvl>
  </w:abstractNum>
  <w:abstractNum w:abstractNumId="31" w15:restartNumberingAfterBreak="0">
    <w:nsid w:val="48C915B5"/>
    <w:multiLevelType w:val="multilevel"/>
    <w:tmpl w:val="F75E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B5776A"/>
    <w:multiLevelType w:val="hybridMultilevel"/>
    <w:tmpl w:val="6722FE80"/>
    <w:lvl w:ilvl="0" w:tplc="48DCAE68">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3" w15:restartNumberingAfterBreak="0">
    <w:nsid w:val="5DEB38A9"/>
    <w:multiLevelType w:val="hybridMultilevel"/>
    <w:tmpl w:val="EF90F496"/>
    <w:lvl w:ilvl="0" w:tplc="4A284B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314B98"/>
    <w:multiLevelType w:val="hybridMultilevel"/>
    <w:tmpl w:val="723026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5" w15:restartNumberingAfterBreak="0">
    <w:nsid w:val="611101D0"/>
    <w:multiLevelType w:val="hybridMultilevel"/>
    <w:tmpl w:val="9F865126"/>
    <w:lvl w:ilvl="0" w:tplc="77BA9950">
      <w:start w:val="1"/>
      <w:numFmt w:val="decimal"/>
      <w:lvlText w:val="%1."/>
      <w:lvlJc w:val="right"/>
      <w:pPr>
        <w:ind w:left="644" w:hanging="360"/>
      </w:pPr>
      <w:rPr>
        <w:rFonts w:hint="default"/>
        <w:b/>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6" w15:restartNumberingAfterBreak="0">
    <w:nsid w:val="6312778B"/>
    <w:multiLevelType w:val="hybridMultilevel"/>
    <w:tmpl w:val="C58AF7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4A14E14"/>
    <w:multiLevelType w:val="hybridMultilevel"/>
    <w:tmpl w:val="C9AC54D4"/>
    <w:lvl w:ilvl="0" w:tplc="DB283554">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76A0A73"/>
    <w:multiLevelType w:val="multilevel"/>
    <w:tmpl w:val="36269F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78D5A27"/>
    <w:multiLevelType w:val="multilevel"/>
    <w:tmpl w:val="823E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D765C7"/>
    <w:multiLevelType w:val="hybridMultilevel"/>
    <w:tmpl w:val="C66499A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A1B68BD"/>
    <w:multiLevelType w:val="hybridMultilevel"/>
    <w:tmpl w:val="C6A8CC90"/>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2" w15:restartNumberingAfterBreak="0">
    <w:nsid w:val="6B44500D"/>
    <w:multiLevelType w:val="multilevel"/>
    <w:tmpl w:val="9B94F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287107"/>
    <w:multiLevelType w:val="hybridMultilevel"/>
    <w:tmpl w:val="0D5027E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8B6374E"/>
    <w:multiLevelType w:val="hybridMultilevel"/>
    <w:tmpl w:val="EF90F496"/>
    <w:lvl w:ilvl="0" w:tplc="4A284B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4"/>
  </w:num>
  <w:num w:numId="3">
    <w:abstractNumId w:val="30"/>
  </w:num>
  <w:num w:numId="4">
    <w:abstractNumId w:val="14"/>
  </w:num>
  <w:num w:numId="5">
    <w:abstractNumId w:val="23"/>
  </w:num>
  <w:num w:numId="6">
    <w:abstractNumId w:val="40"/>
  </w:num>
  <w:num w:numId="7">
    <w:abstractNumId w:val="43"/>
  </w:num>
  <w:num w:numId="8">
    <w:abstractNumId w:val="19"/>
  </w:num>
  <w:num w:numId="9">
    <w:abstractNumId w:val="29"/>
  </w:num>
  <w:num w:numId="10">
    <w:abstractNumId w:val="32"/>
  </w:num>
  <w:num w:numId="11">
    <w:abstractNumId w:val="1"/>
  </w:num>
  <w:num w:numId="12">
    <w:abstractNumId w:val="25"/>
  </w:num>
  <w:num w:numId="13">
    <w:abstractNumId w:val="20"/>
  </w:num>
  <w:num w:numId="14">
    <w:abstractNumId w:val="41"/>
  </w:num>
  <w:num w:numId="15">
    <w:abstractNumId w:val="3"/>
  </w:num>
  <w:num w:numId="16">
    <w:abstractNumId w:val="36"/>
  </w:num>
  <w:num w:numId="17">
    <w:abstractNumId w:val="26"/>
  </w:num>
  <w:num w:numId="18">
    <w:abstractNumId w:val="6"/>
  </w:num>
  <w:num w:numId="19">
    <w:abstractNumId w:val="15"/>
  </w:num>
  <w:num w:numId="20">
    <w:abstractNumId w:val="10"/>
  </w:num>
  <w:num w:numId="21">
    <w:abstractNumId w:val="22"/>
  </w:num>
  <w:num w:numId="22">
    <w:abstractNumId w:val="21"/>
  </w:num>
  <w:num w:numId="23">
    <w:abstractNumId w:val="9"/>
  </w:num>
  <w:num w:numId="24">
    <w:abstractNumId w:val="35"/>
  </w:num>
  <w:num w:numId="25">
    <w:abstractNumId w:val="2"/>
  </w:num>
  <w:num w:numId="26">
    <w:abstractNumId w:val="5"/>
  </w:num>
  <w:num w:numId="27">
    <w:abstractNumId w:val="34"/>
  </w:num>
  <w:num w:numId="28">
    <w:abstractNumId w:val="44"/>
  </w:num>
  <w:num w:numId="29">
    <w:abstractNumId w:val="33"/>
  </w:num>
  <w:num w:numId="30">
    <w:abstractNumId w:val="16"/>
  </w:num>
  <w:num w:numId="31">
    <w:abstractNumId w:val="12"/>
  </w:num>
  <w:num w:numId="32">
    <w:abstractNumId w:val="38"/>
  </w:num>
  <w:num w:numId="33">
    <w:abstractNumId w:val="3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4">
    <w:abstractNumId w:val="39"/>
  </w:num>
  <w:num w:numId="35">
    <w:abstractNumId w:val="28"/>
  </w:num>
  <w:num w:numId="36">
    <w:abstractNumId w:val="11"/>
  </w:num>
  <w:num w:numId="37">
    <w:abstractNumId w:val="4"/>
  </w:num>
  <w:num w:numId="38">
    <w:abstractNumId w:val="13"/>
  </w:num>
  <w:num w:numId="39">
    <w:abstractNumId w:val="17"/>
  </w:num>
  <w:num w:numId="40">
    <w:abstractNumId w:val="0"/>
  </w:num>
  <w:num w:numId="41">
    <w:abstractNumId w:val="31"/>
  </w:num>
  <w:num w:numId="42">
    <w:abstractNumId w:val="42"/>
  </w:num>
  <w:num w:numId="43">
    <w:abstractNumId w:val="37"/>
  </w:num>
  <w:num w:numId="44">
    <w:abstractNumId w:val="27"/>
  </w:num>
  <w:num w:numId="45">
    <w:abstractNumId w:val="7"/>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NTSwNDIxNra0sDQxMzFV0lEKTi0uzszPAykwtKwFAA1KjAQtAAAA"/>
  </w:docVars>
  <w:rsids>
    <w:rsidRoot w:val="00B015DC"/>
    <w:rsid w:val="00002EE7"/>
    <w:rsid w:val="0000306B"/>
    <w:rsid w:val="0000379C"/>
    <w:rsid w:val="00003D4A"/>
    <w:rsid w:val="000144BF"/>
    <w:rsid w:val="00016EA9"/>
    <w:rsid w:val="00017818"/>
    <w:rsid w:val="00020296"/>
    <w:rsid w:val="00020F44"/>
    <w:rsid w:val="00021871"/>
    <w:rsid w:val="00021B7E"/>
    <w:rsid w:val="00025FEC"/>
    <w:rsid w:val="00032B56"/>
    <w:rsid w:val="00032E12"/>
    <w:rsid w:val="00033A17"/>
    <w:rsid w:val="00033F62"/>
    <w:rsid w:val="00035B4E"/>
    <w:rsid w:val="00036BCA"/>
    <w:rsid w:val="00037039"/>
    <w:rsid w:val="00037992"/>
    <w:rsid w:val="00040181"/>
    <w:rsid w:val="00040F75"/>
    <w:rsid w:val="00042B7C"/>
    <w:rsid w:val="000446A7"/>
    <w:rsid w:val="0004502D"/>
    <w:rsid w:val="00046217"/>
    <w:rsid w:val="00046B03"/>
    <w:rsid w:val="00047C72"/>
    <w:rsid w:val="00051ECA"/>
    <w:rsid w:val="00051FD1"/>
    <w:rsid w:val="00052500"/>
    <w:rsid w:val="0005499F"/>
    <w:rsid w:val="00055F30"/>
    <w:rsid w:val="000612C1"/>
    <w:rsid w:val="00061A7C"/>
    <w:rsid w:val="00062511"/>
    <w:rsid w:val="00065FB5"/>
    <w:rsid w:val="000662C9"/>
    <w:rsid w:val="00067BB8"/>
    <w:rsid w:val="000740BC"/>
    <w:rsid w:val="00074701"/>
    <w:rsid w:val="000770C1"/>
    <w:rsid w:val="00081087"/>
    <w:rsid w:val="0008367A"/>
    <w:rsid w:val="00084C8B"/>
    <w:rsid w:val="00085A0F"/>
    <w:rsid w:val="00085E14"/>
    <w:rsid w:val="00086226"/>
    <w:rsid w:val="00093C88"/>
    <w:rsid w:val="00096230"/>
    <w:rsid w:val="000A37AD"/>
    <w:rsid w:val="000A3FDA"/>
    <w:rsid w:val="000A45C8"/>
    <w:rsid w:val="000A633B"/>
    <w:rsid w:val="000A7A86"/>
    <w:rsid w:val="000A7E17"/>
    <w:rsid w:val="000B1232"/>
    <w:rsid w:val="000B128A"/>
    <w:rsid w:val="000B1F2A"/>
    <w:rsid w:val="000B33CD"/>
    <w:rsid w:val="000B45C3"/>
    <w:rsid w:val="000B5811"/>
    <w:rsid w:val="000B6A76"/>
    <w:rsid w:val="000C1FE6"/>
    <w:rsid w:val="000C2E58"/>
    <w:rsid w:val="000C45EB"/>
    <w:rsid w:val="000C4E8F"/>
    <w:rsid w:val="000D2C0B"/>
    <w:rsid w:val="000D2E9B"/>
    <w:rsid w:val="000D5494"/>
    <w:rsid w:val="000D65BE"/>
    <w:rsid w:val="000D6D58"/>
    <w:rsid w:val="000D77EB"/>
    <w:rsid w:val="000E089E"/>
    <w:rsid w:val="000E0F5C"/>
    <w:rsid w:val="000E1356"/>
    <w:rsid w:val="000E15DC"/>
    <w:rsid w:val="000E49C7"/>
    <w:rsid w:val="000E665C"/>
    <w:rsid w:val="000F08CC"/>
    <w:rsid w:val="000F2C1C"/>
    <w:rsid w:val="000F351A"/>
    <w:rsid w:val="000F437E"/>
    <w:rsid w:val="000F7BF7"/>
    <w:rsid w:val="00103229"/>
    <w:rsid w:val="00103718"/>
    <w:rsid w:val="00105A68"/>
    <w:rsid w:val="00106FA3"/>
    <w:rsid w:val="001073B5"/>
    <w:rsid w:val="00107782"/>
    <w:rsid w:val="0011075C"/>
    <w:rsid w:val="001126B7"/>
    <w:rsid w:val="00113621"/>
    <w:rsid w:val="00116E0D"/>
    <w:rsid w:val="001207DB"/>
    <w:rsid w:val="00120EAA"/>
    <w:rsid w:val="00121EDA"/>
    <w:rsid w:val="0012209A"/>
    <w:rsid w:val="0012235B"/>
    <w:rsid w:val="00127393"/>
    <w:rsid w:val="0012774E"/>
    <w:rsid w:val="001307CB"/>
    <w:rsid w:val="001314D4"/>
    <w:rsid w:val="001329BE"/>
    <w:rsid w:val="00134031"/>
    <w:rsid w:val="0013506B"/>
    <w:rsid w:val="00136B98"/>
    <w:rsid w:val="0014069E"/>
    <w:rsid w:val="00140FB8"/>
    <w:rsid w:val="0014504B"/>
    <w:rsid w:val="00145C8D"/>
    <w:rsid w:val="00145E2F"/>
    <w:rsid w:val="001464DE"/>
    <w:rsid w:val="00146B71"/>
    <w:rsid w:val="00147C93"/>
    <w:rsid w:val="00155523"/>
    <w:rsid w:val="00155E8A"/>
    <w:rsid w:val="00157048"/>
    <w:rsid w:val="00160130"/>
    <w:rsid w:val="0016247F"/>
    <w:rsid w:val="0016333D"/>
    <w:rsid w:val="001638DA"/>
    <w:rsid w:val="0016425B"/>
    <w:rsid w:val="00164C85"/>
    <w:rsid w:val="001725B6"/>
    <w:rsid w:val="00173FC9"/>
    <w:rsid w:val="0017495B"/>
    <w:rsid w:val="00174BDF"/>
    <w:rsid w:val="0017705B"/>
    <w:rsid w:val="00180844"/>
    <w:rsid w:val="00181CD6"/>
    <w:rsid w:val="00181DB3"/>
    <w:rsid w:val="001823ED"/>
    <w:rsid w:val="001847AD"/>
    <w:rsid w:val="001900FA"/>
    <w:rsid w:val="001904F1"/>
    <w:rsid w:val="00193E11"/>
    <w:rsid w:val="00194AA8"/>
    <w:rsid w:val="001973DB"/>
    <w:rsid w:val="001A0530"/>
    <w:rsid w:val="001A20D6"/>
    <w:rsid w:val="001A2C60"/>
    <w:rsid w:val="001A310E"/>
    <w:rsid w:val="001B1D48"/>
    <w:rsid w:val="001B26CF"/>
    <w:rsid w:val="001B434A"/>
    <w:rsid w:val="001B4AFF"/>
    <w:rsid w:val="001B50B3"/>
    <w:rsid w:val="001B57FC"/>
    <w:rsid w:val="001B6642"/>
    <w:rsid w:val="001B6EE0"/>
    <w:rsid w:val="001C2742"/>
    <w:rsid w:val="001C2FFC"/>
    <w:rsid w:val="001C3DBD"/>
    <w:rsid w:val="001C41FC"/>
    <w:rsid w:val="001D0EB1"/>
    <w:rsid w:val="001D0FA1"/>
    <w:rsid w:val="001D1293"/>
    <w:rsid w:val="001D5B31"/>
    <w:rsid w:val="001D7053"/>
    <w:rsid w:val="001E0495"/>
    <w:rsid w:val="001E056F"/>
    <w:rsid w:val="001E0939"/>
    <w:rsid w:val="001E19AD"/>
    <w:rsid w:val="001E4742"/>
    <w:rsid w:val="001E5196"/>
    <w:rsid w:val="001F2E35"/>
    <w:rsid w:val="001F412E"/>
    <w:rsid w:val="001F43F0"/>
    <w:rsid w:val="00201093"/>
    <w:rsid w:val="002013D1"/>
    <w:rsid w:val="00201553"/>
    <w:rsid w:val="00205149"/>
    <w:rsid w:val="0020629E"/>
    <w:rsid w:val="002103A9"/>
    <w:rsid w:val="0021055D"/>
    <w:rsid w:val="002133F2"/>
    <w:rsid w:val="002201D2"/>
    <w:rsid w:val="00223C44"/>
    <w:rsid w:val="002243F2"/>
    <w:rsid w:val="002259F3"/>
    <w:rsid w:val="002267A8"/>
    <w:rsid w:val="00226C04"/>
    <w:rsid w:val="00226C14"/>
    <w:rsid w:val="00226F1E"/>
    <w:rsid w:val="00227EB6"/>
    <w:rsid w:val="00230A84"/>
    <w:rsid w:val="00231301"/>
    <w:rsid w:val="00234A0B"/>
    <w:rsid w:val="0023541E"/>
    <w:rsid w:val="0023560A"/>
    <w:rsid w:val="002361C3"/>
    <w:rsid w:val="00236239"/>
    <w:rsid w:val="00236F80"/>
    <w:rsid w:val="00242BB6"/>
    <w:rsid w:val="00243623"/>
    <w:rsid w:val="0024371A"/>
    <w:rsid w:val="00243A60"/>
    <w:rsid w:val="00245491"/>
    <w:rsid w:val="00246B69"/>
    <w:rsid w:val="00247C50"/>
    <w:rsid w:val="00250652"/>
    <w:rsid w:val="00250D55"/>
    <w:rsid w:val="002536E0"/>
    <w:rsid w:val="0025493E"/>
    <w:rsid w:val="00254AD0"/>
    <w:rsid w:val="00257CC9"/>
    <w:rsid w:val="002613DB"/>
    <w:rsid w:val="002617D1"/>
    <w:rsid w:val="00263172"/>
    <w:rsid w:val="00267DCC"/>
    <w:rsid w:val="00273020"/>
    <w:rsid w:val="002737B7"/>
    <w:rsid w:val="00273A2A"/>
    <w:rsid w:val="00273D07"/>
    <w:rsid w:val="00276115"/>
    <w:rsid w:val="002819CC"/>
    <w:rsid w:val="00283CE4"/>
    <w:rsid w:val="002847E3"/>
    <w:rsid w:val="00286593"/>
    <w:rsid w:val="0028679D"/>
    <w:rsid w:val="00292479"/>
    <w:rsid w:val="002926D9"/>
    <w:rsid w:val="00295AFD"/>
    <w:rsid w:val="0029603A"/>
    <w:rsid w:val="00297237"/>
    <w:rsid w:val="002A08B5"/>
    <w:rsid w:val="002A1523"/>
    <w:rsid w:val="002A30DF"/>
    <w:rsid w:val="002A361C"/>
    <w:rsid w:val="002A3B21"/>
    <w:rsid w:val="002A7023"/>
    <w:rsid w:val="002A70FD"/>
    <w:rsid w:val="002B4A0F"/>
    <w:rsid w:val="002B6AFD"/>
    <w:rsid w:val="002B6BA9"/>
    <w:rsid w:val="002B7EC0"/>
    <w:rsid w:val="002C18EC"/>
    <w:rsid w:val="002C5092"/>
    <w:rsid w:val="002C6D91"/>
    <w:rsid w:val="002C7560"/>
    <w:rsid w:val="002C7B8B"/>
    <w:rsid w:val="002D1106"/>
    <w:rsid w:val="002D12AF"/>
    <w:rsid w:val="002D176C"/>
    <w:rsid w:val="002D293E"/>
    <w:rsid w:val="002E0B4E"/>
    <w:rsid w:val="002E4974"/>
    <w:rsid w:val="002E6E6D"/>
    <w:rsid w:val="002E7968"/>
    <w:rsid w:val="002F0F07"/>
    <w:rsid w:val="002F1652"/>
    <w:rsid w:val="002F4A95"/>
    <w:rsid w:val="002F5495"/>
    <w:rsid w:val="002F57CD"/>
    <w:rsid w:val="002F6C01"/>
    <w:rsid w:val="0030240B"/>
    <w:rsid w:val="0030351E"/>
    <w:rsid w:val="00303CA8"/>
    <w:rsid w:val="0030680A"/>
    <w:rsid w:val="00306A3E"/>
    <w:rsid w:val="00306A59"/>
    <w:rsid w:val="003126EC"/>
    <w:rsid w:val="003129C6"/>
    <w:rsid w:val="00314179"/>
    <w:rsid w:val="00314451"/>
    <w:rsid w:val="0031734D"/>
    <w:rsid w:val="003252DD"/>
    <w:rsid w:val="003259FC"/>
    <w:rsid w:val="0032640A"/>
    <w:rsid w:val="00327A59"/>
    <w:rsid w:val="00330C55"/>
    <w:rsid w:val="00332004"/>
    <w:rsid w:val="003346A9"/>
    <w:rsid w:val="00337DAD"/>
    <w:rsid w:val="003426BB"/>
    <w:rsid w:val="00343D9F"/>
    <w:rsid w:val="0035187F"/>
    <w:rsid w:val="00352746"/>
    <w:rsid w:val="00353CC1"/>
    <w:rsid w:val="00354996"/>
    <w:rsid w:val="00354CE3"/>
    <w:rsid w:val="003603F3"/>
    <w:rsid w:val="00361B93"/>
    <w:rsid w:val="003632D7"/>
    <w:rsid w:val="0036583C"/>
    <w:rsid w:val="00374318"/>
    <w:rsid w:val="0037573A"/>
    <w:rsid w:val="003770DB"/>
    <w:rsid w:val="0038144B"/>
    <w:rsid w:val="00381D3B"/>
    <w:rsid w:val="003843F4"/>
    <w:rsid w:val="00387560"/>
    <w:rsid w:val="0039020B"/>
    <w:rsid w:val="00390C7D"/>
    <w:rsid w:val="00391AAC"/>
    <w:rsid w:val="00392474"/>
    <w:rsid w:val="00393007"/>
    <w:rsid w:val="003A14B8"/>
    <w:rsid w:val="003A157E"/>
    <w:rsid w:val="003A2432"/>
    <w:rsid w:val="003A2F34"/>
    <w:rsid w:val="003A3A62"/>
    <w:rsid w:val="003A3F53"/>
    <w:rsid w:val="003A5048"/>
    <w:rsid w:val="003A6D83"/>
    <w:rsid w:val="003A76B2"/>
    <w:rsid w:val="003B12C8"/>
    <w:rsid w:val="003B1F95"/>
    <w:rsid w:val="003B26DF"/>
    <w:rsid w:val="003B35BE"/>
    <w:rsid w:val="003C01CC"/>
    <w:rsid w:val="003C0280"/>
    <w:rsid w:val="003C1280"/>
    <w:rsid w:val="003C1905"/>
    <w:rsid w:val="003C3D97"/>
    <w:rsid w:val="003C4B4C"/>
    <w:rsid w:val="003C7A1D"/>
    <w:rsid w:val="003D06A0"/>
    <w:rsid w:val="003D0C25"/>
    <w:rsid w:val="003D176B"/>
    <w:rsid w:val="003D2E5E"/>
    <w:rsid w:val="003D368C"/>
    <w:rsid w:val="003E2DEA"/>
    <w:rsid w:val="003E4B11"/>
    <w:rsid w:val="003F13B2"/>
    <w:rsid w:val="003F1464"/>
    <w:rsid w:val="003F1F66"/>
    <w:rsid w:val="003F449F"/>
    <w:rsid w:val="003F5D02"/>
    <w:rsid w:val="003F5DB0"/>
    <w:rsid w:val="003F7D20"/>
    <w:rsid w:val="00400AEC"/>
    <w:rsid w:val="004021A0"/>
    <w:rsid w:val="00405A56"/>
    <w:rsid w:val="00405AD3"/>
    <w:rsid w:val="00405FC0"/>
    <w:rsid w:val="00407AC7"/>
    <w:rsid w:val="00410C94"/>
    <w:rsid w:val="0041486F"/>
    <w:rsid w:val="004159F7"/>
    <w:rsid w:val="00422AE5"/>
    <w:rsid w:val="00422CC6"/>
    <w:rsid w:val="00426626"/>
    <w:rsid w:val="00426A1F"/>
    <w:rsid w:val="00426A5E"/>
    <w:rsid w:val="004277D6"/>
    <w:rsid w:val="00434110"/>
    <w:rsid w:val="004403DC"/>
    <w:rsid w:val="00441690"/>
    <w:rsid w:val="00441E49"/>
    <w:rsid w:val="00442F2A"/>
    <w:rsid w:val="00444FA5"/>
    <w:rsid w:val="00446846"/>
    <w:rsid w:val="0044760B"/>
    <w:rsid w:val="004505EA"/>
    <w:rsid w:val="004512F1"/>
    <w:rsid w:val="004521F3"/>
    <w:rsid w:val="0045295B"/>
    <w:rsid w:val="0045572D"/>
    <w:rsid w:val="00456824"/>
    <w:rsid w:val="00457BA8"/>
    <w:rsid w:val="00457DF9"/>
    <w:rsid w:val="0046039C"/>
    <w:rsid w:val="00462072"/>
    <w:rsid w:val="00464C42"/>
    <w:rsid w:val="0046533D"/>
    <w:rsid w:val="004672BD"/>
    <w:rsid w:val="004712A5"/>
    <w:rsid w:val="00474BEA"/>
    <w:rsid w:val="004763B9"/>
    <w:rsid w:val="004771EF"/>
    <w:rsid w:val="004847E6"/>
    <w:rsid w:val="00484C89"/>
    <w:rsid w:val="0048765F"/>
    <w:rsid w:val="00492741"/>
    <w:rsid w:val="00493215"/>
    <w:rsid w:val="00494540"/>
    <w:rsid w:val="00494C80"/>
    <w:rsid w:val="004A31C4"/>
    <w:rsid w:val="004A36D6"/>
    <w:rsid w:val="004A58A4"/>
    <w:rsid w:val="004A61F9"/>
    <w:rsid w:val="004A7DF1"/>
    <w:rsid w:val="004B2159"/>
    <w:rsid w:val="004B322A"/>
    <w:rsid w:val="004B3BE0"/>
    <w:rsid w:val="004B5DF9"/>
    <w:rsid w:val="004C0321"/>
    <w:rsid w:val="004C0FF7"/>
    <w:rsid w:val="004C1D27"/>
    <w:rsid w:val="004C2E99"/>
    <w:rsid w:val="004C3B72"/>
    <w:rsid w:val="004C64CC"/>
    <w:rsid w:val="004C679C"/>
    <w:rsid w:val="004C74CB"/>
    <w:rsid w:val="004C79D9"/>
    <w:rsid w:val="004D06FF"/>
    <w:rsid w:val="004D0ACD"/>
    <w:rsid w:val="004D290C"/>
    <w:rsid w:val="004D33F3"/>
    <w:rsid w:val="004D3F8C"/>
    <w:rsid w:val="004D61E3"/>
    <w:rsid w:val="004D62C2"/>
    <w:rsid w:val="004D7630"/>
    <w:rsid w:val="004E016C"/>
    <w:rsid w:val="004E1C17"/>
    <w:rsid w:val="004E1C8C"/>
    <w:rsid w:val="004E21FC"/>
    <w:rsid w:val="004E437F"/>
    <w:rsid w:val="004E46A6"/>
    <w:rsid w:val="004E5383"/>
    <w:rsid w:val="004E6ECD"/>
    <w:rsid w:val="004E74E8"/>
    <w:rsid w:val="004E7604"/>
    <w:rsid w:val="004F7CC1"/>
    <w:rsid w:val="0050244D"/>
    <w:rsid w:val="005035C6"/>
    <w:rsid w:val="005104CF"/>
    <w:rsid w:val="00511061"/>
    <w:rsid w:val="005126F7"/>
    <w:rsid w:val="00513850"/>
    <w:rsid w:val="00515C47"/>
    <w:rsid w:val="005161B1"/>
    <w:rsid w:val="00517560"/>
    <w:rsid w:val="00517E2F"/>
    <w:rsid w:val="005201DA"/>
    <w:rsid w:val="00520A92"/>
    <w:rsid w:val="00522538"/>
    <w:rsid w:val="0052600A"/>
    <w:rsid w:val="005305F6"/>
    <w:rsid w:val="00532B73"/>
    <w:rsid w:val="0053450F"/>
    <w:rsid w:val="00534F15"/>
    <w:rsid w:val="005374B0"/>
    <w:rsid w:val="005376CC"/>
    <w:rsid w:val="00537E9E"/>
    <w:rsid w:val="00541AC9"/>
    <w:rsid w:val="00542B8D"/>
    <w:rsid w:val="00543972"/>
    <w:rsid w:val="0054563A"/>
    <w:rsid w:val="0054587B"/>
    <w:rsid w:val="0054588F"/>
    <w:rsid w:val="005473E7"/>
    <w:rsid w:val="005477BC"/>
    <w:rsid w:val="00550A95"/>
    <w:rsid w:val="00555AFA"/>
    <w:rsid w:val="005610A3"/>
    <w:rsid w:val="00561ECF"/>
    <w:rsid w:val="005624F9"/>
    <w:rsid w:val="00565397"/>
    <w:rsid w:val="005670C7"/>
    <w:rsid w:val="005674EC"/>
    <w:rsid w:val="005705E4"/>
    <w:rsid w:val="005721D1"/>
    <w:rsid w:val="005722FE"/>
    <w:rsid w:val="00572505"/>
    <w:rsid w:val="0057474E"/>
    <w:rsid w:val="0057550C"/>
    <w:rsid w:val="0057704D"/>
    <w:rsid w:val="00577B4C"/>
    <w:rsid w:val="005827F2"/>
    <w:rsid w:val="005849AC"/>
    <w:rsid w:val="00584B91"/>
    <w:rsid w:val="00584D19"/>
    <w:rsid w:val="005862E3"/>
    <w:rsid w:val="00591407"/>
    <w:rsid w:val="00592E40"/>
    <w:rsid w:val="00596B75"/>
    <w:rsid w:val="005973C1"/>
    <w:rsid w:val="00597CFC"/>
    <w:rsid w:val="00597FBA"/>
    <w:rsid w:val="005A0637"/>
    <w:rsid w:val="005A1367"/>
    <w:rsid w:val="005A372C"/>
    <w:rsid w:val="005A393E"/>
    <w:rsid w:val="005A41C3"/>
    <w:rsid w:val="005A54D5"/>
    <w:rsid w:val="005B02C7"/>
    <w:rsid w:val="005B5B53"/>
    <w:rsid w:val="005C22BE"/>
    <w:rsid w:val="005C2409"/>
    <w:rsid w:val="005C3036"/>
    <w:rsid w:val="005C3A63"/>
    <w:rsid w:val="005C4375"/>
    <w:rsid w:val="005C5252"/>
    <w:rsid w:val="005C5C11"/>
    <w:rsid w:val="005C69C0"/>
    <w:rsid w:val="005C718A"/>
    <w:rsid w:val="005D0668"/>
    <w:rsid w:val="005D08E6"/>
    <w:rsid w:val="005D098F"/>
    <w:rsid w:val="005D0AFE"/>
    <w:rsid w:val="005D0B73"/>
    <w:rsid w:val="005D0E27"/>
    <w:rsid w:val="005D544C"/>
    <w:rsid w:val="005D5AE4"/>
    <w:rsid w:val="005D7E7E"/>
    <w:rsid w:val="005E24FD"/>
    <w:rsid w:val="005E4FBF"/>
    <w:rsid w:val="005E56C1"/>
    <w:rsid w:val="005F124E"/>
    <w:rsid w:val="005F49F3"/>
    <w:rsid w:val="005F5FDD"/>
    <w:rsid w:val="0060099E"/>
    <w:rsid w:val="006031D9"/>
    <w:rsid w:val="00603216"/>
    <w:rsid w:val="006054DA"/>
    <w:rsid w:val="00606325"/>
    <w:rsid w:val="00607BDA"/>
    <w:rsid w:val="006105BF"/>
    <w:rsid w:val="00612A0E"/>
    <w:rsid w:val="00614911"/>
    <w:rsid w:val="00615407"/>
    <w:rsid w:val="006156BE"/>
    <w:rsid w:val="00615E95"/>
    <w:rsid w:val="006178AF"/>
    <w:rsid w:val="006210BC"/>
    <w:rsid w:val="0062321E"/>
    <w:rsid w:val="00623B42"/>
    <w:rsid w:val="00624225"/>
    <w:rsid w:val="00626D4D"/>
    <w:rsid w:val="00627511"/>
    <w:rsid w:val="0063132D"/>
    <w:rsid w:val="00631532"/>
    <w:rsid w:val="0063203F"/>
    <w:rsid w:val="006323A4"/>
    <w:rsid w:val="006345AB"/>
    <w:rsid w:val="00634C00"/>
    <w:rsid w:val="006351D3"/>
    <w:rsid w:val="00635AF4"/>
    <w:rsid w:val="0063613E"/>
    <w:rsid w:val="006404D2"/>
    <w:rsid w:val="00642A85"/>
    <w:rsid w:val="006430F6"/>
    <w:rsid w:val="00643338"/>
    <w:rsid w:val="00645515"/>
    <w:rsid w:val="00650880"/>
    <w:rsid w:val="00652E69"/>
    <w:rsid w:val="006537FD"/>
    <w:rsid w:val="00654418"/>
    <w:rsid w:val="006547B7"/>
    <w:rsid w:val="006565E5"/>
    <w:rsid w:val="006567DA"/>
    <w:rsid w:val="00662539"/>
    <w:rsid w:val="00663825"/>
    <w:rsid w:val="0066465A"/>
    <w:rsid w:val="00666091"/>
    <w:rsid w:val="00671049"/>
    <w:rsid w:val="0067187B"/>
    <w:rsid w:val="00671882"/>
    <w:rsid w:val="006718E7"/>
    <w:rsid w:val="00671A28"/>
    <w:rsid w:val="00671E8A"/>
    <w:rsid w:val="00672194"/>
    <w:rsid w:val="00672341"/>
    <w:rsid w:val="00673153"/>
    <w:rsid w:val="006733EA"/>
    <w:rsid w:val="006753CF"/>
    <w:rsid w:val="006760A0"/>
    <w:rsid w:val="00676F67"/>
    <w:rsid w:val="006801F9"/>
    <w:rsid w:val="00683501"/>
    <w:rsid w:val="00685061"/>
    <w:rsid w:val="00691834"/>
    <w:rsid w:val="006920A1"/>
    <w:rsid w:val="00693938"/>
    <w:rsid w:val="006A001F"/>
    <w:rsid w:val="006A1C2A"/>
    <w:rsid w:val="006A23DA"/>
    <w:rsid w:val="006A281A"/>
    <w:rsid w:val="006A3052"/>
    <w:rsid w:val="006A30B9"/>
    <w:rsid w:val="006A49B0"/>
    <w:rsid w:val="006A76ED"/>
    <w:rsid w:val="006A7B8D"/>
    <w:rsid w:val="006A7F4A"/>
    <w:rsid w:val="006B0A85"/>
    <w:rsid w:val="006B2F4F"/>
    <w:rsid w:val="006B5161"/>
    <w:rsid w:val="006B58A9"/>
    <w:rsid w:val="006C29C6"/>
    <w:rsid w:val="006C43AE"/>
    <w:rsid w:val="006C49B9"/>
    <w:rsid w:val="006C54EB"/>
    <w:rsid w:val="006C7ECB"/>
    <w:rsid w:val="006D4F25"/>
    <w:rsid w:val="006E0888"/>
    <w:rsid w:val="006E1202"/>
    <w:rsid w:val="006E4378"/>
    <w:rsid w:val="006E4634"/>
    <w:rsid w:val="006E5D01"/>
    <w:rsid w:val="006E7F3F"/>
    <w:rsid w:val="006F007E"/>
    <w:rsid w:val="006F00BF"/>
    <w:rsid w:val="006F2533"/>
    <w:rsid w:val="006F5481"/>
    <w:rsid w:val="006F66BB"/>
    <w:rsid w:val="006F74D9"/>
    <w:rsid w:val="00700C5A"/>
    <w:rsid w:val="007015C2"/>
    <w:rsid w:val="007021E0"/>
    <w:rsid w:val="00702BB7"/>
    <w:rsid w:val="0070312D"/>
    <w:rsid w:val="00704270"/>
    <w:rsid w:val="00706973"/>
    <w:rsid w:val="00706A6E"/>
    <w:rsid w:val="00707717"/>
    <w:rsid w:val="00711125"/>
    <w:rsid w:val="00717A57"/>
    <w:rsid w:val="0072279E"/>
    <w:rsid w:val="00723C15"/>
    <w:rsid w:val="00730940"/>
    <w:rsid w:val="00733D91"/>
    <w:rsid w:val="007340E0"/>
    <w:rsid w:val="00734CD2"/>
    <w:rsid w:val="007353E0"/>
    <w:rsid w:val="007366B9"/>
    <w:rsid w:val="007373E7"/>
    <w:rsid w:val="0074194F"/>
    <w:rsid w:val="00750770"/>
    <w:rsid w:val="00752D0B"/>
    <w:rsid w:val="00754420"/>
    <w:rsid w:val="007546AF"/>
    <w:rsid w:val="0075546B"/>
    <w:rsid w:val="00756642"/>
    <w:rsid w:val="00757044"/>
    <w:rsid w:val="007608F1"/>
    <w:rsid w:val="0076270C"/>
    <w:rsid w:val="0076339F"/>
    <w:rsid w:val="00766CEC"/>
    <w:rsid w:val="0076780E"/>
    <w:rsid w:val="00772052"/>
    <w:rsid w:val="00773F8C"/>
    <w:rsid w:val="00774371"/>
    <w:rsid w:val="0077491D"/>
    <w:rsid w:val="007775CD"/>
    <w:rsid w:val="0077782E"/>
    <w:rsid w:val="00777C01"/>
    <w:rsid w:val="0078214C"/>
    <w:rsid w:val="00784178"/>
    <w:rsid w:val="00784428"/>
    <w:rsid w:val="00784EBF"/>
    <w:rsid w:val="00785E96"/>
    <w:rsid w:val="00790328"/>
    <w:rsid w:val="00793A39"/>
    <w:rsid w:val="00793B08"/>
    <w:rsid w:val="00793BC7"/>
    <w:rsid w:val="00794F34"/>
    <w:rsid w:val="00796F44"/>
    <w:rsid w:val="007971B4"/>
    <w:rsid w:val="00797833"/>
    <w:rsid w:val="007A0A58"/>
    <w:rsid w:val="007A0A9E"/>
    <w:rsid w:val="007A1DD1"/>
    <w:rsid w:val="007A22AE"/>
    <w:rsid w:val="007A262A"/>
    <w:rsid w:val="007A30EA"/>
    <w:rsid w:val="007A384F"/>
    <w:rsid w:val="007A5614"/>
    <w:rsid w:val="007A5ABB"/>
    <w:rsid w:val="007A7DBC"/>
    <w:rsid w:val="007B0371"/>
    <w:rsid w:val="007B0D83"/>
    <w:rsid w:val="007B1EFA"/>
    <w:rsid w:val="007B5B54"/>
    <w:rsid w:val="007B7414"/>
    <w:rsid w:val="007B7A9E"/>
    <w:rsid w:val="007C0315"/>
    <w:rsid w:val="007C1F47"/>
    <w:rsid w:val="007C45C3"/>
    <w:rsid w:val="007C6AFF"/>
    <w:rsid w:val="007C78B5"/>
    <w:rsid w:val="007D04CF"/>
    <w:rsid w:val="007D3921"/>
    <w:rsid w:val="007D425A"/>
    <w:rsid w:val="007D4FBC"/>
    <w:rsid w:val="007D6A68"/>
    <w:rsid w:val="007D7FA1"/>
    <w:rsid w:val="007E0B88"/>
    <w:rsid w:val="007E3B00"/>
    <w:rsid w:val="007E403E"/>
    <w:rsid w:val="007E63B8"/>
    <w:rsid w:val="007E6754"/>
    <w:rsid w:val="007F1374"/>
    <w:rsid w:val="007F158F"/>
    <w:rsid w:val="007F18AE"/>
    <w:rsid w:val="007F2DD4"/>
    <w:rsid w:val="007F31E6"/>
    <w:rsid w:val="007F354B"/>
    <w:rsid w:val="007F367F"/>
    <w:rsid w:val="007F4DAE"/>
    <w:rsid w:val="007F657D"/>
    <w:rsid w:val="00800445"/>
    <w:rsid w:val="008010EB"/>
    <w:rsid w:val="00801E7B"/>
    <w:rsid w:val="00802108"/>
    <w:rsid w:val="0080275B"/>
    <w:rsid w:val="00804CCD"/>
    <w:rsid w:val="0080796A"/>
    <w:rsid w:val="00807B2D"/>
    <w:rsid w:val="00810127"/>
    <w:rsid w:val="00810B60"/>
    <w:rsid w:val="00814B34"/>
    <w:rsid w:val="00815DA0"/>
    <w:rsid w:val="0081693D"/>
    <w:rsid w:val="008177E4"/>
    <w:rsid w:val="00823388"/>
    <w:rsid w:val="008240E9"/>
    <w:rsid w:val="00824250"/>
    <w:rsid w:val="00825C88"/>
    <w:rsid w:val="008269E0"/>
    <w:rsid w:val="00827BC6"/>
    <w:rsid w:val="00827D11"/>
    <w:rsid w:val="0083209E"/>
    <w:rsid w:val="00834216"/>
    <w:rsid w:val="00836346"/>
    <w:rsid w:val="00845C14"/>
    <w:rsid w:val="0085285D"/>
    <w:rsid w:val="0085510D"/>
    <w:rsid w:val="008557C0"/>
    <w:rsid w:val="00855918"/>
    <w:rsid w:val="0085776D"/>
    <w:rsid w:val="00861347"/>
    <w:rsid w:val="00862810"/>
    <w:rsid w:val="008629A3"/>
    <w:rsid w:val="008665E5"/>
    <w:rsid w:val="008670BC"/>
    <w:rsid w:val="00867C0F"/>
    <w:rsid w:val="00870F9A"/>
    <w:rsid w:val="00871A33"/>
    <w:rsid w:val="00872D61"/>
    <w:rsid w:val="008738A2"/>
    <w:rsid w:val="008750B9"/>
    <w:rsid w:val="00880741"/>
    <w:rsid w:val="00880B57"/>
    <w:rsid w:val="00880C7B"/>
    <w:rsid w:val="0088572E"/>
    <w:rsid w:val="0088706C"/>
    <w:rsid w:val="00891A85"/>
    <w:rsid w:val="008948E4"/>
    <w:rsid w:val="00894A1D"/>
    <w:rsid w:val="00896CEF"/>
    <w:rsid w:val="0089799B"/>
    <w:rsid w:val="008A2085"/>
    <w:rsid w:val="008B3E5E"/>
    <w:rsid w:val="008B5DEE"/>
    <w:rsid w:val="008B6811"/>
    <w:rsid w:val="008B6C10"/>
    <w:rsid w:val="008B7DDF"/>
    <w:rsid w:val="008C30DE"/>
    <w:rsid w:val="008C48C4"/>
    <w:rsid w:val="008C4D7C"/>
    <w:rsid w:val="008C5233"/>
    <w:rsid w:val="008C6480"/>
    <w:rsid w:val="008D1686"/>
    <w:rsid w:val="008D1EA6"/>
    <w:rsid w:val="008D589B"/>
    <w:rsid w:val="008D5A46"/>
    <w:rsid w:val="008D64D1"/>
    <w:rsid w:val="008D6E54"/>
    <w:rsid w:val="008D6FC9"/>
    <w:rsid w:val="008E1D9F"/>
    <w:rsid w:val="008F3438"/>
    <w:rsid w:val="008F56DF"/>
    <w:rsid w:val="008F5B24"/>
    <w:rsid w:val="008F7A3D"/>
    <w:rsid w:val="00901ED2"/>
    <w:rsid w:val="009055D7"/>
    <w:rsid w:val="0090596C"/>
    <w:rsid w:val="00906AE8"/>
    <w:rsid w:val="00906E4F"/>
    <w:rsid w:val="0091187E"/>
    <w:rsid w:val="00912F0C"/>
    <w:rsid w:val="00913135"/>
    <w:rsid w:val="00921B61"/>
    <w:rsid w:val="00922099"/>
    <w:rsid w:val="00923878"/>
    <w:rsid w:val="00925647"/>
    <w:rsid w:val="00930C51"/>
    <w:rsid w:val="00933990"/>
    <w:rsid w:val="009358BC"/>
    <w:rsid w:val="00935CBD"/>
    <w:rsid w:val="009370CD"/>
    <w:rsid w:val="0094050B"/>
    <w:rsid w:val="009412D1"/>
    <w:rsid w:val="0094268A"/>
    <w:rsid w:val="0094374E"/>
    <w:rsid w:val="0094380A"/>
    <w:rsid w:val="0094636A"/>
    <w:rsid w:val="00947679"/>
    <w:rsid w:val="009478F2"/>
    <w:rsid w:val="009601F6"/>
    <w:rsid w:val="00960F01"/>
    <w:rsid w:val="00963BB5"/>
    <w:rsid w:val="0096478A"/>
    <w:rsid w:val="00967134"/>
    <w:rsid w:val="009714F2"/>
    <w:rsid w:val="00975C76"/>
    <w:rsid w:val="00975E27"/>
    <w:rsid w:val="00976850"/>
    <w:rsid w:val="00977773"/>
    <w:rsid w:val="009815ED"/>
    <w:rsid w:val="0098185F"/>
    <w:rsid w:val="00983A47"/>
    <w:rsid w:val="00984275"/>
    <w:rsid w:val="00986AAF"/>
    <w:rsid w:val="009871C3"/>
    <w:rsid w:val="00991A38"/>
    <w:rsid w:val="00991BB7"/>
    <w:rsid w:val="00991C1A"/>
    <w:rsid w:val="00991F8B"/>
    <w:rsid w:val="00992681"/>
    <w:rsid w:val="00992F7A"/>
    <w:rsid w:val="009936D3"/>
    <w:rsid w:val="00993E52"/>
    <w:rsid w:val="00996035"/>
    <w:rsid w:val="00996561"/>
    <w:rsid w:val="009A32C6"/>
    <w:rsid w:val="009A60DE"/>
    <w:rsid w:val="009A6316"/>
    <w:rsid w:val="009A7502"/>
    <w:rsid w:val="009A76E1"/>
    <w:rsid w:val="009A796D"/>
    <w:rsid w:val="009B19A0"/>
    <w:rsid w:val="009B23F6"/>
    <w:rsid w:val="009B30FC"/>
    <w:rsid w:val="009B3FE1"/>
    <w:rsid w:val="009B4144"/>
    <w:rsid w:val="009B41DE"/>
    <w:rsid w:val="009B70D6"/>
    <w:rsid w:val="009C24C4"/>
    <w:rsid w:val="009C7936"/>
    <w:rsid w:val="009D3C27"/>
    <w:rsid w:val="009D44E2"/>
    <w:rsid w:val="009D4853"/>
    <w:rsid w:val="009E0392"/>
    <w:rsid w:val="009E0CDE"/>
    <w:rsid w:val="009E19B3"/>
    <w:rsid w:val="009E46D9"/>
    <w:rsid w:val="009F1151"/>
    <w:rsid w:val="009F2DF0"/>
    <w:rsid w:val="009F2EC6"/>
    <w:rsid w:val="009F630C"/>
    <w:rsid w:val="009F768F"/>
    <w:rsid w:val="00A00DA6"/>
    <w:rsid w:val="00A031B8"/>
    <w:rsid w:val="00A057E7"/>
    <w:rsid w:val="00A06837"/>
    <w:rsid w:val="00A06EB8"/>
    <w:rsid w:val="00A129D0"/>
    <w:rsid w:val="00A13B2B"/>
    <w:rsid w:val="00A14759"/>
    <w:rsid w:val="00A15B4F"/>
    <w:rsid w:val="00A17EE2"/>
    <w:rsid w:val="00A209E1"/>
    <w:rsid w:val="00A21DE7"/>
    <w:rsid w:val="00A23A2B"/>
    <w:rsid w:val="00A23C81"/>
    <w:rsid w:val="00A25280"/>
    <w:rsid w:val="00A2670B"/>
    <w:rsid w:val="00A305F3"/>
    <w:rsid w:val="00A31250"/>
    <w:rsid w:val="00A401B2"/>
    <w:rsid w:val="00A40566"/>
    <w:rsid w:val="00A42441"/>
    <w:rsid w:val="00A45004"/>
    <w:rsid w:val="00A455E7"/>
    <w:rsid w:val="00A4574A"/>
    <w:rsid w:val="00A45DA7"/>
    <w:rsid w:val="00A53D1A"/>
    <w:rsid w:val="00A53D58"/>
    <w:rsid w:val="00A54CDF"/>
    <w:rsid w:val="00A55D35"/>
    <w:rsid w:val="00A56C0B"/>
    <w:rsid w:val="00A57B3B"/>
    <w:rsid w:val="00A62950"/>
    <w:rsid w:val="00A6344C"/>
    <w:rsid w:val="00A658D9"/>
    <w:rsid w:val="00A6709A"/>
    <w:rsid w:val="00A67734"/>
    <w:rsid w:val="00A678E0"/>
    <w:rsid w:val="00A77EB6"/>
    <w:rsid w:val="00A84390"/>
    <w:rsid w:val="00A86E00"/>
    <w:rsid w:val="00A87935"/>
    <w:rsid w:val="00A87FE7"/>
    <w:rsid w:val="00A902F0"/>
    <w:rsid w:val="00A914EB"/>
    <w:rsid w:val="00A91840"/>
    <w:rsid w:val="00A92C22"/>
    <w:rsid w:val="00A9385A"/>
    <w:rsid w:val="00A95FF7"/>
    <w:rsid w:val="00AA38D0"/>
    <w:rsid w:val="00AA4A50"/>
    <w:rsid w:val="00AA4D71"/>
    <w:rsid w:val="00AA5B1C"/>
    <w:rsid w:val="00AB0E1E"/>
    <w:rsid w:val="00AB2451"/>
    <w:rsid w:val="00AB3CA1"/>
    <w:rsid w:val="00AB6B3F"/>
    <w:rsid w:val="00AB6C38"/>
    <w:rsid w:val="00AC17BC"/>
    <w:rsid w:val="00AC42AF"/>
    <w:rsid w:val="00AC42DE"/>
    <w:rsid w:val="00AC50AC"/>
    <w:rsid w:val="00AD03B4"/>
    <w:rsid w:val="00AD0FB6"/>
    <w:rsid w:val="00AD3CD8"/>
    <w:rsid w:val="00AD4864"/>
    <w:rsid w:val="00AE4384"/>
    <w:rsid w:val="00AE52CB"/>
    <w:rsid w:val="00AE5785"/>
    <w:rsid w:val="00AE585F"/>
    <w:rsid w:val="00AF1BFC"/>
    <w:rsid w:val="00AF5DD2"/>
    <w:rsid w:val="00B005C6"/>
    <w:rsid w:val="00B010B7"/>
    <w:rsid w:val="00B015DC"/>
    <w:rsid w:val="00B024D5"/>
    <w:rsid w:val="00B026B1"/>
    <w:rsid w:val="00B02F76"/>
    <w:rsid w:val="00B03F43"/>
    <w:rsid w:val="00B05386"/>
    <w:rsid w:val="00B060E0"/>
    <w:rsid w:val="00B12488"/>
    <w:rsid w:val="00B13F67"/>
    <w:rsid w:val="00B14EA6"/>
    <w:rsid w:val="00B20434"/>
    <w:rsid w:val="00B22176"/>
    <w:rsid w:val="00B2535C"/>
    <w:rsid w:val="00B25A4B"/>
    <w:rsid w:val="00B32393"/>
    <w:rsid w:val="00B3558A"/>
    <w:rsid w:val="00B36C25"/>
    <w:rsid w:val="00B41F48"/>
    <w:rsid w:val="00B42614"/>
    <w:rsid w:val="00B45CA5"/>
    <w:rsid w:val="00B5041B"/>
    <w:rsid w:val="00B512DD"/>
    <w:rsid w:val="00B51C62"/>
    <w:rsid w:val="00B531CE"/>
    <w:rsid w:val="00B53585"/>
    <w:rsid w:val="00B53664"/>
    <w:rsid w:val="00B548EE"/>
    <w:rsid w:val="00B56722"/>
    <w:rsid w:val="00B5723C"/>
    <w:rsid w:val="00B60F2C"/>
    <w:rsid w:val="00B61168"/>
    <w:rsid w:val="00B65F5A"/>
    <w:rsid w:val="00B66C22"/>
    <w:rsid w:val="00B71D3E"/>
    <w:rsid w:val="00B7263B"/>
    <w:rsid w:val="00B743C4"/>
    <w:rsid w:val="00B7619B"/>
    <w:rsid w:val="00B76241"/>
    <w:rsid w:val="00B7742A"/>
    <w:rsid w:val="00B804C8"/>
    <w:rsid w:val="00B81C44"/>
    <w:rsid w:val="00B82944"/>
    <w:rsid w:val="00B85E9E"/>
    <w:rsid w:val="00B9025E"/>
    <w:rsid w:val="00B90C2A"/>
    <w:rsid w:val="00B9324E"/>
    <w:rsid w:val="00B9574B"/>
    <w:rsid w:val="00B97340"/>
    <w:rsid w:val="00B97C5E"/>
    <w:rsid w:val="00BA58B4"/>
    <w:rsid w:val="00BA6928"/>
    <w:rsid w:val="00BA6C76"/>
    <w:rsid w:val="00BA7B74"/>
    <w:rsid w:val="00BB0B6E"/>
    <w:rsid w:val="00BB2AB8"/>
    <w:rsid w:val="00BB3360"/>
    <w:rsid w:val="00BB6A06"/>
    <w:rsid w:val="00BC2842"/>
    <w:rsid w:val="00BC3BBB"/>
    <w:rsid w:val="00BC3E7A"/>
    <w:rsid w:val="00BC6FDA"/>
    <w:rsid w:val="00BC7216"/>
    <w:rsid w:val="00BD132E"/>
    <w:rsid w:val="00BD2906"/>
    <w:rsid w:val="00BD39DF"/>
    <w:rsid w:val="00BD4186"/>
    <w:rsid w:val="00BD455E"/>
    <w:rsid w:val="00BD62A9"/>
    <w:rsid w:val="00BD78CF"/>
    <w:rsid w:val="00BE0487"/>
    <w:rsid w:val="00BE3831"/>
    <w:rsid w:val="00BE73DE"/>
    <w:rsid w:val="00BF141E"/>
    <w:rsid w:val="00BF14C7"/>
    <w:rsid w:val="00BF1F00"/>
    <w:rsid w:val="00BF5370"/>
    <w:rsid w:val="00BF5E41"/>
    <w:rsid w:val="00BF663E"/>
    <w:rsid w:val="00BF7C35"/>
    <w:rsid w:val="00C01266"/>
    <w:rsid w:val="00C01F15"/>
    <w:rsid w:val="00C05CA9"/>
    <w:rsid w:val="00C0750A"/>
    <w:rsid w:val="00C07A03"/>
    <w:rsid w:val="00C1002A"/>
    <w:rsid w:val="00C10E47"/>
    <w:rsid w:val="00C121B2"/>
    <w:rsid w:val="00C15123"/>
    <w:rsid w:val="00C16EBF"/>
    <w:rsid w:val="00C1739E"/>
    <w:rsid w:val="00C17537"/>
    <w:rsid w:val="00C21F99"/>
    <w:rsid w:val="00C23D78"/>
    <w:rsid w:val="00C24419"/>
    <w:rsid w:val="00C25040"/>
    <w:rsid w:val="00C30D2C"/>
    <w:rsid w:val="00C32A22"/>
    <w:rsid w:val="00C32E1B"/>
    <w:rsid w:val="00C3494A"/>
    <w:rsid w:val="00C35221"/>
    <w:rsid w:val="00C353CF"/>
    <w:rsid w:val="00C37673"/>
    <w:rsid w:val="00C37DA4"/>
    <w:rsid w:val="00C43B7F"/>
    <w:rsid w:val="00C45FA2"/>
    <w:rsid w:val="00C475D4"/>
    <w:rsid w:val="00C529E2"/>
    <w:rsid w:val="00C55E6F"/>
    <w:rsid w:val="00C60153"/>
    <w:rsid w:val="00C60FDD"/>
    <w:rsid w:val="00C61732"/>
    <w:rsid w:val="00C61FB5"/>
    <w:rsid w:val="00C63159"/>
    <w:rsid w:val="00C6481A"/>
    <w:rsid w:val="00C6544E"/>
    <w:rsid w:val="00C72AE1"/>
    <w:rsid w:val="00C7362E"/>
    <w:rsid w:val="00C73884"/>
    <w:rsid w:val="00C76E73"/>
    <w:rsid w:val="00C77462"/>
    <w:rsid w:val="00C77EA6"/>
    <w:rsid w:val="00C77ED6"/>
    <w:rsid w:val="00C80302"/>
    <w:rsid w:val="00C80D3B"/>
    <w:rsid w:val="00C8144A"/>
    <w:rsid w:val="00C81E29"/>
    <w:rsid w:val="00C835AE"/>
    <w:rsid w:val="00C83B85"/>
    <w:rsid w:val="00C846A3"/>
    <w:rsid w:val="00C84BC3"/>
    <w:rsid w:val="00C85EE9"/>
    <w:rsid w:val="00C92088"/>
    <w:rsid w:val="00C92909"/>
    <w:rsid w:val="00C95320"/>
    <w:rsid w:val="00C97C4F"/>
    <w:rsid w:val="00CA2B7F"/>
    <w:rsid w:val="00CA568B"/>
    <w:rsid w:val="00CA6018"/>
    <w:rsid w:val="00CA69E1"/>
    <w:rsid w:val="00CB1C1B"/>
    <w:rsid w:val="00CB2563"/>
    <w:rsid w:val="00CB6BF8"/>
    <w:rsid w:val="00CC18C5"/>
    <w:rsid w:val="00CC487D"/>
    <w:rsid w:val="00CC4C69"/>
    <w:rsid w:val="00CC5426"/>
    <w:rsid w:val="00CC5C98"/>
    <w:rsid w:val="00CC5E9B"/>
    <w:rsid w:val="00CC612C"/>
    <w:rsid w:val="00CC7018"/>
    <w:rsid w:val="00CE00C5"/>
    <w:rsid w:val="00CE273B"/>
    <w:rsid w:val="00CE5AF1"/>
    <w:rsid w:val="00CE63F4"/>
    <w:rsid w:val="00CE68E1"/>
    <w:rsid w:val="00CE75D6"/>
    <w:rsid w:val="00CF1000"/>
    <w:rsid w:val="00CF3B6D"/>
    <w:rsid w:val="00CF4822"/>
    <w:rsid w:val="00CF4F00"/>
    <w:rsid w:val="00D00139"/>
    <w:rsid w:val="00D03338"/>
    <w:rsid w:val="00D038BB"/>
    <w:rsid w:val="00D05595"/>
    <w:rsid w:val="00D10601"/>
    <w:rsid w:val="00D124E1"/>
    <w:rsid w:val="00D140C9"/>
    <w:rsid w:val="00D1453D"/>
    <w:rsid w:val="00D14750"/>
    <w:rsid w:val="00D2209C"/>
    <w:rsid w:val="00D22259"/>
    <w:rsid w:val="00D222EC"/>
    <w:rsid w:val="00D27974"/>
    <w:rsid w:val="00D30218"/>
    <w:rsid w:val="00D3351A"/>
    <w:rsid w:val="00D356BD"/>
    <w:rsid w:val="00D3705B"/>
    <w:rsid w:val="00D377BF"/>
    <w:rsid w:val="00D41E26"/>
    <w:rsid w:val="00D50A7A"/>
    <w:rsid w:val="00D532A9"/>
    <w:rsid w:val="00D55ACD"/>
    <w:rsid w:val="00D56124"/>
    <w:rsid w:val="00D563B9"/>
    <w:rsid w:val="00D60650"/>
    <w:rsid w:val="00D61281"/>
    <w:rsid w:val="00D65239"/>
    <w:rsid w:val="00D7273E"/>
    <w:rsid w:val="00D728DD"/>
    <w:rsid w:val="00D74042"/>
    <w:rsid w:val="00D75600"/>
    <w:rsid w:val="00D756BB"/>
    <w:rsid w:val="00D75D6A"/>
    <w:rsid w:val="00D77CD0"/>
    <w:rsid w:val="00D77EA5"/>
    <w:rsid w:val="00D82177"/>
    <w:rsid w:val="00D83638"/>
    <w:rsid w:val="00D845D8"/>
    <w:rsid w:val="00D84CC8"/>
    <w:rsid w:val="00D863B9"/>
    <w:rsid w:val="00D8725F"/>
    <w:rsid w:val="00D91619"/>
    <w:rsid w:val="00D931D7"/>
    <w:rsid w:val="00D93DA7"/>
    <w:rsid w:val="00D9492C"/>
    <w:rsid w:val="00D950D7"/>
    <w:rsid w:val="00D95BE5"/>
    <w:rsid w:val="00D97023"/>
    <w:rsid w:val="00DA07D7"/>
    <w:rsid w:val="00DA0D8D"/>
    <w:rsid w:val="00DA176E"/>
    <w:rsid w:val="00DA1DE8"/>
    <w:rsid w:val="00DA2487"/>
    <w:rsid w:val="00DA7225"/>
    <w:rsid w:val="00DA7A67"/>
    <w:rsid w:val="00DB09A3"/>
    <w:rsid w:val="00DB1CE0"/>
    <w:rsid w:val="00DB6CD3"/>
    <w:rsid w:val="00DC15B6"/>
    <w:rsid w:val="00DC3BE4"/>
    <w:rsid w:val="00DC3FF1"/>
    <w:rsid w:val="00DC6C02"/>
    <w:rsid w:val="00DC6D36"/>
    <w:rsid w:val="00DD13CC"/>
    <w:rsid w:val="00DD151F"/>
    <w:rsid w:val="00DD2ACC"/>
    <w:rsid w:val="00DD6450"/>
    <w:rsid w:val="00DE0450"/>
    <w:rsid w:val="00DE0ED1"/>
    <w:rsid w:val="00DE339B"/>
    <w:rsid w:val="00DE575A"/>
    <w:rsid w:val="00DF21BF"/>
    <w:rsid w:val="00E00DC0"/>
    <w:rsid w:val="00E01FAC"/>
    <w:rsid w:val="00E03102"/>
    <w:rsid w:val="00E04D66"/>
    <w:rsid w:val="00E04E5C"/>
    <w:rsid w:val="00E05A15"/>
    <w:rsid w:val="00E10806"/>
    <w:rsid w:val="00E10C12"/>
    <w:rsid w:val="00E1113E"/>
    <w:rsid w:val="00E1396D"/>
    <w:rsid w:val="00E13B7A"/>
    <w:rsid w:val="00E13F78"/>
    <w:rsid w:val="00E1564B"/>
    <w:rsid w:val="00E16AC1"/>
    <w:rsid w:val="00E2266D"/>
    <w:rsid w:val="00E2355C"/>
    <w:rsid w:val="00E243C7"/>
    <w:rsid w:val="00E24694"/>
    <w:rsid w:val="00E24ED9"/>
    <w:rsid w:val="00E3237F"/>
    <w:rsid w:val="00E323A2"/>
    <w:rsid w:val="00E32942"/>
    <w:rsid w:val="00E33127"/>
    <w:rsid w:val="00E352B9"/>
    <w:rsid w:val="00E36C7F"/>
    <w:rsid w:val="00E405A6"/>
    <w:rsid w:val="00E41036"/>
    <w:rsid w:val="00E43422"/>
    <w:rsid w:val="00E451FF"/>
    <w:rsid w:val="00E47A1C"/>
    <w:rsid w:val="00E47A2C"/>
    <w:rsid w:val="00E513A1"/>
    <w:rsid w:val="00E5273F"/>
    <w:rsid w:val="00E52AAF"/>
    <w:rsid w:val="00E54743"/>
    <w:rsid w:val="00E54B25"/>
    <w:rsid w:val="00E55CF4"/>
    <w:rsid w:val="00E56795"/>
    <w:rsid w:val="00E57697"/>
    <w:rsid w:val="00E63713"/>
    <w:rsid w:val="00E66A88"/>
    <w:rsid w:val="00E673AA"/>
    <w:rsid w:val="00E7403C"/>
    <w:rsid w:val="00E74AE9"/>
    <w:rsid w:val="00E7533A"/>
    <w:rsid w:val="00E81180"/>
    <w:rsid w:val="00E828D6"/>
    <w:rsid w:val="00E82B8C"/>
    <w:rsid w:val="00E82E47"/>
    <w:rsid w:val="00E846C4"/>
    <w:rsid w:val="00E86A9C"/>
    <w:rsid w:val="00E90A5F"/>
    <w:rsid w:val="00E928C2"/>
    <w:rsid w:val="00E92B11"/>
    <w:rsid w:val="00E93E05"/>
    <w:rsid w:val="00E949CC"/>
    <w:rsid w:val="00E95412"/>
    <w:rsid w:val="00E9550B"/>
    <w:rsid w:val="00E97D5B"/>
    <w:rsid w:val="00EA196D"/>
    <w:rsid w:val="00EA3854"/>
    <w:rsid w:val="00EB3BCA"/>
    <w:rsid w:val="00EB5BF7"/>
    <w:rsid w:val="00EC048C"/>
    <w:rsid w:val="00EC18AD"/>
    <w:rsid w:val="00EC4090"/>
    <w:rsid w:val="00EC4DCF"/>
    <w:rsid w:val="00EC5E7B"/>
    <w:rsid w:val="00ED183C"/>
    <w:rsid w:val="00ED2EE1"/>
    <w:rsid w:val="00ED3EC0"/>
    <w:rsid w:val="00ED3FD8"/>
    <w:rsid w:val="00ED4183"/>
    <w:rsid w:val="00ED4842"/>
    <w:rsid w:val="00ED7630"/>
    <w:rsid w:val="00EE3A5C"/>
    <w:rsid w:val="00EE4574"/>
    <w:rsid w:val="00EE475B"/>
    <w:rsid w:val="00EE55EE"/>
    <w:rsid w:val="00EF17C9"/>
    <w:rsid w:val="00EF1DD7"/>
    <w:rsid w:val="00EF3911"/>
    <w:rsid w:val="00EF674A"/>
    <w:rsid w:val="00EF7590"/>
    <w:rsid w:val="00EF77B0"/>
    <w:rsid w:val="00F007CF"/>
    <w:rsid w:val="00F022CD"/>
    <w:rsid w:val="00F03A59"/>
    <w:rsid w:val="00F11323"/>
    <w:rsid w:val="00F128C4"/>
    <w:rsid w:val="00F15347"/>
    <w:rsid w:val="00F172DC"/>
    <w:rsid w:val="00F23583"/>
    <w:rsid w:val="00F23A97"/>
    <w:rsid w:val="00F27D89"/>
    <w:rsid w:val="00F27FB8"/>
    <w:rsid w:val="00F304F1"/>
    <w:rsid w:val="00F30593"/>
    <w:rsid w:val="00F323EC"/>
    <w:rsid w:val="00F34DAA"/>
    <w:rsid w:val="00F35236"/>
    <w:rsid w:val="00F358CC"/>
    <w:rsid w:val="00F35FB5"/>
    <w:rsid w:val="00F364DF"/>
    <w:rsid w:val="00F40429"/>
    <w:rsid w:val="00F4370B"/>
    <w:rsid w:val="00F4389E"/>
    <w:rsid w:val="00F43B66"/>
    <w:rsid w:val="00F46310"/>
    <w:rsid w:val="00F52AEA"/>
    <w:rsid w:val="00F533E4"/>
    <w:rsid w:val="00F55953"/>
    <w:rsid w:val="00F55CED"/>
    <w:rsid w:val="00F60880"/>
    <w:rsid w:val="00F60D64"/>
    <w:rsid w:val="00F64045"/>
    <w:rsid w:val="00F71665"/>
    <w:rsid w:val="00F7287D"/>
    <w:rsid w:val="00F75F1B"/>
    <w:rsid w:val="00F77900"/>
    <w:rsid w:val="00F77B6C"/>
    <w:rsid w:val="00F77E1B"/>
    <w:rsid w:val="00F80248"/>
    <w:rsid w:val="00F8080F"/>
    <w:rsid w:val="00F823FC"/>
    <w:rsid w:val="00F82494"/>
    <w:rsid w:val="00F824C7"/>
    <w:rsid w:val="00F847C2"/>
    <w:rsid w:val="00F85403"/>
    <w:rsid w:val="00F90BD8"/>
    <w:rsid w:val="00F90CE6"/>
    <w:rsid w:val="00F9132F"/>
    <w:rsid w:val="00F91408"/>
    <w:rsid w:val="00F92F26"/>
    <w:rsid w:val="00F93B6F"/>
    <w:rsid w:val="00F942F4"/>
    <w:rsid w:val="00F9516C"/>
    <w:rsid w:val="00F957D7"/>
    <w:rsid w:val="00F96CBE"/>
    <w:rsid w:val="00F97FA3"/>
    <w:rsid w:val="00FA0571"/>
    <w:rsid w:val="00FA232B"/>
    <w:rsid w:val="00FA29B5"/>
    <w:rsid w:val="00FA2D1C"/>
    <w:rsid w:val="00FA2E8A"/>
    <w:rsid w:val="00FA331B"/>
    <w:rsid w:val="00FA6818"/>
    <w:rsid w:val="00FB08EB"/>
    <w:rsid w:val="00FB1589"/>
    <w:rsid w:val="00FB5F2E"/>
    <w:rsid w:val="00FB796F"/>
    <w:rsid w:val="00FC2544"/>
    <w:rsid w:val="00FC2FFA"/>
    <w:rsid w:val="00FC4928"/>
    <w:rsid w:val="00FC536C"/>
    <w:rsid w:val="00FC6696"/>
    <w:rsid w:val="00FC6DEA"/>
    <w:rsid w:val="00FD2802"/>
    <w:rsid w:val="00FD2D05"/>
    <w:rsid w:val="00FD4A28"/>
    <w:rsid w:val="00FD4D8A"/>
    <w:rsid w:val="00FD7BAF"/>
    <w:rsid w:val="00FE70F1"/>
    <w:rsid w:val="00FE736A"/>
    <w:rsid w:val="00FE73B2"/>
    <w:rsid w:val="00FF0683"/>
    <w:rsid w:val="00FF2C1F"/>
    <w:rsid w:val="00FF35F9"/>
    <w:rsid w:val="00FF3EFF"/>
    <w:rsid w:val="00FF4258"/>
    <w:rsid w:val="00FF5D37"/>
    <w:rsid w:val="00FF7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E878982"/>
  <w15:docId w15:val="{B7675872-0790-4F21-B7A6-2914D9C56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87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930C5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Balk2">
    <w:name w:val="heading 2"/>
    <w:basedOn w:val="Normal"/>
    <w:link w:val="Balk2Char"/>
    <w:qFormat/>
    <w:rsid w:val="00930C51"/>
    <w:pPr>
      <w:widowControl w:val="0"/>
      <w:ind w:left="1154" w:right="57"/>
      <w:outlineLvl w:val="1"/>
    </w:pPr>
    <w:rPr>
      <w:b/>
      <w:bCs/>
      <w:lang w:val="en-US" w:eastAsia="en-US"/>
    </w:rPr>
  </w:style>
  <w:style w:type="paragraph" w:styleId="Balk3">
    <w:name w:val="heading 3"/>
    <w:basedOn w:val="Normal"/>
    <w:link w:val="Balk3Char"/>
    <w:qFormat/>
    <w:rsid w:val="00C60153"/>
    <w:pPr>
      <w:spacing w:before="100" w:beforeAutospacing="1" w:after="100" w:afterAutospacing="1"/>
      <w:outlineLvl w:val="2"/>
    </w:pPr>
    <w:rPr>
      <w:b/>
      <w:bCs/>
      <w:sz w:val="27"/>
      <w:szCs w:val="27"/>
    </w:rPr>
  </w:style>
  <w:style w:type="paragraph" w:styleId="Balk4">
    <w:name w:val="heading 4"/>
    <w:basedOn w:val="Normal"/>
    <w:next w:val="Normal"/>
    <w:link w:val="Balk4Char"/>
    <w:rsid w:val="00C60153"/>
    <w:pPr>
      <w:keepNext/>
      <w:keepLines/>
      <w:pBdr>
        <w:top w:val="nil"/>
        <w:left w:val="nil"/>
        <w:bottom w:val="nil"/>
        <w:right w:val="nil"/>
        <w:between w:val="nil"/>
      </w:pBdr>
      <w:spacing w:before="240" w:after="40" w:line="276" w:lineRule="auto"/>
      <w:outlineLvl w:val="3"/>
    </w:pPr>
    <w:rPr>
      <w:rFonts w:ascii="Calibri" w:eastAsia="Calibri" w:hAnsi="Calibri" w:cs="Calibri"/>
      <w:b/>
      <w:color w:val="000000"/>
    </w:rPr>
  </w:style>
  <w:style w:type="paragraph" w:styleId="Balk5">
    <w:name w:val="heading 5"/>
    <w:basedOn w:val="Normal"/>
    <w:next w:val="Normal"/>
    <w:link w:val="Balk5Char"/>
    <w:unhideWhenUsed/>
    <w:qFormat/>
    <w:rsid w:val="00CC487D"/>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rsid w:val="00C60153"/>
    <w:pPr>
      <w:keepNext/>
      <w:keepLines/>
      <w:pBdr>
        <w:top w:val="nil"/>
        <w:left w:val="nil"/>
        <w:bottom w:val="nil"/>
        <w:right w:val="nil"/>
        <w:between w:val="nil"/>
      </w:pBdr>
      <w:spacing w:before="200" w:after="40" w:line="276" w:lineRule="auto"/>
      <w:outlineLvl w:val="5"/>
    </w:pPr>
    <w:rPr>
      <w:rFonts w:ascii="Calibri" w:eastAsia="Calibri" w:hAnsi="Calibri" w:cs="Calibri"/>
      <w:b/>
      <w:color w:val="00000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836346"/>
    <w:pPr>
      <w:spacing w:line="360" w:lineRule="auto"/>
      <w:ind w:left="720" w:firstLine="567"/>
      <w:contextualSpacing/>
      <w:jc w:val="both"/>
    </w:pPr>
  </w:style>
  <w:style w:type="paragraph" w:styleId="GvdeMetni">
    <w:name w:val="Body Text"/>
    <w:basedOn w:val="Normal"/>
    <w:link w:val="GvdeMetniChar"/>
    <w:qFormat/>
    <w:rsid w:val="001314D4"/>
    <w:pPr>
      <w:jc w:val="center"/>
    </w:pPr>
    <w:rPr>
      <w:sz w:val="32"/>
      <w:szCs w:val="20"/>
    </w:rPr>
  </w:style>
  <w:style w:type="character" w:customStyle="1" w:styleId="GvdeMetniChar">
    <w:name w:val="Gövde Metni Char"/>
    <w:basedOn w:val="VarsaylanParagrafYazTipi"/>
    <w:link w:val="GvdeMetni"/>
    <w:uiPriority w:val="1"/>
    <w:rsid w:val="001314D4"/>
    <w:rPr>
      <w:rFonts w:ascii="Times New Roman" w:eastAsia="Times New Roman" w:hAnsi="Times New Roman" w:cs="Times New Roman"/>
      <w:sz w:val="32"/>
      <w:szCs w:val="20"/>
      <w:lang w:eastAsia="tr-TR"/>
    </w:rPr>
  </w:style>
  <w:style w:type="character" w:customStyle="1" w:styleId="Balk5Char">
    <w:name w:val="Başlık 5 Char"/>
    <w:basedOn w:val="VarsaylanParagrafYazTipi"/>
    <w:link w:val="Balk5"/>
    <w:rsid w:val="00CC487D"/>
    <w:rPr>
      <w:rFonts w:asciiTheme="majorHAnsi" w:eastAsiaTheme="majorEastAsia" w:hAnsiTheme="majorHAnsi" w:cstheme="majorBidi"/>
      <w:color w:val="243F60" w:themeColor="accent1" w:themeShade="7F"/>
    </w:rPr>
  </w:style>
  <w:style w:type="character" w:styleId="SayfaNumaras">
    <w:name w:val="page number"/>
    <w:basedOn w:val="VarsaylanParagrafYazTipi"/>
    <w:rsid w:val="00CC487D"/>
  </w:style>
  <w:style w:type="paragraph" w:styleId="AltBilgi">
    <w:name w:val="footer"/>
    <w:basedOn w:val="Normal"/>
    <w:link w:val="AltBilgiChar"/>
    <w:uiPriority w:val="99"/>
    <w:rsid w:val="00CC487D"/>
    <w:pPr>
      <w:tabs>
        <w:tab w:val="center" w:pos="4536"/>
        <w:tab w:val="right" w:pos="9072"/>
      </w:tabs>
    </w:pPr>
  </w:style>
  <w:style w:type="character" w:customStyle="1" w:styleId="AltBilgiChar">
    <w:name w:val="Alt Bilgi Char"/>
    <w:basedOn w:val="VarsaylanParagrafYazTipi"/>
    <w:link w:val="AltBilgi"/>
    <w:uiPriority w:val="99"/>
    <w:rsid w:val="00CC487D"/>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9"/>
    <w:rsid w:val="00930C51"/>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1"/>
    <w:rsid w:val="00930C51"/>
    <w:rPr>
      <w:rFonts w:ascii="Times New Roman" w:eastAsia="Times New Roman" w:hAnsi="Times New Roman" w:cs="Times New Roman"/>
      <w:b/>
      <w:bCs/>
      <w:sz w:val="24"/>
      <w:szCs w:val="24"/>
      <w:lang w:val="en-US"/>
    </w:rPr>
  </w:style>
  <w:style w:type="paragraph" w:styleId="stBilgi">
    <w:name w:val="header"/>
    <w:basedOn w:val="Normal"/>
    <w:link w:val="stBilgiChar"/>
    <w:uiPriority w:val="99"/>
    <w:unhideWhenUsed/>
    <w:rsid w:val="00930C51"/>
    <w:pPr>
      <w:tabs>
        <w:tab w:val="center" w:pos="4536"/>
        <w:tab w:val="right" w:pos="9072"/>
      </w:tabs>
    </w:pPr>
  </w:style>
  <w:style w:type="character" w:customStyle="1" w:styleId="stBilgiChar">
    <w:name w:val="Üst Bilgi Char"/>
    <w:basedOn w:val="VarsaylanParagrafYazTipi"/>
    <w:link w:val="stBilgi"/>
    <w:uiPriority w:val="99"/>
    <w:rsid w:val="00930C51"/>
    <w:rPr>
      <w:rFonts w:ascii="Times New Roman" w:eastAsia="Times New Roman" w:hAnsi="Times New Roman" w:cs="Times New Roman"/>
      <w:sz w:val="24"/>
      <w:szCs w:val="24"/>
      <w:lang w:eastAsia="tr-TR"/>
    </w:rPr>
  </w:style>
  <w:style w:type="paragraph" w:customStyle="1" w:styleId="Default">
    <w:name w:val="Default"/>
    <w:rsid w:val="00930C51"/>
    <w:pPr>
      <w:autoSpaceDE w:val="0"/>
      <w:autoSpaceDN w:val="0"/>
      <w:adjustRightInd w:val="0"/>
      <w:spacing w:after="0" w:line="240" w:lineRule="auto"/>
    </w:pPr>
    <w:rPr>
      <w:rFonts w:ascii="Times New Roman" w:hAnsi="Times New Roman" w:cs="Times New Roman"/>
      <w:color w:val="000000"/>
      <w:sz w:val="24"/>
      <w:szCs w:val="24"/>
    </w:rPr>
  </w:style>
  <w:style w:type="character" w:styleId="Gl">
    <w:name w:val="Strong"/>
    <w:uiPriority w:val="22"/>
    <w:qFormat/>
    <w:rsid w:val="00930C51"/>
    <w:rPr>
      <w:b/>
    </w:rPr>
  </w:style>
  <w:style w:type="character" w:styleId="AklamaBavurusu">
    <w:name w:val="annotation reference"/>
    <w:basedOn w:val="VarsaylanParagrafYazTipi"/>
    <w:uiPriority w:val="99"/>
    <w:semiHidden/>
    <w:unhideWhenUsed/>
    <w:rsid w:val="00930C51"/>
    <w:rPr>
      <w:sz w:val="16"/>
      <w:szCs w:val="16"/>
    </w:rPr>
  </w:style>
  <w:style w:type="paragraph" w:styleId="AklamaMetni">
    <w:name w:val="annotation text"/>
    <w:basedOn w:val="Normal"/>
    <w:link w:val="AklamaMetniChar"/>
    <w:uiPriority w:val="99"/>
    <w:unhideWhenUsed/>
    <w:rsid w:val="00930C51"/>
    <w:pPr>
      <w:spacing w:after="200"/>
      <w:ind w:firstLine="567"/>
      <w:jc w:val="both"/>
    </w:pPr>
    <w:rPr>
      <w:rFonts w:asciiTheme="minorHAnsi" w:eastAsiaTheme="minorHAnsi" w:hAnsiTheme="minorHAnsi" w:cstheme="minorBidi"/>
      <w:sz w:val="20"/>
      <w:szCs w:val="20"/>
      <w:lang w:eastAsia="en-US"/>
    </w:rPr>
  </w:style>
  <w:style w:type="character" w:customStyle="1" w:styleId="AklamaMetniChar">
    <w:name w:val="Açıklama Metni Char"/>
    <w:basedOn w:val="VarsaylanParagrafYazTipi"/>
    <w:link w:val="AklamaMetni"/>
    <w:uiPriority w:val="99"/>
    <w:rsid w:val="00930C51"/>
    <w:rPr>
      <w:sz w:val="20"/>
      <w:szCs w:val="20"/>
    </w:rPr>
  </w:style>
  <w:style w:type="paragraph" w:styleId="AklamaKonusu">
    <w:name w:val="annotation subject"/>
    <w:basedOn w:val="AklamaMetni"/>
    <w:next w:val="AklamaMetni"/>
    <w:link w:val="AklamaKonusuChar"/>
    <w:uiPriority w:val="99"/>
    <w:semiHidden/>
    <w:unhideWhenUsed/>
    <w:rsid w:val="00930C51"/>
    <w:rPr>
      <w:b/>
      <w:bCs/>
    </w:rPr>
  </w:style>
  <w:style w:type="character" w:customStyle="1" w:styleId="AklamaKonusuChar">
    <w:name w:val="Açıklama Konusu Char"/>
    <w:basedOn w:val="AklamaMetniChar"/>
    <w:link w:val="AklamaKonusu"/>
    <w:uiPriority w:val="99"/>
    <w:semiHidden/>
    <w:rsid w:val="00930C51"/>
    <w:rPr>
      <w:b/>
      <w:bCs/>
      <w:sz w:val="20"/>
      <w:szCs w:val="20"/>
    </w:rPr>
  </w:style>
  <w:style w:type="paragraph" w:styleId="BalonMetni">
    <w:name w:val="Balloon Text"/>
    <w:basedOn w:val="Normal"/>
    <w:link w:val="BalonMetniChar"/>
    <w:uiPriority w:val="99"/>
    <w:semiHidden/>
    <w:unhideWhenUsed/>
    <w:rsid w:val="00930C51"/>
    <w:pPr>
      <w:ind w:firstLine="567"/>
      <w:jc w:val="both"/>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930C51"/>
    <w:rPr>
      <w:rFonts w:ascii="Tahoma" w:hAnsi="Tahoma" w:cs="Tahoma"/>
      <w:sz w:val="16"/>
      <w:szCs w:val="16"/>
    </w:rPr>
  </w:style>
  <w:style w:type="character" w:customStyle="1" w:styleId="apple-converted-space">
    <w:name w:val="apple-converted-space"/>
    <w:basedOn w:val="VarsaylanParagrafYazTipi"/>
    <w:rsid w:val="00930C51"/>
  </w:style>
  <w:style w:type="paragraph" w:customStyle="1" w:styleId="0NormalStil">
    <w:name w:val="0. Normal Stil"/>
    <w:basedOn w:val="Normal"/>
    <w:link w:val="0NormalStilChar"/>
    <w:qFormat/>
    <w:rsid w:val="00930C51"/>
    <w:pPr>
      <w:spacing w:after="200" w:line="360" w:lineRule="auto"/>
      <w:ind w:firstLine="567"/>
      <w:jc w:val="both"/>
    </w:pPr>
    <w:rPr>
      <w:rFonts w:cs="Arial Unicode MS"/>
      <w:bCs/>
      <w:lang w:bidi="km-KH"/>
    </w:rPr>
  </w:style>
  <w:style w:type="character" w:customStyle="1" w:styleId="0NormalStilChar">
    <w:name w:val="0. Normal Stil Char"/>
    <w:link w:val="0NormalStil"/>
    <w:rsid w:val="00930C51"/>
    <w:rPr>
      <w:rFonts w:ascii="Times New Roman" w:eastAsia="Times New Roman" w:hAnsi="Times New Roman" w:cs="Arial Unicode MS"/>
      <w:bCs/>
      <w:sz w:val="24"/>
      <w:szCs w:val="24"/>
      <w:lang w:eastAsia="tr-TR" w:bidi="km-KH"/>
    </w:rPr>
  </w:style>
  <w:style w:type="paragraph" w:customStyle="1" w:styleId="TableParagraph">
    <w:name w:val="Table Paragraph"/>
    <w:basedOn w:val="Normal"/>
    <w:uiPriority w:val="1"/>
    <w:qFormat/>
    <w:rsid w:val="00930C51"/>
    <w:pPr>
      <w:widowControl w:val="0"/>
      <w:jc w:val="center"/>
    </w:pPr>
    <w:rPr>
      <w:sz w:val="22"/>
      <w:szCs w:val="22"/>
      <w:lang w:val="en-US"/>
    </w:rPr>
  </w:style>
  <w:style w:type="character" w:styleId="Kpr">
    <w:name w:val="Hyperlink"/>
    <w:basedOn w:val="VarsaylanParagrafYazTipi"/>
    <w:uiPriority w:val="99"/>
    <w:unhideWhenUsed/>
    <w:rsid w:val="00930C51"/>
    <w:rPr>
      <w:color w:val="0000FF" w:themeColor="hyperlink"/>
      <w:u w:val="single"/>
    </w:rPr>
  </w:style>
  <w:style w:type="paragraph" w:customStyle="1" w:styleId="epblock">
    <w:name w:val="ep_block"/>
    <w:basedOn w:val="Normal"/>
    <w:rsid w:val="00930C51"/>
    <w:pPr>
      <w:spacing w:before="100" w:beforeAutospacing="1" w:after="100" w:afterAutospacing="1"/>
    </w:pPr>
  </w:style>
  <w:style w:type="character" w:customStyle="1" w:styleId="mixed-citation">
    <w:name w:val="mixed-citation"/>
    <w:basedOn w:val="VarsaylanParagrafYazTipi"/>
    <w:rsid w:val="00930C51"/>
  </w:style>
  <w:style w:type="character" w:customStyle="1" w:styleId="jrnl">
    <w:name w:val="jrnl"/>
    <w:basedOn w:val="VarsaylanParagrafYazTipi"/>
    <w:rsid w:val="00930C51"/>
  </w:style>
  <w:style w:type="character" w:customStyle="1" w:styleId="highlight">
    <w:name w:val="highlight"/>
    <w:basedOn w:val="VarsaylanParagrafYazTipi"/>
    <w:rsid w:val="00930C51"/>
  </w:style>
  <w:style w:type="paragraph" w:customStyle="1" w:styleId="desc">
    <w:name w:val="desc"/>
    <w:basedOn w:val="Normal"/>
    <w:rsid w:val="00930C51"/>
    <w:pPr>
      <w:spacing w:before="100" w:beforeAutospacing="1" w:after="100" w:afterAutospacing="1"/>
    </w:pPr>
  </w:style>
  <w:style w:type="character" w:customStyle="1" w:styleId="personname">
    <w:name w:val="person_name"/>
    <w:basedOn w:val="VarsaylanParagrafYazTipi"/>
    <w:rsid w:val="00930C51"/>
  </w:style>
  <w:style w:type="character" w:customStyle="1" w:styleId="publication-meta-journal">
    <w:name w:val="publication-meta-journal"/>
    <w:basedOn w:val="VarsaylanParagrafYazTipi"/>
    <w:rsid w:val="00930C51"/>
  </w:style>
  <w:style w:type="paragraph" w:customStyle="1" w:styleId="details">
    <w:name w:val="details"/>
    <w:basedOn w:val="Normal"/>
    <w:rsid w:val="00930C51"/>
    <w:pPr>
      <w:spacing w:before="100" w:beforeAutospacing="1" w:after="100" w:afterAutospacing="1"/>
    </w:pPr>
  </w:style>
  <w:style w:type="character" w:customStyle="1" w:styleId="ref-journal">
    <w:name w:val="ref-journal"/>
    <w:basedOn w:val="VarsaylanParagrafYazTipi"/>
    <w:rsid w:val="00930C51"/>
  </w:style>
  <w:style w:type="character" w:customStyle="1" w:styleId="ref-vol">
    <w:name w:val="ref-vol"/>
    <w:basedOn w:val="VarsaylanParagrafYazTipi"/>
    <w:rsid w:val="00930C51"/>
  </w:style>
  <w:style w:type="character" w:customStyle="1" w:styleId="ref-title">
    <w:name w:val="ref-title"/>
    <w:basedOn w:val="VarsaylanParagrafYazTipi"/>
    <w:rsid w:val="00930C51"/>
  </w:style>
  <w:style w:type="character" w:customStyle="1" w:styleId="cit">
    <w:name w:val="cit"/>
    <w:basedOn w:val="VarsaylanParagrafYazTipi"/>
    <w:rsid w:val="00930C51"/>
  </w:style>
  <w:style w:type="character" w:customStyle="1" w:styleId="slug-vol">
    <w:name w:val="slug-vol"/>
    <w:basedOn w:val="VarsaylanParagrafYazTipi"/>
    <w:rsid w:val="00930C51"/>
  </w:style>
  <w:style w:type="character" w:customStyle="1" w:styleId="slug-pages">
    <w:name w:val="slug-pages"/>
    <w:basedOn w:val="VarsaylanParagrafYazTipi"/>
    <w:rsid w:val="00930C51"/>
  </w:style>
  <w:style w:type="paragraph" w:styleId="AralkYok">
    <w:name w:val="No Spacing"/>
    <w:uiPriority w:val="1"/>
    <w:qFormat/>
    <w:rsid w:val="00930C51"/>
    <w:pPr>
      <w:spacing w:after="0" w:line="240" w:lineRule="auto"/>
    </w:pPr>
    <w:rPr>
      <w:rFonts w:ascii="Times New Roman" w:eastAsia="Times New Roman" w:hAnsi="Times New Roman" w:cs="Times New Roman"/>
      <w:sz w:val="24"/>
      <w:szCs w:val="24"/>
      <w:lang w:eastAsia="tr-TR"/>
    </w:rPr>
  </w:style>
  <w:style w:type="character" w:customStyle="1" w:styleId="fontstyle01">
    <w:name w:val="fontstyle01"/>
    <w:basedOn w:val="VarsaylanParagrafYazTipi"/>
    <w:rsid w:val="00930C51"/>
    <w:rPr>
      <w:rFonts w:ascii="Times New Roman" w:hAnsi="Times New Roman" w:cs="Times New Roman" w:hint="default"/>
      <w:b w:val="0"/>
      <w:bCs w:val="0"/>
      <w:i w:val="0"/>
      <w:iCs w:val="0"/>
      <w:color w:val="000000"/>
      <w:sz w:val="24"/>
      <w:szCs w:val="24"/>
    </w:rPr>
  </w:style>
  <w:style w:type="character" w:styleId="Vurgu">
    <w:name w:val="Emphasis"/>
    <w:basedOn w:val="VarsaylanParagrafYazTipi"/>
    <w:uiPriority w:val="20"/>
    <w:qFormat/>
    <w:rsid w:val="00672194"/>
    <w:rPr>
      <w:i/>
      <w:iCs/>
    </w:rPr>
  </w:style>
  <w:style w:type="paragraph" w:styleId="Dzeltme">
    <w:name w:val="Revision"/>
    <w:hidden/>
    <w:uiPriority w:val="99"/>
    <w:semiHidden/>
    <w:rsid w:val="00C60153"/>
    <w:pPr>
      <w:spacing w:after="0" w:line="240" w:lineRule="auto"/>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rsid w:val="00C60153"/>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rsid w:val="00C60153"/>
    <w:rPr>
      <w:rFonts w:ascii="Calibri" w:eastAsia="Calibri" w:hAnsi="Calibri" w:cs="Calibri"/>
      <w:b/>
      <w:color w:val="000000"/>
      <w:sz w:val="24"/>
      <w:szCs w:val="24"/>
      <w:lang w:eastAsia="tr-TR"/>
    </w:rPr>
  </w:style>
  <w:style w:type="character" w:customStyle="1" w:styleId="Balk6Char">
    <w:name w:val="Başlık 6 Char"/>
    <w:basedOn w:val="VarsaylanParagrafYazTipi"/>
    <w:link w:val="Balk6"/>
    <w:rsid w:val="00C60153"/>
    <w:rPr>
      <w:rFonts w:ascii="Calibri" w:eastAsia="Calibri" w:hAnsi="Calibri" w:cs="Calibri"/>
      <w:b/>
      <w:color w:val="000000"/>
      <w:sz w:val="20"/>
      <w:szCs w:val="20"/>
      <w:lang w:eastAsia="tr-TR"/>
    </w:rPr>
  </w:style>
  <w:style w:type="paragraph" w:styleId="HTMLncedenBiimlendirilmi">
    <w:name w:val="HTML Preformatted"/>
    <w:basedOn w:val="Normal"/>
    <w:link w:val="HTMLncedenBiimlendirilmiChar"/>
    <w:uiPriority w:val="99"/>
    <w:unhideWhenUsed/>
    <w:rsid w:val="00C60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C60153"/>
    <w:rPr>
      <w:rFonts w:ascii="Courier New" w:eastAsia="Times New Roman" w:hAnsi="Courier New" w:cs="Courier New"/>
      <w:sz w:val="20"/>
      <w:szCs w:val="20"/>
      <w:lang w:eastAsia="tr-TR"/>
    </w:rPr>
  </w:style>
  <w:style w:type="character" w:customStyle="1" w:styleId="element-citation">
    <w:name w:val="element-citation"/>
    <w:basedOn w:val="VarsaylanParagrafYazTipi"/>
    <w:rsid w:val="00C60153"/>
  </w:style>
  <w:style w:type="paragraph" w:styleId="NormalWeb">
    <w:name w:val="Normal (Web)"/>
    <w:basedOn w:val="Normal"/>
    <w:uiPriority w:val="99"/>
    <w:unhideWhenUsed/>
    <w:rsid w:val="00C60153"/>
    <w:pPr>
      <w:spacing w:before="100" w:beforeAutospacing="1" w:after="100" w:afterAutospacing="1"/>
    </w:pPr>
  </w:style>
  <w:style w:type="character" w:customStyle="1" w:styleId="author">
    <w:name w:val="author"/>
    <w:basedOn w:val="VarsaylanParagrafYazTipi"/>
    <w:rsid w:val="00C60153"/>
  </w:style>
  <w:style w:type="character" w:customStyle="1" w:styleId="pubyear">
    <w:name w:val="pubyear"/>
    <w:basedOn w:val="VarsaylanParagrafYazTipi"/>
    <w:rsid w:val="00C60153"/>
  </w:style>
  <w:style w:type="character" w:customStyle="1" w:styleId="articletitle">
    <w:name w:val="articletitle"/>
    <w:basedOn w:val="VarsaylanParagrafYazTipi"/>
    <w:rsid w:val="00C60153"/>
  </w:style>
  <w:style w:type="character" w:customStyle="1" w:styleId="journaltitle">
    <w:name w:val="journaltitle"/>
    <w:basedOn w:val="VarsaylanParagrafYazTipi"/>
    <w:rsid w:val="00C60153"/>
  </w:style>
  <w:style w:type="character" w:customStyle="1" w:styleId="vol">
    <w:name w:val="vol"/>
    <w:basedOn w:val="VarsaylanParagrafYazTipi"/>
    <w:rsid w:val="00C60153"/>
  </w:style>
  <w:style w:type="character" w:customStyle="1" w:styleId="pagefirst">
    <w:name w:val="pagefirst"/>
    <w:basedOn w:val="VarsaylanParagrafYazTipi"/>
    <w:rsid w:val="00C60153"/>
  </w:style>
  <w:style w:type="character" w:customStyle="1" w:styleId="pagelast">
    <w:name w:val="pagelast"/>
    <w:basedOn w:val="VarsaylanParagrafYazTipi"/>
    <w:rsid w:val="00C60153"/>
  </w:style>
  <w:style w:type="character" w:styleId="HTMLCite">
    <w:name w:val="HTML Cite"/>
    <w:basedOn w:val="VarsaylanParagrafYazTipi"/>
    <w:uiPriority w:val="99"/>
    <w:semiHidden/>
    <w:unhideWhenUsed/>
    <w:rsid w:val="00C60153"/>
    <w:rPr>
      <w:i/>
      <w:iCs/>
    </w:rPr>
  </w:style>
  <w:style w:type="character" w:customStyle="1" w:styleId="groupname">
    <w:name w:val="groupname"/>
    <w:basedOn w:val="VarsaylanParagrafYazTipi"/>
    <w:rsid w:val="00C60153"/>
  </w:style>
  <w:style w:type="character" w:customStyle="1" w:styleId="citedissue">
    <w:name w:val="citedissue"/>
    <w:basedOn w:val="VarsaylanParagrafYazTipi"/>
    <w:rsid w:val="00C60153"/>
  </w:style>
  <w:style w:type="character" w:customStyle="1" w:styleId="ref-iss">
    <w:name w:val="ref-iss"/>
    <w:basedOn w:val="VarsaylanParagrafYazTipi"/>
    <w:rsid w:val="00C60153"/>
  </w:style>
  <w:style w:type="character" w:customStyle="1" w:styleId="externalref">
    <w:name w:val="externalref"/>
    <w:basedOn w:val="VarsaylanParagrafYazTipi"/>
    <w:rsid w:val="00C60153"/>
  </w:style>
  <w:style w:type="character" w:customStyle="1" w:styleId="refsource">
    <w:name w:val="refsource"/>
    <w:basedOn w:val="VarsaylanParagrafYazTipi"/>
    <w:rsid w:val="00C60153"/>
  </w:style>
  <w:style w:type="character" w:customStyle="1" w:styleId="citation-publication-date">
    <w:name w:val="citation-publication-date"/>
    <w:basedOn w:val="VarsaylanParagrafYazTipi"/>
    <w:rsid w:val="00C60153"/>
  </w:style>
  <w:style w:type="character" w:customStyle="1" w:styleId="doi">
    <w:name w:val="doi"/>
    <w:basedOn w:val="VarsaylanParagrafYazTipi"/>
    <w:rsid w:val="00C60153"/>
  </w:style>
  <w:style w:type="paragraph" w:styleId="DipnotMetni">
    <w:name w:val="footnote text"/>
    <w:basedOn w:val="Normal"/>
    <w:link w:val="DipnotMetniChar"/>
    <w:uiPriority w:val="99"/>
    <w:semiHidden/>
    <w:unhideWhenUsed/>
    <w:rsid w:val="00C60153"/>
    <w:rPr>
      <w:rFonts w:asciiTheme="minorHAnsi" w:eastAsiaTheme="minorEastAsia" w:hAnsiTheme="minorHAnsi" w:cstheme="minorBidi"/>
      <w:sz w:val="20"/>
      <w:szCs w:val="20"/>
    </w:rPr>
  </w:style>
  <w:style w:type="character" w:customStyle="1" w:styleId="DipnotMetniChar">
    <w:name w:val="Dipnot Metni Char"/>
    <w:basedOn w:val="VarsaylanParagrafYazTipi"/>
    <w:link w:val="DipnotMetni"/>
    <w:uiPriority w:val="99"/>
    <w:semiHidden/>
    <w:rsid w:val="00C60153"/>
    <w:rPr>
      <w:rFonts w:eastAsiaTheme="minorEastAsia"/>
      <w:sz w:val="20"/>
      <w:szCs w:val="20"/>
      <w:lang w:eastAsia="tr-TR"/>
    </w:rPr>
  </w:style>
  <w:style w:type="character" w:styleId="DipnotBavurusu">
    <w:name w:val="footnote reference"/>
    <w:basedOn w:val="VarsaylanParagrafYazTipi"/>
    <w:uiPriority w:val="99"/>
    <w:semiHidden/>
    <w:unhideWhenUsed/>
    <w:rsid w:val="00C60153"/>
    <w:rPr>
      <w:vertAlign w:val="superscript"/>
    </w:rPr>
  </w:style>
  <w:style w:type="table" w:styleId="TabloKlavuzu">
    <w:name w:val="Table Grid"/>
    <w:basedOn w:val="NormalTablo"/>
    <w:uiPriority w:val="59"/>
    <w:rsid w:val="00C60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1">
    <w:name w:val="Kılavuzu Tablo 41"/>
    <w:basedOn w:val="NormalTablo"/>
    <w:uiPriority w:val="49"/>
    <w:rsid w:val="00C60153"/>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oKlavuzuAk1">
    <w:name w:val="Tablo Kılavuzu Açık1"/>
    <w:basedOn w:val="NormalTablo"/>
    <w:uiPriority w:val="40"/>
    <w:rsid w:val="00C601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C6015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1">
    <w:name w:val="Table Normal1"/>
    <w:rsid w:val="00C60153"/>
    <w:pPr>
      <w:pBdr>
        <w:top w:val="nil"/>
        <w:left w:val="nil"/>
        <w:bottom w:val="nil"/>
        <w:right w:val="nil"/>
        <w:between w:val="nil"/>
      </w:pBdr>
    </w:pPr>
    <w:rPr>
      <w:rFonts w:ascii="Calibri" w:eastAsia="Calibri" w:hAnsi="Calibri" w:cs="Calibri"/>
      <w:color w:val="000000"/>
      <w:lang w:eastAsia="tr-TR"/>
    </w:rPr>
    <w:tblPr>
      <w:tblCellMar>
        <w:top w:w="0" w:type="dxa"/>
        <w:left w:w="0" w:type="dxa"/>
        <w:bottom w:w="0" w:type="dxa"/>
        <w:right w:w="0" w:type="dxa"/>
      </w:tblCellMar>
    </w:tblPr>
  </w:style>
  <w:style w:type="paragraph" w:styleId="KonuBal">
    <w:name w:val="Title"/>
    <w:basedOn w:val="Normal"/>
    <w:next w:val="Normal"/>
    <w:link w:val="KonuBalChar"/>
    <w:rsid w:val="00C60153"/>
    <w:pPr>
      <w:keepNext/>
      <w:keepLines/>
      <w:pBdr>
        <w:top w:val="nil"/>
        <w:left w:val="nil"/>
        <w:bottom w:val="nil"/>
        <w:right w:val="nil"/>
        <w:between w:val="nil"/>
      </w:pBdr>
      <w:spacing w:before="480" w:after="120" w:line="276" w:lineRule="auto"/>
    </w:pPr>
    <w:rPr>
      <w:rFonts w:ascii="Calibri" w:eastAsia="Calibri" w:hAnsi="Calibri" w:cs="Calibri"/>
      <w:b/>
      <w:color w:val="000000"/>
      <w:sz w:val="72"/>
      <w:szCs w:val="72"/>
    </w:rPr>
  </w:style>
  <w:style w:type="character" w:customStyle="1" w:styleId="KonuBalChar">
    <w:name w:val="Konu Başlığı Char"/>
    <w:basedOn w:val="VarsaylanParagrafYazTipi"/>
    <w:link w:val="KonuBal"/>
    <w:rsid w:val="00C60153"/>
    <w:rPr>
      <w:rFonts w:ascii="Calibri" w:eastAsia="Calibri" w:hAnsi="Calibri" w:cs="Calibri"/>
      <w:b/>
      <w:color w:val="000000"/>
      <w:sz w:val="72"/>
      <w:szCs w:val="72"/>
      <w:lang w:eastAsia="tr-TR"/>
    </w:rPr>
  </w:style>
  <w:style w:type="paragraph" w:styleId="Altyaz">
    <w:name w:val="Subtitle"/>
    <w:basedOn w:val="Normal"/>
    <w:next w:val="Normal"/>
    <w:link w:val="AltyazChar"/>
    <w:rsid w:val="00C60153"/>
    <w:pPr>
      <w:keepNext/>
      <w:keepLines/>
      <w:pBdr>
        <w:top w:val="nil"/>
        <w:left w:val="nil"/>
        <w:bottom w:val="nil"/>
        <w:right w:val="nil"/>
        <w:between w:val="nil"/>
      </w:pBdr>
      <w:spacing w:before="360" w:after="80" w:line="276" w:lineRule="auto"/>
    </w:pPr>
    <w:rPr>
      <w:rFonts w:ascii="Georgia" w:eastAsia="Georgia" w:hAnsi="Georgia" w:cs="Georgia"/>
      <w:i/>
      <w:color w:val="666666"/>
      <w:sz w:val="48"/>
      <w:szCs w:val="48"/>
    </w:rPr>
  </w:style>
  <w:style w:type="character" w:customStyle="1" w:styleId="AltyazChar">
    <w:name w:val="Altyazı Char"/>
    <w:basedOn w:val="VarsaylanParagrafYazTipi"/>
    <w:link w:val="Altyaz"/>
    <w:rsid w:val="00C60153"/>
    <w:rPr>
      <w:rFonts w:ascii="Georgia" w:eastAsia="Georgia" w:hAnsi="Georgia" w:cs="Georgia"/>
      <w:i/>
      <w:color w:val="666666"/>
      <w:sz w:val="48"/>
      <w:szCs w:val="48"/>
      <w:lang w:eastAsia="tr-TR"/>
    </w:rPr>
  </w:style>
  <w:style w:type="character" w:customStyle="1" w:styleId="nowrap">
    <w:name w:val="nowrap"/>
    <w:basedOn w:val="VarsaylanParagrafYazTipi"/>
    <w:rsid w:val="00C60153"/>
  </w:style>
  <w:style w:type="character" w:customStyle="1" w:styleId="order">
    <w:name w:val="order"/>
    <w:basedOn w:val="VarsaylanParagrafYazTipi"/>
    <w:rsid w:val="00C60153"/>
  </w:style>
  <w:style w:type="character" w:styleId="zlenenKpr">
    <w:name w:val="FollowedHyperlink"/>
    <w:basedOn w:val="VarsaylanParagrafYazTipi"/>
    <w:uiPriority w:val="99"/>
    <w:semiHidden/>
    <w:unhideWhenUsed/>
    <w:rsid w:val="00C60153"/>
    <w:rPr>
      <w:color w:val="800080" w:themeColor="followedHyperlink"/>
      <w:u w:val="single"/>
    </w:rPr>
  </w:style>
  <w:style w:type="character" w:customStyle="1" w:styleId="cit-auth">
    <w:name w:val="cit-auth"/>
    <w:basedOn w:val="VarsaylanParagrafYazTipi"/>
    <w:rsid w:val="00C60153"/>
  </w:style>
  <w:style w:type="character" w:customStyle="1" w:styleId="cit-name-surname">
    <w:name w:val="cit-name-surname"/>
    <w:basedOn w:val="VarsaylanParagrafYazTipi"/>
    <w:rsid w:val="00C60153"/>
  </w:style>
  <w:style w:type="character" w:customStyle="1" w:styleId="cit-name-given-names">
    <w:name w:val="cit-name-given-names"/>
    <w:basedOn w:val="VarsaylanParagrafYazTipi"/>
    <w:rsid w:val="00C60153"/>
  </w:style>
  <w:style w:type="character" w:customStyle="1" w:styleId="cit-pub-date">
    <w:name w:val="cit-pub-date"/>
    <w:basedOn w:val="VarsaylanParagrafYazTipi"/>
    <w:rsid w:val="00C60153"/>
  </w:style>
  <w:style w:type="character" w:customStyle="1" w:styleId="cit-article-title">
    <w:name w:val="cit-article-title"/>
    <w:basedOn w:val="VarsaylanParagrafYazTipi"/>
    <w:rsid w:val="00C60153"/>
  </w:style>
  <w:style w:type="character" w:customStyle="1" w:styleId="cit-vol">
    <w:name w:val="cit-vol"/>
    <w:basedOn w:val="VarsaylanParagrafYazTipi"/>
    <w:rsid w:val="00C60153"/>
  </w:style>
  <w:style w:type="character" w:customStyle="1" w:styleId="cit-fpage">
    <w:name w:val="cit-fpage"/>
    <w:basedOn w:val="VarsaylanParagrafYazTipi"/>
    <w:rsid w:val="00C60153"/>
  </w:style>
  <w:style w:type="character" w:customStyle="1" w:styleId="cit-lpage">
    <w:name w:val="cit-lpage"/>
    <w:basedOn w:val="VarsaylanParagrafYazTipi"/>
    <w:rsid w:val="00C60153"/>
  </w:style>
  <w:style w:type="character" w:customStyle="1" w:styleId="citedssue">
    <w:name w:val="citedıssue"/>
    <w:basedOn w:val="VarsaylanParagrafYazTipi"/>
    <w:rsid w:val="00C60153"/>
  </w:style>
  <w:style w:type="character" w:customStyle="1" w:styleId="reflinks">
    <w:name w:val="reflinks"/>
    <w:basedOn w:val="VarsaylanParagrafYazTipi"/>
    <w:rsid w:val="00C60153"/>
  </w:style>
  <w:style w:type="character" w:customStyle="1" w:styleId="sep">
    <w:name w:val="sep"/>
    <w:basedOn w:val="VarsaylanParagrafYazTipi"/>
    <w:rsid w:val="00C60153"/>
  </w:style>
  <w:style w:type="character" w:customStyle="1" w:styleId="authorsname">
    <w:name w:val="authors__name"/>
    <w:basedOn w:val="VarsaylanParagrafYazTipi"/>
    <w:rsid w:val="00C60153"/>
  </w:style>
  <w:style w:type="character" w:customStyle="1" w:styleId="authorscontact">
    <w:name w:val="authors__contact"/>
    <w:basedOn w:val="VarsaylanParagrafYazTipi"/>
    <w:rsid w:val="00C60153"/>
  </w:style>
  <w:style w:type="character" w:customStyle="1" w:styleId="authors">
    <w:name w:val="authors"/>
    <w:basedOn w:val="VarsaylanParagrafYazTipi"/>
    <w:rsid w:val="00C60153"/>
  </w:style>
  <w:style w:type="character" w:customStyle="1" w:styleId="all-authors">
    <w:name w:val="all-authors"/>
    <w:basedOn w:val="VarsaylanParagrafYazTipi"/>
    <w:rsid w:val="00C60153"/>
  </w:style>
  <w:style w:type="character" w:customStyle="1" w:styleId="cit-issue">
    <w:name w:val="cit-issue"/>
    <w:basedOn w:val="VarsaylanParagrafYazTipi"/>
    <w:rsid w:val="00C60153"/>
  </w:style>
  <w:style w:type="character" w:customStyle="1" w:styleId="cit-pub-id">
    <w:name w:val="cit-pub-id"/>
    <w:basedOn w:val="VarsaylanParagrafYazTipi"/>
    <w:rsid w:val="00C60153"/>
  </w:style>
  <w:style w:type="character" w:customStyle="1" w:styleId="cit-pub-id-scheme-pmid">
    <w:name w:val="cit-pub-id-scheme-pmid"/>
    <w:basedOn w:val="VarsaylanParagrafYazTipi"/>
    <w:rsid w:val="00C60153"/>
  </w:style>
  <w:style w:type="character" w:customStyle="1" w:styleId="entryauthor">
    <w:name w:val="entryauthor"/>
    <w:basedOn w:val="VarsaylanParagrafYazTipi"/>
    <w:rsid w:val="00C60153"/>
  </w:style>
  <w:style w:type="character" w:customStyle="1" w:styleId="journalname">
    <w:name w:val="journalname"/>
    <w:basedOn w:val="VarsaylanParagrafYazTipi"/>
    <w:rsid w:val="00C60153"/>
  </w:style>
  <w:style w:type="character" w:customStyle="1" w:styleId="volume">
    <w:name w:val="volume"/>
    <w:basedOn w:val="VarsaylanParagrafYazTipi"/>
    <w:rsid w:val="00C60153"/>
  </w:style>
  <w:style w:type="paragraph" w:customStyle="1" w:styleId="para">
    <w:name w:val="para"/>
    <w:basedOn w:val="Normal"/>
    <w:rsid w:val="00C60153"/>
    <w:pPr>
      <w:spacing w:before="100" w:beforeAutospacing="1" w:after="100" w:afterAutospacing="1"/>
    </w:pPr>
  </w:style>
  <w:style w:type="character" w:customStyle="1" w:styleId="citationref">
    <w:name w:val="citationref"/>
    <w:basedOn w:val="VarsaylanParagrafYazTipi"/>
    <w:rsid w:val="00C601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30321">
      <w:bodyDiv w:val="1"/>
      <w:marLeft w:val="0"/>
      <w:marRight w:val="0"/>
      <w:marTop w:val="0"/>
      <w:marBottom w:val="0"/>
      <w:divBdr>
        <w:top w:val="none" w:sz="0" w:space="0" w:color="auto"/>
        <w:left w:val="none" w:sz="0" w:space="0" w:color="auto"/>
        <w:bottom w:val="none" w:sz="0" w:space="0" w:color="auto"/>
        <w:right w:val="none" w:sz="0" w:space="0" w:color="auto"/>
      </w:divBdr>
    </w:div>
    <w:div w:id="251671519">
      <w:bodyDiv w:val="1"/>
      <w:marLeft w:val="0"/>
      <w:marRight w:val="0"/>
      <w:marTop w:val="0"/>
      <w:marBottom w:val="0"/>
      <w:divBdr>
        <w:top w:val="none" w:sz="0" w:space="0" w:color="auto"/>
        <w:left w:val="none" w:sz="0" w:space="0" w:color="auto"/>
        <w:bottom w:val="none" w:sz="0" w:space="0" w:color="auto"/>
        <w:right w:val="none" w:sz="0" w:space="0" w:color="auto"/>
      </w:divBdr>
    </w:div>
    <w:div w:id="885145280">
      <w:bodyDiv w:val="1"/>
      <w:marLeft w:val="0"/>
      <w:marRight w:val="0"/>
      <w:marTop w:val="0"/>
      <w:marBottom w:val="0"/>
      <w:divBdr>
        <w:top w:val="none" w:sz="0" w:space="0" w:color="auto"/>
        <w:left w:val="none" w:sz="0" w:space="0" w:color="auto"/>
        <w:bottom w:val="none" w:sz="0" w:space="0" w:color="auto"/>
        <w:right w:val="none" w:sz="0" w:space="0" w:color="auto"/>
      </w:divBdr>
    </w:div>
    <w:div w:id="1143892649">
      <w:bodyDiv w:val="1"/>
      <w:marLeft w:val="0"/>
      <w:marRight w:val="0"/>
      <w:marTop w:val="0"/>
      <w:marBottom w:val="0"/>
      <w:divBdr>
        <w:top w:val="none" w:sz="0" w:space="0" w:color="auto"/>
        <w:left w:val="none" w:sz="0" w:space="0" w:color="auto"/>
        <w:bottom w:val="none" w:sz="0" w:space="0" w:color="auto"/>
        <w:right w:val="none" w:sz="0" w:space="0" w:color="auto"/>
      </w:divBdr>
    </w:div>
    <w:div w:id="1411612412">
      <w:bodyDiv w:val="1"/>
      <w:marLeft w:val="0"/>
      <w:marRight w:val="0"/>
      <w:marTop w:val="0"/>
      <w:marBottom w:val="0"/>
      <w:divBdr>
        <w:top w:val="none" w:sz="0" w:space="0" w:color="auto"/>
        <w:left w:val="none" w:sz="0" w:space="0" w:color="auto"/>
        <w:bottom w:val="none" w:sz="0" w:space="0" w:color="auto"/>
        <w:right w:val="none" w:sz="0" w:space="0" w:color="auto"/>
      </w:divBdr>
    </w:div>
    <w:div w:id="1669861794">
      <w:bodyDiv w:val="1"/>
      <w:marLeft w:val="0"/>
      <w:marRight w:val="0"/>
      <w:marTop w:val="0"/>
      <w:marBottom w:val="0"/>
      <w:divBdr>
        <w:top w:val="none" w:sz="0" w:space="0" w:color="auto"/>
        <w:left w:val="none" w:sz="0" w:space="0" w:color="auto"/>
        <w:bottom w:val="none" w:sz="0" w:space="0" w:color="auto"/>
        <w:right w:val="none" w:sz="0" w:space="0" w:color="auto"/>
      </w:divBdr>
    </w:div>
    <w:div w:id="1818640725">
      <w:bodyDiv w:val="1"/>
      <w:marLeft w:val="0"/>
      <w:marRight w:val="0"/>
      <w:marTop w:val="0"/>
      <w:marBottom w:val="0"/>
      <w:divBdr>
        <w:top w:val="none" w:sz="0" w:space="0" w:color="auto"/>
        <w:left w:val="none" w:sz="0" w:space="0" w:color="auto"/>
        <w:bottom w:val="none" w:sz="0" w:space="0" w:color="auto"/>
        <w:right w:val="none" w:sz="0" w:space="0" w:color="auto"/>
      </w:divBdr>
    </w:div>
    <w:div w:id="197081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ncbi.nlm.nih.gov/pubmed/?term=Srivastav%20S%5BAuthor%5D&amp;cauthor=true&amp;cauthor_uid=284930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BA2314-72EF-4F7D-864B-F34FF474F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8000</TotalTime>
  <Pages>112</Pages>
  <Words>264967</Words>
  <Characters>1510313</Characters>
  <Application>Microsoft Office Word</Application>
  <DocSecurity>0</DocSecurity>
  <Lines>12585</Lines>
  <Paragraphs>3543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DİKKAT EKSİKLİĞİ HİPERAKTİVİTE BOZUKLUĞUNDA MIR-124-3P, MIR-4447, MIR-107, MIR-LET-7D, MIR 5692B MİRNALARININ EKSPRESYON PROFİLLERİ</vt:lpstr>
      <vt:lpstr>DİKKAT EKSİKLİĞİ HİPERAKTİVİTE BOZUKLUĞUNDA MIR-124-3P, MIR-4447, MIR-107, MIR-LET-7D, MIR 5692B MİRNALARININ EKSPRESYON PROFİLLERİ</vt:lpstr>
    </vt:vector>
  </TitlesOfParts>
  <Company/>
  <LinksUpToDate>false</LinksUpToDate>
  <CharactersWithSpaces>1771737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DİKKAT EKSİKLİĞİ HİPERAKTİVİTE BOZUKLUĞUNDA MIR-124-3P, MIR-4447, MIR-107, MIR-LET-7D, MIR 5692B MİRNALARININ EKSPRESYON PROFİLLERİ</dc:title>
  <dc:subject/>
  <dc:creator>Sezai Üstün AYDIN</dc:creator>
  <cp:keywords/>
  <dc:description/>
  <cp:lastModifiedBy>Windows Kullanıcısı</cp:lastModifiedBy>
  <cp:revision>957</cp:revision>
  <cp:lastPrinted>2017-10-09T13:00:00Z</cp:lastPrinted>
  <dcterms:created xsi:type="dcterms:W3CDTF">2016-11-14T15:51:00Z</dcterms:created>
  <dcterms:modified xsi:type="dcterms:W3CDTF">2018-04-12T07:14:00Z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http://www.zotero.org/styles/biological-psychiatry</vt:lpwstr>
  </property>
  <property fmtid="{D5CDD505-2E9C-101B-9397-08002B2CF9AE}" pid="4" name="Mendeley Unique User Id_1">
    <vt:lpwstr>0a857558-61dc-3d90-8fd3-c9091f8258ba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http://www.zotero.org/styles/biological-psychiatry</vt:lpwstr>
  </property>
  <property fmtid="{D5CDD505-2E9C-101B-9397-08002B2CF9AE}" pid="12" name="Mendeley Recent Style Name 3_1">
    <vt:lpwstr>Biological Psychiatry</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